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color w:val="auto"/>
        </w:rPr>
        <w:t>UNITED STATES</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WASHINGTON, DC 20549</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11" w:lineRule="exact"/>
        <w:rPr>
          <w:sz w:val="24"/>
          <w:szCs w:val="24"/>
          <w:color w:val="auto"/>
        </w:rPr>
      </w:pPr>
    </w:p>
    <w:p>
      <w:pPr>
        <w:ind w:left="2320" w:hanging="166"/>
        <w:spacing w:after="0"/>
        <w:tabs>
          <w:tab w:leader="none" w:pos="23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 the quarterly period ended March 31, 2020</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or</w:t>
      </w:r>
    </w:p>
    <w:p>
      <w:pPr>
        <w:spacing w:after="0" w:line="200" w:lineRule="exact"/>
        <w:rPr>
          <w:sz w:val="24"/>
          <w:szCs w:val="24"/>
          <w:color w:val="auto"/>
        </w:rPr>
      </w:pPr>
    </w:p>
    <w:p>
      <w:pPr>
        <w:jc w:val="center"/>
        <w:ind w:left="4280" w:right="2120" w:hanging="2133"/>
        <w:spacing w:after="0" w:line="537" w:lineRule="auto"/>
        <w:tabs>
          <w:tab w:leader="none" w:pos="2318"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4"/>
          <w:szCs w:val="14"/>
          <w:color w:val="auto"/>
        </w:rPr>
      </w:pPr>
    </w:p>
    <w:p>
      <w:pPr>
        <w:ind w:left="462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001-39028</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CROSSFIRST BANKSHARES, INC.</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30" w:lineRule="exact"/>
        <w:rPr>
          <w:sz w:val="24"/>
          <w:szCs w:val="24"/>
          <w:color w:val="auto"/>
        </w:rPr>
      </w:pPr>
    </w:p>
    <w:tbl>
      <w:tblPr>
        <w:tblLayout w:type="fixed"/>
        <w:tblInd w:w="280" w:type="dxa"/>
        <w:tblCellMar>
          <w:top w:w="0" w:type="dxa"/>
          <w:left w:w="0" w:type="dxa"/>
          <w:bottom w:w="0" w:type="dxa"/>
          <w:right w:w="0" w:type="dxa"/>
        </w:tblCellMar>
      </w:tblPr>
      <w:tr>
        <w:trPr>
          <w:trHeight w:val="180"/>
        </w:trPr>
        <w:tc>
          <w:tcPr>
            <w:tcW w:w="3860" w:type="dxa"/>
            <w:vAlign w:val="bottom"/>
          </w:tcPr>
          <w:p>
            <w:pPr>
              <w:jc w:val="center"/>
              <w:ind w:left="1751"/>
              <w:spacing w:after="0"/>
              <w:rPr>
                <w:sz w:val="20"/>
                <w:szCs w:val="20"/>
                <w:color w:val="auto"/>
              </w:rPr>
            </w:pPr>
            <w:r>
              <w:rPr>
                <w:rFonts w:ascii="Arial" w:cs="Arial" w:eastAsia="Arial" w:hAnsi="Arial"/>
                <w:sz w:val="14"/>
                <w:szCs w:val="14"/>
                <w:color w:val="auto"/>
                <w:w w:val="85"/>
              </w:rPr>
              <w:t>Kansas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60" w:type="dxa"/>
            <w:vAlign w:val="bottom"/>
          </w:tcPr>
          <w:p>
            <w:pPr>
              <w:jc w:val="right"/>
              <w:ind w:right="2492"/>
              <w:spacing w:after="0"/>
              <w:rPr>
                <w:sz w:val="20"/>
                <w:szCs w:val="20"/>
                <w:color w:val="auto"/>
              </w:rPr>
            </w:pPr>
            <w:r>
              <w:rPr>
                <w:rFonts w:ascii="Arial" w:cs="Arial" w:eastAsia="Arial" w:hAnsi="Arial"/>
                <w:sz w:val="14"/>
                <w:szCs w:val="14"/>
                <w:color w:val="auto"/>
              </w:rPr>
              <w:t>26-3212879</w:t>
            </w:r>
          </w:p>
        </w:tc>
      </w:tr>
      <w:tr>
        <w:trPr>
          <w:trHeight w:val="198"/>
        </w:trPr>
        <w:tc>
          <w:tcPr>
            <w:tcW w:w="6880" w:type="dxa"/>
            <w:vAlign w:val="bottom"/>
            <w:gridSpan w:val="6"/>
          </w:tcPr>
          <w:p>
            <w:pPr>
              <w:jc w:val="center"/>
              <w:ind w:right="1200"/>
              <w:spacing w:after="0"/>
              <w:rPr>
                <w:sz w:val="20"/>
                <w:szCs w:val="20"/>
                <w:color w:val="auto"/>
              </w:rPr>
            </w:pPr>
            <w:r>
              <w:rPr>
                <w:rFonts w:ascii="Arial" w:cs="Arial" w:eastAsia="Arial" w:hAnsi="Arial"/>
                <w:sz w:val="13"/>
                <w:szCs w:val="13"/>
                <w:color w:val="auto"/>
                <w:w w:val="90"/>
              </w:rPr>
              <w:t>(State or other jurisdiction of incorporation or organization)</w:t>
            </w:r>
          </w:p>
        </w:tc>
        <w:tc>
          <w:tcPr>
            <w:tcW w:w="3860" w:type="dxa"/>
            <w:vAlign w:val="bottom"/>
          </w:tcPr>
          <w:p>
            <w:pPr>
              <w:jc w:val="center"/>
              <w:ind w:right="1872"/>
              <w:spacing w:after="0"/>
              <w:rPr>
                <w:sz w:val="20"/>
                <w:szCs w:val="20"/>
                <w:color w:val="auto"/>
              </w:rPr>
            </w:pPr>
            <w:r>
              <w:rPr>
                <w:rFonts w:ascii="Arial" w:cs="Arial" w:eastAsia="Arial" w:hAnsi="Arial"/>
                <w:sz w:val="13"/>
                <w:szCs w:val="13"/>
                <w:color w:val="auto"/>
                <w:w w:val="91"/>
              </w:rPr>
              <w:t>(I.R.S. Employer Identification No.)</w:t>
            </w:r>
          </w:p>
        </w:tc>
      </w:tr>
      <w:tr>
        <w:trPr>
          <w:trHeight w:val="259"/>
        </w:trPr>
        <w:tc>
          <w:tcPr>
            <w:tcW w:w="3860" w:type="dxa"/>
            <w:vAlign w:val="bottom"/>
          </w:tcPr>
          <w:p>
            <w:pPr>
              <w:jc w:val="center"/>
              <w:ind w:left="1751"/>
              <w:spacing w:after="0"/>
              <w:rPr>
                <w:sz w:val="20"/>
                <w:szCs w:val="20"/>
                <w:color w:val="auto"/>
              </w:rPr>
            </w:pPr>
            <w:r>
              <w:rPr>
                <w:rFonts w:ascii="Arial" w:cs="Arial" w:eastAsia="Arial" w:hAnsi="Arial"/>
                <w:sz w:val="14"/>
                <w:szCs w:val="14"/>
                <w:color w:val="auto"/>
                <w:w w:val="91"/>
              </w:rPr>
              <w:t>11440 Tomahawk Creek Parkway</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212"/>
        </w:trPr>
        <w:tc>
          <w:tcPr>
            <w:tcW w:w="3860" w:type="dxa"/>
            <w:vAlign w:val="bottom"/>
          </w:tcPr>
          <w:p>
            <w:pPr>
              <w:ind w:left="2220"/>
              <w:spacing w:after="0"/>
              <w:rPr>
                <w:sz w:val="20"/>
                <w:szCs w:val="20"/>
                <w:color w:val="auto"/>
              </w:rPr>
            </w:pPr>
            <w:r>
              <w:rPr>
                <w:rFonts w:ascii="Arial" w:cs="Arial" w:eastAsia="Arial" w:hAnsi="Arial"/>
                <w:sz w:val="14"/>
                <w:szCs w:val="14"/>
                <w:color w:val="auto"/>
              </w:rPr>
              <w:t>Leawood,  KS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60" w:type="dxa"/>
            <w:vAlign w:val="bottom"/>
          </w:tcPr>
          <w:p>
            <w:pPr>
              <w:jc w:val="right"/>
              <w:ind w:right="2652"/>
              <w:spacing w:after="0"/>
              <w:rPr>
                <w:sz w:val="20"/>
                <w:szCs w:val="20"/>
                <w:color w:val="auto"/>
              </w:rPr>
            </w:pPr>
            <w:r>
              <w:rPr>
                <w:rFonts w:ascii="Arial" w:cs="Arial" w:eastAsia="Arial" w:hAnsi="Arial"/>
                <w:sz w:val="14"/>
                <w:szCs w:val="14"/>
                <w:color w:val="auto"/>
              </w:rPr>
              <w:t>66211</w:t>
            </w:r>
          </w:p>
        </w:tc>
      </w:tr>
      <w:tr>
        <w:trPr>
          <w:trHeight w:val="198"/>
        </w:trPr>
        <w:tc>
          <w:tcPr>
            <w:tcW w:w="3860" w:type="dxa"/>
            <w:vAlign w:val="bottom"/>
          </w:tcPr>
          <w:p>
            <w:pPr>
              <w:jc w:val="center"/>
              <w:ind w:left="1731"/>
              <w:spacing w:after="0"/>
              <w:rPr>
                <w:sz w:val="20"/>
                <w:szCs w:val="20"/>
                <w:color w:val="auto"/>
              </w:rPr>
            </w:pPr>
            <w:r>
              <w:rPr>
                <w:rFonts w:ascii="Arial" w:cs="Arial" w:eastAsia="Arial" w:hAnsi="Arial"/>
                <w:sz w:val="13"/>
                <w:szCs w:val="13"/>
                <w:color w:val="auto"/>
                <w:w w:val="90"/>
              </w:rPr>
              <w:t>(Address of principal executive offices)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60" w:type="dxa"/>
            <w:vAlign w:val="bottom"/>
          </w:tcPr>
          <w:p>
            <w:pPr>
              <w:jc w:val="center"/>
              <w:ind w:right="1872"/>
              <w:spacing w:after="0"/>
              <w:rPr>
                <w:sz w:val="20"/>
                <w:szCs w:val="20"/>
                <w:color w:val="auto"/>
              </w:rPr>
            </w:pPr>
            <w:r>
              <w:rPr>
                <w:rFonts w:ascii="Arial" w:cs="Arial" w:eastAsia="Arial" w:hAnsi="Arial"/>
                <w:sz w:val="13"/>
                <w:szCs w:val="13"/>
                <w:color w:val="auto"/>
                <w:w w:val="91"/>
              </w:rPr>
              <w:t>(Zip Code)</w:t>
            </w:r>
          </w:p>
        </w:tc>
      </w:tr>
      <w:tr>
        <w:trPr>
          <w:trHeight w:val="185"/>
        </w:trPr>
        <w:tc>
          <w:tcPr>
            <w:tcW w:w="3860" w:type="dxa"/>
            <w:vAlign w:val="bottom"/>
          </w:tcPr>
          <w:p>
            <w:pPr>
              <w:spacing w:after="0"/>
              <w:rPr>
                <w:sz w:val="16"/>
                <w:szCs w:val="16"/>
                <w:color w:val="auto"/>
              </w:rPr>
            </w:pPr>
          </w:p>
        </w:tc>
        <w:tc>
          <w:tcPr>
            <w:tcW w:w="2180" w:type="dxa"/>
            <w:vAlign w:val="bottom"/>
            <w:gridSpan w:val="3"/>
          </w:tcPr>
          <w:p>
            <w:pPr>
              <w:jc w:val="center"/>
              <w:ind w:left="749"/>
              <w:spacing w:after="0"/>
              <w:rPr>
                <w:sz w:val="20"/>
                <w:szCs w:val="20"/>
                <w:color w:val="auto"/>
              </w:rPr>
            </w:pPr>
            <w:r>
              <w:rPr>
                <w:rFonts w:ascii="Arial" w:cs="Arial" w:eastAsia="Arial" w:hAnsi="Arial"/>
                <w:sz w:val="14"/>
                <w:szCs w:val="14"/>
                <w:color w:val="auto"/>
                <w:w w:val="91"/>
              </w:rPr>
              <w:t>(913) 312-6822</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180"/>
        </w:trPr>
        <w:tc>
          <w:tcPr>
            <w:tcW w:w="3860" w:type="dxa"/>
            <w:vAlign w:val="bottom"/>
          </w:tcPr>
          <w:p>
            <w:pPr>
              <w:spacing w:after="0"/>
              <w:rPr>
                <w:sz w:val="15"/>
                <w:szCs w:val="15"/>
                <w:color w:val="auto"/>
              </w:rPr>
            </w:pPr>
          </w:p>
        </w:tc>
        <w:tc>
          <w:tcPr>
            <w:tcW w:w="3020" w:type="dxa"/>
            <w:vAlign w:val="bottom"/>
            <w:gridSpan w:val="5"/>
          </w:tcPr>
          <w:p>
            <w:pPr>
              <w:jc w:val="center"/>
              <w:ind w:right="20"/>
              <w:spacing w:after="0"/>
              <w:rPr>
                <w:sz w:val="20"/>
                <w:szCs w:val="20"/>
                <w:color w:val="auto"/>
              </w:rPr>
            </w:pPr>
            <w:r>
              <w:rPr>
                <w:rFonts w:ascii="Arial" w:cs="Arial" w:eastAsia="Arial" w:hAnsi="Arial"/>
                <w:sz w:val="14"/>
                <w:szCs w:val="14"/>
                <w:color w:val="auto"/>
                <w:w w:val="91"/>
              </w:rPr>
              <w:t>(Registrant’s telephone number, including area code)</w:t>
            </w:r>
          </w:p>
        </w:tc>
        <w:tc>
          <w:tcPr>
            <w:tcW w:w="3860" w:type="dxa"/>
            <w:vAlign w:val="bottom"/>
          </w:tcPr>
          <w:p>
            <w:pPr>
              <w:spacing w:after="0"/>
              <w:rPr>
                <w:sz w:val="15"/>
                <w:szCs w:val="15"/>
                <w:color w:val="auto"/>
              </w:rPr>
            </w:pPr>
          </w:p>
        </w:tc>
      </w:tr>
      <w:tr>
        <w:trPr>
          <w:trHeight w:val="350"/>
        </w:trPr>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3"/>
          </w:tcPr>
          <w:p>
            <w:pPr>
              <w:jc w:val="center"/>
              <w:ind w:right="400"/>
              <w:spacing w:after="0"/>
              <w:rPr>
                <w:sz w:val="20"/>
                <w:szCs w:val="20"/>
                <w:color w:val="auto"/>
              </w:rPr>
            </w:pPr>
            <w:r>
              <w:rPr>
                <w:rFonts w:ascii="Arial" w:cs="Arial" w:eastAsia="Arial" w:hAnsi="Arial"/>
                <w:sz w:val="14"/>
                <w:szCs w:val="14"/>
                <w:color w:val="auto"/>
              </w:rPr>
              <w:t>N/A</w:t>
            </w:r>
          </w:p>
        </w:tc>
        <w:tc>
          <w:tcPr>
            <w:tcW w:w="3860" w:type="dxa"/>
            <w:vAlign w:val="bottom"/>
          </w:tcPr>
          <w:p>
            <w:pPr>
              <w:spacing w:after="0"/>
              <w:rPr>
                <w:sz w:val="24"/>
                <w:szCs w:val="24"/>
                <w:color w:val="auto"/>
              </w:rPr>
            </w:pPr>
          </w:p>
        </w:tc>
      </w:tr>
      <w:tr>
        <w:trPr>
          <w:trHeight w:val="180"/>
        </w:trPr>
        <w:tc>
          <w:tcPr>
            <w:tcW w:w="10740" w:type="dxa"/>
            <w:vAlign w:val="bottom"/>
            <w:gridSpan w:val="7"/>
          </w:tcPr>
          <w:p>
            <w:pPr>
              <w:jc w:val="center"/>
              <w:spacing w:after="0"/>
              <w:rPr>
                <w:sz w:val="20"/>
                <w:szCs w:val="20"/>
                <w:color w:val="auto"/>
              </w:rPr>
            </w:pPr>
            <w:r>
              <w:rPr>
                <w:rFonts w:ascii="Arial" w:cs="Arial" w:eastAsia="Arial" w:hAnsi="Arial"/>
                <w:sz w:val="14"/>
                <w:szCs w:val="14"/>
                <w:color w:val="auto"/>
                <w:w w:val="91"/>
              </w:rPr>
              <w:t>(Former name, former address and former fiscal year, if changed since last report)</w:t>
            </w:r>
          </w:p>
        </w:tc>
      </w:tr>
      <w:tr>
        <w:trPr>
          <w:trHeight w:val="361"/>
        </w:trPr>
        <w:tc>
          <w:tcPr>
            <w:tcW w:w="10740" w:type="dxa"/>
            <w:vAlign w:val="bottom"/>
            <w:gridSpan w:val="7"/>
          </w:tcPr>
          <w:p>
            <w:pPr>
              <w:jc w:val="center"/>
              <w:spacing w:after="0"/>
              <w:rPr>
                <w:sz w:val="20"/>
                <w:szCs w:val="20"/>
                <w:color w:val="auto"/>
              </w:rPr>
            </w:pPr>
            <w:r>
              <w:rPr>
                <w:rFonts w:ascii="Arial" w:cs="Arial" w:eastAsia="Arial" w:hAnsi="Arial"/>
                <w:sz w:val="14"/>
                <w:szCs w:val="14"/>
                <w:color w:val="auto"/>
                <w:w w:val="91"/>
              </w:rPr>
              <w:t>Securities registered pursuant to Section 12(b) of the Act:</w:t>
            </w:r>
          </w:p>
        </w:tc>
      </w:tr>
      <w:tr>
        <w:trPr>
          <w:trHeight w:val="340"/>
        </w:trPr>
        <w:tc>
          <w:tcPr>
            <w:tcW w:w="3860" w:type="dxa"/>
            <w:vAlign w:val="bottom"/>
          </w:tcPr>
          <w:p>
            <w:pPr>
              <w:jc w:val="center"/>
              <w:ind w:left="91"/>
              <w:spacing w:after="0"/>
              <w:rPr>
                <w:sz w:val="20"/>
                <w:szCs w:val="20"/>
                <w:color w:val="auto"/>
              </w:rPr>
            </w:pPr>
            <w:r>
              <w:rPr>
                <w:rFonts w:ascii="Arial" w:cs="Arial" w:eastAsia="Arial" w:hAnsi="Arial"/>
                <w:sz w:val="14"/>
                <w:szCs w:val="14"/>
                <w:b w:val="1"/>
                <w:bCs w:val="1"/>
                <w:color w:val="auto"/>
                <w:w w:val="87"/>
              </w:rPr>
              <w:t>Title of each class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2"/>
              </w:rPr>
              <w:t>Trading Symbol</w:t>
            </w:r>
          </w:p>
        </w:tc>
        <w:tc>
          <w:tcPr>
            <w:tcW w:w="3860" w:type="dxa"/>
            <w:vAlign w:val="bottom"/>
          </w:tcPr>
          <w:p>
            <w:pPr>
              <w:jc w:val="center"/>
              <w:ind w:right="572"/>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2"/>
        </w:trPr>
        <w:tc>
          <w:tcPr>
            <w:tcW w:w="3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181"/>
        </w:trPr>
        <w:tc>
          <w:tcPr>
            <w:tcW w:w="3860" w:type="dxa"/>
            <w:vAlign w:val="bottom"/>
          </w:tcPr>
          <w:p>
            <w:pPr>
              <w:jc w:val="center"/>
              <w:ind w:left="91"/>
              <w:spacing w:after="0"/>
              <w:rPr>
                <w:sz w:val="20"/>
                <w:szCs w:val="20"/>
                <w:color w:val="auto"/>
              </w:rPr>
            </w:pPr>
            <w:r>
              <w:rPr>
                <w:rFonts w:ascii="Arial" w:cs="Arial" w:eastAsia="Arial" w:hAnsi="Arial"/>
                <w:sz w:val="14"/>
                <w:szCs w:val="14"/>
                <w:color w:val="auto"/>
                <w:w w:val="90"/>
              </w:rPr>
              <w:t>Common Stock, par value $0.01 per share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3"/>
          </w:tcPr>
          <w:p>
            <w:pPr>
              <w:jc w:val="center"/>
              <w:ind w:right="860"/>
              <w:spacing w:after="0"/>
              <w:rPr>
                <w:sz w:val="20"/>
                <w:szCs w:val="20"/>
                <w:color w:val="auto"/>
              </w:rPr>
            </w:pPr>
            <w:r>
              <w:rPr>
                <w:rFonts w:ascii="Arial" w:cs="Arial" w:eastAsia="Arial" w:hAnsi="Arial"/>
                <w:sz w:val="14"/>
                <w:szCs w:val="14"/>
                <w:color w:val="auto"/>
                <w:w w:val="92"/>
              </w:rPr>
              <w:t>CFB</w:t>
            </w:r>
          </w:p>
        </w:tc>
        <w:tc>
          <w:tcPr>
            <w:tcW w:w="3860" w:type="dxa"/>
            <w:vAlign w:val="bottom"/>
          </w:tcPr>
          <w:p>
            <w:pPr>
              <w:jc w:val="center"/>
              <w:ind w:right="572"/>
              <w:spacing w:after="0"/>
              <w:rPr>
                <w:sz w:val="20"/>
                <w:szCs w:val="20"/>
                <w:color w:val="auto"/>
              </w:rPr>
            </w:pPr>
            <w:r>
              <w:rPr>
                <w:rFonts w:ascii="Arial" w:cs="Arial" w:eastAsia="Arial" w:hAnsi="Arial"/>
                <w:sz w:val="14"/>
                <w:szCs w:val="14"/>
                <w:color w:val="auto"/>
                <w:w w:val="92"/>
              </w:rPr>
              <w:t>The Nasdaq Stock Market LLC</w:t>
            </w:r>
          </w:p>
        </w:tc>
      </w:tr>
    </w:tbl>
    <w:p>
      <w:pPr>
        <w:spacing w:after="0" w:line="138" w:lineRule="exact"/>
        <w:rPr>
          <w:sz w:val="24"/>
          <w:szCs w:val="24"/>
          <w:color w:val="auto"/>
        </w:rPr>
      </w:pPr>
    </w:p>
    <w:p>
      <w:pPr>
        <w:ind w:right="140"/>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3" w:lineRule="exact"/>
        <w:rPr>
          <w:sz w:val="24"/>
          <w:szCs w:val="24"/>
          <w:color w:val="auto"/>
        </w:rPr>
      </w:pPr>
    </w:p>
    <w:p>
      <w:pPr>
        <w:ind w:right="420"/>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6"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2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90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84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2500" w:type="dxa"/>
            <w:vAlign w:val="bottom"/>
          </w:tcPr>
          <w:p>
            <w:pPr>
              <w:spacing w:after="0"/>
              <w:rPr>
                <w:sz w:val="20"/>
                <w:szCs w:val="20"/>
                <w:color w:val="auto"/>
              </w:rPr>
            </w:pPr>
            <w:r>
              <w:rPr>
                <w:rFonts w:ascii="Arial" w:cs="Arial" w:eastAsia="Arial" w:hAnsi="Arial"/>
                <w:sz w:val="14"/>
                <w:szCs w:val="14"/>
                <w:color w:val="auto"/>
              </w:rPr>
              <w:t>Non-accelerated filer</w:t>
            </w:r>
          </w:p>
        </w:tc>
        <w:tc>
          <w:tcPr>
            <w:tcW w:w="190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84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25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90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186" w:lineRule="exact"/>
        <w:rPr>
          <w:sz w:val="24"/>
          <w:szCs w:val="24"/>
          <w:color w:val="auto"/>
        </w:rPr>
      </w:pPr>
    </w:p>
    <w:p>
      <w:pPr>
        <w:ind w:right="20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As of May 11, 2020, the registrant had 52,113,559 shares of common stock, par value $0.01,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8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8720" w:type="dxa"/>
            <w:vAlign w:val="bottom"/>
          </w:tcPr>
          <w:p>
            <w:pPr>
              <w:jc w:val="center"/>
              <w:ind w:left="2508"/>
              <w:spacing w:after="0"/>
              <w:rPr>
                <w:sz w:val="20"/>
                <w:szCs w:val="20"/>
                <w:color w:val="auto"/>
              </w:rPr>
            </w:pPr>
            <w:r>
              <w:rPr>
                <w:rFonts w:ascii="Arial" w:cs="Arial" w:eastAsia="Arial" w:hAnsi="Arial"/>
                <w:sz w:val="17"/>
                <w:szCs w:val="17"/>
                <w:color w:val="auto"/>
                <w:w w:val="89"/>
              </w:rPr>
              <w:t>CrossFirst Bankshares, Inc.</w:t>
            </w:r>
          </w:p>
        </w:tc>
        <w:tc>
          <w:tcPr>
            <w:tcW w:w="2560" w:type="dxa"/>
            <w:vAlign w:val="bottom"/>
          </w:tcPr>
          <w:p>
            <w:pPr>
              <w:spacing w:after="0"/>
              <w:rPr>
                <w:sz w:val="17"/>
                <w:szCs w:val="17"/>
                <w:color w:val="auto"/>
              </w:rPr>
            </w:pPr>
          </w:p>
        </w:tc>
      </w:tr>
      <w:tr>
        <w:trPr>
          <w:trHeight w:val="202"/>
        </w:trPr>
        <w:tc>
          <w:tcPr>
            <w:tcW w:w="8720" w:type="dxa"/>
            <w:vAlign w:val="bottom"/>
          </w:tcPr>
          <w:p>
            <w:pPr>
              <w:jc w:val="center"/>
              <w:ind w:left="2488"/>
              <w:spacing w:after="0"/>
              <w:rPr>
                <w:sz w:val="20"/>
                <w:szCs w:val="20"/>
                <w:color w:val="auto"/>
              </w:rPr>
            </w:pPr>
            <w:r>
              <w:rPr>
                <w:rFonts w:ascii="Arial" w:cs="Arial" w:eastAsia="Arial" w:hAnsi="Arial"/>
                <w:sz w:val="17"/>
                <w:szCs w:val="17"/>
                <w:color w:val="auto"/>
                <w:w w:val="92"/>
              </w:rPr>
              <w:t>Form 10-Q</w:t>
            </w:r>
          </w:p>
        </w:tc>
        <w:tc>
          <w:tcPr>
            <w:tcW w:w="2560" w:type="dxa"/>
            <w:vAlign w:val="bottom"/>
          </w:tcPr>
          <w:p>
            <w:pPr>
              <w:spacing w:after="0"/>
              <w:rPr>
                <w:sz w:val="17"/>
                <w:szCs w:val="17"/>
                <w:color w:val="auto"/>
              </w:rPr>
            </w:pPr>
          </w:p>
        </w:tc>
      </w:tr>
      <w:tr>
        <w:trPr>
          <w:trHeight w:val="190"/>
        </w:trPr>
        <w:tc>
          <w:tcPr>
            <w:tcW w:w="8720" w:type="dxa"/>
            <w:vAlign w:val="bottom"/>
          </w:tcPr>
          <w:p>
            <w:pPr>
              <w:jc w:val="center"/>
              <w:ind w:left="2488"/>
              <w:spacing w:after="0" w:line="189" w:lineRule="exact"/>
              <w:rPr>
                <w:sz w:val="20"/>
                <w:szCs w:val="20"/>
                <w:color w:val="auto"/>
              </w:rPr>
            </w:pPr>
            <w:r>
              <w:rPr>
                <w:rFonts w:ascii="Arial" w:cs="Arial" w:eastAsia="Arial" w:hAnsi="Arial"/>
                <w:sz w:val="17"/>
                <w:szCs w:val="17"/>
                <w:color w:val="auto"/>
                <w:w w:val="90"/>
              </w:rPr>
              <w:t>Quarter Ended March 31, 2020</w:t>
            </w:r>
          </w:p>
        </w:tc>
        <w:tc>
          <w:tcPr>
            <w:tcW w:w="2560" w:type="dxa"/>
            <w:vAlign w:val="bottom"/>
          </w:tcPr>
          <w:p>
            <w:pPr>
              <w:spacing w:after="0"/>
              <w:rPr>
                <w:sz w:val="16"/>
                <w:szCs w:val="16"/>
                <w:color w:val="auto"/>
              </w:rPr>
            </w:pPr>
          </w:p>
        </w:tc>
      </w:tr>
      <w:tr>
        <w:trPr>
          <w:trHeight w:val="256"/>
        </w:trPr>
        <w:tc>
          <w:tcPr>
            <w:tcW w:w="8720" w:type="dxa"/>
            <w:vAlign w:val="bottom"/>
          </w:tcPr>
          <w:p>
            <w:pPr>
              <w:spacing w:after="0"/>
              <w:rPr>
                <w:sz w:val="20"/>
                <w:szCs w:val="20"/>
                <w:color w:val="auto"/>
              </w:rPr>
            </w:pPr>
            <w:r>
              <w:rPr>
                <w:rFonts w:ascii="Arial" w:cs="Arial" w:eastAsia="Arial" w:hAnsi="Arial"/>
                <w:sz w:val="20"/>
                <w:szCs w:val="20"/>
                <w:b w:val="1"/>
                <w:bCs w:val="1"/>
                <w:color w:val="auto"/>
              </w:rPr>
              <w:t>Index</w:t>
            </w:r>
          </w:p>
        </w:tc>
        <w:tc>
          <w:tcPr>
            <w:tcW w:w="2560" w:type="dxa"/>
            <w:vAlign w:val="bottom"/>
          </w:tcPr>
          <w:p>
            <w:pPr>
              <w:spacing w:after="0"/>
              <w:rPr>
                <w:sz w:val="22"/>
                <w:szCs w:val="22"/>
                <w:color w:val="auto"/>
              </w:rPr>
            </w:pPr>
          </w:p>
        </w:tc>
      </w:tr>
      <w:tr>
        <w:trPr>
          <w:trHeight w:val="334"/>
        </w:trPr>
        <w:tc>
          <w:tcPr>
            <w:tcW w:w="8720" w:type="dxa"/>
            <w:vAlign w:val="bottom"/>
          </w:tcPr>
          <w:p>
            <w:pPr>
              <w:ind w:left="140"/>
              <w:spacing w:after="0"/>
              <w:rPr>
                <w:sz w:val="20"/>
                <w:szCs w:val="20"/>
                <w:color w:val="auto"/>
              </w:rPr>
            </w:pPr>
            <w:r>
              <w:rPr>
                <w:rFonts w:ascii="Arial" w:cs="Arial" w:eastAsia="Arial" w:hAnsi="Arial"/>
                <w:sz w:val="14"/>
                <w:szCs w:val="14"/>
                <w:color w:val="auto"/>
              </w:rPr>
              <w:t>Part I. Financial Information</w:t>
            </w:r>
          </w:p>
        </w:tc>
        <w:tc>
          <w:tcPr>
            <w:tcW w:w="2560" w:type="dxa"/>
            <w:vAlign w:val="bottom"/>
          </w:tcPr>
          <w:p>
            <w:pPr>
              <w:spacing w:after="0"/>
              <w:rPr>
                <w:sz w:val="24"/>
                <w:szCs w:val="24"/>
                <w:color w:val="auto"/>
              </w:rPr>
            </w:pPr>
          </w:p>
        </w:tc>
      </w:tr>
      <w:tr>
        <w:trPr>
          <w:trHeight w:val="212"/>
        </w:trPr>
        <w:tc>
          <w:tcPr>
            <w:tcW w:w="8720" w:type="dxa"/>
            <w:vAlign w:val="bottom"/>
          </w:tcPr>
          <w:p>
            <w:pPr>
              <w:ind w:left="220"/>
              <w:spacing w:after="0"/>
              <w:rPr>
                <w:sz w:val="20"/>
                <w:szCs w:val="20"/>
                <w:color w:val="auto"/>
              </w:rPr>
            </w:pPr>
            <w:r>
              <w:rPr>
                <w:rFonts w:ascii="Arial" w:cs="Arial" w:eastAsia="Arial" w:hAnsi="Arial"/>
                <w:sz w:val="14"/>
                <w:szCs w:val="14"/>
                <w:color w:val="auto"/>
              </w:rPr>
              <w:t>Item 1. Financial Statements</w:t>
            </w:r>
          </w:p>
        </w:tc>
        <w:tc>
          <w:tcPr>
            <w:tcW w:w="2560" w:type="dxa"/>
            <w:vAlign w:val="bottom"/>
          </w:tcPr>
          <w:p>
            <w:pPr>
              <w:spacing w:after="0"/>
              <w:rPr>
                <w:sz w:val="18"/>
                <w:szCs w:val="18"/>
                <w:color w:val="auto"/>
              </w:rPr>
            </w:pPr>
          </w:p>
        </w:tc>
      </w:tr>
      <w:tr>
        <w:trPr>
          <w:trHeight w:val="202"/>
        </w:trPr>
        <w:tc>
          <w:tcPr>
            <w:tcW w:w="8720" w:type="dxa"/>
            <w:vAlign w:val="bottom"/>
          </w:tcPr>
          <w:p>
            <w:pPr>
              <w:ind w:left="32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Forward-Looking Information</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4</w:t>
              </w:r>
            </w:hyperlink>
          </w:p>
        </w:tc>
      </w:tr>
      <w:tr>
        <w:trPr>
          <w:trHeight w:val="180"/>
        </w:trPr>
        <w:tc>
          <w:tcPr>
            <w:tcW w:w="8720" w:type="dxa"/>
            <w:vAlign w:val="bottom"/>
          </w:tcPr>
          <w:p>
            <w:pPr>
              <w:ind w:left="32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Consolidated Balance Sheets - Unaudited</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5</w:t>
              </w:r>
            </w:hyperlink>
          </w:p>
        </w:tc>
      </w:tr>
      <w:tr>
        <w:trPr>
          <w:trHeight w:val="180"/>
        </w:trPr>
        <w:tc>
          <w:tcPr>
            <w:tcW w:w="8720" w:type="dxa"/>
            <w:vAlign w:val="bottom"/>
          </w:tcPr>
          <w:p>
            <w:pPr>
              <w:ind w:left="32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Consolidated Statements of Income - Unaudited</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6</w:t>
              </w:r>
            </w:hyperlink>
          </w:p>
        </w:tc>
      </w:tr>
      <w:tr>
        <w:trPr>
          <w:trHeight w:val="180"/>
        </w:trPr>
        <w:tc>
          <w:tcPr>
            <w:tcW w:w="8720" w:type="dxa"/>
            <w:vAlign w:val="bottom"/>
          </w:tcPr>
          <w:p>
            <w:pPr>
              <w:ind w:left="320"/>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Consolidated Statements of Other Comprehensive Income - Unaudited</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7</w:t>
              </w:r>
            </w:hyperlink>
          </w:p>
        </w:tc>
      </w:tr>
      <w:tr>
        <w:trPr>
          <w:trHeight w:val="180"/>
        </w:trPr>
        <w:tc>
          <w:tcPr>
            <w:tcW w:w="8720" w:type="dxa"/>
            <w:vAlign w:val="bottom"/>
          </w:tcPr>
          <w:p>
            <w:pPr>
              <w:ind w:left="320"/>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Consolidated Statements of Stockholders’ Equity - Unaudited</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8</w:t>
              </w:r>
            </w:hyperlink>
          </w:p>
        </w:tc>
      </w:tr>
      <w:tr>
        <w:trPr>
          <w:trHeight w:val="180"/>
        </w:trPr>
        <w:tc>
          <w:tcPr>
            <w:tcW w:w="8720" w:type="dxa"/>
            <w:vAlign w:val="bottom"/>
          </w:tcPr>
          <w:p>
            <w:pPr>
              <w:ind w:left="320"/>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Consolidated Statements of Cash Flows - Unaudited</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9</w:t>
              </w:r>
            </w:hyperlink>
          </w:p>
        </w:tc>
      </w:tr>
      <w:tr>
        <w:trPr>
          <w:trHeight w:val="191"/>
        </w:trPr>
        <w:tc>
          <w:tcPr>
            <w:tcW w:w="8720" w:type="dxa"/>
            <w:vAlign w:val="bottom"/>
          </w:tcPr>
          <w:p>
            <w:pPr>
              <w:ind w:left="300"/>
              <w:spacing w:after="0"/>
              <w:rPr>
                <w:sz w:val="20"/>
                <w:szCs w:val="20"/>
                <w:color w:val="auto"/>
              </w:rPr>
            </w:pPr>
            <w:r>
              <w:rPr>
                <w:rFonts w:ascii="Arial" w:cs="Arial" w:eastAsia="Arial" w:hAnsi="Arial"/>
                <w:sz w:val="14"/>
                <w:szCs w:val="14"/>
                <w:color w:val="auto"/>
              </w:rPr>
              <w:t>Notes to Consolidated Financial Statements (unaudited)</w:t>
            </w:r>
          </w:p>
        </w:tc>
        <w:tc>
          <w:tcPr>
            <w:tcW w:w="2560" w:type="dxa"/>
            <w:vAlign w:val="bottom"/>
          </w:tcPr>
          <w:p>
            <w:pPr>
              <w:spacing w:after="0"/>
              <w:rPr>
                <w:sz w:val="16"/>
                <w:szCs w:val="16"/>
                <w:color w:val="auto"/>
              </w:rPr>
            </w:pPr>
          </w:p>
        </w:tc>
      </w:tr>
      <w:tr>
        <w:trPr>
          <w:trHeight w:val="202"/>
        </w:trPr>
        <w:tc>
          <w:tcPr>
            <w:tcW w:w="8720" w:type="dxa"/>
            <w:vAlign w:val="bottom"/>
          </w:tcPr>
          <w:p>
            <w:pPr>
              <w:ind w:left="400"/>
              <w:spacing w:after="0"/>
              <w:rPr>
                <w:rFonts w:ascii="Arial" w:cs="Arial" w:eastAsia="Arial" w:hAnsi="Arial"/>
                <w:sz w:val="14"/>
                <w:szCs w:val="14"/>
                <w:u w:val="single" w:color="auto"/>
                <w:color w:val="0000FF"/>
              </w:rPr>
            </w:pPr>
            <w:hyperlink w:anchor="page10">
              <w:r>
                <w:rPr>
                  <w:rFonts w:ascii="Arial" w:cs="Arial" w:eastAsia="Arial" w:hAnsi="Arial"/>
                  <w:sz w:val="14"/>
                  <w:szCs w:val="14"/>
                  <w:u w:val="single" w:color="auto"/>
                  <w:color w:val="0000FF"/>
                </w:rPr>
                <w:t>Note 1: Nature of Operations and Summary of Significant Accounting Policies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10">
              <w:r>
                <w:rPr>
                  <w:rFonts w:ascii="Arial" w:cs="Arial" w:eastAsia="Arial" w:hAnsi="Arial"/>
                  <w:sz w:val="14"/>
                  <w:szCs w:val="14"/>
                  <w:u w:val="single" w:color="auto"/>
                  <w:color w:val="0000FF"/>
                </w:rPr>
                <w:t>11</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15">
              <w:r>
                <w:rPr>
                  <w:rFonts w:ascii="Arial" w:cs="Arial" w:eastAsia="Arial" w:hAnsi="Arial"/>
                  <w:sz w:val="14"/>
                  <w:szCs w:val="14"/>
                  <w:u w:val="single" w:color="auto"/>
                  <w:color w:val="0000FF"/>
                </w:rPr>
                <w:t>Note 2: Earnings Per Share</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15">
              <w:r>
                <w:rPr>
                  <w:rFonts w:ascii="Arial" w:cs="Arial" w:eastAsia="Arial" w:hAnsi="Arial"/>
                  <w:sz w:val="14"/>
                  <w:szCs w:val="14"/>
                  <w:u w:val="single" w:color="auto"/>
                  <w:color w:val="0000FF"/>
                </w:rPr>
                <w:t>16</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16">
              <w:r>
                <w:rPr>
                  <w:rFonts w:ascii="Arial" w:cs="Arial" w:eastAsia="Arial" w:hAnsi="Arial"/>
                  <w:sz w:val="14"/>
                  <w:szCs w:val="14"/>
                  <w:u w:val="single" w:color="auto"/>
                  <w:color w:val="0000FF"/>
                </w:rPr>
                <w:t>Note 3: Securities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16">
              <w:r>
                <w:rPr>
                  <w:rFonts w:ascii="Arial" w:cs="Arial" w:eastAsia="Arial" w:hAnsi="Arial"/>
                  <w:sz w:val="14"/>
                  <w:szCs w:val="14"/>
                  <w:u w:val="single" w:color="auto"/>
                  <w:color w:val="0000FF"/>
                </w:rPr>
                <w:t>17</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20">
              <w:r>
                <w:rPr>
                  <w:rFonts w:ascii="Arial" w:cs="Arial" w:eastAsia="Arial" w:hAnsi="Arial"/>
                  <w:sz w:val="14"/>
                  <w:szCs w:val="14"/>
                  <w:u w:val="single" w:color="auto"/>
                  <w:color w:val="0000FF"/>
                </w:rPr>
                <w:t>Note 4: Loans and Allowance for Loan Losses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20">
              <w:r>
                <w:rPr>
                  <w:rFonts w:ascii="Arial" w:cs="Arial" w:eastAsia="Arial" w:hAnsi="Arial"/>
                  <w:sz w:val="14"/>
                  <w:szCs w:val="14"/>
                  <w:u w:val="single" w:color="auto"/>
                  <w:color w:val="0000FF"/>
                </w:rPr>
                <w:t>20</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Note 5: Derivatives and Hedging</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28</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Note 6: Time Deposits and Borrowings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30</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Note 7: Change in Accumulated Other Comprehensive Income (“AOCI”)</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30</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Note 8: Regulatory Matters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30</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31">
              <w:r>
                <w:rPr>
                  <w:rFonts w:ascii="Arial" w:cs="Arial" w:eastAsia="Arial" w:hAnsi="Arial"/>
                  <w:sz w:val="14"/>
                  <w:szCs w:val="14"/>
                  <w:u w:val="single" w:color="auto"/>
                  <w:color w:val="0000FF"/>
                </w:rPr>
                <w:t>Note 9: Stock-Based Compensation</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1">
              <w:r>
                <w:rPr>
                  <w:rFonts w:ascii="Arial" w:cs="Arial" w:eastAsia="Arial" w:hAnsi="Arial"/>
                  <w:sz w:val="14"/>
                  <w:szCs w:val="14"/>
                  <w:u w:val="single" w:color="auto"/>
                  <w:color w:val="0000FF"/>
                </w:rPr>
                <w:t>32</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33">
              <w:r>
                <w:rPr>
                  <w:rFonts w:ascii="Arial" w:cs="Arial" w:eastAsia="Arial" w:hAnsi="Arial"/>
                  <w:sz w:val="14"/>
                  <w:szCs w:val="14"/>
                  <w:u w:val="single" w:color="auto"/>
                  <w:color w:val="0000FF"/>
                </w:rPr>
                <w:t>Note 10: Income Tax</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3">
              <w:r>
                <w:rPr>
                  <w:rFonts w:ascii="Arial" w:cs="Arial" w:eastAsia="Arial" w:hAnsi="Arial"/>
                  <w:sz w:val="14"/>
                  <w:szCs w:val="14"/>
                  <w:u w:val="single" w:color="auto"/>
                  <w:color w:val="0000FF"/>
                </w:rPr>
                <w:t>33</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34">
              <w:r>
                <w:rPr>
                  <w:rFonts w:ascii="Arial" w:cs="Arial" w:eastAsia="Arial" w:hAnsi="Arial"/>
                  <w:sz w:val="14"/>
                  <w:szCs w:val="14"/>
                  <w:u w:val="single" w:color="auto"/>
                  <w:color w:val="0000FF"/>
                </w:rPr>
                <w:t>Note 11: Disclosures about Fair Value of Financial Instruments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4">
              <w:r>
                <w:rPr>
                  <w:rFonts w:ascii="Arial" w:cs="Arial" w:eastAsia="Arial" w:hAnsi="Arial"/>
                  <w:sz w:val="14"/>
                  <w:szCs w:val="14"/>
                  <w:u w:val="single" w:color="auto"/>
                  <w:color w:val="0000FF"/>
                </w:rPr>
                <w:t>34</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Note 12: Commitments and Credit Risk</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38</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Note 13: Legal and Regulatory Proceedings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39</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Note 14: Subsequent Events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39</w:t>
              </w:r>
            </w:hyperlink>
          </w:p>
        </w:tc>
      </w:tr>
      <w:tr>
        <w:trPr>
          <w:trHeight w:val="212"/>
        </w:trPr>
        <w:tc>
          <w:tcPr>
            <w:tcW w:w="8720" w:type="dxa"/>
            <w:vAlign w:val="bottom"/>
          </w:tcPr>
          <w:p>
            <w:pPr>
              <w:ind w:left="2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2560" w:type="dxa"/>
            <w:vAlign w:val="bottom"/>
          </w:tcPr>
          <w:p>
            <w:pPr>
              <w:ind w:left="2000"/>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40</w:t>
              </w:r>
            </w:hyperlink>
          </w:p>
        </w:tc>
      </w:tr>
      <w:tr>
        <w:trPr>
          <w:trHeight w:val="180"/>
        </w:trPr>
        <w:tc>
          <w:tcPr>
            <w:tcW w:w="8720" w:type="dxa"/>
            <w:vAlign w:val="bottom"/>
          </w:tcPr>
          <w:p>
            <w:pPr>
              <w:ind w:left="300"/>
              <w:spacing w:after="0"/>
              <w:rPr>
                <w:rFonts w:ascii="Arial" w:cs="Arial" w:eastAsia="Arial" w:hAnsi="Arial"/>
                <w:sz w:val="14"/>
                <w:szCs w:val="14"/>
                <w:u w:val="single" w:color="auto"/>
                <w:color w:val="0000FF"/>
              </w:rPr>
            </w:pPr>
            <w:hyperlink w:anchor="page40">
              <w:r>
                <w:rPr>
                  <w:rFonts w:ascii="Arial" w:cs="Arial" w:eastAsia="Arial" w:hAnsi="Arial"/>
                  <w:sz w:val="14"/>
                  <w:szCs w:val="14"/>
                  <w:u w:val="single" w:color="auto"/>
                  <w:color w:val="0000FF"/>
                </w:rPr>
                <w:t>First Quarter 2020 Highlights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40">
              <w:r>
                <w:rPr>
                  <w:rFonts w:ascii="Arial" w:cs="Arial" w:eastAsia="Arial" w:hAnsi="Arial"/>
                  <w:sz w:val="14"/>
                  <w:szCs w:val="14"/>
                  <w:u w:val="single" w:color="auto"/>
                  <w:color w:val="0000FF"/>
                </w:rPr>
                <w:t>40</w:t>
              </w:r>
            </w:hyperlink>
          </w:p>
        </w:tc>
      </w:tr>
      <w:tr>
        <w:trPr>
          <w:trHeight w:val="180"/>
        </w:trPr>
        <w:tc>
          <w:tcPr>
            <w:tcW w:w="8720" w:type="dxa"/>
            <w:vAlign w:val="bottom"/>
          </w:tcPr>
          <w:p>
            <w:pPr>
              <w:ind w:left="300"/>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Selected Financial Data (unaudited)</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45</w:t>
              </w:r>
            </w:hyperlink>
          </w:p>
        </w:tc>
      </w:tr>
      <w:tr>
        <w:trPr>
          <w:trHeight w:val="180"/>
        </w:trPr>
        <w:tc>
          <w:tcPr>
            <w:tcW w:w="8720" w:type="dxa"/>
            <w:vAlign w:val="bottom"/>
          </w:tcPr>
          <w:p>
            <w:pPr>
              <w:ind w:left="300"/>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Results of Operations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46</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Summary</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46</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Net Interest Income</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47</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49">
              <w:r>
                <w:rPr>
                  <w:rFonts w:ascii="Arial" w:cs="Arial" w:eastAsia="Arial" w:hAnsi="Arial"/>
                  <w:sz w:val="14"/>
                  <w:szCs w:val="14"/>
                  <w:u w:val="single" w:color="auto"/>
                  <w:color w:val="0000FF"/>
                </w:rPr>
                <w:t>Provision for Loan Losses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49">
              <w:r>
                <w:rPr>
                  <w:rFonts w:ascii="Arial" w:cs="Arial" w:eastAsia="Arial" w:hAnsi="Arial"/>
                  <w:sz w:val="14"/>
                  <w:szCs w:val="14"/>
                  <w:u w:val="single" w:color="auto"/>
                  <w:color w:val="0000FF"/>
                </w:rPr>
                <w:t>49</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49">
              <w:r>
                <w:rPr>
                  <w:rFonts w:ascii="Arial" w:cs="Arial" w:eastAsia="Arial" w:hAnsi="Arial"/>
                  <w:sz w:val="14"/>
                  <w:szCs w:val="14"/>
                  <w:u w:val="single" w:color="auto"/>
                  <w:color w:val="0000FF"/>
                </w:rPr>
                <w:t>Non-Interest Income</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49">
              <w:r>
                <w:rPr>
                  <w:rFonts w:ascii="Arial" w:cs="Arial" w:eastAsia="Arial" w:hAnsi="Arial"/>
                  <w:sz w:val="14"/>
                  <w:szCs w:val="14"/>
                  <w:u w:val="single" w:color="auto"/>
                  <w:color w:val="0000FF"/>
                </w:rPr>
                <w:t>49</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Non-Interest Expense</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50</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Income Taxes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51</w:t>
              </w:r>
            </w:hyperlink>
          </w:p>
        </w:tc>
      </w:tr>
      <w:tr>
        <w:trPr>
          <w:trHeight w:val="180"/>
        </w:trPr>
        <w:tc>
          <w:tcPr>
            <w:tcW w:w="8720" w:type="dxa"/>
            <w:vAlign w:val="bottom"/>
          </w:tcPr>
          <w:p>
            <w:pPr>
              <w:ind w:left="30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Analysis of Financial Condition</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51</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Balance Sheet Summary</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51</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Security Portfolio</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52</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Loans Portfolio</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52</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Allowance for Loan Losses (‘‘ALLL’’)</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53</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55">
              <w:r>
                <w:rPr>
                  <w:rFonts w:ascii="Arial" w:cs="Arial" w:eastAsia="Arial" w:hAnsi="Arial"/>
                  <w:sz w:val="14"/>
                  <w:szCs w:val="14"/>
                  <w:u w:val="single" w:color="auto"/>
                  <w:color w:val="0000FF"/>
                </w:rPr>
                <w:t>Nonperforming Assets and Other Asset Quality Metrics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5">
              <w:r>
                <w:rPr>
                  <w:rFonts w:ascii="Arial" w:cs="Arial" w:eastAsia="Arial" w:hAnsi="Arial"/>
                  <w:sz w:val="14"/>
                  <w:szCs w:val="14"/>
                  <w:u w:val="single" w:color="auto"/>
                  <w:color w:val="0000FF"/>
                </w:rPr>
                <w:t>55</w:t>
              </w:r>
            </w:hyperlink>
          </w:p>
        </w:tc>
      </w:tr>
      <w:tr>
        <w:trPr>
          <w:trHeight w:val="180"/>
        </w:trPr>
        <w:tc>
          <w:tcPr>
            <w:tcW w:w="8720" w:type="dxa"/>
            <w:vAlign w:val="bottom"/>
          </w:tcPr>
          <w:p>
            <w:pPr>
              <w:ind w:left="400"/>
              <w:spacing w:after="0"/>
              <w:rPr>
                <w:rFonts w:ascii="Arial" w:cs="Arial" w:eastAsia="Arial" w:hAnsi="Arial"/>
                <w:sz w:val="14"/>
                <w:szCs w:val="14"/>
                <w:u w:val="single" w:color="auto"/>
                <w:color w:val="0000FF"/>
              </w:rPr>
            </w:pPr>
            <w:hyperlink w:anchor="page56">
              <w:r>
                <w:rPr>
                  <w:rFonts w:ascii="Arial" w:cs="Arial" w:eastAsia="Arial" w:hAnsi="Arial"/>
                  <w:sz w:val="14"/>
                  <w:szCs w:val="14"/>
                  <w:u w:val="single" w:color="auto"/>
                  <w:color w:val="0000FF"/>
                </w:rPr>
                <w:t>Deposits and Other Borrowings</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6">
              <w:r>
                <w:rPr>
                  <w:rFonts w:ascii="Arial" w:cs="Arial" w:eastAsia="Arial" w:hAnsi="Arial"/>
                  <w:sz w:val="14"/>
                  <w:szCs w:val="14"/>
                  <w:u w:val="single" w:color="auto"/>
                  <w:color w:val="0000FF"/>
                </w:rPr>
                <w:t>56</w:t>
              </w:r>
            </w:hyperlink>
          </w:p>
        </w:tc>
      </w:tr>
      <w:tr>
        <w:trPr>
          <w:trHeight w:val="180"/>
        </w:trPr>
        <w:tc>
          <w:tcPr>
            <w:tcW w:w="8720" w:type="dxa"/>
            <w:vAlign w:val="bottom"/>
          </w:tcPr>
          <w:p>
            <w:pPr>
              <w:ind w:left="300"/>
              <w:spacing w:after="0"/>
              <w:rPr>
                <w:rFonts w:ascii="Arial" w:cs="Arial" w:eastAsia="Arial" w:hAnsi="Arial"/>
                <w:sz w:val="14"/>
                <w:szCs w:val="14"/>
                <w:u w:val="single" w:color="auto"/>
                <w:color w:val="0000FF"/>
              </w:rPr>
            </w:pPr>
            <w:hyperlink w:anchor="page56">
              <w:r>
                <w:rPr>
                  <w:rFonts w:ascii="Arial" w:cs="Arial" w:eastAsia="Arial" w:hAnsi="Arial"/>
                  <w:sz w:val="14"/>
                  <w:szCs w:val="14"/>
                  <w:u w:val="single" w:color="auto"/>
                  <w:color w:val="0000FF"/>
                </w:rPr>
                <w:t>Liquidity</w:t>
              </w:r>
            </w:hyperlink>
          </w:p>
        </w:tc>
        <w:tc>
          <w:tcPr>
            <w:tcW w:w="2560" w:type="dxa"/>
            <w:vAlign w:val="bottom"/>
          </w:tcPr>
          <w:p>
            <w:pPr>
              <w:ind w:left="2000"/>
              <w:spacing w:after="0"/>
              <w:rPr>
                <w:rFonts w:ascii="Arial" w:cs="Arial" w:eastAsia="Arial" w:hAnsi="Arial"/>
                <w:sz w:val="14"/>
                <w:szCs w:val="14"/>
                <w:u w:val="single" w:color="auto"/>
                <w:color w:val="0000FF"/>
              </w:rPr>
            </w:pPr>
            <w:hyperlink w:anchor="page56">
              <w:r>
                <w:rPr>
                  <w:rFonts w:ascii="Arial" w:cs="Arial" w:eastAsia="Arial" w:hAnsi="Arial"/>
                  <w:sz w:val="14"/>
                  <w:szCs w:val="14"/>
                  <w:u w:val="single" w:color="auto"/>
                  <w:color w:val="0000FF"/>
                </w:rPr>
                <w:t>56</w:t>
              </w:r>
            </w:hyperlink>
          </w:p>
        </w:tc>
      </w:tr>
      <w:tr>
        <w:trPr>
          <w:trHeight w:val="764"/>
        </w:trPr>
        <w:tc>
          <w:tcPr>
            <w:tcW w:w="8720" w:type="dxa"/>
            <w:vAlign w:val="bottom"/>
          </w:tcPr>
          <w:p>
            <w:pPr>
              <w:jc w:val="center"/>
              <w:ind w:left="2488"/>
              <w:spacing w:after="0"/>
              <w:rPr>
                <w:sz w:val="20"/>
                <w:szCs w:val="20"/>
                <w:color w:val="auto"/>
              </w:rPr>
            </w:pPr>
            <w:r>
              <w:rPr>
                <w:rFonts w:ascii="Arial" w:cs="Arial" w:eastAsia="Arial" w:hAnsi="Arial"/>
                <w:sz w:val="14"/>
                <w:szCs w:val="14"/>
                <w:color w:val="auto"/>
              </w:rPr>
              <w:t>2</w:t>
            </w:r>
          </w:p>
        </w:tc>
        <w:tc>
          <w:tcPr>
            <w:tcW w:w="2560" w:type="dxa"/>
            <w:vAlign w:val="bottom"/>
          </w:tcPr>
          <w:p>
            <w:pPr>
              <w:spacing w:after="0"/>
              <w:rPr>
                <w:sz w:val="24"/>
                <w:szCs w:val="24"/>
                <w:color w:val="auto"/>
              </w:rPr>
            </w:pPr>
          </w:p>
        </w:tc>
      </w:tr>
      <w:tr>
        <w:trPr>
          <w:trHeight w:val="87"/>
        </w:trPr>
        <w:tc>
          <w:tcPr>
            <w:tcW w:w="872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7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0"/>
        </w:trPr>
        <w:tc>
          <w:tcPr>
            <w:tcW w:w="7860" w:type="dxa"/>
            <w:vAlign w:val="bottom"/>
            <w:gridSpan w:val="2"/>
          </w:tcPr>
          <w:p>
            <w:pPr>
              <w:ind w:left="160"/>
              <w:spacing w:after="0"/>
              <w:rPr>
                <w:rFonts w:ascii="Arial" w:cs="Arial" w:eastAsia="Arial" w:hAnsi="Arial"/>
                <w:sz w:val="14"/>
                <w:szCs w:val="14"/>
                <w:u w:val="single" w:color="auto"/>
                <w:color w:val="0000FF"/>
              </w:rPr>
            </w:pPr>
            <w:hyperlink w:anchor="page57">
              <w:r>
                <w:rPr>
                  <w:rFonts w:ascii="Arial" w:cs="Arial" w:eastAsia="Arial" w:hAnsi="Arial"/>
                  <w:sz w:val="14"/>
                  <w:szCs w:val="14"/>
                  <w:u w:val="single" w:color="auto"/>
                  <w:color w:val="0000FF"/>
                </w:rPr>
                <w:t>Contractual Obligations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57">
              <w:r>
                <w:rPr>
                  <w:rFonts w:ascii="Arial" w:cs="Arial" w:eastAsia="Arial" w:hAnsi="Arial"/>
                  <w:sz w:val="14"/>
                  <w:szCs w:val="14"/>
                  <w:u w:val="single" w:color="auto"/>
                  <w:color w:val="0000FF"/>
                </w:rPr>
                <w:t>57</w:t>
              </w:r>
            </w:hyperlink>
          </w:p>
        </w:tc>
      </w:tr>
      <w:tr>
        <w:trPr>
          <w:trHeight w:val="180"/>
        </w:trPr>
        <w:tc>
          <w:tcPr>
            <w:tcW w:w="7860" w:type="dxa"/>
            <w:vAlign w:val="bottom"/>
            <w:gridSpan w:val="2"/>
          </w:tcPr>
          <w:p>
            <w:pPr>
              <w:ind w:left="160"/>
              <w:spacing w:after="0"/>
              <w:rPr>
                <w:rFonts w:ascii="Arial" w:cs="Arial" w:eastAsia="Arial" w:hAnsi="Arial"/>
                <w:sz w:val="14"/>
                <w:szCs w:val="14"/>
                <w:u w:val="single" w:color="auto"/>
                <w:color w:val="0000FF"/>
              </w:rPr>
            </w:pPr>
            <w:hyperlink w:anchor="page57">
              <w:r>
                <w:rPr>
                  <w:rFonts w:ascii="Arial" w:cs="Arial" w:eastAsia="Arial" w:hAnsi="Arial"/>
                  <w:sz w:val="14"/>
                  <w:szCs w:val="14"/>
                  <w:u w:val="single" w:color="auto"/>
                  <w:color w:val="0000FF"/>
                </w:rPr>
                <w:t>Capital Resources and Off-Balance Sheet Arrangements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57">
              <w:r>
                <w:rPr>
                  <w:rFonts w:ascii="Arial" w:cs="Arial" w:eastAsia="Arial" w:hAnsi="Arial"/>
                  <w:sz w:val="14"/>
                  <w:szCs w:val="14"/>
                  <w:u w:val="single" w:color="auto"/>
                  <w:color w:val="0000FF"/>
                </w:rPr>
                <w:t>57</w:t>
              </w:r>
            </w:hyperlink>
          </w:p>
        </w:tc>
      </w:tr>
      <w:tr>
        <w:trPr>
          <w:trHeight w:val="180"/>
        </w:trPr>
        <w:tc>
          <w:tcPr>
            <w:tcW w:w="7860" w:type="dxa"/>
            <w:vAlign w:val="bottom"/>
            <w:gridSpan w:val="2"/>
          </w:tcPr>
          <w:p>
            <w:pPr>
              <w:ind w:left="160"/>
              <w:spacing w:after="0"/>
              <w:rPr>
                <w:rFonts w:ascii="Arial" w:cs="Arial" w:eastAsia="Arial" w:hAnsi="Arial"/>
                <w:sz w:val="14"/>
                <w:szCs w:val="14"/>
                <w:u w:val="single" w:color="auto"/>
                <w:color w:val="0000FF"/>
              </w:rPr>
            </w:pPr>
            <w:hyperlink w:anchor="page58">
              <w:r>
                <w:rPr>
                  <w:rFonts w:ascii="Arial" w:cs="Arial" w:eastAsia="Arial" w:hAnsi="Arial"/>
                  <w:sz w:val="14"/>
                  <w:szCs w:val="14"/>
                  <w:u w:val="single" w:color="auto"/>
                  <w:color w:val="0000FF"/>
                </w:rPr>
                <w:t>Critical Accounting Policies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58">
              <w:r>
                <w:rPr>
                  <w:rFonts w:ascii="Arial" w:cs="Arial" w:eastAsia="Arial" w:hAnsi="Arial"/>
                  <w:sz w:val="14"/>
                  <w:szCs w:val="14"/>
                  <w:u w:val="single" w:color="auto"/>
                  <w:color w:val="0000FF"/>
                </w:rPr>
                <w:t>58</w:t>
              </w:r>
            </w:hyperlink>
          </w:p>
        </w:tc>
      </w:tr>
      <w:tr>
        <w:trPr>
          <w:trHeight w:val="180"/>
        </w:trPr>
        <w:tc>
          <w:tcPr>
            <w:tcW w:w="7860" w:type="dxa"/>
            <w:vAlign w:val="bottom"/>
            <w:gridSpan w:val="2"/>
          </w:tcPr>
          <w:p>
            <w:pPr>
              <w:ind w:left="160"/>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GAAP Reconciliation and Management Explanation of Non-GAAP Financial Measures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59</w:t>
              </w:r>
            </w:hyperlink>
          </w:p>
        </w:tc>
      </w:tr>
      <w:tr>
        <w:trPr>
          <w:trHeight w:val="180"/>
        </w:trPr>
        <w:tc>
          <w:tcPr>
            <w:tcW w:w="7860" w:type="dxa"/>
            <w:vAlign w:val="bottom"/>
            <w:gridSpan w:val="2"/>
          </w:tcPr>
          <w:p>
            <w:pPr>
              <w:ind w:left="100"/>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Item 3. Quantitative and Qualitative Disclosures about Market Risk</w:t>
              </w:r>
            </w:hyperlink>
          </w:p>
        </w:tc>
        <w:tc>
          <w:tcPr>
            <w:tcW w:w="2860" w:type="dxa"/>
            <w:vAlign w:val="bottom"/>
          </w:tcPr>
          <w:p>
            <w:pPr>
              <w:jc w:val="right"/>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62</w:t>
              </w:r>
            </w:hyperlink>
          </w:p>
        </w:tc>
      </w:tr>
      <w:tr>
        <w:trPr>
          <w:trHeight w:val="180"/>
        </w:trPr>
        <w:tc>
          <w:tcPr>
            <w:tcW w:w="7860" w:type="dxa"/>
            <w:vAlign w:val="bottom"/>
            <w:gridSpan w:val="2"/>
          </w:tcPr>
          <w:p>
            <w:pPr>
              <w:ind w:left="10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Item 4. Controls and Procedures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63</w:t>
              </w:r>
            </w:hyperlink>
          </w:p>
        </w:tc>
      </w:tr>
      <w:tr>
        <w:trPr>
          <w:trHeight w:val="233"/>
        </w:trPr>
        <w:tc>
          <w:tcPr>
            <w:tcW w:w="7860" w:type="dxa"/>
            <w:vAlign w:val="bottom"/>
            <w:gridSpan w:val="2"/>
          </w:tcPr>
          <w:p>
            <w:pPr>
              <w:spacing w:after="0"/>
              <w:rPr>
                <w:sz w:val="20"/>
                <w:szCs w:val="20"/>
                <w:color w:val="auto"/>
              </w:rPr>
            </w:pPr>
            <w:r>
              <w:rPr>
                <w:rFonts w:ascii="Arial" w:cs="Arial" w:eastAsia="Arial" w:hAnsi="Arial"/>
                <w:sz w:val="14"/>
                <w:szCs w:val="14"/>
                <w:color w:val="auto"/>
              </w:rPr>
              <w:t>Part II. Other Information</w:t>
            </w:r>
          </w:p>
        </w:tc>
        <w:tc>
          <w:tcPr>
            <w:tcW w:w="2860" w:type="dxa"/>
            <w:vAlign w:val="bottom"/>
          </w:tcPr>
          <w:p>
            <w:pPr>
              <w:spacing w:after="0"/>
              <w:rPr>
                <w:sz w:val="20"/>
                <w:szCs w:val="20"/>
                <w:color w:val="auto"/>
              </w:rPr>
            </w:pPr>
          </w:p>
        </w:tc>
      </w:tr>
      <w:tr>
        <w:trPr>
          <w:trHeight w:val="202"/>
        </w:trPr>
        <w:tc>
          <w:tcPr>
            <w:tcW w:w="7860" w:type="dxa"/>
            <w:vAlign w:val="bottom"/>
            <w:gridSpan w:val="2"/>
          </w:tcPr>
          <w:p>
            <w:pPr>
              <w:ind w:left="10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Item 1. Legal Proceedings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63</w:t>
              </w:r>
            </w:hyperlink>
          </w:p>
        </w:tc>
      </w:tr>
      <w:tr>
        <w:trPr>
          <w:trHeight w:val="180"/>
        </w:trPr>
        <w:tc>
          <w:tcPr>
            <w:tcW w:w="7860" w:type="dxa"/>
            <w:vAlign w:val="bottom"/>
            <w:gridSpan w:val="2"/>
          </w:tcPr>
          <w:p>
            <w:pPr>
              <w:ind w:left="10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Item 1A. Risk Factors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63</w:t>
              </w:r>
            </w:hyperlink>
          </w:p>
        </w:tc>
      </w:tr>
      <w:tr>
        <w:trPr>
          <w:trHeight w:val="180"/>
        </w:trPr>
        <w:tc>
          <w:tcPr>
            <w:tcW w:w="7860" w:type="dxa"/>
            <w:vAlign w:val="bottom"/>
            <w:gridSpan w:val="2"/>
          </w:tcPr>
          <w:p>
            <w:pPr>
              <w:ind w:left="100"/>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Item 2. Unregistered Sales of Equity Securities and Use of Proceeds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64</w:t>
              </w:r>
            </w:hyperlink>
          </w:p>
        </w:tc>
      </w:tr>
      <w:tr>
        <w:trPr>
          <w:trHeight w:val="180"/>
        </w:trPr>
        <w:tc>
          <w:tcPr>
            <w:tcW w:w="500" w:type="dxa"/>
            <w:vAlign w:val="bottom"/>
          </w:tcPr>
          <w:p>
            <w:pPr>
              <w:ind w:left="100"/>
              <w:spacing w:after="0"/>
              <w:rPr>
                <w:rFonts w:ascii="Arial" w:cs="Arial" w:eastAsia="Arial" w:hAnsi="Arial"/>
                <w:sz w:val="14"/>
                <w:szCs w:val="14"/>
                <w:u w:val="single" w:color="auto"/>
                <w:color w:val="0000FF"/>
                <w:w w:val="88"/>
              </w:rPr>
            </w:pPr>
            <w:hyperlink w:anchor="page64">
              <w:r>
                <w:rPr>
                  <w:rFonts w:ascii="Arial" w:cs="Arial" w:eastAsia="Arial" w:hAnsi="Arial"/>
                  <w:sz w:val="14"/>
                  <w:szCs w:val="14"/>
                  <w:u w:val="single" w:color="auto"/>
                  <w:color w:val="0000FF"/>
                  <w:w w:val="88"/>
                </w:rPr>
                <w:t>Item 3.</w:t>
              </w:r>
            </w:hyperlink>
          </w:p>
        </w:tc>
        <w:tc>
          <w:tcPr>
            <w:tcW w:w="7360" w:type="dxa"/>
            <w:vAlign w:val="bottom"/>
          </w:tcPr>
          <w:p>
            <w:pPr>
              <w:ind w:left="20"/>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Defaults Upon Senior Securities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64</w:t>
              </w:r>
            </w:hyperlink>
          </w:p>
        </w:tc>
      </w:tr>
      <w:tr>
        <w:trPr>
          <w:trHeight w:val="180"/>
        </w:trPr>
        <w:tc>
          <w:tcPr>
            <w:tcW w:w="500" w:type="dxa"/>
            <w:vAlign w:val="bottom"/>
          </w:tcPr>
          <w:p>
            <w:pPr>
              <w:ind w:left="100"/>
              <w:spacing w:after="0"/>
              <w:rPr>
                <w:rFonts w:ascii="Arial" w:cs="Arial" w:eastAsia="Arial" w:hAnsi="Arial"/>
                <w:sz w:val="14"/>
                <w:szCs w:val="14"/>
                <w:u w:val="single" w:color="auto"/>
                <w:color w:val="0000FF"/>
                <w:w w:val="88"/>
              </w:rPr>
            </w:pPr>
            <w:hyperlink w:anchor="page64">
              <w:r>
                <w:rPr>
                  <w:rFonts w:ascii="Arial" w:cs="Arial" w:eastAsia="Arial" w:hAnsi="Arial"/>
                  <w:sz w:val="14"/>
                  <w:szCs w:val="14"/>
                  <w:u w:val="single" w:color="auto"/>
                  <w:color w:val="0000FF"/>
                  <w:w w:val="88"/>
                </w:rPr>
                <w:t>Item 4.</w:t>
              </w:r>
            </w:hyperlink>
          </w:p>
        </w:tc>
        <w:tc>
          <w:tcPr>
            <w:tcW w:w="7360" w:type="dxa"/>
            <w:vAlign w:val="bottom"/>
          </w:tcPr>
          <w:p>
            <w:pPr>
              <w:ind w:left="20"/>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Mine Safety Disclosures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64</w:t>
              </w:r>
            </w:hyperlink>
          </w:p>
        </w:tc>
      </w:tr>
      <w:tr>
        <w:trPr>
          <w:trHeight w:val="180"/>
        </w:trPr>
        <w:tc>
          <w:tcPr>
            <w:tcW w:w="500" w:type="dxa"/>
            <w:vAlign w:val="bottom"/>
          </w:tcPr>
          <w:p>
            <w:pPr>
              <w:ind w:left="100"/>
              <w:spacing w:after="0"/>
              <w:rPr>
                <w:rFonts w:ascii="Arial" w:cs="Arial" w:eastAsia="Arial" w:hAnsi="Arial"/>
                <w:sz w:val="14"/>
                <w:szCs w:val="14"/>
                <w:u w:val="single" w:color="auto"/>
                <w:color w:val="0000FF"/>
                <w:w w:val="88"/>
              </w:rPr>
            </w:pPr>
            <w:hyperlink w:anchor="page65">
              <w:r>
                <w:rPr>
                  <w:rFonts w:ascii="Arial" w:cs="Arial" w:eastAsia="Arial" w:hAnsi="Arial"/>
                  <w:sz w:val="14"/>
                  <w:szCs w:val="14"/>
                  <w:u w:val="single" w:color="auto"/>
                  <w:color w:val="0000FF"/>
                  <w:w w:val="88"/>
                </w:rPr>
                <w:t>Item 5.</w:t>
              </w:r>
            </w:hyperlink>
          </w:p>
        </w:tc>
        <w:tc>
          <w:tcPr>
            <w:tcW w:w="7360" w:type="dxa"/>
            <w:vAlign w:val="bottom"/>
          </w:tcPr>
          <w:p>
            <w:pPr>
              <w:ind w:left="20"/>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Other Information</w:t>
              </w:r>
            </w:hyperlink>
          </w:p>
        </w:tc>
        <w:tc>
          <w:tcPr>
            <w:tcW w:w="2860" w:type="dxa"/>
            <w:vAlign w:val="bottom"/>
          </w:tcPr>
          <w:p>
            <w:pPr>
              <w:jc w:val="right"/>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65</w:t>
              </w:r>
            </w:hyperlink>
          </w:p>
        </w:tc>
      </w:tr>
      <w:tr>
        <w:trPr>
          <w:trHeight w:val="180"/>
        </w:trPr>
        <w:tc>
          <w:tcPr>
            <w:tcW w:w="500" w:type="dxa"/>
            <w:vAlign w:val="bottom"/>
          </w:tcPr>
          <w:p>
            <w:pPr>
              <w:ind w:left="100"/>
              <w:spacing w:after="0"/>
              <w:rPr>
                <w:rFonts w:ascii="Arial" w:cs="Arial" w:eastAsia="Arial" w:hAnsi="Arial"/>
                <w:sz w:val="14"/>
                <w:szCs w:val="14"/>
                <w:u w:val="single" w:color="auto"/>
                <w:color w:val="0000FF"/>
                <w:w w:val="88"/>
              </w:rPr>
            </w:pPr>
            <w:hyperlink w:anchor="page65">
              <w:r>
                <w:rPr>
                  <w:rFonts w:ascii="Arial" w:cs="Arial" w:eastAsia="Arial" w:hAnsi="Arial"/>
                  <w:sz w:val="14"/>
                  <w:szCs w:val="14"/>
                  <w:u w:val="single" w:color="auto"/>
                  <w:color w:val="0000FF"/>
                  <w:w w:val="88"/>
                </w:rPr>
                <w:t>Item 6.</w:t>
              </w:r>
            </w:hyperlink>
          </w:p>
        </w:tc>
        <w:tc>
          <w:tcPr>
            <w:tcW w:w="7360" w:type="dxa"/>
            <w:vAlign w:val="bottom"/>
          </w:tcPr>
          <w:p>
            <w:pPr>
              <w:ind w:left="20"/>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Exhibits</w:t>
              </w:r>
            </w:hyperlink>
          </w:p>
        </w:tc>
        <w:tc>
          <w:tcPr>
            <w:tcW w:w="2860" w:type="dxa"/>
            <w:vAlign w:val="bottom"/>
          </w:tcPr>
          <w:p>
            <w:pPr>
              <w:jc w:val="right"/>
              <w:spacing w:after="0"/>
              <w:rPr>
                <w:rFonts w:ascii="Arial" w:cs="Arial" w:eastAsia="Arial" w:hAnsi="Arial"/>
                <w:sz w:val="14"/>
                <w:szCs w:val="14"/>
                <w:u w:val="single" w:color="auto"/>
                <w:color w:val="0000FF"/>
              </w:rPr>
            </w:pPr>
            <w:hyperlink w:anchor="page65">
              <w:r>
                <w:rPr>
                  <w:rFonts w:ascii="Arial" w:cs="Arial" w:eastAsia="Arial" w:hAnsi="Arial"/>
                  <w:sz w:val="14"/>
                  <w:szCs w:val="14"/>
                  <w:u w:val="single" w:color="auto"/>
                  <w:color w:val="0000FF"/>
                </w:rPr>
                <w:t>66</w:t>
              </w:r>
            </w:hyperlink>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66040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720"/>
          </w:cols>
          <w:pgMar w:left="440" w:top="797" w:right="7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Information</w:t>
      </w:r>
    </w:p>
    <w:p>
      <w:pPr>
        <w:spacing w:after="0" w:line="138" w:lineRule="exact"/>
        <w:rPr>
          <w:sz w:val="20"/>
          <w:szCs w:val="20"/>
          <w:color w:val="auto"/>
        </w:rPr>
      </w:pPr>
    </w:p>
    <w:p>
      <w:pPr>
        <w:ind w:left="140" w:right="140" w:firstLine="382"/>
        <w:spacing w:after="0" w:line="262" w:lineRule="auto"/>
        <w:rPr>
          <w:sz w:val="20"/>
          <w:szCs w:val="20"/>
          <w:color w:val="auto"/>
        </w:rPr>
      </w:pPr>
      <w:r>
        <w:rPr>
          <w:rFonts w:ascii="Arial" w:cs="Arial" w:eastAsia="Arial" w:hAnsi="Arial"/>
          <w:sz w:val="14"/>
          <w:szCs w:val="14"/>
          <w:color w:val="auto"/>
        </w:rPr>
        <w:t>This report may contain forward-looking statements that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103" w:lineRule="exact"/>
        <w:rPr>
          <w:sz w:val="20"/>
          <w:szCs w:val="20"/>
          <w:color w:val="auto"/>
        </w:rPr>
      </w:pPr>
    </w:p>
    <w:p>
      <w:pPr>
        <w:ind w:left="140" w:right="20" w:firstLine="382"/>
        <w:spacing w:after="0" w:line="256" w:lineRule="auto"/>
        <w:rPr>
          <w:sz w:val="20"/>
          <w:szCs w:val="20"/>
          <w:color w:val="auto"/>
        </w:rPr>
      </w:pPr>
      <w:r>
        <w:rPr>
          <w:rFonts w:ascii="Arial" w:cs="Arial" w:eastAsia="Arial" w:hAnsi="Arial"/>
          <w:sz w:val="14"/>
          <w:szCs w:val="14"/>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 Such possible events or factors include: risks associated with the current outbreak of the novel coronavirus, or COVID-19, changes in economic conditions in the Company’s market area, changes in policies by regulatory agencies, governmental legislation and regulation, fluctuations in interest rates, changes in liquidity requirements, demand for loans in the Company’s market area, changes in accounting and tax principles, estimates made on income taxes, competition with other entities that offer financial services, cybersecurity threats, and such other factors as discussed in our Annual Report on Form 10-K for the fiscal year ended December 31, 2019, filed with the Securities and Exchange Commission (“SEC”) on March 10, 2020, in this Quarterly Report on Form 10-Q, and in our other filings with the SEC.</w:t>
      </w:r>
    </w:p>
    <w:p>
      <w:pPr>
        <w:spacing w:after="0" w:line="110" w:lineRule="exact"/>
        <w:rPr>
          <w:sz w:val="20"/>
          <w:szCs w:val="20"/>
          <w:color w:val="auto"/>
        </w:rPr>
      </w:pPr>
    </w:p>
    <w:p>
      <w:pPr>
        <w:ind w:left="140" w:firstLine="382"/>
        <w:spacing w:after="0" w:line="281" w:lineRule="auto"/>
        <w:rPr>
          <w:sz w:val="20"/>
          <w:szCs w:val="20"/>
          <w:color w:val="auto"/>
        </w:rPr>
      </w:pPr>
      <w:r>
        <w:rPr>
          <w:rFonts w:ascii="Arial" w:cs="Arial" w:eastAsia="Arial" w:hAnsi="Arial"/>
          <w:sz w:val="14"/>
          <w:szCs w:val="14"/>
          <w:color w:val="auto"/>
        </w:rPr>
        <w:t>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PART I - FINANCIAL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1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March 31, 2020</w:t>
            </w:r>
          </w:p>
        </w:tc>
        <w:tc>
          <w:tcPr>
            <w:tcW w:w="260" w:type="dxa"/>
            <w:vAlign w:val="bottom"/>
          </w:tcPr>
          <w:p>
            <w:pPr>
              <w:spacing w:after="0"/>
              <w:rPr>
                <w:sz w:val="16"/>
                <w:szCs w:val="16"/>
                <w:color w:val="auto"/>
              </w:rPr>
            </w:pPr>
          </w:p>
        </w:tc>
        <w:tc>
          <w:tcPr>
            <w:tcW w:w="1740" w:type="dxa"/>
            <w:vAlign w:val="bottom"/>
          </w:tcPr>
          <w:p>
            <w:pPr>
              <w:jc w:val="right"/>
              <w:ind w:right="34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7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3"/>
                <w:szCs w:val="13"/>
                <w:color w:val="auto"/>
                <w:w w:val="91"/>
              </w:rPr>
              <w:t>(Unaudited)</w:t>
            </w: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gridSpan w:val="4"/>
          </w:tcPr>
          <w:p>
            <w:pPr>
              <w:jc w:val="right"/>
              <w:ind w:right="1409"/>
              <w:spacing w:after="0"/>
              <w:rPr>
                <w:sz w:val="20"/>
                <w:szCs w:val="20"/>
                <w:color w:val="auto"/>
              </w:rPr>
            </w:pPr>
            <w:r>
              <w:rPr>
                <w:rFonts w:ascii="Arial" w:cs="Arial" w:eastAsia="Arial" w:hAnsi="Arial"/>
                <w:sz w:val="13"/>
                <w:szCs w:val="13"/>
                <w:i w:val="1"/>
                <w:iCs w:val="1"/>
                <w:color w:val="auto"/>
              </w:rPr>
              <w:t>(Dollars in thousands)</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158,987</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187,320</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Available-for-sale securities - taxable</w:t>
            </w:r>
          </w:p>
        </w:tc>
        <w:tc>
          <w:tcPr>
            <w:tcW w:w="3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285,426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298,208</w:t>
            </w: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Available-for-sale securities - tax-exempt</w:t>
            </w:r>
          </w:p>
        </w:tc>
        <w:tc>
          <w:tcPr>
            <w:tcW w:w="30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449,805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443,426</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2"/>
              </w:rPr>
              <w:t>Loans, net of allowance for loan losses of $51,458 and $56,896 at March 31, 2020 and December 31, 2019, respectively</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3,950,993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3,795,348</w:t>
            </w: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Premises and equipment, net</w:t>
            </w:r>
          </w:p>
        </w:tc>
        <w:tc>
          <w:tcPr>
            <w:tcW w:w="30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68,817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70,210</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Restricted equity securities</w:t>
            </w:r>
          </w:p>
        </w:tc>
        <w:tc>
          <w:tcPr>
            <w:tcW w:w="3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18,539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17,278</w:t>
            </w: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Interest receivable</w:t>
            </w:r>
          </w:p>
        </w:tc>
        <w:tc>
          <w:tcPr>
            <w:tcW w:w="30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16,958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15,716</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Foreclosed assets held for sale</w:t>
            </w:r>
          </w:p>
        </w:tc>
        <w:tc>
          <w:tcPr>
            <w:tcW w:w="3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3,619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3,619</w:t>
            </w: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Deferred tax asset</w:t>
            </w:r>
          </w:p>
        </w:tc>
        <w:tc>
          <w:tcPr>
            <w:tcW w:w="30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8,914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13,782</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Goodwill and other intangible assets, net</w:t>
            </w:r>
          </w:p>
        </w:tc>
        <w:tc>
          <w:tcPr>
            <w:tcW w:w="3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7,669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Bank-owned life insurance</w:t>
            </w:r>
          </w:p>
        </w:tc>
        <w:tc>
          <w:tcPr>
            <w:tcW w:w="30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66,145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65,689</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31,535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12,943</w:t>
            </w:r>
          </w:p>
        </w:tc>
        <w:tc>
          <w:tcPr>
            <w:tcW w:w="0" w:type="dxa"/>
            <w:vAlign w:val="bottom"/>
          </w:tcPr>
          <w:p>
            <w:pPr>
              <w:spacing w:after="0"/>
              <w:rPr>
                <w:sz w:val="1"/>
                <w:szCs w:val="1"/>
                <w:color w:val="auto"/>
              </w:rPr>
            </w:pPr>
          </w:p>
        </w:tc>
      </w:tr>
      <w:tr>
        <w:trPr>
          <w:trHeight w:val="203"/>
        </w:trPr>
        <w:tc>
          <w:tcPr>
            <w:tcW w:w="704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5,067,407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4,931,233</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04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Deposits</w:t>
            </w: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Non-interest bearing</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567,215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521,826</w:t>
            </w:r>
          </w:p>
        </w:tc>
        <w:tc>
          <w:tcPr>
            <w:tcW w:w="0" w:type="dxa"/>
            <w:vAlign w:val="bottom"/>
          </w:tcPr>
          <w:p>
            <w:pPr>
              <w:spacing w:after="0"/>
              <w:rPr>
                <w:sz w:val="1"/>
                <w:szCs w:val="1"/>
                <w:color w:val="auto"/>
              </w:rPr>
            </w:pPr>
          </w:p>
        </w:tc>
      </w:tr>
      <w:tr>
        <w:trPr>
          <w:trHeight w:val="191"/>
        </w:trPr>
        <w:tc>
          <w:tcPr>
            <w:tcW w:w="7040" w:type="dxa"/>
            <w:vAlign w:val="bottom"/>
          </w:tcPr>
          <w:p>
            <w:pPr>
              <w:ind w:left="240"/>
              <w:spacing w:after="0"/>
              <w:rPr>
                <w:sz w:val="20"/>
                <w:szCs w:val="20"/>
                <w:color w:val="auto"/>
              </w:rPr>
            </w:pPr>
            <w:r>
              <w:rPr>
                <w:rFonts w:ascii="Arial" w:cs="Arial" w:eastAsia="Arial" w:hAnsi="Arial"/>
                <w:sz w:val="14"/>
                <w:szCs w:val="14"/>
                <w:color w:val="auto"/>
              </w:rPr>
              <w:t>Savings, NOW and money market</w:t>
            </w:r>
          </w:p>
        </w:tc>
        <w:tc>
          <w:tcPr>
            <w:tcW w:w="30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2,302,545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2,162,187</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Time</w:t>
            </w:r>
          </w:p>
        </w:tc>
        <w:tc>
          <w:tcPr>
            <w:tcW w:w="3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1,103,062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1,239,746</w:t>
            </w:r>
          </w:p>
        </w:tc>
        <w:tc>
          <w:tcPr>
            <w:tcW w:w="0" w:type="dxa"/>
            <w:vAlign w:val="bottom"/>
          </w:tcPr>
          <w:p>
            <w:pPr>
              <w:spacing w:after="0"/>
              <w:rPr>
                <w:sz w:val="1"/>
                <w:szCs w:val="1"/>
                <w:color w:val="auto"/>
              </w:rPr>
            </w:pPr>
          </w:p>
        </w:tc>
      </w:tr>
      <w:tr>
        <w:trPr>
          <w:trHeight w:val="181"/>
        </w:trPr>
        <w:tc>
          <w:tcPr>
            <w:tcW w:w="7040" w:type="dxa"/>
            <w:vAlign w:val="bottom"/>
          </w:tcPr>
          <w:p>
            <w:pPr>
              <w:ind w:left="400"/>
              <w:spacing w:after="0"/>
              <w:rPr>
                <w:sz w:val="20"/>
                <w:szCs w:val="20"/>
                <w:color w:val="auto"/>
              </w:rPr>
            </w:pPr>
            <w:r>
              <w:rPr>
                <w:rFonts w:ascii="Arial" w:cs="Arial" w:eastAsia="Arial" w:hAnsi="Arial"/>
                <w:sz w:val="14"/>
                <w:szCs w:val="14"/>
                <w:color w:val="auto"/>
              </w:rPr>
              <w:t>Total deposits</w:t>
            </w:r>
          </w:p>
        </w:tc>
        <w:tc>
          <w:tcPr>
            <w:tcW w:w="3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3,972,822</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3,923,759</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Federal funds purchased and repurchase agreements</w:t>
            </w:r>
          </w:p>
        </w:tc>
        <w:tc>
          <w:tcPr>
            <w:tcW w:w="3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38,946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14,921</w:t>
            </w: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Federal Home Loan Bank advances</w:t>
            </w:r>
          </w:p>
        </w:tc>
        <w:tc>
          <w:tcPr>
            <w:tcW w:w="30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402,680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358,743</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borrowings</w:t>
            </w:r>
          </w:p>
        </w:tc>
        <w:tc>
          <w:tcPr>
            <w:tcW w:w="3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931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Interest payable and other liabilities</w:t>
            </w:r>
          </w:p>
        </w:tc>
        <w:tc>
          <w:tcPr>
            <w:tcW w:w="30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40,082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31,245</w:t>
            </w:r>
          </w:p>
        </w:tc>
        <w:tc>
          <w:tcPr>
            <w:tcW w:w="0" w:type="dxa"/>
            <w:vAlign w:val="bottom"/>
          </w:tcPr>
          <w:p>
            <w:pPr>
              <w:spacing w:after="0"/>
              <w:rPr>
                <w:sz w:val="1"/>
                <w:szCs w:val="1"/>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4,455,461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4,329,589</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20"/>
                <w:szCs w:val="20"/>
                <w:color w:val="auto"/>
              </w:rPr>
            </w:pPr>
            <w:r>
              <w:rPr>
                <w:rFonts w:ascii="Arial" w:cs="Arial" w:eastAsia="Arial" w:hAnsi="Arial"/>
                <w:sz w:val="14"/>
                <w:szCs w:val="14"/>
                <w:color w:val="auto"/>
              </w:rPr>
              <w:t>Stockholders’ equity</w:t>
            </w:r>
          </w:p>
        </w:tc>
        <w:tc>
          <w:tcPr>
            <w:tcW w:w="30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Redeemable preferred stock, $0.01 par value, $25.00 liquidation value:</w:t>
            </w:r>
          </w:p>
        </w:tc>
        <w:tc>
          <w:tcPr>
            <w:tcW w:w="3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040" w:type="dxa"/>
            <w:vAlign w:val="bottom"/>
          </w:tcPr>
          <w:p>
            <w:pPr>
              <w:ind w:left="260"/>
              <w:spacing w:after="0"/>
              <w:rPr>
                <w:sz w:val="20"/>
                <w:szCs w:val="20"/>
                <w:color w:val="auto"/>
              </w:rPr>
            </w:pPr>
            <w:r>
              <w:rPr>
                <w:rFonts w:ascii="Arial" w:cs="Arial" w:eastAsia="Arial" w:hAnsi="Arial"/>
                <w:sz w:val="14"/>
                <w:szCs w:val="14"/>
                <w:color w:val="auto"/>
              </w:rPr>
              <w:t>authorized - 5,000,000 shares, issued - 0 shares at March 31, 2020 and December 31, 2019, respectively</w:t>
            </w:r>
          </w:p>
        </w:tc>
        <w:tc>
          <w:tcPr>
            <w:tcW w:w="3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 $0.01 par value:</w:t>
            </w:r>
          </w:p>
        </w:tc>
        <w:tc>
          <w:tcPr>
            <w:tcW w:w="3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040" w:type="dxa"/>
            <w:vAlign w:val="bottom"/>
          </w:tcPr>
          <w:p>
            <w:pPr>
              <w:ind w:left="260"/>
              <w:spacing w:after="0" w:line="138" w:lineRule="exact"/>
              <w:rPr>
                <w:sz w:val="20"/>
                <w:szCs w:val="20"/>
                <w:color w:val="auto"/>
              </w:rPr>
            </w:pPr>
            <w:r>
              <w:rPr>
                <w:rFonts w:ascii="Arial" w:cs="Arial" w:eastAsia="Arial" w:hAnsi="Arial"/>
                <w:sz w:val="14"/>
                <w:szCs w:val="14"/>
                <w:color w:val="auto"/>
                <w:w w:val="94"/>
              </w:rPr>
              <w:t>authorized - 200,000,000 shares, issued - 52,098,062 and 51,969,203 shares at March 31, 2020 and December 31,</w:t>
            </w:r>
          </w:p>
        </w:tc>
        <w:tc>
          <w:tcPr>
            <w:tcW w:w="300" w:type="dxa"/>
            <w:vAlign w:val="bottom"/>
          </w:tcPr>
          <w:p>
            <w:pPr>
              <w:spacing w:after="0"/>
              <w:rPr>
                <w:sz w:val="11"/>
                <w:szCs w:val="11"/>
                <w:color w:val="auto"/>
              </w:rPr>
            </w:pPr>
          </w:p>
        </w:tc>
        <w:tc>
          <w:tcPr>
            <w:tcW w:w="1720" w:type="dxa"/>
            <w:vAlign w:val="bottom"/>
            <w:vMerge w:val="restart"/>
          </w:tcPr>
          <w:p>
            <w:pPr>
              <w:jc w:val="right"/>
              <w:ind w:right="70"/>
              <w:spacing w:after="0"/>
              <w:rPr>
                <w:sz w:val="20"/>
                <w:szCs w:val="20"/>
                <w:color w:val="auto"/>
              </w:rPr>
            </w:pPr>
            <w:r>
              <w:rPr>
                <w:rFonts w:ascii="Arial" w:cs="Arial" w:eastAsia="Arial" w:hAnsi="Arial"/>
                <w:sz w:val="14"/>
                <w:szCs w:val="14"/>
                <w:color w:val="auto"/>
              </w:rPr>
              <w:t>521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vMerge w:val="restart"/>
          </w:tcPr>
          <w:p>
            <w:pPr>
              <w:jc w:val="right"/>
              <w:ind w:right="69"/>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80"/>
        </w:trPr>
        <w:tc>
          <w:tcPr>
            <w:tcW w:w="7040" w:type="dxa"/>
            <w:vAlign w:val="bottom"/>
          </w:tcPr>
          <w:p>
            <w:pPr>
              <w:ind w:left="260"/>
              <w:spacing w:after="0"/>
              <w:rPr>
                <w:sz w:val="20"/>
                <w:szCs w:val="20"/>
                <w:color w:val="auto"/>
              </w:rPr>
            </w:pPr>
            <w:r>
              <w:rPr>
                <w:rFonts w:ascii="Arial" w:cs="Arial" w:eastAsia="Arial" w:hAnsi="Arial"/>
                <w:sz w:val="14"/>
                <w:szCs w:val="14"/>
                <w:color w:val="auto"/>
              </w:rPr>
              <w:t>2019, respectively</w:t>
            </w:r>
          </w:p>
        </w:tc>
        <w:tc>
          <w:tcPr>
            <w:tcW w:w="3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Additional paid-in capital</w:t>
            </w:r>
          </w:p>
        </w:tc>
        <w:tc>
          <w:tcPr>
            <w:tcW w:w="3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520,134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519,870</w:t>
            </w:r>
          </w:p>
        </w:tc>
        <w:tc>
          <w:tcPr>
            <w:tcW w:w="0" w:type="dxa"/>
            <w:vAlign w:val="bottom"/>
          </w:tcPr>
          <w:p>
            <w:pPr>
              <w:spacing w:after="0"/>
              <w:rPr>
                <w:sz w:val="1"/>
                <w:szCs w:val="1"/>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68,689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64,803</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Accumulated other comprehensive income</w:t>
            </w:r>
          </w:p>
        </w:tc>
        <w:tc>
          <w:tcPr>
            <w:tcW w:w="3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22,602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16,451</w:t>
            </w:r>
          </w:p>
        </w:tc>
        <w:tc>
          <w:tcPr>
            <w:tcW w:w="0" w:type="dxa"/>
            <w:vAlign w:val="bottom"/>
          </w:tcPr>
          <w:p>
            <w:pPr>
              <w:spacing w:after="0"/>
              <w:rPr>
                <w:sz w:val="1"/>
                <w:szCs w:val="1"/>
                <w:color w:val="auto"/>
              </w:rPr>
            </w:pPr>
          </w:p>
        </w:tc>
      </w:tr>
      <w:tr>
        <w:trPr>
          <w:trHeight w:val="181"/>
        </w:trPr>
        <w:tc>
          <w:tcPr>
            <w:tcW w:w="7040" w:type="dxa"/>
            <w:vAlign w:val="bottom"/>
          </w:tcPr>
          <w:p>
            <w:pPr>
              <w:ind w:left="40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611,946</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601,644</w:t>
            </w:r>
          </w:p>
        </w:tc>
        <w:tc>
          <w:tcPr>
            <w:tcW w:w="0" w:type="dxa"/>
            <w:vAlign w:val="bottom"/>
          </w:tcPr>
          <w:p>
            <w:pPr>
              <w:spacing w:after="0"/>
              <w:rPr>
                <w:sz w:val="1"/>
                <w:szCs w:val="1"/>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5,067,407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4,931,233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INCOME - UNAUDITED</w:t>
      </w:r>
    </w:p>
    <w:p>
      <w:pPr>
        <w:spacing w:after="0" w:line="11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60" w:type="dxa"/>
            <w:vAlign w:val="bottom"/>
            <w:gridSpan w:val="3"/>
          </w:tcPr>
          <w:p>
            <w:pPr>
              <w:jc w:val="center"/>
              <w:ind w:right="549"/>
              <w:spacing w:after="0"/>
              <w:rPr>
                <w:sz w:val="20"/>
                <w:szCs w:val="20"/>
                <w:color w:val="auto"/>
              </w:rPr>
            </w:pPr>
            <w:r>
              <w:rPr>
                <w:rFonts w:ascii="Arial" w:cs="Arial" w:eastAsia="Arial" w:hAnsi="Arial"/>
                <w:sz w:val="14"/>
                <w:szCs w:val="14"/>
                <w:b w:val="1"/>
                <w:bCs w:val="1"/>
                <w:color w:val="auto"/>
                <w:w w:val="88"/>
              </w:rPr>
              <w:t>Three months ended</w:t>
            </w:r>
          </w:p>
        </w:tc>
        <w:tc>
          <w:tcPr>
            <w:tcW w:w="660" w:type="dxa"/>
            <w:vAlign w:val="bottom"/>
          </w:tcPr>
          <w:p>
            <w:pPr>
              <w:spacing w:after="0"/>
              <w:rPr>
                <w:sz w:val="16"/>
                <w:szCs w:val="16"/>
                <w:color w:val="auto"/>
              </w:rPr>
            </w:pPr>
          </w:p>
        </w:tc>
      </w:tr>
      <w:tr>
        <w:trPr>
          <w:trHeight w:val="212"/>
        </w:trPr>
        <w:tc>
          <w:tcPr>
            <w:tcW w:w="7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60" w:type="dxa"/>
            <w:vAlign w:val="bottom"/>
            <w:gridSpan w:val="3"/>
          </w:tcPr>
          <w:p>
            <w:pPr>
              <w:jc w:val="center"/>
              <w:ind w:right="549"/>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Pr>
          <w:p>
            <w:pPr>
              <w:spacing w:after="0"/>
              <w:rPr>
                <w:sz w:val="18"/>
                <w:szCs w:val="18"/>
                <w:color w:val="auto"/>
              </w:rPr>
            </w:pPr>
          </w:p>
        </w:tc>
      </w:tr>
      <w:tr>
        <w:trPr>
          <w:trHeight w:val="22"/>
        </w:trPr>
        <w:tc>
          <w:tcPr>
            <w:tcW w:w="7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tcPr>
          <w:p>
            <w:pPr>
              <w:spacing w:after="0"/>
              <w:rPr>
                <w:sz w:val="15"/>
                <w:szCs w:val="15"/>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129"/>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r>
      <w:tr>
        <w:trPr>
          <w:trHeight w:val="22"/>
        </w:trPr>
        <w:tc>
          <w:tcPr>
            <w:tcW w:w="7040" w:type="dxa"/>
            <w:vAlign w:val="bottom"/>
          </w:tcPr>
          <w:p>
            <w:pPr>
              <w:spacing w:after="0" w:line="20" w:lineRule="exact"/>
              <w:rPr>
                <w:sz w:val="1"/>
                <w:szCs w:val="1"/>
                <w:color w:val="auto"/>
              </w:rPr>
            </w:pPr>
          </w:p>
        </w:tc>
        <w:tc>
          <w:tcPr>
            <w:tcW w:w="3440" w:type="dxa"/>
            <w:vAlign w:val="bottom"/>
            <w:tcBorders>
              <w:bottom w:val="single" w:sz="8" w:color="auto"/>
            </w:tcBorders>
            <w:gridSpan w:val="4"/>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tcPr>
          <w:p>
            <w:pPr>
              <w:spacing w:after="0"/>
              <w:rPr>
                <w:sz w:val="15"/>
                <w:szCs w:val="15"/>
                <w:color w:val="auto"/>
              </w:rPr>
            </w:pPr>
          </w:p>
        </w:tc>
        <w:tc>
          <w:tcPr>
            <w:tcW w:w="3440" w:type="dxa"/>
            <w:vAlign w:val="bottom"/>
            <w:gridSpan w:val="4"/>
          </w:tcPr>
          <w:p>
            <w:pPr>
              <w:jc w:val="center"/>
              <w:ind w:left="589"/>
              <w:spacing w:after="0"/>
              <w:rPr>
                <w:sz w:val="20"/>
                <w:szCs w:val="20"/>
                <w:color w:val="auto"/>
              </w:rPr>
            </w:pPr>
            <w:r>
              <w:rPr>
                <w:rFonts w:ascii="Arial" w:cs="Arial" w:eastAsia="Arial" w:hAnsi="Arial"/>
                <w:sz w:val="14"/>
                <w:szCs w:val="14"/>
                <w:i w:val="1"/>
                <w:iCs w:val="1"/>
                <w:color w:val="auto"/>
                <w:w w:val="92"/>
              </w:rPr>
              <w:t>(Dollars in thousands except per share data)</w:t>
            </w:r>
          </w:p>
        </w:tc>
        <w:tc>
          <w:tcPr>
            <w:tcW w:w="660" w:type="dxa"/>
            <w:vAlign w:val="bottom"/>
          </w:tcPr>
          <w:p>
            <w:pPr>
              <w:spacing w:after="0"/>
              <w:rPr>
                <w:sz w:val="15"/>
                <w:szCs w:val="15"/>
                <w:color w:val="auto"/>
              </w:rPr>
            </w:pP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Loans, including fees</w:t>
            </w:r>
          </w:p>
        </w:tc>
        <w:tc>
          <w:tcPr>
            <w:tcW w:w="1280" w:type="dxa"/>
            <w:vAlign w:val="bottom"/>
          </w:tcPr>
          <w:p>
            <w:pPr>
              <w:jc w:val="right"/>
              <w:ind w:right="112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48,339</w:t>
            </w:r>
          </w:p>
        </w:tc>
        <w:tc>
          <w:tcPr>
            <w:tcW w:w="80" w:type="dxa"/>
            <w:vAlign w:val="bottom"/>
          </w:tcPr>
          <w:p>
            <w:pPr>
              <w:spacing w:after="0"/>
              <w:rPr>
                <w:sz w:val="16"/>
                <w:szCs w:val="16"/>
                <w:color w:val="auto"/>
              </w:rPr>
            </w:pPr>
          </w:p>
        </w:tc>
        <w:tc>
          <w:tcPr>
            <w:tcW w:w="1340" w:type="dxa"/>
            <w:vAlign w:val="bottom"/>
          </w:tcPr>
          <w:p>
            <w:pPr>
              <w:jc w:val="right"/>
              <w:ind w:right="118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45,003</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Available-for-sale securities - taxable</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1,774</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2,320</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Available-for-sale securities - tax-exempt</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3,312</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2,935</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Deposits with financial institutions</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491</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806</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Dividends on bank stocks</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253</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7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interest income</w:t>
            </w:r>
          </w:p>
        </w:tc>
        <w:tc>
          <w:tcPr>
            <w:tcW w:w="1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54,208</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51,317</w:t>
            </w:r>
          </w:p>
        </w:tc>
      </w:tr>
      <w:tr>
        <w:trPr>
          <w:trHeight w:val="191"/>
        </w:trPr>
        <w:tc>
          <w:tcPr>
            <w:tcW w:w="704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Deposits</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14,272</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15,921</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Fed funds purchased and repurchase agreements</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294</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Advances from Federal Home Loan Bank</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1,611</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1,459</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Other borrowings</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38</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3"/>
        </w:trPr>
        <w:tc>
          <w:tcPr>
            <w:tcW w:w="7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interest expense</w:t>
            </w:r>
          </w:p>
        </w:tc>
        <w:tc>
          <w:tcPr>
            <w:tcW w:w="1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15,980</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17,712</w:t>
            </w:r>
          </w:p>
        </w:tc>
      </w:tr>
      <w:tr>
        <w:trPr>
          <w:trHeight w:val="181"/>
        </w:trPr>
        <w:tc>
          <w:tcPr>
            <w:tcW w:w="7040" w:type="dxa"/>
            <w:vAlign w:val="bottom"/>
          </w:tcPr>
          <w:p>
            <w:pPr>
              <w:spacing w:after="0"/>
              <w:rPr>
                <w:sz w:val="20"/>
                <w:szCs w:val="20"/>
                <w:color w:val="auto"/>
              </w:rPr>
            </w:pPr>
            <w:r>
              <w:rPr>
                <w:rFonts w:ascii="Arial" w:cs="Arial" w:eastAsia="Arial" w:hAnsi="Arial"/>
                <w:sz w:val="14"/>
                <w:szCs w:val="14"/>
                <w:b w:val="1"/>
                <w:bCs w:val="1"/>
                <w:color w:val="auto"/>
              </w:rPr>
              <w:t>Net Interest Income</w:t>
            </w:r>
          </w:p>
        </w:tc>
        <w:tc>
          <w:tcPr>
            <w:tcW w:w="1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38,228</w:t>
            </w:r>
          </w:p>
        </w:tc>
        <w:tc>
          <w:tcPr>
            <w:tcW w:w="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33,605</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Provision for Loan Losses</w:t>
            </w:r>
          </w:p>
        </w:tc>
        <w:tc>
          <w:tcPr>
            <w:tcW w:w="1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13,950</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2,850</w:t>
            </w:r>
          </w:p>
        </w:tc>
      </w:tr>
      <w:tr>
        <w:trPr>
          <w:trHeight w:val="181"/>
        </w:trPr>
        <w:tc>
          <w:tcPr>
            <w:tcW w:w="7040" w:type="dxa"/>
            <w:vAlign w:val="bottom"/>
          </w:tcPr>
          <w:p>
            <w:pPr>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1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24,278</w:t>
            </w:r>
          </w:p>
        </w:tc>
        <w:tc>
          <w:tcPr>
            <w:tcW w:w="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30,755</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2"/>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Non-Interest Income</w:t>
            </w:r>
          </w:p>
        </w:tc>
        <w:tc>
          <w:tcPr>
            <w:tcW w:w="12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Service charges and fees on customer accounts</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158</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Gain on sale of available-for-sale debt securities</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393</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27</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Gain on sale of loans</w:t>
            </w:r>
          </w:p>
        </w:tc>
        <w:tc>
          <w:tcPr>
            <w:tcW w:w="12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79</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Income from bank-owned life insurance</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456</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467</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Swap fee income (loss), net</w:t>
            </w:r>
          </w:p>
        </w:tc>
        <w:tc>
          <w:tcPr>
            <w:tcW w:w="128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377</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ATM and credit card interchange income</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485</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377</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Other non-interest income</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262</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160</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3"/>
        </w:trPr>
        <w:tc>
          <w:tcPr>
            <w:tcW w:w="7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non-interest income</w:t>
            </w:r>
          </w:p>
        </w:tc>
        <w:tc>
          <w:tcPr>
            <w:tcW w:w="1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2,095</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1,645</w:t>
            </w:r>
          </w:p>
        </w:tc>
      </w:tr>
      <w:tr>
        <w:trPr>
          <w:trHeight w:val="171"/>
        </w:trPr>
        <w:tc>
          <w:tcPr>
            <w:tcW w:w="7040" w:type="dxa"/>
            <w:vAlign w:val="bottom"/>
          </w:tcPr>
          <w:p>
            <w:pPr>
              <w:spacing w:after="0"/>
              <w:rPr>
                <w:sz w:val="20"/>
                <w:szCs w:val="20"/>
                <w:color w:val="auto"/>
              </w:rPr>
            </w:pPr>
            <w:r>
              <w:rPr>
                <w:rFonts w:ascii="Arial" w:cs="Arial" w:eastAsia="Arial" w:hAnsi="Arial"/>
                <w:sz w:val="14"/>
                <w:szCs w:val="14"/>
                <w:b w:val="1"/>
                <w:bCs w:val="1"/>
                <w:color w:val="auto"/>
              </w:rPr>
              <w:t>Non-Interest Expense</w:t>
            </w:r>
          </w:p>
        </w:tc>
        <w:tc>
          <w:tcPr>
            <w:tcW w:w="1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Salaries and employee benefits</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14,390</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14,590</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Occupancy</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2,085</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2,159</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Professional fees</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671</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782</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Deposit insurance premiums</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1,016</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837</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Data processing</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692</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594</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Advertising</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713</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Software and communication</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876</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679</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Equipment costs, other asset depreciation, and amortization</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473</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non-interest expense</w:t>
            </w:r>
          </w:p>
        </w:tc>
        <w:tc>
          <w:tcPr>
            <w:tcW w:w="1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1,598</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1,804</w:t>
            </w:r>
          </w:p>
        </w:tc>
      </w:tr>
      <w:tr>
        <w:trPr>
          <w:trHeight w:val="181"/>
        </w:trPr>
        <w:tc>
          <w:tcPr>
            <w:tcW w:w="7040" w:type="dxa"/>
            <w:vAlign w:val="bottom"/>
          </w:tcPr>
          <w:p>
            <w:pPr>
              <w:ind w:left="500"/>
              <w:spacing w:after="0"/>
              <w:rPr>
                <w:sz w:val="20"/>
                <w:szCs w:val="20"/>
                <w:color w:val="auto"/>
              </w:rPr>
            </w:pPr>
            <w:r>
              <w:rPr>
                <w:rFonts w:ascii="Arial" w:cs="Arial" w:eastAsia="Arial" w:hAnsi="Arial"/>
                <w:sz w:val="14"/>
                <w:szCs w:val="14"/>
                <w:color w:val="auto"/>
              </w:rPr>
              <w:t>Total non-interest expense</w:t>
            </w:r>
          </w:p>
        </w:tc>
        <w:tc>
          <w:tcPr>
            <w:tcW w:w="1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22,223</w:t>
            </w:r>
          </w:p>
        </w:tc>
        <w:tc>
          <w:tcPr>
            <w:tcW w:w="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22,631</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 Before Taxes</w:t>
            </w:r>
          </w:p>
        </w:tc>
        <w:tc>
          <w:tcPr>
            <w:tcW w:w="1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4,150</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9,769</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Income tax expense</w:t>
            </w:r>
          </w:p>
        </w:tc>
        <w:tc>
          <w:tcPr>
            <w:tcW w:w="128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419</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8"/>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3,857</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9,350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7040" w:type="dxa"/>
            <w:vAlign w:val="bottom"/>
          </w:tcPr>
          <w:p>
            <w:pPr>
              <w:spacing w:after="0"/>
              <w:rPr>
                <w:sz w:val="20"/>
                <w:szCs w:val="20"/>
                <w:color w:val="auto"/>
              </w:rPr>
            </w:pPr>
            <w:r>
              <w:rPr>
                <w:rFonts w:ascii="Arial" w:cs="Arial" w:eastAsia="Arial" w:hAnsi="Arial"/>
                <w:sz w:val="14"/>
                <w:szCs w:val="14"/>
                <w:b w:val="1"/>
                <w:bCs w:val="1"/>
                <w:color w:val="auto"/>
              </w:rPr>
              <w:t>Basic Earnings Per Share</w:t>
            </w:r>
          </w:p>
        </w:tc>
        <w:tc>
          <w:tcPr>
            <w:tcW w:w="128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0.07</w:t>
            </w:r>
          </w:p>
        </w:tc>
        <w:tc>
          <w:tcPr>
            <w:tcW w:w="80" w:type="dxa"/>
            <w:vAlign w:val="bottom"/>
          </w:tcPr>
          <w:p>
            <w:pPr>
              <w:spacing w:after="0"/>
              <w:rPr>
                <w:sz w:val="15"/>
                <w:szCs w:val="15"/>
                <w:color w:val="auto"/>
              </w:rPr>
            </w:pPr>
          </w:p>
        </w:tc>
        <w:tc>
          <w:tcPr>
            <w:tcW w:w="1340" w:type="dxa"/>
            <w:vAlign w:val="bottom"/>
            <w:tcBorders>
              <w:bottom w:val="single" w:sz="8" w:color="auto"/>
            </w:tcBorders>
          </w:tcPr>
          <w:p>
            <w:pPr>
              <w:jc w:val="right"/>
              <w:ind w:right="11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0.20</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Diluted Earnings Per Share</w:t>
            </w: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0.07</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0.20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OTHER COMPREHENSIVE INCOME - UNAUDITED</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1280" w:type="dxa"/>
            <w:vAlign w:val="bottom"/>
          </w:tcPr>
          <w:p>
            <w:pPr>
              <w:spacing w:after="0"/>
              <w:rPr>
                <w:sz w:val="16"/>
                <w:szCs w:val="16"/>
                <w:color w:val="auto"/>
              </w:rPr>
            </w:pPr>
          </w:p>
        </w:tc>
      </w:tr>
      <w:tr>
        <w:trPr>
          <w:trHeight w:val="212"/>
        </w:trPr>
        <w:tc>
          <w:tcPr>
            <w:tcW w:w="7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280" w:type="dxa"/>
            <w:vAlign w:val="bottom"/>
          </w:tcPr>
          <w:p>
            <w:pPr>
              <w:spacing w:after="0"/>
              <w:rPr>
                <w:sz w:val="18"/>
                <w:szCs w:val="18"/>
                <w:color w:val="auto"/>
              </w:rPr>
            </w:pPr>
          </w:p>
        </w:tc>
      </w:tr>
      <w:tr>
        <w:trPr>
          <w:trHeight w:val="22"/>
        </w:trPr>
        <w:tc>
          <w:tcPr>
            <w:tcW w:w="7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7040" w:type="dxa"/>
            <w:vAlign w:val="bottom"/>
          </w:tcPr>
          <w:p>
            <w:pPr>
              <w:spacing w:after="0"/>
              <w:rPr>
                <w:sz w:val="15"/>
                <w:szCs w:val="15"/>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jc w:val="right"/>
              <w:ind w:right="789"/>
              <w:spacing w:after="0"/>
              <w:rPr>
                <w:sz w:val="20"/>
                <w:szCs w:val="20"/>
                <w:color w:val="auto"/>
              </w:rPr>
            </w:pPr>
            <w:r>
              <w:rPr>
                <w:rFonts w:ascii="Arial" w:cs="Arial" w:eastAsia="Arial" w:hAnsi="Arial"/>
                <w:sz w:val="14"/>
                <w:szCs w:val="14"/>
                <w:b w:val="1"/>
                <w:bCs w:val="1"/>
                <w:color w:val="auto"/>
              </w:rPr>
              <w:t>2019</w:t>
            </w:r>
          </w:p>
        </w:tc>
      </w:tr>
      <w:tr>
        <w:trPr>
          <w:trHeight w:val="22"/>
        </w:trPr>
        <w:tc>
          <w:tcPr>
            <w:tcW w:w="7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7"/>
        </w:trPr>
        <w:tc>
          <w:tcPr>
            <w:tcW w:w="7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3"/>
                <w:szCs w:val="13"/>
                <w:i w:val="1"/>
                <w:iCs w:val="1"/>
                <w:color w:val="auto"/>
                <w:w w:val="90"/>
              </w:rPr>
              <w:t>(Dollars in thousands)</w:t>
            </w:r>
          </w:p>
        </w:tc>
        <w:tc>
          <w:tcPr>
            <w:tcW w:w="1280" w:type="dxa"/>
            <w:vAlign w:val="bottom"/>
          </w:tcPr>
          <w:p>
            <w:pPr>
              <w:spacing w:after="0"/>
              <w:rPr>
                <w:sz w:val="14"/>
                <w:szCs w:val="14"/>
                <w:color w:val="auto"/>
              </w:rPr>
            </w:pPr>
          </w:p>
        </w:tc>
      </w:tr>
      <w:tr>
        <w:trPr>
          <w:trHeight w:val="26"/>
        </w:trPr>
        <w:tc>
          <w:tcPr>
            <w:tcW w:w="7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280" w:type="dxa"/>
            <w:vAlign w:val="bottom"/>
            <w:tcBorders>
              <w:bottom w:val="single" w:sz="8" w:color="CCEEFF"/>
            </w:tcBorders>
            <w:shd w:val="clear" w:color="auto" w:fill="CCEEFF"/>
          </w:tcPr>
          <w:p>
            <w:pPr>
              <w:jc w:val="right"/>
              <w:ind w:right="112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3,857</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9,350</w:t>
            </w:r>
          </w:p>
        </w:tc>
      </w:tr>
      <w:tr>
        <w:trPr>
          <w:trHeight w:val="171"/>
        </w:trPr>
        <w:tc>
          <w:tcPr>
            <w:tcW w:w="7040" w:type="dxa"/>
            <w:vAlign w:val="bottom"/>
          </w:tcPr>
          <w:p>
            <w:pPr>
              <w:ind w:left="80"/>
              <w:spacing w:after="0"/>
              <w:rPr>
                <w:sz w:val="20"/>
                <w:szCs w:val="20"/>
                <w:color w:val="auto"/>
              </w:rPr>
            </w:pPr>
            <w:r>
              <w:rPr>
                <w:rFonts w:ascii="Arial" w:cs="Arial" w:eastAsia="Arial" w:hAnsi="Arial"/>
                <w:sz w:val="14"/>
                <w:szCs w:val="14"/>
                <w:b w:val="1"/>
                <w:bCs w:val="1"/>
                <w:color w:val="auto"/>
              </w:rPr>
              <w:t>Other Comprehensive Income</w:t>
            </w:r>
          </w:p>
        </w:tc>
        <w:tc>
          <w:tcPr>
            <w:tcW w:w="1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Unrealized gain on available-for-sale debt securities</w:t>
            </w:r>
          </w:p>
        </w:tc>
        <w:tc>
          <w:tcPr>
            <w:tcW w:w="1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8,532</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12,394</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Less: income tax</w:t>
            </w:r>
          </w:p>
        </w:tc>
        <w:tc>
          <w:tcPr>
            <w:tcW w:w="1280" w:type="dxa"/>
            <w:vAlign w:val="bottom"/>
          </w:tcPr>
          <w:p>
            <w:pPr>
              <w:spacing w:after="0"/>
              <w:rPr>
                <w:sz w:val="16"/>
                <w:szCs w:val="16"/>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2,084</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3,056</w:t>
            </w: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3"/>
        </w:trPr>
        <w:tc>
          <w:tcPr>
            <w:tcW w:w="70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Unrealized gain on available-for-sale debt securities, net of income tax</w:t>
            </w:r>
          </w:p>
        </w:tc>
        <w:tc>
          <w:tcPr>
            <w:tcW w:w="1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6,448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9,338</w:t>
            </w:r>
          </w:p>
        </w:tc>
      </w:tr>
      <w:tr>
        <w:trPr>
          <w:trHeight w:val="191"/>
        </w:trPr>
        <w:tc>
          <w:tcPr>
            <w:tcW w:w="7040" w:type="dxa"/>
            <w:vAlign w:val="bottom"/>
          </w:tcPr>
          <w:p>
            <w:pPr>
              <w:ind w:left="160"/>
              <w:spacing w:after="0"/>
              <w:rPr>
                <w:sz w:val="20"/>
                <w:szCs w:val="20"/>
                <w:color w:val="auto"/>
              </w:rPr>
            </w:pPr>
            <w:r>
              <w:rPr>
                <w:rFonts w:ascii="Arial" w:cs="Arial" w:eastAsia="Arial" w:hAnsi="Arial"/>
                <w:sz w:val="14"/>
                <w:szCs w:val="14"/>
                <w:color w:val="auto"/>
              </w:rPr>
              <w:t>Reclassification adjustment for realized gains included in income</w:t>
            </w:r>
          </w:p>
        </w:tc>
        <w:tc>
          <w:tcPr>
            <w:tcW w:w="1280" w:type="dxa"/>
            <w:vAlign w:val="bottom"/>
          </w:tcPr>
          <w:p>
            <w:pPr>
              <w:spacing w:after="0"/>
              <w:rPr>
                <w:sz w:val="16"/>
                <w:szCs w:val="16"/>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393</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53</w:t>
            </w:r>
          </w:p>
        </w:tc>
      </w:tr>
      <w:tr>
        <w:trPr>
          <w:trHeight w:val="22"/>
        </w:trPr>
        <w:tc>
          <w:tcPr>
            <w:tcW w:w="7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2"/>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Less: income tax</w:t>
            </w:r>
          </w:p>
        </w:tc>
        <w:tc>
          <w:tcPr>
            <w:tcW w:w="1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w:t>
            </w:r>
          </w:p>
        </w:tc>
      </w:tr>
      <w:tr>
        <w:trPr>
          <w:trHeight w:val="203"/>
        </w:trPr>
        <w:tc>
          <w:tcPr>
            <w:tcW w:w="70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Less: reclassification adjustment for realized gains included in income, net of income tax</w:t>
            </w:r>
          </w:p>
        </w:tc>
        <w:tc>
          <w:tcPr>
            <w:tcW w:w="1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297</w:t>
            </w:r>
          </w:p>
        </w:tc>
        <w:tc>
          <w:tcPr>
            <w:tcW w:w="8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40</w:t>
            </w:r>
          </w:p>
        </w:tc>
      </w:tr>
      <w:tr>
        <w:trPr>
          <w:trHeight w:val="203"/>
        </w:trPr>
        <w:tc>
          <w:tcPr>
            <w:tcW w:w="7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Other comprehensive income</w:t>
            </w:r>
          </w:p>
        </w:tc>
        <w:tc>
          <w:tcPr>
            <w:tcW w:w="1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6,151</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9,298</w:t>
            </w:r>
          </w:p>
        </w:tc>
      </w:tr>
      <w:tr>
        <w:trPr>
          <w:trHeight w:val="203"/>
        </w:trPr>
        <w:tc>
          <w:tcPr>
            <w:tcW w:w="7040" w:type="dxa"/>
            <w:vAlign w:val="bottom"/>
          </w:tcPr>
          <w:p>
            <w:pPr>
              <w:spacing w:after="0"/>
              <w:rPr>
                <w:sz w:val="20"/>
                <w:szCs w:val="20"/>
                <w:color w:val="auto"/>
              </w:rPr>
            </w:pPr>
            <w:r>
              <w:rPr>
                <w:rFonts w:ascii="Arial" w:cs="Arial" w:eastAsia="Arial" w:hAnsi="Arial"/>
                <w:sz w:val="14"/>
                <w:szCs w:val="14"/>
                <w:b w:val="1"/>
                <w:bCs w:val="1"/>
                <w:color w:val="auto"/>
              </w:rPr>
              <w:t>Comprehensive Income</w:t>
            </w:r>
          </w:p>
        </w:tc>
        <w:tc>
          <w:tcPr>
            <w:tcW w:w="1280" w:type="dxa"/>
            <w:vAlign w:val="bottom"/>
            <w:tcBorders>
              <w:top w:val="single" w:sz="8" w:color="auto"/>
              <w:bottom w:val="single" w:sz="8" w:color="auto"/>
            </w:tcBorders>
          </w:tcPr>
          <w:p>
            <w:pPr>
              <w:jc w:val="right"/>
              <w:ind w:right="112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10,008</w:t>
            </w: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18,648</w:t>
            </w:r>
          </w:p>
        </w:tc>
      </w:tr>
      <w:tr>
        <w:trPr>
          <w:trHeight w:val="20"/>
        </w:trPr>
        <w:tc>
          <w:tcPr>
            <w:tcW w:w="7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STOCKHOLDERS’ EQUITY - UNAUDITED</w:t>
      </w:r>
    </w:p>
    <w:p>
      <w:pPr>
        <w:spacing w:after="0" w:line="158" w:lineRule="exact"/>
        <w:rPr>
          <w:sz w:val="20"/>
          <w:szCs w:val="20"/>
          <w:color w:val="auto"/>
        </w:rPr>
      </w:pPr>
    </w:p>
    <w:tbl>
      <w:tblPr>
        <w:tblLayout w:type="fixed"/>
        <w:tblInd w:w="140" w:type="dxa"/>
        <w:tblCellMar>
          <w:top w:w="0" w:type="dxa"/>
          <w:left w:w="0" w:type="dxa"/>
          <w:bottom w:w="0" w:type="dxa"/>
          <w:right w:w="0" w:type="dxa"/>
        </w:tblCellMar>
      </w:tblPr>
      <w:tr>
        <w:trPr>
          <w:trHeight w:val="165"/>
        </w:trPr>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1880" w:type="dxa"/>
            <w:vAlign w:val="bottom"/>
            <w:gridSpan w:val="5"/>
          </w:tcPr>
          <w:p>
            <w:pPr>
              <w:ind w:left="460"/>
              <w:spacing w:after="0"/>
              <w:rPr>
                <w:sz w:val="20"/>
                <w:szCs w:val="20"/>
                <w:color w:val="auto"/>
              </w:rPr>
            </w:pPr>
            <w:r>
              <w:rPr>
                <w:rFonts w:ascii="Arial" w:cs="Arial" w:eastAsia="Arial" w:hAnsi="Arial"/>
                <w:sz w:val="13"/>
                <w:szCs w:val="13"/>
                <w:b w:val="1"/>
                <w:bCs w:val="1"/>
                <w:color w:val="auto"/>
              </w:rPr>
              <w:t>Preferred Stock</w:t>
            </w:r>
          </w:p>
        </w:tc>
        <w:tc>
          <w:tcPr>
            <w:tcW w:w="200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Paid in</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240" w:type="dxa"/>
            <w:vAlign w:val="bottom"/>
          </w:tcPr>
          <w:p>
            <w:pPr>
              <w:spacing w:after="0"/>
              <w:rPr>
                <w:sz w:val="14"/>
                <w:szCs w:val="14"/>
                <w:color w:val="auto"/>
              </w:rPr>
            </w:pPr>
          </w:p>
        </w:tc>
        <w:tc>
          <w:tcPr>
            <w:tcW w:w="80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ind w:left="560"/>
              <w:spacing w:after="0"/>
              <w:rPr>
                <w:sz w:val="20"/>
                <w:szCs w:val="20"/>
                <w:color w:val="auto"/>
              </w:rPr>
            </w:pPr>
            <w:r>
              <w:rPr>
                <w:rFonts w:ascii="Arial" w:cs="Arial" w:eastAsia="Arial" w:hAnsi="Arial"/>
                <w:sz w:val="13"/>
                <w:szCs w:val="13"/>
                <w:i w:val="1"/>
                <w:iCs w:val="1"/>
                <w:color w:val="auto"/>
                <w:w w:val="99"/>
              </w:rPr>
              <w:t>(Dollars in thousands)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2018</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1,200,000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45,074,322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454,512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38,371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(3,010)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490,336</w:t>
            </w:r>
          </w:p>
        </w:tc>
        <w:tc>
          <w:tcPr>
            <w:tcW w:w="0" w:type="dxa"/>
            <w:vAlign w:val="bottom"/>
          </w:tcPr>
          <w:p>
            <w:pPr>
              <w:spacing w:after="0"/>
              <w:rPr>
                <w:sz w:val="1"/>
                <w:szCs w:val="1"/>
                <w:color w:val="auto"/>
              </w:rPr>
            </w:pPr>
          </w:p>
        </w:tc>
      </w:tr>
      <w:tr>
        <w:trPr>
          <w:trHeight w:val="176"/>
        </w:trPr>
        <w:tc>
          <w:tcPr>
            <w:tcW w:w="276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9,350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9,350</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76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w w:val="89"/>
              </w:rPr>
              <w:t>Change in unrealized appreciation on available-for-</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9,298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9,298</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sale securities</w:t>
            </w: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60" w:type="dxa"/>
            <w:vAlign w:val="bottom"/>
          </w:tcPr>
          <w:p>
            <w:pPr>
              <w:ind w:left="80"/>
              <w:spacing w:after="0"/>
              <w:rPr>
                <w:sz w:val="20"/>
                <w:szCs w:val="20"/>
                <w:color w:val="auto"/>
              </w:rPr>
            </w:pPr>
            <w:r>
              <w:rPr>
                <w:rFonts w:ascii="Arial" w:cs="Arial" w:eastAsia="Arial" w:hAnsi="Arial"/>
                <w:sz w:val="13"/>
                <w:szCs w:val="13"/>
                <w:color w:val="auto"/>
              </w:rPr>
              <w:t>Issuance of shares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101,203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826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827</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shares from equity-based awards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36,845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76"/>
        </w:trPr>
        <w:tc>
          <w:tcPr>
            <w:tcW w:w="2760" w:type="dxa"/>
            <w:vAlign w:val="bottom"/>
          </w:tcPr>
          <w:p>
            <w:pPr>
              <w:ind w:left="80"/>
              <w:spacing w:after="0"/>
              <w:rPr>
                <w:sz w:val="20"/>
                <w:szCs w:val="20"/>
                <w:color w:val="auto"/>
              </w:rPr>
            </w:pPr>
            <w:r>
              <w:rPr>
                <w:rFonts w:ascii="Arial" w:cs="Arial" w:eastAsia="Arial" w:hAnsi="Arial"/>
                <w:sz w:val="13"/>
                <w:szCs w:val="13"/>
                <w:color w:val="auto"/>
              </w:rPr>
              <w:t>Retired shares</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(1,200,000)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(30,088)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(30,155)</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Preferred dividends declared</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(175)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99"/>
        </w:trPr>
        <w:tc>
          <w:tcPr>
            <w:tcW w:w="2760" w:type="dxa"/>
            <w:vAlign w:val="bottom"/>
          </w:tcPr>
          <w:p>
            <w:pPr>
              <w:ind w:left="100"/>
              <w:spacing w:after="0"/>
              <w:rPr>
                <w:sz w:val="20"/>
                <w:szCs w:val="20"/>
                <w:color w:val="auto"/>
              </w:rPr>
            </w:pPr>
            <w:r>
              <w:rPr>
                <w:rFonts w:ascii="Arial" w:cs="Arial" w:eastAsia="Arial" w:hAnsi="Arial"/>
                <w:sz w:val="13"/>
                <w:szCs w:val="13"/>
                <w:color w:val="auto"/>
              </w:rPr>
              <w:t>Employee receivables from sale of stock</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4"/>
        </w:trPr>
        <w:tc>
          <w:tcPr>
            <w:tcW w:w="2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Share-based compensation</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1,098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1,098</w:t>
            </w:r>
          </w:p>
        </w:tc>
        <w:tc>
          <w:tcPr>
            <w:tcW w:w="0" w:type="dxa"/>
            <w:vAlign w:val="bottom"/>
          </w:tcPr>
          <w:p>
            <w:pPr>
              <w:spacing w:after="0"/>
              <w:rPr>
                <w:sz w:val="1"/>
                <w:szCs w:val="1"/>
                <w:color w:val="auto"/>
              </w:rPr>
            </w:pPr>
          </w:p>
        </w:tc>
      </w:tr>
      <w:tr>
        <w:trPr>
          <w:trHeight w:val="199"/>
        </w:trPr>
        <w:tc>
          <w:tcPr>
            <w:tcW w:w="2760" w:type="dxa"/>
            <w:vAlign w:val="bottom"/>
          </w:tcPr>
          <w:p>
            <w:pPr>
              <w:ind w:left="100"/>
              <w:spacing w:after="0"/>
              <w:rPr>
                <w:sz w:val="20"/>
                <w:szCs w:val="20"/>
                <w:color w:val="auto"/>
              </w:rPr>
            </w:pPr>
            <w:r>
              <w:rPr>
                <w:rFonts w:ascii="Arial" w:cs="Arial" w:eastAsia="Arial" w:hAnsi="Arial"/>
                <w:sz w:val="13"/>
                <w:szCs w:val="13"/>
                <w:color w:val="auto"/>
              </w:rPr>
              <w:t>Employee stock purchase plan additions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94"/>
        </w:trPr>
        <w:tc>
          <w:tcPr>
            <w:tcW w:w="2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Adoption of ASU 2016-01</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2760" w:type="dxa"/>
            <w:vAlign w:val="bottom"/>
          </w:tcPr>
          <w:p>
            <w:pPr>
              <w:ind w:left="80"/>
              <w:spacing w:after="0"/>
              <w:rPr>
                <w:sz w:val="20"/>
                <w:szCs w:val="20"/>
                <w:color w:val="auto"/>
              </w:rPr>
            </w:pPr>
            <w:r>
              <w:rPr>
                <w:rFonts w:ascii="Arial" w:cs="Arial" w:eastAsia="Arial" w:hAnsi="Arial"/>
                <w:sz w:val="13"/>
                <w:szCs w:val="13"/>
                <w:color w:val="auto"/>
              </w:rPr>
              <w:t>Adoption of ASU 2018-07</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Arial" w:cs="Arial" w:eastAsia="Arial" w:hAnsi="Arial"/>
                <w:sz w:val="14"/>
                <w:szCs w:val="14"/>
                <w:color w:val="auto"/>
              </w:rPr>
              <w:t>2,159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color w:val="auto"/>
              </w:rPr>
              <w:t>(2,159)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
        </w:trPr>
        <w:tc>
          <w:tcPr>
            <w:tcW w:w="27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2019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45,202,370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428,412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45,293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6,357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480,514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2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1880" w:type="dxa"/>
            <w:vAlign w:val="bottom"/>
            <w:gridSpan w:val="5"/>
          </w:tcPr>
          <w:p>
            <w:pPr>
              <w:ind w:left="460"/>
              <w:spacing w:after="0"/>
              <w:rPr>
                <w:sz w:val="20"/>
                <w:szCs w:val="20"/>
                <w:color w:val="auto"/>
              </w:rPr>
            </w:pPr>
            <w:r>
              <w:rPr>
                <w:rFonts w:ascii="Arial" w:cs="Arial" w:eastAsia="Arial" w:hAnsi="Arial"/>
                <w:sz w:val="13"/>
                <w:szCs w:val="13"/>
                <w:b w:val="1"/>
                <w:bCs w:val="1"/>
                <w:color w:val="auto"/>
              </w:rPr>
              <w:t>Preferred Stock</w:t>
            </w:r>
          </w:p>
        </w:tc>
        <w:tc>
          <w:tcPr>
            <w:tcW w:w="200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Paid in</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Income</w:t>
            </w:r>
          </w:p>
        </w:tc>
        <w:tc>
          <w:tcPr>
            <w:tcW w:w="240" w:type="dxa"/>
            <w:vAlign w:val="bottom"/>
          </w:tcPr>
          <w:p>
            <w:pPr>
              <w:spacing w:after="0"/>
              <w:rPr>
                <w:sz w:val="14"/>
                <w:szCs w:val="14"/>
                <w:color w:val="auto"/>
              </w:rPr>
            </w:pPr>
          </w:p>
        </w:tc>
        <w:tc>
          <w:tcPr>
            <w:tcW w:w="80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ind w:left="560"/>
              <w:spacing w:after="0"/>
              <w:rPr>
                <w:sz w:val="20"/>
                <w:szCs w:val="20"/>
                <w:color w:val="auto"/>
              </w:rPr>
            </w:pPr>
            <w:r>
              <w:rPr>
                <w:rFonts w:ascii="Arial" w:cs="Arial" w:eastAsia="Arial" w:hAnsi="Arial"/>
                <w:sz w:val="13"/>
                <w:szCs w:val="13"/>
                <w:i w:val="1"/>
                <w:iCs w:val="1"/>
                <w:color w:val="auto"/>
                <w:w w:val="99"/>
              </w:rPr>
              <w:t>(Dollars in thousands)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2019</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51,969,203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520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519,870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64,803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16,451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601,644</w:t>
            </w:r>
          </w:p>
        </w:tc>
        <w:tc>
          <w:tcPr>
            <w:tcW w:w="0" w:type="dxa"/>
            <w:vAlign w:val="bottom"/>
          </w:tcPr>
          <w:p>
            <w:pPr>
              <w:spacing w:after="0"/>
              <w:rPr>
                <w:sz w:val="1"/>
                <w:szCs w:val="1"/>
                <w:color w:val="auto"/>
              </w:rPr>
            </w:pPr>
          </w:p>
        </w:tc>
      </w:tr>
      <w:tr>
        <w:trPr>
          <w:trHeight w:val="210"/>
        </w:trPr>
        <w:tc>
          <w:tcPr>
            <w:tcW w:w="276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3,857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color w:val="auto"/>
              </w:rPr>
              <w:t>3,857</w:t>
            </w:r>
          </w:p>
        </w:tc>
        <w:tc>
          <w:tcPr>
            <w:tcW w:w="0" w:type="dxa"/>
            <w:vAlign w:val="bottom"/>
          </w:tcPr>
          <w:p>
            <w:pPr>
              <w:spacing w:after="0"/>
              <w:rPr>
                <w:sz w:val="1"/>
                <w:szCs w:val="1"/>
                <w:color w:val="auto"/>
              </w:rPr>
            </w:pPr>
          </w:p>
        </w:tc>
      </w:tr>
      <w:tr>
        <w:trPr>
          <w:trHeight w:val="133"/>
        </w:trPr>
        <w:tc>
          <w:tcPr>
            <w:tcW w:w="2760" w:type="dxa"/>
            <w:vAlign w:val="bottom"/>
            <w:shd w:val="clear" w:color="auto" w:fill="CCEEFF"/>
          </w:tcPr>
          <w:p>
            <w:pPr>
              <w:ind w:left="100"/>
              <w:spacing w:after="0" w:line="134" w:lineRule="exact"/>
              <w:rPr>
                <w:sz w:val="20"/>
                <w:szCs w:val="20"/>
                <w:color w:val="auto"/>
              </w:rPr>
            </w:pPr>
            <w:r>
              <w:rPr>
                <w:rFonts w:ascii="Arial" w:cs="Arial" w:eastAsia="Arial" w:hAnsi="Arial"/>
                <w:sz w:val="13"/>
                <w:szCs w:val="13"/>
                <w:color w:val="auto"/>
                <w:w w:val="89"/>
              </w:rPr>
              <w:t>Change in unrealized appreciation on available-for-</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6,151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6,151</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sale securities</w:t>
            </w: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760" w:type="dxa"/>
            <w:vAlign w:val="bottom"/>
          </w:tcPr>
          <w:p>
            <w:pPr>
              <w:ind w:left="100"/>
              <w:spacing w:after="0"/>
              <w:rPr>
                <w:sz w:val="20"/>
                <w:szCs w:val="20"/>
                <w:color w:val="auto"/>
              </w:rPr>
            </w:pPr>
            <w:r>
              <w:rPr>
                <w:rFonts w:ascii="Arial" w:cs="Arial" w:eastAsia="Arial" w:hAnsi="Arial"/>
                <w:sz w:val="13"/>
                <w:szCs w:val="13"/>
                <w:color w:val="auto"/>
              </w:rPr>
              <w:t>Issuance of shares from equity-based awards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128,859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(671)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(670)</w:t>
            </w: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Employee receivables from sale of stock</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99"/>
        </w:trPr>
        <w:tc>
          <w:tcPr>
            <w:tcW w:w="2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Share-based compensation</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934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934</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31, 2020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52,098,062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520,134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68,689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22,602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611,946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CASH FLOWS - UNAUDITED</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1240" w:type="dxa"/>
            <w:vAlign w:val="bottom"/>
          </w:tcPr>
          <w:p>
            <w:pPr>
              <w:spacing w:after="0"/>
              <w:rPr>
                <w:sz w:val="16"/>
                <w:szCs w:val="16"/>
                <w:color w:val="auto"/>
              </w:rPr>
            </w:pPr>
          </w:p>
        </w:tc>
      </w:tr>
      <w:tr>
        <w:trPr>
          <w:trHeight w:val="212"/>
        </w:trPr>
        <w:tc>
          <w:tcPr>
            <w:tcW w:w="7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240" w:type="dxa"/>
            <w:vAlign w:val="bottom"/>
          </w:tcPr>
          <w:p>
            <w:pPr>
              <w:spacing w:after="0"/>
              <w:rPr>
                <w:sz w:val="18"/>
                <w:szCs w:val="18"/>
                <w:color w:val="auto"/>
              </w:rPr>
            </w:pPr>
          </w:p>
        </w:tc>
      </w:tr>
      <w:tr>
        <w:trPr>
          <w:trHeight w:val="22"/>
        </w:trPr>
        <w:tc>
          <w:tcPr>
            <w:tcW w:w="7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7160" w:type="dxa"/>
            <w:vAlign w:val="bottom"/>
          </w:tcPr>
          <w:p>
            <w:pPr>
              <w:spacing w:after="0"/>
              <w:rPr>
                <w:sz w:val="15"/>
                <w:szCs w:val="15"/>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ind w:right="769"/>
              <w:spacing w:after="0"/>
              <w:rPr>
                <w:sz w:val="20"/>
                <w:szCs w:val="20"/>
                <w:color w:val="auto"/>
              </w:rPr>
            </w:pPr>
            <w:r>
              <w:rPr>
                <w:rFonts w:ascii="Arial" w:cs="Arial" w:eastAsia="Arial" w:hAnsi="Arial"/>
                <w:sz w:val="14"/>
                <w:szCs w:val="14"/>
                <w:b w:val="1"/>
                <w:bCs w:val="1"/>
                <w:color w:val="auto"/>
              </w:rPr>
              <w:t>2019</w:t>
            </w:r>
          </w:p>
        </w:tc>
      </w:tr>
      <w:tr>
        <w:trPr>
          <w:trHeight w:val="22"/>
        </w:trPr>
        <w:tc>
          <w:tcPr>
            <w:tcW w:w="7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7"/>
        </w:trPr>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3"/>
                <w:szCs w:val="13"/>
                <w:i w:val="1"/>
                <w:iCs w:val="1"/>
                <w:color w:val="auto"/>
                <w:w w:val="90"/>
              </w:rPr>
              <w:t>(Dollars in thousands)</w:t>
            </w:r>
          </w:p>
        </w:tc>
        <w:tc>
          <w:tcPr>
            <w:tcW w:w="1240" w:type="dxa"/>
            <w:vAlign w:val="bottom"/>
          </w:tcPr>
          <w:p>
            <w:pPr>
              <w:spacing w:after="0"/>
              <w:rPr>
                <w:sz w:val="14"/>
                <w:szCs w:val="14"/>
                <w:color w:val="auto"/>
              </w:rPr>
            </w:pPr>
          </w:p>
        </w:tc>
      </w:tr>
      <w:tr>
        <w:trPr>
          <w:trHeight w:val="26"/>
        </w:trPr>
        <w:tc>
          <w:tcPr>
            <w:tcW w:w="7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1"/>
        </w:trPr>
        <w:tc>
          <w:tcPr>
            <w:tcW w:w="71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200" w:type="dxa"/>
            <w:vAlign w:val="bottom"/>
          </w:tcPr>
          <w:p>
            <w:pPr>
              <w:jc w:val="right"/>
              <w:ind w:right="104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3,857</w:t>
            </w:r>
          </w:p>
        </w:tc>
        <w:tc>
          <w:tcPr>
            <w:tcW w:w="100" w:type="dxa"/>
            <w:vAlign w:val="bottom"/>
          </w:tcPr>
          <w:p>
            <w:pPr>
              <w:spacing w:after="0"/>
              <w:rPr>
                <w:sz w:val="16"/>
                <w:szCs w:val="16"/>
                <w:color w:val="auto"/>
              </w:rPr>
            </w:pPr>
          </w:p>
        </w:tc>
        <w:tc>
          <w:tcPr>
            <w:tcW w:w="700" w:type="dxa"/>
            <w:vAlign w:val="bottom"/>
          </w:tcPr>
          <w:p>
            <w:pPr>
              <w:jc w:val="right"/>
              <w:ind w:right="54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9,350</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Items not requiring (providing) cash</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1"/>
        </w:trPr>
        <w:tc>
          <w:tcPr>
            <w:tcW w:w="7160" w:type="dxa"/>
            <w:vAlign w:val="bottom"/>
          </w:tcPr>
          <w:p>
            <w:pPr>
              <w:ind w:left="400"/>
              <w:spacing w:after="0"/>
              <w:rPr>
                <w:sz w:val="20"/>
                <w:szCs w:val="20"/>
                <w:color w:val="auto"/>
              </w:rPr>
            </w:pPr>
            <w:r>
              <w:rPr>
                <w:rFonts w:ascii="Arial" w:cs="Arial" w:eastAsia="Arial" w:hAnsi="Arial"/>
                <w:sz w:val="14"/>
                <w:szCs w:val="14"/>
                <w:color w:val="auto"/>
              </w:rPr>
              <w:t>Depreciation and amortization</w:t>
            </w:r>
          </w:p>
        </w:tc>
        <w:tc>
          <w:tcPr>
            <w:tcW w:w="12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1,371</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Provision for loan losses</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13,950</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2,850</w:t>
            </w:r>
          </w:p>
        </w:tc>
      </w:tr>
      <w:tr>
        <w:trPr>
          <w:trHeight w:val="191"/>
        </w:trPr>
        <w:tc>
          <w:tcPr>
            <w:tcW w:w="7160" w:type="dxa"/>
            <w:vAlign w:val="bottom"/>
          </w:tcPr>
          <w:p>
            <w:pPr>
              <w:ind w:left="400"/>
              <w:spacing w:after="0"/>
              <w:rPr>
                <w:sz w:val="20"/>
                <w:szCs w:val="20"/>
                <w:color w:val="auto"/>
              </w:rPr>
            </w:pPr>
            <w:r>
              <w:rPr>
                <w:rFonts w:ascii="Arial" w:cs="Arial" w:eastAsia="Arial" w:hAnsi="Arial"/>
                <w:sz w:val="14"/>
                <w:szCs w:val="14"/>
                <w:color w:val="auto"/>
              </w:rPr>
              <w:t>Accretion of discounts and amortization of premiums on securities</w:t>
            </w:r>
          </w:p>
        </w:tc>
        <w:tc>
          <w:tcPr>
            <w:tcW w:w="12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1,212</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Equity based compensation</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934</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1,135</w:t>
            </w:r>
          </w:p>
        </w:tc>
      </w:tr>
      <w:tr>
        <w:trPr>
          <w:trHeight w:val="191"/>
        </w:trPr>
        <w:tc>
          <w:tcPr>
            <w:tcW w:w="7160" w:type="dxa"/>
            <w:vAlign w:val="bottom"/>
          </w:tcPr>
          <w:p>
            <w:pPr>
              <w:ind w:left="400"/>
              <w:spacing w:after="0"/>
              <w:rPr>
                <w:sz w:val="20"/>
                <w:szCs w:val="20"/>
                <w:color w:val="auto"/>
              </w:rPr>
            </w:pPr>
            <w:r>
              <w:rPr>
                <w:rFonts w:ascii="Arial" w:cs="Arial" w:eastAsia="Arial" w:hAnsi="Arial"/>
                <w:sz w:val="14"/>
                <w:szCs w:val="14"/>
                <w:color w:val="auto"/>
              </w:rPr>
              <w:t>Loss on disposal of fixed assets</w:t>
            </w:r>
          </w:p>
        </w:tc>
        <w:tc>
          <w:tcPr>
            <w:tcW w:w="12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64</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Gain on sale of loans</w:t>
            </w:r>
          </w:p>
        </w:tc>
        <w:tc>
          <w:tcPr>
            <w:tcW w:w="1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r>
      <w:tr>
        <w:trPr>
          <w:trHeight w:val="191"/>
        </w:trPr>
        <w:tc>
          <w:tcPr>
            <w:tcW w:w="7160" w:type="dxa"/>
            <w:vAlign w:val="bottom"/>
          </w:tcPr>
          <w:p>
            <w:pPr>
              <w:ind w:left="400"/>
              <w:spacing w:after="0"/>
              <w:rPr>
                <w:sz w:val="20"/>
                <w:szCs w:val="20"/>
                <w:color w:val="auto"/>
              </w:rPr>
            </w:pPr>
            <w:r>
              <w:rPr>
                <w:rFonts w:ascii="Arial" w:cs="Arial" w:eastAsia="Arial" w:hAnsi="Arial"/>
                <w:sz w:val="14"/>
                <w:szCs w:val="14"/>
                <w:color w:val="auto"/>
              </w:rPr>
              <w:t>Deferred income taxes</w:t>
            </w:r>
          </w:p>
        </w:tc>
        <w:tc>
          <w:tcPr>
            <w:tcW w:w="12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2,881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969</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increase in bank owned life insurance</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(467)</w:t>
            </w:r>
          </w:p>
        </w:tc>
      </w:tr>
      <w:tr>
        <w:trPr>
          <w:trHeight w:val="191"/>
        </w:trPr>
        <w:tc>
          <w:tcPr>
            <w:tcW w:w="7160" w:type="dxa"/>
            <w:vAlign w:val="bottom"/>
          </w:tcPr>
          <w:p>
            <w:pPr>
              <w:ind w:left="400"/>
              <w:spacing w:after="0"/>
              <w:rPr>
                <w:sz w:val="20"/>
                <w:szCs w:val="20"/>
                <w:color w:val="auto"/>
              </w:rPr>
            </w:pPr>
            <w:r>
              <w:rPr>
                <w:rFonts w:ascii="Arial" w:cs="Arial" w:eastAsia="Arial" w:hAnsi="Arial"/>
                <w:sz w:val="14"/>
                <w:szCs w:val="14"/>
                <w:color w:val="auto"/>
              </w:rPr>
              <w:t>Net recognized gains on available-for-sale equity securities</w:t>
            </w:r>
          </w:p>
        </w:tc>
        <w:tc>
          <w:tcPr>
            <w:tcW w:w="12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(26)</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realized gains on available-for-sale debt securities</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r>
      <w:tr>
        <w:trPr>
          <w:trHeight w:val="191"/>
        </w:trPr>
        <w:tc>
          <w:tcPr>
            <w:tcW w:w="7160" w:type="dxa"/>
            <w:vAlign w:val="bottom"/>
          </w:tcPr>
          <w:p>
            <w:pPr>
              <w:ind w:left="400"/>
              <w:spacing w:after="0"/>
              <w:rPr>
                <w:sz w:val="20"/>
                <w:szCs w:val="20"/>
                <w:color w:val="auto"/>
              </w:rPr>
            </w:pPr>
            <w:r>
              <w:rPr>
                <w:rFonts w:ascii="Arial" w:cs="Arial" w:eastAsia="Arial" w:hAnsi="Arial"/>
                <w:sz w:val="14"/>
                <w:szCs w:val="14"/>
                <w:color w:val="auto"/>
              </w:rPr>
              <w:t>Dividends on FHLB stock</w:t>
            </w:r>
          </w:p>
        </w:tc>
        <w:tc>
          <w:tcPr>
            <w:tcW w:w="12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(251)</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Stock dividends on CRA mutual fund</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r>
      <w:tr>
        <w:trPr>
          <w:trHeight w:val="191"/>
        </w:trPr>
        <w:tc>
          <w:tcPr>
            <w:tcW w:w="7160" w:type="dxa"/>
            <w:vAlign w:val="bottom"/>
          </w:tcPr>
          <w:p>
            <w:pPr>
              <w:ind w:left="240"/>
              <w:spacing w:after="0"/>
              <w:rPr>
                <w:sz w:val="20"/>
                <w:szCs w:val="20"/>
                <w:color w:val="auto"/>
              </w:rPr>
            </w:pPr>
            <w:r>
              <w:rPr>
                <w:rFonts w:ascii="Arial" w:cs="Arial" w:eastAsia="Arial" w:hAnsi="Arial"/>
                <w:sz w:val="14"/>
                <w:szCs w:val="14"/>
                <w:color w:val="auto"/>
              </w:rPr>
              <w:t>Changes in</w:t>
            </w: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Interest receivable</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(1,242)</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(2,486)</w:t>
            </w:r>
          </w:p>
        </w:tc>
      </w:tr>
      <w:tr>
        <w:trPr>
          <w:trHeight w:val="191"/>
        </w:trPr>
        <w:tc>
          <w:tcPr>
            <w:tcW w:w="7160" w:type="dxa"/>
            <w:vAlign w:val="bottom"/>
          </w:tcPr>
          <w:p>
            <w:pPr>
              <w:ind w:left="400"/>
              <w:spacing w:after="0"/>
              <w:rPr>
                <w:sz w:val="20"/>
                <w:szCs w:val="20"/>
                <w:color w:val="auto"/>
              </w:rPr>
            </w:pPr>
            <w:r>
              <w:rPr>
                <w:rFonts w:ascii="Arial" w:cs="Arial" w:eastAsia="Arial" w:hAnsi="Arial"/>
                <w:sz w:val="14"/>
                <w:szCs w:val="14"/>
                <w:color w:val="auto"/>
              </w:rPr>
              <w:t>Other assets</w:t>
            </w:r>
          </w:p>
        </w:tc>
        <w:tc>
          <w:tcPr>
            <w:tcW w:w="12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(428)</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7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Other liabilities</w:t>
            </w:r>
          </w:p>
        </w:tc>
        <w:tc>
          <w:tcPr>
            <w:tcW w:w="1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(9,368)</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(2,518)</w:t>
            </w:r>
          </w:p>
        </w:tc>
      </w:tr>
      <w:tr>
        <w:trPr>
          <w:trHeight w:val="181"/>
        </w:trPr>
        <w:tc>
          <w:tcPr>
            <w:tcW w:w="7160" w:type="dxa"/>
            <w:vAlign w:val="bottom"/>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1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12,670</w:t>
            </w: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10,657</w:t>
            </w:r>
          </w:p>
        </w:tc>
      </w:tr>
      <w:tr>
        <w:trPr>
          <w:trHeight w:val="22"/>
        </w:trPr>
        <w:tc>
          <w:tcPr>
            <w:tcW w:w="7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2"/>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1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91"/>
        </w:trPr>
        <w:tc>
          <w:tcPr>
            <w:tcW w:w="7160" w:type="dxa"/>
            <w:vAlign w:val="bottom"/>
          </w:tcPr>
          <w:p>
            <w:pPr>
              <w:ind w:left="240"/>
              <w:spacing w:after="0"/>
              <w:rPr>
                <w:sz w:val="20"/>
                <w:szCs w:val="20"/>
                <w:color w:val="auto"/>
              </w:rPr>
            </w:pPr>
            <w:r>
              <w:rPr>
                <w:rFonts w:ascii="Arial" w:cs="Arial" w:eastAsia="Arial" w:hAnsi="Arial"/>
                <w:sz w:val="14"/>
                <w:szCs w:val="14"/>
                <w:color w:val="auto"/>
              </w:rPr>
              <w:t>Net change in loans</w:t>
            </w:r>
          </w:p>
        </w:tc>
        <w:tc>
          <w:tcPr>
            <w:tcW w:w="12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(169,595)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(219,804)</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Purchases of available-for-sale securities</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(11,861)</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(46,555)</w:t>
            </w:r>
          </w:p>
        </w:tc>
      </w:tr>
      <w:tr>
        <w:trPr>
          <w:trHeight w:val="191"/>
        </w:trPr>
        <w:tc>
          <w:tcPr>
            <w:tcW w:w="7160" w:type="dxa"/>
            <w:vAlign w:val="bottom"/>
          </w:tcPr>
          <w:p>
            <w:pPr>
              <w:ind w:left="240"/>
              <w:spacing w:after="0"/>
              <w:rPr>
                <w:sz w:val="20"/>
                <w:szCs w:val="20"/>
                <w:color w:val="auto"/>
              </w:rPr>
            </w:pPr>
            <w:r>
              <w:rPr>
                <w:rFonts w:ascii="Arial" w:cs="Arial" w:eastAsia="Arial" w:hAnsi="Arial"/>
                <w:sz w:val="14"/>
                <w:szCs w:val="14"/>
                <w:color w:val="auto"/>
              </w:rPr>
              <w:t>Proceeds from maturities of available-for-sale securities</w:t>
            </w:r>
          </w:p>
        </w:tc>
        <w:tc>
          <w:tcPr>
            <w:tcW w:w="12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21,528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10,609</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sale of available-for-sale securities</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3,841</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3,371</w:t>
            </w:r>
          </w:p>
        </w:tc>
      </w:tr>
      <w:tr>
        <w:trPr>
          <w:trHeight w:val="191"/>
        </w:trPr>
        <w:tc>
          <w:tcPr>
            <w:tcW w:w="7160" w:type="dxa"/>
            <w:vAlign w:val="bottom"/>
          </w:tcPr>
          <w:p>
            <w:pPr>
              <w:ind w:left="240"/>
              <w:spacing w:after="0"/>
              <w:rPr>
                <w:sz w:val="20"/>
                <w:szCs w:val="20"/>
                <w:color w:val="auto"/>
              </w:rPr>
            </w:pPr>
            <w:r>
              <w:rPr>
                <w:rFonts w:ascii="Arial" w:cs="Arial" w:eastAsia="Arial" w:hAnsi="Arial"/>
                <w:sz w:val="14"/>
                <w:szCs w:val="14"/>
                <w:color w:val="auto"/>
              </w:rPr>
              <w:t>Purchase of premises and equipment</w:t>
            </w:r>
          </w:p>
        </w:tc>
        <w:tc>
          <w:tcPr>
            <w:tcW w:w="12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(37)</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 of restricted equity securities</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(970)</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(400)</w:t>
            </w:r>
          </w:p>
        </w:tc>
      </w:tr>
      <w:tr>
        <w:trPr>
          <w:trHeight w:val="191"/>
        </w:trPr>
        <w:tc>
          <w:tcPr>
            <w:tcW w:w="7160" w:type="dxa"/>
            <w:vAlign w:val="bottom"/>
          </w:tcPr>
          <w:p>
            <w:pPr>
              <w:ind w:left="240"/>
              <w:spacing w:after="0"/>
              <w:rPr>
                <w:sz w:val="20"/>
                <w:szCs w:val="20"/>
                <w:color w:val="auto"/>
              </w:rPr>
            </w:pPr>
            <w:r>
              <w:rPr>
                <w:rFonts w:ascii="Arial" w:cs="Arial" w:eastAsia="Arial" w:hAnsi="Arial"/>
                <w:sz w:val="14"/>
                <w:szCs w:val="14"/>
                <w:color w:val="auto"/>
              </w:rPr>
              <w:t>Proceeds from the sale of fixed assets</w:t>
            </w:r>
          </w:p>
        </w:tc>
        <w:tc>
          <w:tcPr>
            <w:tcW w:w="12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341</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sale of restricted equity securities</w:t>
            </w:r>
          </w:p>
        </w:tc>
        <w:tc>
          <w:tcPr>
            <w:tcW w:w="1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715</w:t>
            </w:r>
          </w:p>
        </w:tc>
      </w:tr>
      <w:tr>
        <w:trPr>
          <w:trHeight w:val="181"/>
        </w:trPr>
        <w:tc>
          <w:tcPr>
            <w:tcW w:w="7160" w:type="dxa"/>
            <w:vAlign w:val="bottom"/>
          </w:tcPr>
          <w:p>
            <w:pPr>
              <w:ind w:left="660"/>
              <w:spacing w:after="0"/>
              <w:rPr>
                <w:sz w:val="20"/>
                <w:szCs w:val="20"/>
                <w:color w:val="auto"/>
              </w:rPr>
            </w:pPr>
            <w:r>
              <w:rPr>
                <w:rFonts w:ascii="Arial" w:cs="Arial" w:eastAsia="Arial" w:hAnsi="Arial"/>
                <w:sz w:val="14"/>
                <w:szCs w:val="14"/>
                <w:color w:val="auto"/>
              </w:rPr>
              <w:t>Net cash used in investing activities</w:t>
            </w:r>
          </w:p>
        </w:tc>
        <w:tc>
          <w:tcPr>
            <w:tcW w:w="1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(157,388)</w:t>
            </w: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(251,760)</w:t>
            </w:r>
          </w:p>
        </w:tc>
      </w:tr>
      <w:tr>
        <w:trPr>
          <w:trHeight w:val="22"/>
        </w:trPr>
        <w:tc>
          <w:tcPr>
            <w:tcW w:w="7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2"/>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212"/>
        </w:trPr>
        <w:tc>
          <w:tcPr>
            <w:tcW w:w="7160" w:type="dxa"/>
            <w:vAlign w:val="bottom"/>
          </w:tcPr>
          <w:p>
            <w:pPr>
              <w:ind w:left="260"/>
              <w:spacing w:after="0"/>
              <w:rPr>
                <w:sz w:val="20"/>
                <w:szCs w:val="20"/>
                <w:color w:val="auto"/>
              </w:rPr>
            </w:pPr>
            <w:r>
              <w:rPr>
                <w:rFonts w:ascii="Arial" w:cs="Arial" w:eastAsia="Arial" w:hAnsi="Arial"/>
                <w:sz w:val="14"/>
                <w:szCs w:val="14"/>
                <w:color w:val="auto"/>
              </w:rPr>
              <w:t>Net increase (decrease) in demand deposits, savings, NOW and money market accounts</w:t>
            </w:r>
          </w:p>
        </w:tc>
        <w:tc>
          <w:tcPr>
            <w:tcW w:w="120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185,747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(80,282)</w:t>
            </w: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increase (decrease) in time deposits</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(136,684)</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272,084</w:t>
            </w:r>
          </w:p>
        </w:tc>
      </w:tr>
      <w:tr>
        <w:trPr>
          <w:trHeight w:val="191"/>
        </w:trPr>
        <w:tc>
          <w:tcPr>
            <w:tcW w:w="7160" w:type="dxa"/>
            <w:vAlign w:val="bottom"/>
          </w:tcPr>
          <w:p>
            <w:pPr>
              <w:ind w:left="240"/>
              <w:spacing w:after="0"/>
              <w:rPr>
                <w:sz w:val="20"/>
                <w:szCs w:val="20"/>
                <w:color w:val="auto"/>
              </w:rPr>
            </w:pPr>
            <w:r>
              <w:rPr>
                <w:rFonts w:ascii="Arial" w:cs="Arial" w:eastAsia="Arial" w:hAnsi="Arial"/>
                <w:sz w:val="14"/>
                <w:szCs w:val="14"/>
                <w:color w:val="auto"/>
              </w:rPr>
              <w:t>Net increase (decrease) in repurchase agreements and fed funds purchased</w:t>
            </w:r>
          </w:p>
        </w:tc>
        <w:tc>
          <w:tcPr>
            <w:tcW w:w="12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24,025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(19,735)</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Federal Home Loan Bank advances</w:t>
            </w:r>
          </w:p>
        </w:tc>
        <w:tc>
          <w:tcPr>
            <w:tcW w:w="1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70,000</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10,000</w:t>
            </w:r>
          </w:p>
        </w:tc>
      </w:tr>
      <w:tr>
        <w:trPr>
          <w:trHeight w:val="191"/>
        </w:trPr>
        <w:tc>
          <w:tcPr>
            <w:tcW w:w="7160" w:type="dxa"/>
            <w:vAlign w:val="bottom"/>
          </w:tcPr>
          <w:p>
            <w:pPr>
              <w:ind w:left="240"/>
              <w:spacing w:after="0"/>
              <w:rPr>
                <w:sz w:val="20"/>
                <w:szCs w:val="20"/>
                <w:color w:val="auto"/>
              </w:rPr>
            </w:pPr>
            <w:r>
              <w:rPr>
                <w:rFonts w:ascii="Arial" w:cs="Arial" w:eastAsia="Arial" w:hAnsi="Arial"/>
                <w:sz w:val="14"/>
                <w:szCs w:val="14"/>
                <w:color w:val="auto"/>
              </w:rPr>
              <w:t>Repayment of Federal Home Loan Bank advances</w:t>
            </w:r>
          </w:p>
        </w:tc>
        <w:tc>
          <w:tcPr>
            <w:tcW w:w="12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(26,063)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(10,059)</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Retirement of preferred stock</w:t>
            </w:r>
          </w:p>
        </w:tc>
        <w:tc>
          <w:tcPr>
            <w:tcW w:w="1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(30,000)</w:t>
            </w:r>
          </w:p>
        </w:tc>
      </w:tr>
      <w:tr>
        <w:trPr>
          <w:trHeight w:val="191"/>
        </w:trPr>
        <w:tc>
          <w:tcPr>
            <w:tcW w:w="7160" w:type="dxa"/>
            <w:vAlign w:val="bottom"/>
          </w:tcPr>
          <w:p>
            <w:pPr>
              <w:ind w:left="240"/>
              <w:spacing w:after="0"/>
              <w:rPr>
                <w:sz w:val="20"/>
                <w:szCs w:val="20"/>
                <w:color w:val="auto"/>
              </w:rPr>
            </w:pPr>
            <w:r>
              <w:rPr>
                <w:rFonts w:ascii="Arial" w:cs="Arial" w:eastAsia="Arial" w:hAnsi="Arial"/>
                <w:sz w:val="14"/>
                <w:szCs w:val="14"/>
                <w:color w:val="auto"/>
              </w:rPr>
              <w:t>Issuance of common shares, net of issuance cost</w:t>
            </w:r>
          </w:p>
        </w:tc>
        <w:tc>
          <w:tcPr>
            <w:tcW w:w="120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280</w:t>
            </w:r>
          </w:p>
        </w:tc>
      </w:tr>
      <w:tr>
        <w:trPr>
          <w:trHeight w:val="22"/>
        </w:trPr>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1"/>
        </w:trPr>
        <w:tc>
          <w:tcPr>
            <w:tcW w:w="7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employee stock purchase plan</w:t>
            </w:r>
          </w:p>
        </w:tc>
        <w:tc>
          <w:tcPr>
            <w:tcW w:w="1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547</w:t>
            </w:r>
          </w:p>
        </w:tc>
      </w:tr>
      <w:tr>
        <w:trPr>
          <w:trHeight w:val="22"/>
        </w:trPr>
        <w:tc>
          <w:tcPr>
            <w:tcW w:w="71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0"/>
        </w:trPr>
        <w:tc>
          <w:tcPr>
            <w:tcW w:w="7300" w:type="dxa"/>
            <w:vAlign w:val="bottom"/>
            <w:gridSpan w:val="2"/>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9"/>
        </w:trPr>
        <w:tc>
          <w:tcPr>
            <w:tcW w:w="1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jc w:val="right"/>
              <w:ind w:right="76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3"/>
                <w:szCs w:val="13"/>
                <w:i w:val="1"/>
                <w:iCs w:val="1"/>
                <w:color w:val="auto"/>
                <w:w w:val="90"/>
              </w:rPr>
              <w:t>(Dollars in thousands)</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4"/>
                <w:szCs w:val="14"/>
                <w:color w:val="auto"/>
              </w:rPr>
              <w:t>Common stock purchased and retired</w:t>
            </w:r>
          </w:p>
        </w:tc>
        <w:tc>
          <w:tcPr>
            <w:tcW w:w="1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Acquisition of common stock for tax withholding obligations</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(671)</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7160" w:type="dxa"/>
            <w:vAlign w:val="bottom"/>
          </w:tcPr>
          <w:p>
            <w:pPr>
              <w:ind w:left="240"/>
              <w:spacing w:after="0"/>
              <w:rPr>
                <w:sz w:val="20"/>
                <w:szCs w:val="20"/>
                <w:color w:val="auto"/>
              </w:rPr>
            </w:pPr>
            <w:r>
              <w:rPr>
                <w:rFonts w:ascii="Arial" w:cs="Arial" w:eastAsia="Arial" w:hAnsi="Arial"/>
                <w:sz w:val="14"/>
                <w:szCs w:val="14"/>
                <w:color w:val="auto"/>
              </w:rPr>
              <w:t>Net decrease in employee receivables</w:t>
            </w:r>
          </w:p>
        </w:tc>
        <w:tc>
          <w:tcPr>
            <w:tcW w:w="1220" w:type="dxa"/>
            <w:vAlign w:val="bottom"/>
          </w:tcPr>
          <w:p>
            <w:pPr>
              <w:spacing w:after="0"/>
              <w:rPr>
                <w:sz w:val="16"/>
                <w:szCs w:val="16"/>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 paid on preferred stock</w:t>
            </w:r>
          </w:p>
        </w:tc>
        <w:tc>
          <w:tcPr>
            <w:tcW w:w="1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7160" w:type="dxa"/>
            <w:vAlign w:val="bottom"/>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1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116,385</w:t>
            </w: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141,879</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Decrease in Cash and Cash Equivalents</w:t>
            </w:r>
          </w:p>
        </w:tc>
        <w:tc>
          <w:tcPr>
            <w:tcW w:w="1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(28,333)</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(99,224)</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220" w:type="dxa"/>
            <w:vAlign w:val="bottom"/>
          </w:tcPr>
          <w:p>
            <w:pPr>
              <w:spacing w:after="0"/>
              <w:rPr>
                <w:sz w:val="16"/>
                <w:szCs w:val="16"/>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187,320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216,541</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End of Period</w:t>
            </w: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158,987</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117,317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Cash Flows Information</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716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paid</w:t>
            </w: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17,199</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16,718</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7160" w:type="dxa"/>
            <w:vAlign w:val="bottom"/>
          </w:tcPr>
          <w:p>
            <w:pPr>
              <w:ind w:left="240"/>
              <w:spacing w:after="0"/>
              <w:rPr>
                <w:sz w:val="20"/>
                <w:szCs w:val="20"/>
                <w:color w:val="auto"/>
              </w:rPr>
            </w:pPr>
            <w:r>
              <w:rPr>
                <w:rFonts w:ascii="Arial" w:cs="Arial" w:eastAsia="Arial" w:hAnsi="Arial"/>
                <w:sz w:val="14"/>
                <w:szCs w:val="14"/>
                <w:color w:val="auto"/>
              </w:rPr>
              <w:t>Income taxes paid</w:t>
            </w:r>
          </w:p>
        </w:tc>
        <w:tc>
          <w:tcPr>
            <w:tcW w:w="12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40" w:type="dxa"/>
            <w:vAlign w:val="bottom"/>
          </w:tcPr>
          <w:p>
            <w:pPr>
              <w:spacing w:after="0"/>
              <w:rPr>
                <w:sz w:val="16"/>
                <w:szCs w:val="16"/>
                <w:color w:val="auto"/>
              </w:rPr>
            </w:pPr>
          </w:p>
        </w:tc>
        <w:tc>
          <w:tcPr>
            <w:tcW w:w="7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Foreclosed assets in settlement of loans</w:t>
            </w:r>
          </w:p>
        </w:tc>
        <w:tc>
          <w:tcPr>
            <w:tcW w:w="1220" w:type="dxa"/>
            <w:vAlign w:val="bottom"/>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2,471</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71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5"/>
          <w:szCs w:val="15"/>
          <w:b w:val="1"/>
          <w:bCs w:val="1"/>
          <w:color w:val="auto"/>
        </w:rPr>
        <w:t>Nature of Operations and Summary of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Organization and Nature of Operations</w:t>
      </w:r>
    </w:p>
    <w:p>
      <w:pPr>
        <w:spacing w:after="0" w:line="126" w:lineRule="exact"/>
        <w:rPr>
          <w:sz w:val="20"/>
          <w:szCs w:val="20"/>
          <w:color w:val="auto"/>
        </w:rPr>
      </w:pPr>
    </w:p>
    <w:p>
      <w:pPr>
        <w:ind w:left="140" w:right="120" w:firstLine="382"/>
        <w:spacing w:after="0" w:line="262" w:lineRule="auto"/>
        <w:rPr>
          <w:sz w:val="20"/>
          <w:szCs w:val="20"/>
          <w:color w:val="auto"/>
        </w:rPr>
      </w:pPr>
      <w:r>
        <w:rPr>
          <w:rFonts w:ascii="Arial" w:cs="Arial" w:eastAsia="Arial" w:hAnsi="Arial"/>
          <w:sz w:val="14"/>
          <w:szCs w:val="14"/>
          <w:color w:val="auto"/>
        </w:rPr>
        <w:t>CrossFirst Bankshares, Inc. (the “Company”), a Kansas corporation, was incorporated in December 2017. Prior to incorporation, the Company was registered as a limited liability company under the name CrossFirst Holdings, LLC. The Company is a bank holding company whose principal activities are the ownership and management of its wholly-owned subsidiaries, CrossFirst Bank (the “Bank”) and CFSA, LLC (“CFSA”), which holds title to certain assets. In addition, CrossFirst Investments, Inc. (“CFI”) is a wholly-owned subsidiary of the Bank, which holds investments in marketable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Basis of Presentation</w:t>
      </w:r>
    </w:p>
    <w:p>
      <w:pPr>
        <w:spacing w:after="0" w:line="126" w:lineRule="exact"/>
        <w:rPr>
          <w:sz w:val="20"/>
          <w:szCs w:val="20"/>
          <w:color w:val="auto"/>
        </w:rPr>
      </w:pPr>
    </w:p>
    <w:p>
      <w:pPr>
        <w:ind w:left="140" w:right="300" w:firstLine="382"/>
        <w:spacing w:after="0" w:line="281" w:lineRule="auto"/>
        <w:rPr>
          <w:sz w:val="20"/>
          <w:szCs w:val="20"/>
          <w:color w:val="auto"/>
        </w:rPr>
      </w:pPr>
      <w:r>
        <w:rPr>
          <w:rFonts w:ascii="Arial" w:cs="Arial" w:eastAsia="Arial" w:hAnsi="Arial"/>
          <w:sz w:val="14"/>
          <w:szCs w:val="14"/>
          <w:color w:val="auto"/>
        </w:rPr>
        <w:t>The Company’s accounting and reporting policies conform to accounting principles generally accepted in the United States (“GAAP”). The consolidated financial statements include the accounts of the Company, the Bank, CFI and CFSA. All significant intercompany accounts and transactions have been eliminated in consolidation.</w:t>
      </w:r>
    </w:p>
    <w:p>
      <w:pPr>
        <w:spacing w:after="0" w:line="90" w:lineRule="exact"/>
        <w:rPr>
          <w:sz w:val="20"/>
          <w:szCs w:val="20"/>
          <w:color w:val="auto"/>
        </w:rPr>
      </w:pPr>
    </w:p>
    <w:p>
      <w:pPr>
        <w:ind w:left="140" w:firstLine="382"/>
        <w:spacing w:after="0" w:line="267" w:lineRule="auto"/>
        <w:rPr>
          <w:sz w:val="20"/>
          <w:szCs w:val="20"/>
          <w:color w:val="auto"/>
        </w:rPr>
      </w:pPr>
      <w:r>
        <w:rPr>
          <w:rFonts w:ascii="Arial" w:cs="Arial" w:eastAsia="Arial" w:hAnsi="Arial"/>
          <w:sz w:val="14"/>
          <w:szCs w:val="14"/>
          <w:color w:val="auto"/>
        </w:rPr>
        <w:t>The consolidated interim financial statements are unaudited and certain information and footnote disclosures presented in accordance with GAAP have been condensed or omitted and should be read in conjunction with the Company’s consolidated financial statements, and notes included in the Company’s Annual Report on Form 10-K for the year ended December 31, 2019, filed with the SEC on March 10, 2020.</w:t>
      </w:r>
    </w:p>
    <w:p>
      <w:pPr>
        <w:spacing w:after="0" w:line="99" w:lineRule="exact"/>
        <w:rPr>
          <w:sz w:val="20"/>
          <w:szCs w:val="20"/>
          <w:color w:val="auto"/>
        </w:rPr>
      </w:pPr>
    </w:p>
    <w:p>
      <w:pPr>
        <w:jc w:val="both"/>
        <w:ind w:left="140" w:right="200" w:firstLine="382"/>
        <w:spacing w:after="0" w:line="267" w:lineRule="auto"/>
        <w:rPr>
          <w:sz w:val="20"/>
          <w:szCs w:val="20"/>
          <w:color w:val="auto"/>
        </w:rPr>
      </w:pPr>
      <w:r>
        <w:rPr>
          <w:rFonts w:ascii="Arial" w:cs="Arial" w:eastAsia="Arial" w:hAnsi="Arial"/>
          <w:sz w:val="14"/>
          <w:szCs w:val="14"/>
          <w:color w:val="auto"/>
        </w:rPr>
        <w:t>In the opinion of management, the interim financial statements include all adjustments which are of a normal, recurring nature necessary for the fair presentation of the financial position, results of operations, and cash flows of the Company and the disclosures made are adequate to make the interim financial information not misleading. The consolidated financial statements have been prepared in accordance with GAAP for interim financial information and the instructions to Form 10-Q adopted by the SEC.</w:t>
      </w:r>
    </w:p>
    <w:p>
      <w:pPr>
        <w:spacing w:after="0" w:line="99" w:lineRule="exact"/>
        <w:rPr>
          <w:sz w:val="20"/>
          <w:szCs w:val="20"/>
          <w:color w:val="auto"/>
        </w:rPr>
      </w:pPr>
    </w:p>
    <w:p>
      <w:pPr>
        <w:ind w:left="140" w:right="140" w:firstLine="382"/>
        <w:spacing w:after="0" w:line="304" w:lineRule="auto"/>
        <w:rPr>
          <w:sz w:val="20"/>
          <w:szCs w:val="20"/>
          <w:color w:val="auto"/>
        </w:rPr>
      </w:pPr>
      <w:r>
        <w:rPr>
          <w:rFonts w:ascii="Arial" w:cs="Arial" w:eastAsia="Arial" w:hAnsi="Arial"/>
          <w:sz w:val="12"/>
          <w:szCs w:val="12"/>
          <w:color w:val="auto"/>
        </w:rPr>
        <w:t>Except for the accounting changes mentioned under “Coronavirus Aid, Relief, and Economic Security Act” and “Change in Accounting Principal” section below, no other significant changes in the accounting policies of the Company occurred since December 31, 2019, the most recent date financial statements were provided within the Company’s Annual Report on Form 10-</w:t>
      </w:r>
    </w:p>
    <w:p>
      <w:pPr>
        <w:ind w:left="140" w:right="240" w:hanging="8"/>
        <w:spacing w:after="0" w:line="266" w:lineRule="auto"/>
        <w:tabs>
          <w:tab w:leader="none" w:pos="34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information contained in the financial statements and footnotes for the period ended December 31, 2019 included in the Company’s 2019 Form 10-K should be referred to in connection with these unaudited interim consolidated financial statements.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Operating results for the interim periods disclosed herein are not necessarily indicative of the results that may be expected for a full year or any future period.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Use of Estimates</w:t>
      </w:r>
    </w:p>
    <w:p>
      <w:pPr>
        <w:spacing w:after="0" w:line="126" w:lineRule="exact"/>
        <w:rPr>
          <w:sz w:val="20"/>
          <w:szCs w:val="20"/>
          <w:color w:val="auto"/>
        </w:rPr>
      </w:pPr>
    </w:p>
    <w:p>
      <w:pPr>
        <w:ind w:left="140" w:right="80" w:firstLine="382"/>
        <w:spacing w:after="0" w:line="260" w:lineRule="auto"/>
        <w:rPr>
          <w:sz w:val="20"/>
          <w:szCs w:val="20"/>
          <w:color w:val="auto"/>
        </w:rPr>
      </w:pPr>
      <w:r>
        <w:rPr>
          <w:rFonts w:ascii="Arial" w:cs="Arial" w:eastAsia="Arial" w:hAnsi="Arial"/>
          <w:sz w:val="14"/>
          <w:szCs w:val="14"/>
          <w:color w:val="auto"/>
        </w:rPr>
        <w:t>The Company has identified accounting policies and estimates that, due to the difficult, subjective or complex judgments and assumptions inherent in those policies and estimates and the potential sensitivity of the Company’s financial statements to those judgments and assumptions, are critical to an understanding of the Company’s financial condition and results of operations. Actual results could differ from those estimates. In particular, the novel coronavirus (“COVID-19”) pandemic and resulting impacts to economic conditions, as well as, adverse impacts to the Company’s operations may impact future estimates. The Allowance for Loan and Lease Losses, Investment Securities Impairment, Deferred Tax Asset, and Fair Value of Financial Instruments are particularly susceptible to significant change.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Equivalents</w:t>
      </w:r>
    </w:p>
    <w:p>
      <w:pPr>
        <w:spacing w:after="0" w:line="126" w:lineRule="exact"/>
        <w:rPr>
          <w:sz w:val="20"/>
          <w:szCs w:val="20"/>
          <w:color w:val="auto"/>
        </w:rPr>
      </w:pPr>
    </w:p>
    <w:p>
      <w:pPr>
        <w:ind w:left="140" w:right="120" w:firstLine="382"/>
        <w:spacing w:after="0" w:line="267" w:lineRule="auto"/>
        <w:rPr>
          <w:sz w:val="20"/>
          <w:szCs w:val="20"/>
          <w:color w:val="auto"/>
        </w:rPr>
      </w:pPr>
      <w:r>
        <w:rPr>
          <w:rFonts w:ascii="Arial" w:cs="Arial" w:eastAsia="Arial" w:hAnsi="Arial"/>
          <w:sz w:val="14"/>
          <w:szCs w:val="14"/>
          <w:color w:val="auto"/>
        </w:rPr>
        <w:t>The Company had $111 million of cash and cash equivalents at the Federal Reserve Bank of Kansas City as of March 31, 2020. The reserve required at March 31, 2020 was $0. In addition, the Company is at times required to place cash collateral with a third party as part of its back-to-back swap agreements. At March 31, 2020, approximately $30 million was required as cash collateral.</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Coronavirus Aid, Relief, and Economic Security Act (“CARES Act”)</w:t>
      </w:r>
    </w:p>
    <w:p>
      <w:pPr>
        <w:spacing w:after="0" w:line="126" w:lineRule="exact"/>
        <w:rPr>
          <w:sz w:val="20"/>
          <w:szCs w:val="20"/>
          <w:color w:val="auto"/>
        </w:rPr>
      </w:pPr>
    </w:p>
    <w:p>
      <w:pPr>
        <w:ind w:left="140" w:firstLine="382"/>
        <w:spacing w:after="0" w:line="267" w:lineRule="auto"/>
        <w:rPr>
          <w:sz w:val="20"/>
          <w:szCs w:val="20"/>
          <w:color w:val="auto"/>
        </w:rPr>
      </w:pPr>
      <w:r>
        <w:rPr>
          <w:rFonts w:ascii="Arial" w:cs="Arial" w:eastAsia="Arial" w:hAnsi="Arial"/>
          <w:sz w:val="14"/>
          <w:szCs w:val="14"/>
          <w:color w:val="auto"/>
        </w:rPr>
        <w:t>The CARES Act allows financial institutions to elect not to consider whether loan modifications relating to the COVID-19 pandemic that they make between March 1, 2020 and the earlier of December 31, 2020 or 60 days after the national emergency related to the COVID-19 pandemic ends are troubled debt restructurings (“TDRs”) that would require accounting consequences. The relief can be applied to modifications of loans to borrowers that were not more than 30 days past due as of December 31, 2019.</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elected the guidance during the first quarter of 2020. The review of loans that meet the criteria is overseen by the Chief Credit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1" w:name="page12"/>
    <w:bookmarkEnd w:id="11"/>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Change in Accounting Principle</w:t>
      </w:r>
    </w:p>
    <w:p>
      <w:pPr>
        <w:spacing w:after="0" w:line="126" w:lineRule="exact"/>
        <w:rPr>
          <w:sz w:val="20"/>
          <w:szCs w:val="20"/>
          <w:color w:val="auto"/>
        </w:rPr>
      </w:pPr>
    </w:p>
    <w:p>
      <w:pPr>
        <w:ind w:left="140" w:right="320" w:firstLine="382"/>
        <w:spacing w:after="0" w:line="267" w:lineRule="auto"/>
        <w:rPr>
          <w:sz w:val="20"/>
          <w:szCs w:val="20"/>
          <w:color w:val="auto"/>
        </w:rPr>
      </w:pPr>
      <w:r>
        <w:rPr>
          <w:rFonts w:ascii="Arial" w:cs="Arial" w:eastAsia="Arial" w:hAnsi="Arial"/>
          <w:sz w:val="14"/>
          <w:szCs w:val="14"/>
          <w:color w:val="auto"/>
        </w:rPr>
        <w:t>On January 1, 2020, the Company adopted the Financial Accounting Standards Board Accounting Standard Update (“ASU”) 2017-04, Intangibles—Goodwill and Other (Topic 350): Simplifying the Test for Goodwill Impairment, which was applied on a prospective basis. A description of the nature and reason for the change in accounting principle is provided below in the recent accounting pronouncements section.</w:t>
      </w:r>
    </w:p>
    <w:p>
      <w:pPr>
        <w:spacing w:after="0" w:line="99" w:lineRule="exact"/>
        <w:rPr>
          <w:sz w:val="20"/>
          <w:szCs w:val="20"/>
          <w:color w:val="auto"/>
        </w:rPr>
      </w:pPr>
    </w:p>
    <w:p>
      <w:pPr>
        <w:ind w:left="140" w:right="180" w:firstLine="382"/>
        <w:spacing w:after="0" w:line="281" w:lineRule="auto"/>
        <w:rPr>
          <w:sz w:val="20"/>
          <w:szCs w:val="20"/>
          <w:color w:val="auto"/>
        </w:rPr>
      </w:pPr>
      <w:r>
        <w:rPr>
          <w:rFonts w:ascii="Arial" w:cs="Arial" w:eastAsia="Arial" w:hAnsi="Arial"/>
          <w:sz w:val="14"/>
          <w:szCs w:val="14"/>
          <w:color w:val="auto"/>
        </w:rPr>
        <w:t>On January 1, 2020, the Company adopted ASU 2019-12, Simplifying the Accounting for Income Taxes, which was applied as of the adoption date. A description of the nature and reason for the change in accounting principle is provided below in the recent accounting pronouncements section.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Changes Affecting Comparability</w:t>
      </w:r>
    </w:p>
    <w:p>
      <w:pPr>
        <w:spacing w:after="0" w:line="126" w:lineRule="exact"/>
        <w:rPr>
          <w:sz w:val="20"/>
          <w:szCs w:val="20"/>
          <w:color w:val="auto"/>
        </w:rPr>
      </w:pPr>
    </w:p>
    <w:p>
      <w:pPr>
        <w:ind w:left="140" w:right="200" w:firstLine="382"/>
        <w:spacing w:after="0" w:line="267" w:lineRule="auto"/>
        <w:rPr>
          <w:sz w:val="20"/>
          <w:szCs w:val="20"/>
          <w:color w:val="auto"/>
        </w:rPr>
      </w:pPr>
      <w:r>
        <w:rPr>
          <w:rFonts w:ascii="Arial" w:cs="Arial" w:eastAsia="Arial" w:hAnsi="Arial"/>
          <w:sz w:val="14"/>
          <w:szCs w:val="14"/>
          <w:color w:val="auto"/>
        </w:rPr>
        <w:t>For the quarter ended March 31, 2020, the Company consolidated the “Other” line item previously included in stockholders’ equity into retained earnings within the Consolidated Balance Sheets and the Consolidated Statements of Stockholders’ Equity. The consolidation was made due to the immateriality of the “Other” line item. The change had no impact on net income or stockholders’ equity.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Initial Public Offering</w:t>
      </w:r>
    </w:p>
    <w:p>
      <w:pPr>
        <w:spacing w:after="0" w:line="126" w:lineRule="exact"/>
        <w:rPr>
          <w:sz w:val="20"/>
          <w:szCs w:val="20"/>
          <w:color w:val="auto"/>
        </w:rPr>
      </w:pPr>
    </w:p>
    <w:p>
      <w:pPr>
        <w:ind w:left="140" w:right="40" w:firstLine="382"/>
        <w:spacing w:after="0" w:line="262" w:lineRule="auto"/>
        <w:rPr>
          <w:sz w:val="20"/>
          <w:szCs w:val="20"/>
          <w:color w:val="auto"/>
        </w:rPr>
      </w:pPr>
      <w:r>
        <w:rPr>
          <w:rFonts w:ascii="Arial" w:cs="Arial" w:eastAsia="Arial" w:hAnsi="Arial"/>
          <w:sz w:val="14"/>
          <w:szCs w:val="14"/>
          <w:color w:val="auto"/>
        </w:rPr>
        <w:t>On August 19, 2019, the Company completed its initial public offering of common shares. The Company issued and sold 5,750,000 common shares at a public offering price of $14.50 per share. After deducting the underwriting discounts and offering expenses, the Company received total net proceeds of $76 million from the initial public offering. In addition, certain selling stockholders participated in the offering and sold an aggregate of 1,261,589 common shares at a public offering price of $14.50 per share. The Company did not receive any proceeds from the sales of shares by the selling stockholders.</w:t>
      </w:r>
    </w:p>
    <w:p>
      <w:pPr>
        <w:spacing w:after="0" w:line="103" w:lineRule="exact"/>
        <w:rPr>
          <w:sz w:val="20"/>
          <w:szCs w:val="20"/>
          <w:color w:val="auto"/>
        </w:rPr>
      </w:pPr>
    </w:p>
    <w:p>
      <w:pPr>
        <w:ind w:left="140" w:right="220" w:firstLine="382"/>
        <w:spacing w:after="0" w:line="281" w:lineRule="auto"/>
        <w:rPr>
          <w:sz w:val="20"/>
          <w:szCs w:val="20"/>
          <w:color w:val="auto"/>
        </w:rPr>
      </w:pPr>
      <w:r>
        <w:rPr>
          <w:rFonts w:ascii="Arial" w:cs="Arial" w:eastAsia="Arial" w:hAnsi="Arial"/>
          <w:sz w:val="14"/>
          <w:szCs w:val="14"/>
          <w:color w:val="auto"/>
        </w:rPr>
        <w:t>On September 17, 2019, the underwriters partially exercised their option to purchase additional shares. The Company issued and sold 844,362 common shares at a public offering price of $14.50 per share. After deducting the underwriting discounts and offering expenses, the Company received total net proceeds of $11 million.</w:t>
      </w:r>
    </w:p>
    <w:p>
      <w:pPr>
        <w:spacing w:after="0" w:line="90" w:lineRule="exact"/>
        <w:rPr>
          <w:sz w:val="20"/>
          <w:szCs w:val="20"/>
          <w:color w:val="auto"/>
        </w:rPr>
      </w:pPr>
    </w:p>
    <w:p>
      <w:pPr>
        <w:ind w:left="140" w:firstLine="382"/>
        <w:spacing w:after="0" w:line="260" w:lineRule="auto"/>
        <w:rPr>
          <w:sz w:val="20"/>
          <w:szCs w:val="20"/>
          <w:color w:val="auto"/>
        </w:rPr>
      </w:pPr>
      <w:r>
        <w:rPr>
          <w:rFonts w:ascii="Arial" w:cs="Arial" w:eastAsia="Arial" w:hAnsi="Arial"/>
          <w:sz w:val="14"/>
          <w:szCs w:val="14"/>
          <w:color w:val="auto"/>
        </w:rPr>
        <w:t>As of March 31, 2020, the Company qualified as an emerging growth company (“EGC”) under the Jumpstart Our Business Startups Act of 2012 (the “JOBS Act”).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2" w:name="page13"/>
    <w:bookmarkEnd w:id="12"/>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Recent Accounting Pronouncements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has implemented the following ASUs during 2020:</w:t>
      </w:r>
    </w:p>
    <w:p>
      <w:pPr>
        <w:sectPr>
          <w:pgSz w:w="11900" w:h="16838" w:orient="portrait"/>
          <w:cols w:equalWidth="0" w:num="1">
            <w:col w:w="11280"/>
          </w:cols>
          <w:pgMar w:left="300" w:top="171" w:right="319" w:bottom="1440" w:gutter="0" w:footer="0" w:header="0"/>
        </w:sect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Standard</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ASU 2019-12:</w:t>
      </w:r>
    </w:p>
    <w:p>
      <w:pPr>
        <w:spacing w:after="0" w:line="168" w:lineRule="exact"/>
        <w:rPr>
          <w:sz w:val="20"/>
          <w:szCs w:val="20"/>
          <w:color w:val="auto"/>
        </w:rPr>
      </w:pPr>
    </w:p>
    <w:p>
      <w:pPr>
        <w:jc w:val="both"/>
        <w:ind w:left="140"/>
        <w:spacing w:after="0" w:line="276" w:lineRule="auto"/>
        <w:rPr>
          <w:sz w:val="20"/>
          <w:szCs w:val="20"/>
          <w:color w:val="auto"/>
        </w:rPr>
      </w:pPr>
      <w:r>
        <w:rPr>
          <w:rFonts w:ascii="Arial" w:cs="Arial" w:eastAsia="Arial" w:hAnsi="Arial"/>
          <w:sz w:val="12"/>
          <w:szCs w:val="12"/>
          <w:i w:val="1"/>
          <w:iCs w:val="1"/>
          <w:color w:val="auto"/>
        </w:rPr>
        <w:t>Income Taxes (Topic 740): Simplifying the Accounting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ASU 2018-13:</w:t>
      </w:r>
    </w:p>
    <w:p>
      <w:pPr>
        <w:spacing w:after="0" w:line="168" w:lineRule="exact"/>
        <w:rPr>
          <w:sz w:val="20"/>
          <w:szCs w:val="20"/>
          <w:color w:val="auto"/>
        </w:rPr>
      </w:pPr>
    </w:p>
    <w:p>
      <w:pPr>
        <w:ind w:left="140" w:right="140"/>
        <w:spacing w:after="0" w:line="276" w:lineRule="auto"/>
        <w:rPr>
          <w:sz w:val="20"/>
          <w:szCs w:val="20"/>
          <w:color w:val="auto"/>
        </w:rPr>
      </w:pPr>
      <w:r>
        <w:rPr>
          <w:rFonts w:ascii="Arial" w:cs="Arial" w:eastAsia="Arial" w:hAnsi="Arial"/>
          <w:sz w:val="12"/>
          <w:szCs w:val="12"/>
          <w:i w:val="1"/>
          <w:iCs w:val="1"/>
          <w:color w:val="auto"/>
        </w:rPr>
        <w:t>Fair Value Measurement (Topic 820): Disclosure Framework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 of</w:t>
      </w:r>
    </w:p>
    <w:p>
      <w:pPr>
        <w:spacing w:after="0" w:line="23"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Adoption</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19050</wp:posOffset>
            </wp:positionV>
            <wp:extent cx="7080885" cy="1866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0885" cy="1866265"/>
                    </a:xfrm>
                    <a:prstGeom prst="rect">
                      <a:avLst/>
                    </a:prstGeom>
                    <a:noFill/>
                  </pic:spPr>
                </pic:pic>
              </a:graphicData>
            </a:graphic>
          </wp:anchor>
        </w:drawing>
      </w:r>
    </w:p>
    <w:p>
      <w:pPr>
        <w:spacing w:after="0" w:line="32" w:lineRule="exact"/>
        <w:rPr>
          <w:sz w:val="20"/>
          <w:szCs w:val="20"/>
          <w:color w:val="auto"/>
        </w:rPr>
      </w:pPr>
    </w:p>
    <w:p>
      <w:pPr>
        <w:ind w:left="1120" w:right="20" w:hanging="1134"/>
        <w:spacing w:after="0" w:line="260" w:lineRule="auto"/>
        <w:tabs>
          <w:tab w:leader="none" w:pos="1100" w:val="left"/>
        </w:tabs>
        <w:rPr>
          <w:sz w:val="20"/>
          <w:szCs w:val="20"/>
          <w:color w:val="auto"/>
        </w:rPr>
      </w:pPr>
      <w:r>
        <w:rPr>
          <w:rFonts w:ascii="Arial" w:cs="Arial" w:eastAsia="Arial" w:hAnsi="Arial"/>
          <w:sz w:val="14"/>
          <w:szCs w:val="14"/>
          <w:color w:val="auto"/>
        </w:rPr>
        <w:t>January 1, 2020</w:t>
      </w:r>
      <w:r>
        <w:rPr>
          <w:sz w:val="20"/>
          <w:szCs w:val="20"/>
          <w:color w:val="auto"/>
        </w:rPr>
        <w:tab/>
      </w:r>
      <w:r>
        <w:rPr>
          <w:rFonts w:ascii="Arial" w:cs="Arial" w:eastAsia="Arial" w:hAnsi="Arial"/>
          <w:sz w:val="14"/>
          <w:szCs w:val="14"/>
          <w:color w:val="auto"/>
        </w:rPr>
        <w:t>The amendments in the ASU simplify the accounting for income taxes. Among other changes, the ASU:</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(Early Adoption)</w:t>
      </w:r>
    </w:p>
    <w:p>
      <w:pPr>
        <w:spacing w:after="0" w:line="9" w:lineRule="exact"/>
        <w:rPr>
          <w:sz w:val="20"/>
          <w:szCs w:val="20"/>
          <w:color w:val="auto"/>
        </w:rPr>
      </w:pPr>
    </w:p>
    <w:p>
      <w:pPr>
        <w:ind w:left="1120" w:right="40" w:firstLine="7"/>
        <w:spacing w:after="0" w:line="259" w:lineRule="auto"/>
        <w:tabs>
          <w:tab w:leader="none" w:pos="1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Removes the exception to the incremental approach for intraperiod tax allocation when there is a loss from continuing operations and income or a gain from other items;</w:t>
      </w:r>
    </w:p>
    <w:p>
      <w:pPr>
        <w:spacing w:after="0" w:line="147" w:lineRule="exact"/>
        <w:rPr>
          <w:rFonts w:ascii="Arial" w:cs="Arial" w:eastAsia="Arial" w:hAnsi="Arial"/>
          <w:sz w:val="14"/>
          <w:szCs w:val="14"/>
          <w:color w:val="auto"/>
        </w:rPr>
      </w:pPr>
    </w:p>
    <w:p>
      <w:pPr>
        <w:ind w:left="1120" w:firstLine="7"/>
        <w:spacing w:after="0" w:line="368" w:lineRule="auto"/>
        <w:tabs>
          <w:tab w:leader="none" w:pos="1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Removes the exception to the general methodology for calculating income taxes in an interim period when a year-to-date loss exceeds the anticipates loss for the year;</w:t>
      </w:r>
    </w:p>
    <w:p>
      <w:pPr>
        <w:spacing w:after="0" w:line="86" w:lineRule="exact"/>
        <w:rPr>
          <w:rFonts w:ascii="Arial" w:cs="Arial" w:eastAsia="Arial" w:hAnsi="Arial"/>
          <w:sz w:val="12"/>
          <w:szCs w:val="12"/>
          <w:color w:val="auto"/>
        </w:rPr>
      </w:pPr>
    </w:p>
    <w:p>
      <w:pPr>
        <w:ind w:left="1120" w:firstLine="7"/>
        <w:spacing w:after="0" w:line="267" w:lineRule="auto"/>
        <w:tabs>
          <w:tab w:leader="none" w:pos="1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Requires an entity to recognize a franchise tax that is partially based on income as an income-based tax and account for any incremental amount incurred as a nonincome based tax; and</w:t>
      </w:r>
    </w:p>
    <w:p>
      <w:pPr>
        <w:spacing w:after="0" w:line="141" w:lineRule="exact"/>
        <w:rPr>
          <w:rFonts w:ascii="Arial" w:cs="Arial" w:eastAsia="Arial" w:hAnsi="Arial"/>
          <w:sz w:val="14"/>
          <w:szCs w:val="14"/>
          <w:color w:val="auto"/>
        </w:rPr>
      </w:pPr>
    </w:p>
    <w:p>
      <w:pPr>
        <w:ind w:left="1120" w:right="180" w:firstLine="7"/>
        <w:spacing w:after="0" w:line="267" w:lineRule="auto"/>
        <w:tabs>
          <w:tab w:leader="none" w:pos="1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Requires an entity reflect the effect of an enacted change in tax laws or rates in the annual effective tax rate computation in the interim period that includes the enactment date.</w:t>
      </w:r>
    </w:p>
    <w:p>
      <w:pPr>
        <w:spacing w:after="0" w:line="14" w:lineRule="exact"/>
        <w:rPr>
          <w:sz w:val="20"/>
          <w:szCs w:val="20"/>
          <w:color w:val="auto"/>
        </w:rPr>
      </w:pPr>
    </w:p>
    <w:p>
      <w:pPr>
        <w:ind w:left="1120" w:right="20" w:hanging="1134"/>
        <w:spacing w:after="0" w:line="262" w:lineRule="auto"/>
        <w:tabs>
          <w:tab w:leader="none" w:pos="1100" w:val="left"/>
        </w:tabs>
        <w:rPr>
          <w:sz w:val="20"/>
          <w:szCs w:val="20"/>
          <w:color w:val="auto"/>
        </w:rPr>
      </w:pPr>
      <w:r>
        <w:rPr>
          <w:rFonts w:ascii="Arial" w:cs="Arial" w:eastAsia="Arial" w:hAnsi="Arial"/>
          <w:sz w:val="14"/>
          <w:szCs w:val="14"/>
          <w:color w:val="auto"/>
        </w:rPr>
        <w:t>January 1, 2020</w:t>
      </w:r>
      <w:r>
        <w:rPr>
          <w:sz w:val="20"/>
          <w:szCs w:val="20"/>
          <w:color w:val="auto"/>
        </w:rPr>
        <w:tab/>
      </w:r>
      <w:r>
        <w:rPr>
          <w:rFonts w:ascii="Arial" w:cs="Arial" w:eastAsia="Arial" w:hAnsi="Arial"/>
          <w:sz w:val="14"/>
          <w:szCs w:val="14"/>
          <w:color w:val="auto"/>
        </w:rPr>
        <w:t>Improves the effectiveness of disclosures in the notes to financial statements by facilitating clear communication of the information. The amendments modify certain disclosure requirements on fair value measurements in Topic 820, Fair Value Measurement.</w:t>
      </w:r>
    </w:p>
    <w:p>
      <w:pPr>
        <w:spacing w:after="0" w:line="146" w:lineRule="exact"/>
        <w:rPr>
          <w:sz w:val="20"/>
          <w:szCs w:val="20"/>
          <w:color w:val="auto"/>
        </w:rPr>
      </w:pPr>
    </w:p>
    <w:p>
      <w:pPr>
        <w:ind w:left="1120"/>
        <w:spacing w:after="0" w:line="280" w:lineRule="auto"/>
        <w:rPr>
          <w:sz w:val="20"/>
          <w:szCs w:val="20"/>
          <w:color w:val="auto"/>
        </w:rPr>
      </w:pPr>
      <w:r>
        <w:rPr>
          <w:rFonts w:ascii="Arial" w:cs="Arial" w:eastAsia="Arial" w:hAnsi="Arial"/>
          <w:sz w:val="13"/>
          <w:szCs w:val="13"/>
          <w:color w:val="auto"/>
        </w:rPr>
        <w:t>Entities are no longer required to disclose transfers between Level 1 and Level 2 of the fair value hierarchy or qualitatively disclose the valuation process for Level 3 fair value measurements. The updated guidance requires disclosure of the changes in unrealized gains and losses for the period included in Other Comprehensive Income for recurring Level 3 fair value measurements. Entities are required to disclose the range and weighted average used to develop significant unobservable inputs for Level 3 fair value measurements.</w:t>
      </w:r>
    </w:p>
    <w:p>
      <w:pPr>
        <w:spacing w:after="0" w:line="137" w:lineRule="exact"/>
        <w:rPr>
          <w:sz w:val="20"/>
          <w:szCs w:val="20"/>
          <w:color w:val="auto"/>
        </w:rPr>
      </w:pPr>
    </w:p>
    <w:p>
      <w:pPr>
        <w:ind w:left="1120" w:right="340"/>
        <w:spacing w:after="0" w:line="298" w:lineRule="auto"/>
        <w:rPr>
          <w:sz w:val="20"/>
          <w:szCs w:val="20"/>
          <w:color w:val="auto"/>
        </w:rPr>
      </w:pPr>
      <w:r>
        <w:rPr>
          <w:rFonts w:ascii="Arial" w:cs="Arial" w:eastAsia="Arial" w:hAnsi="Arial"/>
          <w:sz w:val="13"/>
          <w:szCs w:val="13"/>
          <w:color w:val="auto"/>
        </w:rPr>
        <w:t>The additional provisions of the guidance should be adopted prospectively. The eliminated requirements should be adopted retrospectively.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b w:val="1"/>
          <w:bCs w:val="1"/>
          <w:color w:val="auto"/>
        </w:rPr>
        <w:t>Effect on Financial Statements or Other Significant Matters</w:t>
      </w:r>
    </w:p>
    <w:p>
      <w:pPr>
        <w:spacing w:after="0" w:line="12"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The amendments in the ASU did not have a material impact on the Company’s tax methodology, processes, or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color w:val="auto"/>
        </w:rPr>
        <w:t>The adoption did not have a material impact to the financial statements.</w:t>
      </w:r>
    </w:p>
    <w:p>
      <w:pPr>
        <w:spacing w:after="0" w:line="132" w:lineRule="exact"/>
        <w:rPr>
          <w:sz w:val="20"/>
          <w:szCs w:val="20"/>
          <w:color w:val="auto"/>
        </w:rPr>
      </w:pPr>
    </w:p>
    <w:p>
      <w:pPr>
        <w:ind w:right="40"/>
        <w:spacing w:after="0" w:line="307" w:lineRule="auto"/>
        <w:rPr>
          <w:sz w:val="20"/>
          <w:szCs w:val="20"/>
          <w:color w:val="auto"/>
        </w:rPr>
      </w:pPr>
      <w:r>
        <w:rPr>
          <w:rFonts w:ascii="Arial" w:cs="Arial" w:eastAsia="Arial" w:hAnsi="Arial"/>
          <w:sz w:val="12"/>
          <w:szCs w:val="12"/>
          <w:color w:val="auto"/>
        </w:rPr>
        <w:t>No transfers between Level 1 and Level 2 occurred in 2019 or 2020 and the Company did not have any recurring Level 3 fair value measurements that created an unrealized gain or loss in Other Comprehensive Income. In addition, the Company previously disclosed the range and weighted average used to develop significant unobservable inputs for Level 3 fair value measurements.</w:t>
      </w:r>
    </w:p>
    <w:p>
      <w:pPr>
        <w:spacing w:after="0" w:line="834" w:lineRule="exact"/>
        <w:rPr>
          <w:sz w:val="20"/>
          <w:szCs w:val="20"/>
          <w:color w:val="auto"/>
        </w:rPr>
      </w:pPr>
    </w:p>
    <w:p>
      <w:pPr>
        <w:sectPr>
          <w:pgSz w:w="11900" w:h="16838" w:orient="portrait"/>
          <w:cols w:equalWidth="0" w:num="3">
            <w:col w:w="1680" w:space="140"/>
            <w:col w:w="5960" w:space="140"/>
            <w:col w:w="3360"/>
          </w:cols>
          <w:pgMar w:left="300" w:top="171" w:right="31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140" w:type="dxa"/>
            <w:vAlign w:val="bottom"/>
          </w:tcPr>
          <w:p>
            <w:pPr>
              <w:spacing w:after="0"/>
              <w:rPr>
                <w:sz w:val="15"/>
                <w:szCs w:val="15"/>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rPr>
              <w:t>ASU 2017-04:</w:t>
            </w: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January 1, 2020</w:t>
            </w:r>
          </w:p>
        </w:tc>
        <w:tc>
          <w:tcPr>
            <w:tcW w:w="5000" w:type="dxa"/>
            <w:vAlign w:val="bottom"/>
            <w:shd w:val="clear" w:color="auto" w:fill="CCEEFF"/>
          </w:tcPr>
          <w:p>
            <w:pPr>
              <w:ind w:left="80"/>
              <w:spacing w:after="0"/>
              <w:rPr>
                <w:sz w:val="20"/>
                <w:szCs w:val="20"/>
                <w:color w:val="auto"/>
              </w:rPr>
            </w:pPr>
            <w:r>
              <w:rPr>
                <w:rFonts w:ascii="Arial" w:cs="Arial" w:eastAsia="Arial" w:hAnsi="Arial"/>
                <w:sz w:val="14"/>
                <w:szCs w:val="14"/>
                <w:color w:val="auto"/>
              </w:rPr>
              <w:t>Eliminates Step 2 from the goodwill impairment test which required entities to</w:t>
            </w: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The adoption did not have an impact to the financial</w:t>
            </w:r>
          </w:p>
        </w:tc>
        <w:tc>
          <w:tcPr>
            <w:tcW w:w="0" w:type="dxa"/>
            <w:vAlign w:val="bottom"/>
          </w:tcPr>
          <w:p>
            <w:pPr>
              <w:spacing w:after="0"/>
              <w:rPr>
                <w:sz w:val="1"/>
                <w:szCs w:val="1"/>
                <w:color w:val="auto"/>
              </w:rPr>
            </w:pPr>
          </w:p>
        </w:tc>
      </w:tr>
      <w:tr>
        <w:trPr>
          <w:trHeight w:val="170"/>
        </w:trPr>
        <w:tc>
          <w:tcPr>
            <w:tcW w:w="140" w:type="dxa"/>
            <w:vAlign w:val="bottom"/>
          </w:tcPr>
          <w:p>
            <w:pPr>
              <w:spacing w:after="0"/>
              <w:rPr>
                <w:sz w:val="14"/>
                <w:szCs w:val="14"/>
                <w:color w:val="auto"/>
              </w:rPr>
            </w:pPr>
          </w:p>
        </w:tc>
        <w:tc>
          <w:tcPr>
            <w:tcW w:w="1600" w:type="dxa"/>
            <w:vAlign w:val="bottom"/>
            <w:vMerge w:val="restart"/>
            <w:shd w:val="clear" w:color="auto" w:fill="CCEEFF"/>
          </w:tcPr>
          <w:p>
            <w:pPr>
              <w:spacing w:after="0"/>
              <w:rPr>
                <w:sz w:val="20"/>
                <w:szCs w:val="20"/>
                <w:color w:val="auto"/>
              </w:rPr>
            </w:pPr>
            <w:r>
              <w:rPr>
                <w:rFonts w:ascii="Arial" w:cs="Arial" w:eastAsia="Arial" w:hAnsi="Arial"/>
                <w:sz w:val="14"/>
                <w:szCs w:val="14"/>
                <w:i w:val="1"/>
                <w:iCs w:val="1"/>
                <w:color w:val="auto"/>
                <w:w w:val="97"/>
              </w:rPr>
              <w:t>Intangibles—Goodwill and</w:t>
            </w:r>
          </w:p>
        </w:tc>
        <w:tc>
          <w:tcPr>
            <w:tcW w:w="1120" w:type="dxa"/>
            <w:vAlign w:val="bottom"/>
            <w:shd w:val="clear" w:color="auto" w:fill="CCEEFF"/>
          </w:tcPr>
          <w:p>
            <w:pPr>
              <w:spacing w:after="0"/>
              <w:rPr>
                <w:sz w:val="14"/>
                <w:szCs w:val="14"/>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7"/>
              </w:rPr>
              <w:t>compute the implied fair value of goodwill. An entity should perform an annual, or</w:t>
            </w: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2"/>
              </w:rPr>
              <w:t>statements, but may accelerate the recognition of goodwill</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160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(Early Adoption)</w:t>
            </w:r>
          </w:p>
        </w:tc>
        <w:tc>
          <w:tcPr>
            <w:tcW w:w="50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interim, goodwill impairment test by comparing the fair value of a reporting unit with</w:t>
            </w:r>
          </w:p>
        </w:tc>
        <w:tc>
          <w:tcPr>
            <w:tcW w:w="34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6"/>
              </w:rPr>
              <w:t>impairment, because it removes a second step required</w:t>
            </w: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1600" w:type="dxa"/>
            <w:vAlign w:val="bottom"/>
            <w:shd w:val="clear" w:color="auto" w:fill="CCEEFF"/>
          </w:tcPr>
          <w:p>
            <w:pPr>
              <w:spacing w:after="0" w:line="117" w:lineRule="exact"/>
              <w:rPr>
                <w:sz w:val="20"/>
                <w:szCs w:val="20"/>
                <w:color w:val="auto"/>
              </w:rPr>
            </w:pPr>
            <w:r>
              <w:rPr>
                <w:rFonts w:ascii="Arial" w:cs="Arial" w:eastAsia="Arial" w:hAnsi="Arial"/>
                <w:sz w:val="13"/>
                <w:szCs w:val="13"/>
                <w:i w:val="1"/>
                <w:iCs w:val="1"/>
                <w:color w:val="auto"/>
              </w:rPr>
              <w:t>Other (Topic 350):</w:t>
            </w:r>
          </w:p>
        </w:tc>
        <w:tc>
          <w:tcPr>
            <w:tcW w:w="1120" w:type="dxa"/>
            <w:vAlign w:val="bottom"/>
            <w:shd w:val="clear" w:color="auto" w:fill="CCEEFF"/>
          </w:tcPr>
          <w:p>
            <w:pPr>
              <w:spacing w:after="0"/>
              <w:rPr>
                <w:sz w:val="10"/>
                <w:szCs w:val="10"/>
                <w:color w:val="auto"/>
              </w:rPr>
            </w:pPr>
          </w:p>
        </w:tc>
        <w:tc>
          <w:tcPr>
            <w:tcW w:w="50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93"/>
              </w:rPr>
              <w:t>its carrying amount. An entity should recognize an impairment charge for the amount</w:t>
            </w:r>
          </w:p>
        </w:tc>
        <w:tc>
          <w:tcPr>
            <w:tcW w:w="34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w w:val="94"/>
              </w:rPr>
              <w:t>under the old method to determine if goodwill is impaired.</w:t>
            </w:r>
          </w:p>
        </w:tc>
        <w:tc>
          <w:tcPr>
            <w:tcW w:w="0" w:type="dxa"/>
            <w:vAlign w:val="bottom"/>
          </w:tcPr>
          <w:p>
            <w:pPr>
              <w:spacing w:after="0"/>
              <w:rPr>
                <w:sz w:val="1"/>
                <w:szCs w:val="1"/>
                <w:color w:val="auto"/>
              </w:rPr>
            </w:pPr>
          </w:p>
        </w:tc>
      </w:tr>
      <w:tr>
        <w:trPr>
          <w:trHeight w:val="85"/>
        </w:trPr>
        <w:tc>
          <w:tcPr>
            <w:tcW w:w="140" w:type="dxa"/>
            <w:vAlign w:val="bottom"/>
          </w:tcPr>
          <w:p>
            <w:pPr>
              <w:spacing w:after="0"/>
              <w:rPr>
                <w:sz w:val="7"/>
                <w:szCs w:val="7"/>
                <w:color w:val="auto"/>
              </w:rPr>
            </w:pPr>
          </w:p>
        </w:tc>
        <w:tc>
          <w:tcPr>
            <w:tcW w:w="1600" w:type="dxa"/>
            <w:vAlign w:val="bottom"/>
            <w:vMerge w:val="restart"/>
            <w:shd w:val="clear" w:color="auto" w:fill="CCEEFF"/>
          </w:tcPr>
          <w:p>
            <w:pPr>
              <w:spacing w:after="0" w:line="138" w:lineRule="exact"/>
              <w:rPr>
                <w:sz w:val="20"/>
                <w:szCs w:val="20"/>
                <w:color w:val="auto"/>
              </w:rPr>
            </w:pPr>
            <w:r>
              <w:rPr>
                <w:rFonts w:ascii="Arial" w:cs="Arial" w:eastAsia="Arial" w:hAnsi="Arial"/>
                <w:sz w:val="14"/>
                <w:szCs w:val="14"/>
                <w:i w:val="1"/>
                <w:iCs w:val="1"/>
                <w:color w:val="auto"/>
              </w:rPr>
              <w:t>Simplifying the Test for</w:t>
            </w:r>
          </w:p>
        </w:tc>
        <w:tc>
          <w:tcPr>
            <w:tcW w:w="1120" w:type="dxa"/>
            <w:vAlign w:val="bottom"/>
            <w:shd w:val="clear" w:color="auto" w:fill="CCEEFF"/>
          </w:tcPr>
          <w:p>
            <w:pPr>
              <w:spacing w:after="0"/>
              <w:rPr>
                <w:sz w:val="7"/>
                <w:szCs w:val="7"/>
                <w:color w:val="auto"/>
              </w:rPr>
            </w:pPr>
          </w:p>
        </w:tc>
        <w:tc>
          <w:tcPr>
            <w:tcW w:w="5000" w:type="dxa"/>
            <w:vAlign w:val="bottom"/>
            <w:vMerge w:val="continue"/>
            <w:shd w:val="clear" w:color="auto" w:fill="CCEEFF"/>
          </w:tcPr>
          <w:p>
            <w:pPr>
              <w:spacing w:after="0"/>
              <w:rPr>
                <w:sz w:val="7"/>
                <w:szCs w:val="7"/>
                <w:color w:val="auto"/>
              </w:rPr>
            </w:pPr>
          </w:p>
        </w:tc>
        <w:tc>
          <w:tcPr>
            <w:tcW w:w="34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40" w:type="dxa"/>
            <w:vAlign w:val="bottom"/>
          </w:tcPr>
          <w:p>
            <w:pPr>
              <w:spacing w:after="0"/>
              <w:rPr>
                <w:sz w:val="4"/>
                <w:szCs w:val="4"/>
                <w:color w:val="auto"/>
              </w:rPr>
            </w:pPr>
          </w:p>
        </w:tc>
        <w:tc>
          <w:tcPr>
            <w:tcW w:w="1600" w:type="dxa"/>
            <w:vAlign w:val="bottom"/>
            <w:vMerge w:val="continue"/>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50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96"/>
              </w:rPr>
              <w:t>by which the carrying amount exceeds the reporting unit’s fair value; however, the</w:t>
            </w:r>
          </w:p>
        </w:tc>
        <w:tc>
          <w:tcPr>
            <w:tcW w:w="3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1600" w:type="dxa"/>
            <w:vAlign w:val="bottom"/>
            <w:vMerge w:val="restart"/>
            <w:shd w:val="clear" w:color="auto" w:fill="CCEEFF"/>
          </w:tcPr>
          <w:p>
            <w:pPr>
              <w:spacing w:after="0"/>
              <w:rPr>
                <w:sz w:val="20"/>
                <w:szCs w:val="20"/>
                <w:color w:val="auto"/>
              </w:rPr>
            </w:pPr>
            <w:r>
              <w:rPr>
                <w:rFonts w:ascii="Arial" w:cs="Arial" w:eastAsia="Arial" w:hAnsi="Arial"/>
                <w:sz w:val="14"/>
                <w:szCs w:val="14"/>
                <w:i w:val="1"/>
                <w:iCs w:val="1"/>
                <w:color w:val="auto"/>
              </w:rPr>
              <w:t>Goodwill Impairment</w:t>
            </w:r>
          </w:p>
        </w:tc>
        <w:tc>
          <w:tcPr>
            <w:tcW w:w="1120" w:type="dxa"/>
            <w:vAlign w:val="bottom"/>
            <w:shd w:val="clear" w:color="auto" w:fill="CCEEFF"/>
          </w:tcPr>
          <w:p>
            <w:pPr>
              <w:spacing w:after="0"/>
              <w:rPr>
                <w:sz w:val="10"/>
                <w:szCs w:val="10"/>
                <w:color w:val="auto"/>
              </w:rPr>
            </w:pPr>
          </w:p>
        </w:tc>
        <w:tc>
          <w:tcPr>
            <w:tcW w:w="5000" w:type="dxa"/>
            <w:vAlign w:val="bottom"/>
            <w:vMerge w:val="continue"/>
            <w:shd w:val="clear" w:color="auto" w:fill="CCEEFF"/>
          </w:tcPr>
          <w:p>
            <w:pPr>
              <w:spacing w:after="0"/>
              <w:rPr>
                <w:sz w:val="10"/>
                <w:szCs w:val="10"/>
                <w:color w:val="auto"/>
              </w:rPr>
            </w:pPr>
          </w:p>
        </w:tc>
        <w:tc>
          <w:tcPr>
            <w:tcW w:w="3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40" w:type="dxa"/>
            <w:vAlign w:val="bottom"/>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0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99"/>
              </w:rPr>
              <w:t>loss recognized should not exceed the total amount of goodwill allocated to that</w:t>
            </w:r>
          </w:p>
        </w:tc>
        <w:tc>
          <w:tcPr>
            <w:tcW w:w="34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The Company’s process for evaluating goodwill</w:t>
            </w: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000" w:type="dxa"/>
            <w:vAlign w:val="bottom"/>
            <w:vMerge w:val="continue"/>
            <w:shd w:val="clear" w:color="auto" w:fill="CCEEFF"/>
          </w:tcPr>
          <w:p>
            <w:pPr>
              <w:spacing w:after="0"/>
              <w:rPr>
                <w:sz w:val="9"/>
                <w:szCs w:val="9"/>
                <w:color w:val="auto"/>
              </w:rPr>
            </w:pPr>
          </w:p>
        </w:tc>
        <w:tc>
          <w:tcPr>
            <w:tcW w:w="3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4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reporting unit.</w:t>
            </w: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7"/>
              </w:rPr>
              <w:t>impairment was modified to align with the elimination of</w:t>
            </w:r>
          </w:p>
        </w:tc>
        <w:tc>
          <w:tcPr>
            <w:tcW w:w="0" w:type="dxa"/>
            <w:vAlign w:val="bottom"/>
          </w:tcPr>
          <w:p>
            <w:pPr>
              <w:spacing w:after="0"/>
              <w:rPr>
                <w:sz w:val="1"/>
                <w:szCs w:val="1"/>
                <w:color w:val="auto"/>
              </w:rPr>
            </w:pPr>
          </w:p>
        </w:tc>
      </w:tr>
      <w:tr>
        <w:trPr>
          <w:trHeight w:val="170"/>
        </w:trPr>
        <w:tc>
          <w:tcPr>
            <w:tcW w:w="14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3"/>
              </w:rPr>
              <w:t>Step 2. The Company still performs a Step 0 analysis and</w:t>
            </w:r>
          </w:p>
        </w:tc>
        <w:tc>
          <w:tcPr>
            <w:tcW w:w="0" w:type="dxa"/>
            <w:vAlign w:val="bottom"/>
          </w:tcPr>
          <w:p>
            <w:pPr>
              <w:spacing w:after="0"/>
              <w:rPr>
                <w:sz w:val="1"/>
                <w:szCs w:val="1"/>
                <w:color w:val="auto"/>
              </w:rPr>
            </w:pPr>
          </w:p>
        </w:tc>
      </w:tr>
      <w:tr>
        <w:trPr>
          <w:trHeight w:val="170"/>
        </w:trPr>
        <w:tc>
          <w:tcPr>
            <w:tcW w:w="14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4"/>
              </w:rPr>
              <w:t>if determined will perform Step 1 to evaluate the potential</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000" w:type="dxa"/>
            <w:vAlign w:val="bottom"/>
            <w:shd w:val="clear" w:color="auto" w:fill="CCEEFF"/>
          </w:tcPr>
          <w:p>
            <w:pPr>
              <w:spacing w:after="0"/>
              <w:rPr>
                <w:sz w:val="15"/>
                <w:szCs w:val="15"/>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impairment of goodwill.</w:t>
            </w:r>
          </w:p>
        </w:tc>
        <w:tc>
          <w:tcPr>
            <w:tcW w:w="0" w:type="dxa"/>
            <w:vAlign w:val="bottom"/>
          </w:tcPr>
          <w:p>
            <w:pPr>
              <w:spacing w:after="0"/>
              <w:rPr>
                <w:sz w:val="1"/>
                <w:szCs w:val="1"/>
                <w:color w:val="auto"/>
              </w:rPr>
            </w:pPr>
          </w:p>
        </w:tc>
      </w:tr>
      <w:tr>
        <w:trPr>
          <w:trHeight w:val="329"/>
        </w:trPr>
        <w:tc>
          <w:tcPr>
            <w:tcW w:w="140" w:type="dxa"/>
            <w:vAlign w:val="bottom"/>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0" w:type="dxa"/>
            <w:vAlign w:val="bottom"/>
            <w:shd w:val="clear" w:color="auto" w:fill="CCEEFF"/>
          </w:tcPr>
          <w:p>
            <w:pPr>
              <w:spacing w:after="0"/>
              <w:rPr>
                <w:sz w:val="24"/>
                <w:szCs w:val="24"/>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5"/>
              </w:rPr>
              <w:t>The Company believes the ASU is preferable since it will</w:t>
            </w:r>
          </w:p>
        </w:tc>
        <w:tc>
          <w:tcPr>
            <w:tcW w:w="0" w:type="dxa"/>
            <w:vAlign w:val="bottom"/>
          </w:tcPr>
          <w:p>
            <w:pPr>
              <w:spacing w:after="0"/>
              <w:rPr>
                <w:sz w:val="1"/>
                <w:szCs w:val="1"/>
                <w:color w:val="auto"/>
              </w:rPr>
            </w:pPr>
          </w:p>
        </w:tc>
      </w:tr>
      <w:tr>
        <w:trPr>
          <w:trHeight w:val="170"/>
        </w:trPr>
        <w:tc>
          <w:tcPr>
            <w:tcW w:w="14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reduce the complexity to determine if a goodwill</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5000" w:type="dxa"/>
            <w:vAlign w:val="bottom"/>
            <w:tcBorders>
              <w:bottom w:val="single" w:sz="8" w:color="CCEEFF"/>
            </w:tcBorders>
            <w:shd w:val="clear" w:color="auto" w:fill="CCEEFF"/>
          </w:tcPr>
          <w:p>
            <w:pPr>
              <w:spacing w:after="0"/>
              <w:rPr>
                <w:sz w:val="15"/>
                <w:szCs w:val="15"/>
                <w:color w:val="auto"/>
              </w:rPr>
            </w:pPr>
          </w:p>
        </w:tc>
        <w:tc>
          <w:tcPr>
            <w:tcW w:w="3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impairment exists.</w:t>
            </w:r>
          </w:p>
        </w:tc>
        <w:tc>
          <w:tcPr>
            <w:tcW w:w="0" w:type="dxa"/>
            <w:vAlign w:val="bottom"/>
          </w:tcPr>
          <w:p>
            <w:pPr>
              <w:spacing w:after="0"/>
              <w:rPr>
                <w:sz w:val="1"/>
                <w:szCs w:val="1"/>
                <w:color w:val="auto"/>
              </w:rPr>
            </w:pPr>
          </w:p>
        </w:tc>
      </w:tr>
      <w:tr>
        <w:trPr>
          <w:trHeight w:val="763"/>
        </w:trPr>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0" w:type="dxa"/>
            <w:vAlign w:val="bottom"/>
          </w:tcPr>
          <w:p>
            <w:pPr>
              <w:ind w:left="2720"/>
              <w:spacing w:after="0"/>
              <w:rPr>
                <w:sz w:val="20"/>
                <w:szCs w:val="20"/>
                <w:color w:val="auto"/>
              </w:rPr>
            </w:pPr>
            <w:r>
              <w:rPr>
                <w:rFonts w:ascii="Arial" w:cs="Arial" w:eastAsia="Arial" w:hAnsi="Arial"/>
                <w:sz w:val="14"/>
                <w:szCs w:val="14"/>
                <w:color w:val="auto"/>
              </w:rPr>
              <w:t>13</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00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type w:val="continuous"/>
        </w:sectPr>
      </w:pPr>
    </w:p>
    <w:bookmarkStart w:id="13" w:name="page14"/>
    <w:bookmarkEnd w:id="13"/>
    <w:p>
      <w:pPr>
        <w:spacing w:after="0"/>
        <w:tabs>
          <w:tab w:leader="none" w:pos="404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Company has updates to the following ASUs that have not yet been adopted. A complete list of recent, applicable accounting pronouncements was provided in the Company’s latest</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Annual Report on Form 10-K for the year ended December 31, 2019:</w:t>
      </w:r>
    </w:p>
    <w:p>
      <w:pPr>
        <w:sectPr>
          <w:pgSz w:w="11900" w:h="16838" w:orient="portrait"/>
          <w:cols w:equalWidth="0" w:num="1">
            <w:col w:w="11240"/>
          </w:cols>
          <w:pgMar w:left="320" w:top="171" w:right="339" w:bottom="1440" w:gutter="0" w:footer="0" w:header="0"/>
        </w:sectPr>
      </w:pPr>
    </w:p>
    <w:p>
      <w:pPr>
        <w:spacing w:after="0" w:line="164" w:lineRule="exact"/>
        <w:rPr>
          <w:sz w:val="20"/>
          <w:szCs w:val="20"/>
          <w:color w:val="auto"/>
        </w:rPr>
      </w:pPr>
    </w:p>
    <w:p>
      <w:pPr>
        <w:ind w:left="120" w:right="480"/>
        <w:spacing w:after="0" w:line="396" w:lineRule="auto"/>
        <w:rPr>
          <w:sz w:val="20"/>
          <w:szCs w:val="20"/>
          <w:color w:val="auto"/>
        </w:rPr>
      </w:pPr>
      <w:r>
        <w:rPr>
          <w:rFonts w:ascii="Arial" w:cs="Arial" w:eastAsia="Arial" w:hAnsi="Arial"/>
          <w:sz w:val="13"/>
          <w:szCs w:val="13"/>
          <w:b w:val="1"/>
          <w:bCs w:val="1"/>
          <w:color w:val="auto"/>
        </w:rPr>
        <w:t xml:space="preserve">Standard </w:t>
      </w:r>
      <w:r>
        <w:rPr>
          <w:rFonts w:ascii="Arial" w:cs="Arial" w:eastAsia="Arial" w:hAnsi="Arial"/>
          <w:sz w:val="13"/>
          <w:szCs w:val="13"/>
          <w:color w:val="auto"/>
        </w:rPr>
        <w:t>ASU 2020-04:</w:t>
      </w:r>
    </w:p>
    <w:p>
      <w:pPr>
        <w:spacing w:after="0" w:line="52" w:lineRule="exact"/>
        <w:rPr>
          <w:sz w:val="20"/>
          <w:szCs w:val="20"/>
          <w:color w:val="auto"/>
        </w:rPr>
      </w:pPr>
    </w:p>
    <w:p>
      <w:pPr>
        <w:ind w:left="120"/>
        <w:spacing w:after="0" w:line="216" w:lineRule="auto"/>
        <w:rPr>
          <w:sz w:val="20"/>
          <w:szCs w:val="20"/>
          <w:color w:val="auto"/>
        </w:rPr>
      </w:pPr>
      <w:r>
        <w:rPr>
          <w:rFonts w:ascii="Arial" w:cs="Arial" w:eastAsia="Arial" w:hAnsi="Arial"/>
          <w:sz w:val="14"/>
          <w:szCs w:val="14"/>
          <w:i w:val="1"/>
          <w:iCs w:val="1"/>
          <w:color w:val="auto"/>
        </w:rPr>
        <w:t>Reference Rate Reform (Topic 848): Facilitation of the Effects of Reference Rate Reform on Financial Reporting</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Anticipated Date of Adoption</w:t>
            </w: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
        </w:trPr>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Effective March 12, 2020 through</w:t>
            </w:r>
          </w:p>
        </w:tc>
        <w:tc>
          <w:tcPr>
            <w:tcW w:w="3000" w:type="dxa"/>
            <w:vAlign w:val="bottom"/>
          </w:tcPr>
          <w:p>
            <w:pPr>
              <w:ind w:left="20"/>
              <w:spacing w:after="0"/>
              <w:rPr>
                <w:sz w:val="20"/>
                <w:szCs w:val="20"/>
                <w:color w:val="auto"/>
              </w:rPr>
            </w:pPr>
            <w:r>
              <w:rPr>
                <w:rFonts w:ascii="Arial" w:cs="Arial" w:eastAsia="Arial" w:hAnsi="Arial"/>
                <w:sz w:val="14"/>
                <w:szCs w:val="14"/>
                <w:color w:val="auto"/>
                <w:w w:val="99"/>
              </w:rPr>
              <w:t>The amendments in this update provide optional</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December 31, 2022.</w:t>
            </w:r>
          </w:p>
        </w:tc>
        <w:tc>
          <w:tcPr>
            <w:tcW w:w="3000" w:type="dxa"/>
            <w:vAlign w:val="bottom"/>
          </w:tcPr>
          <w:p>
            <w:pPr>
              <w:ind w:left="20"/>
              <w:spacing w:after="0"/>
              <w:rPr>
                <w:sz w:val="20"/>
                <w:szCs w:val="20"/>
                <w:color w:val="auto"/>
              </w:rPr>
            </w:pPr>
            <w:r>
              <w:rPr>
                <w:rFonts w:ascii="Arial" w:cs="Arial" w:eastAsia="Arial" w:hAnsi="Arial"/>
                <w:sz w:val="14"/>
                <w:szCs w:val="14"/>
                <w:color w:val="auto"/>
                <w:w w:val="98"/>
              </w:rPr>
              <w:t>expedients and exceptions to contracts, hedging</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9"/>
              </w:rPr>
              <w:t>relationships, and other transactions affected by</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w w:val="99"/>
              </w:rPr>
              <w:t>An entity may elect to apply the ASU</w:t>
            </w:r>
          </w:p>
        </w:tc>
        <w:tc>
          <w:tcPr>
            <w:tcW w:w="3000" w:type="dxa"/>
            <w:vAlign w:val="bottom"/>
          </w:tcPr>
          <w:p>
            <w:pPr>
              <w:ind w:left="20"/>
              <w:spacing w:after="0"/>
              <w:rPr>
                <w:sz w:val="20"/>
                <w:szCs w:val="20"/>
                <w:color w:val="auto"/>
              </w:rPr>
            </w:pPr>
            <w:r>
              <w:rPr>
                <w:rFonts w:ascii="Arial" w:cs="Arial" w:eastAsia="Arial" w:hAnsi="Arial"/>
                <w:sz w:val="14"/>
                <w:szCs w:val="14"/>
                <w:color w:val="auto"/>
              </w:rPr>
              <w:t>reference rate reform if certain criteria are met.</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by Topic or an Industry Subtopic</w:t>
            </w:r>
          </w:p>
        </w:tc>
        <w:tc>
          <w:tcPr>
            <w:tcW w:w="3000" w:type="dxa"/>
            <w:vAlign w:val="bottom"/>
          </w:tcPr>
          <w:p>
            <w:pPr>
              <w:spacing w:after="0"/>
              <w:rPr>
                <w:sz w:val="14"/>
                <w:szCs w:val="14"/>
                <w:color w:val="auto"/>
              </w:rPr>
            </w:pP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within the Codification as of January</w:t>
            </w:r>
          </w:p>
        </w:tc>
        <w:tc>
          <w:tcPr>
            <w:tcW w:w="3000" w:type="dxa"/>
            <w:vAlign w:val="bottom"/>
          </w:tcPr>
          <w:p>
            <w:pPr>
              <w:ind w:left="20"/>
              <w:spacing w:after="0"/>
              <w:rPr>
                <w:sz w:val="20"/>
                <w:szCs w:val="20"/>
                <w:color w:val="auto"/>
              </w:rPr>
            </w:pPr>
            <w:r>
              <w:rPr>
                <w:rFonts w:ascii="Arial" w:cs="Arial" w:eastAsia="Arial" w:hAnsi="Arial"/>
                <w:sz w:val="14"/>
                <w:szCs w:val="14"/>
                <w:color w:val="auto"/>
                <w:w w:val="99"/>
              </w:rPr>
              <w:t>The amendments only apply to transactions that</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w w:val="99"/>
              </w:rPr>
              <w:t>1, 2020, or prospectively from a date</w:t>
            </w:r>
          </w:p>
        </w:tc>
        <w:tc>
          <w:tcPr>
            <w:tcW w:w="3000" w:type="dxa"/>
            <w:vAlign w:val="bottom"/>
          </w:tcPr>
          <w:p>
            <w:pPr>
              <w:ind w:left="20"/>
              <w:spacing w:after="0"/>
              <w:rPr>
                <w:sz w:val="20"/>
                <w:szCs w:val="20"/>
                <w:color w:val="auto"/>
              </w:rPr>
            </w:pPr>
            <w:r>
              <w:rPr>
                <w:rFonts w:ascii="Arial" w:cs="Arial" w:eastAsia="Arial" w:hAnsi="Arial"/>
                <w:sz w:val="14"/>
                <w:szCs w:val="14"/>
                <w:color w:val="auto"/>
                <w:w w:val="91"/>
              </w:rPr>
              <w:t>reference LIBOR or another reference rate expected</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w w:val="99"/>
              </w:rPr>
              <w:t>within an interim period that includes</w:t>
            </w:r>
          </w:p>
        </w:tc>
        <w:tc>
          <w:tcPr>
            <w:tcW w:w="3000" w:type="dxa"/>
            <w:vAlign w:val="bottom"/>
          </w:tcPr>
          <w:p>
            <w:pPr>
              <w:ind w:left="20"/>
              <w:spacing w:after="0"/>
              <w:rPr>
                <w:sz w:val="20"/>
                <w:szCs w:val="20"/>
                <w:color w:val="auto"/>
              </w:rPr>
            </w:pPr>
            <w:r>
              <w:rPr>
                <w:rFonts w:ascii="Arial" w:cs="Arial" w:eastAsia="Arial" w:hAnsi="Arial"/>
                <w:sz w:val="14"/>
                <w:szCs w:val="14"/>
                <w:color w:val="auto"/>
                <w:w w:val="90"/>
              </w:rPr>
              <w:t>to be discontinued because of reference rate reform.</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or is subsequent to March 12, 2020,</w:t>
            </w:r>
          </w:p>
        </w:tc>
        <w:tc>
          <w:tcPr>
            <w:tcW w:w="3000" w:type="dxa"/>
            <w:vAlign w:val="bottom"/>
          </w:tcPr>
          <w:p>
            <w:pPr>
              <w:ind w:left="20"/>
              <w:spacing w:after="0"/>
              <w:rPr>
                <w:sz w:val="20"/>
                <w:szCs w:val="20"/>
                <w:color w:val="auto"/>
              </w:rPr>
            </w:pPr>
            <w:r>
              <w:rPr>
                <w:rFonts w:ascii="Arial" w:cs="Arial" w:eastAsia="Arial" w:hAnsi="Arial"/>
                <w:sz w:val="14"/>
                <w:szCs w:val="14"/>
                <w:color w:val="auto"/>
              </w:rPr>
              <w:t>The expedients and exceptions provided by the</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up to the date that the financial</w:t>
            </w:r>
          </w:p>
        </w:tc>
        <w:tc>
          <w:tcPr>
            <w:tcW w:w="3000" w:type="dxa"/>
            <w:vAlign w:val="bottom"/>
          </w:tcPr>
          <w:p>
            <w:pPr>
              <w:ind w:left="20"/>
              <w:spacing w:after="0"/>
              <w:rPr>
                <w:sz w:val="20"/>
                <w:szCs w:val="20"/>
                <w:color w:val="auto"/>
              </w:rPr>
            </w:pPr>
            <w:r>
              <w:rPr>
                <w:rFonts w:ascii="Arial" w:cs="Arial" w:eastAsia="Arial" w:hAnsi="Arial"/>
                <w:sz w:val="14"/>
                <w:szCs w:val="14"/>
                <w:color w:val="auto"/>
                <w:w w:val="93"/>
              </w:rPr>
              <w:t>amendments do not apply to contract modifications</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w w:val="96"/>
              </w:rPr>
              <w:t>statements are available to be issued.</w:t>
            </w:r>
          </w:p>
        </w:tc>
        <w:tc>
          <w:tcPr>
            <w:tcW w:w="3000" w:type="dxa"/>
            <w:vAlign w:val="bottom"/>
          </w:tcPr>
          <w:p>
            <w:pPr>
              <w:ind w:left="20"/>
              <w:spacing w:after="0"/>
              <w:rPr>
                <w:sz w:val="20"/>
                <w:szCs w:val="20"/>
                <w:color w:val="auto"/>
              </w:rPr>
            </w:pPr>
            <w:r>
              <w:rPr>
                <w:rFonts w:ascii="Arial" w:cs="Arial" w:eastAsia="Arial" w:hAnsi="Arial"/>
                <w:sz w:val="14"/>
                <w:szCs w:val="14"/>
                <w:color w:val="auto"/>
              </w:rPr>
              <w:t>made and hedging relationships entered into or</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evaluated after December 31, 2022, except for</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The Company has not determined a</w:t>
            </w:r>
          </w:p>
        </w:tc>
        <w:tc>
          <w:tcPr>
            <w:tcW w:w="3000" w:type="dxa"/>
            <w:vAlign w:val="bottom"/>
          </w:tcPr>
          <w:p>
            <w:pPr>
              <w:ind w:left="20"/>
              <w:spacing w:after="0"/>
              <w:rPr>
                <w:sz w:val="20"/>
                <w:szCs w:val="20"/>
                <w:color w:val="auto"/>
              </w:rPr>
            </w:pPr>
            <w:r>
              <w:rPr>
                <w:rFonts w:ascii="Arial" w:cs="Arial" w:eastAsia="Arial" w:hAnsi="Arial"/>
                <w:sz w:val="14"/>
                <w:szCs w:val="14"/>
                <w:color w:val="auto"/>
                <w:w w:val="95"/>
              </w:rPr>
              <w:t>hedging relationships existing as of December 31,</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w w:val="96"/>
              </w:rPr>
              <w:t>start date. Once elected for a Topic or</w:t>
            </w:r>
          </w:p>
        </w:tc>
        <w:tc>
          <w:tcPr>
            <w:tcW w:w="3000" w:type="dxa"/>
            <w:vAlign w:val="bottom"/>
          </w:tcPr>
          <w:p>
            <w:pPr>
              <w:ind w:left="20"/>
              <w:spacing w:after="0"/>
              <w:rPr>
                <w:sz w:val="20"/>
                <w:szCs w:val="20"/>
                <w:color w:val="auto"/>
              </w:rPr>
            </w:pPr>
            <w:r>
              <w:rPr>
                <w:rFonts w:ascii="Arial" w:cs="Arial" w:eastAsia="Arial" w:hAnsi="Arial"/>
                <w:sz w:val="14"/>
                <w:szCs w:val="14"/>
                <w:color w:val="auto"/>
              </w:rPr>
              <w:t>2022, that an entity has elected certain optional</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Industry Subtopic, the amendments</w:t>
            </w:r>
          </w:p>
        </w:tc>
        <w:tc>
          <w:tcPr>
            <w:tcW w:w="3000" w:type="dxa"/>
            <w:vAlign w:val="bottom"/>
          </w:tcPr>
          <w:p>
            <w:pPr>
              <w:ind w:left="20"/>
              <w:spacing w:after="0"/>
              <w:rPr>
                <w:sz w:val="20"/>
                <w:szCs w:val="20"/>
                <w:color w:val="auto"/>
              </w:rPr>
            </w:pPr>
            <w:r>
              <w:rPr>
                <w:rFonts w:ascii="Arial" w:cs="Arial" w:eastAsia="Arial" w:hAnsi="Arial"/>
                <w:sz w:val="14"/>
                <w:szCs w:val="14"/>
                <w:color w:val="auto"/>
                <w:w w:val="91"/>
              </w:rPr>
              <w:t>expedients for and that are retained through the end</w:t>
            </w: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must be applied prospectively for all</w:t>
            </w:r>
          </w:p>
        </w:tc>
        <w:tc>
          <w:tcPr>
            <w:tcW w:w="3000" w:type="dxa"/>
            <w:vAlign w:val="bottom"/>
          </w:tcPr>
          <w:p>
            <w:pPr>
              <w:ind w:left="20"/>
              <w:spacing w:after="0"/>
              <w:rPr>
                <w:sz w:val="20"/>
                <w:szCs w:val="20"/>
                <w:color w:val="auto"/>
              </w:rPr>
            </w:pPr>
            <w:r>
              <w:rPr>
                <w:rFonts w:ascii="Arial" w:cs="Arial" w:eastAsia="Arial" w:hAnsi="Arial"/>
                <w:sz w:val="14"/>
                <w:szCs w:val="14"/>
                <w:color w:val="auto"/>
              </w:rPr>
              <w:t>of the hedging relationship. The amendments</w:t>
            </w:r>
          </w:p>
        </w:tc>
      </w:tr>
      <w:tr>
        <w:trPr>
          <w:trHeight w:val="180"/>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eligible contract modifications.</w:t>
            </w:r>
          </w:p>
        </w:tc>
        <w:tc>
          <w:tcPr>
            <w:tcW w:w="3000" w:type="dxa"/>
            <w:vAlign w:val="bottom"/>
          </w:tcPr>
          <w:p>
            <w:pPr>
              <w:ind w:left="20"/>
              <w:spacing w:after="0"/>
              <w:rPr>
                <w:sz w:val="20"/>
                <w:szCs w:val="20"/>
                <w:color w:val="auto"/>
              </w:rPr>
            </w:pPr>
            <w:r>
              <w:rPr>
                <w:rFonts w:ascii="Arial" w:cs="Arial" w:eastAsia="Arial" w:hAnsi="Arial"/>
                <w:sz w:val="14"/>
                <w:szCs w:val="14"/>
                <w:color w:val="auto"/>
              </w:rPr>
              <w:t>include:</w:t>
            </w:r>
          </w:p>
        </w:tc>
      </w:tr>
      <w:tr>
        <w:trPr>
          <w:trHeight w:val="329"/>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8"/>
              </w:rPr>
              <w:t>(1) Optional expedients to contract modifications</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that allow the Company to adjust the effective</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8"/>
              </w:rPr>
              <w:t>interest rate of receivables and debt, account for</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2"/>
              </w:rPr>
              <w:t>lease modifications as a continuation of the existing</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5"/>
              </w:rPr>
              <w:t>lease, and remove the requirement to reassess its</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original conclusions for contract modifications</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3"/>
              </w:rPr>
              <w:t>about whether that contract contains an embedded</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7"/>
              </w:rPr>
              <w:t>derivative that is clearly and closely related to the</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economic characteristics and risks of the host</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8"/>
              </w:rPr>
              <w:t>contract under Subtopic 815-15, Derivatives and</w:t>
            </w:r>
          </w:p>
        </w:tc>
      </w:tr>
      <w:tr>
        <w:trPr>
          <w:trHeight w:val="180"/>
        </w:trPr>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Hedging—Embedded Derivatives;</w:t>
            </w:r>
          </w:p>
        </w:tc>
      </w:tr>
      <w:tr>
        <w:trPr>
          <w:trHeight w:val="329"/>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3"/>
              </w:rPr>
              <w:t>(2) Exceptions to the guidance in Topic 815 related</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to changes in the critical terms of a hedging</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4"/>
              </w:rPr>
              <w:t>relationship due to reference rate reform related to</w:t>
            </w: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changes to the critical terms of a hedging</w:t>
            </w:r>
          </w:p>
        </w:tc>
      </w:tr>
      <w:tr>
        <w:trPr>
          <w:trHeight w:val="180"/>
        </w:trPr>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relationship due to reference rate reform; and</w:t>
            </w:r>
          </w:p>
        </w:tc>
      </w:tr>
      <w:tr>
        <w:trPr>
          <w:trHeight w:val="329"/>
        </w:trPr>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w w:val="93"/>
              </w:rPr>
              <w:t>(3) Optional expedients for cash flow and fair value</w:t>
            </w:r>
          </w:p>
        </w:tc>
      </w:tr>
      <w:tr>
        <w:trPr>
          <w:trHeight w:val="180"/>
        </w:trPr>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hedges.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-4115435</wp:posOffset>
            </wp:positionV>
            <wp:extent cx="7080885" cy="4130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0885" cy="4130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 on Financial Statements or Other Significant Matters</w:t>
      </w:r>
    </w:p>
    <w:p>
      <w:pPr>
        <w:spacing w:after="0" w:line="55"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The Company had more than $1 billion in loans tied to LIBOR as of March 31, 2020.</w:t>
      </w:r>
    </w:p>
    <w:p>
      <w:pPr>
        <w:spacing w:after="0" w:line="150" w:lineRule="exact"/>
        <w:rPr>
          <w:sz w:val="20"/>
          <w:szCs w:val="20"/>
          <w:color w:val="auto"/>
        </w:rPr>
      </w:pPr>
    </w:p>
    <w:p>
      <w:pPr>
        <w:ind w:right="140"/>
        <w:spacing w:after="0" w:line="238" w:lineRule="auto"/>
        <w:rPr>
          <w:sz w:val="20"/>
          <w:szCs w:val="20"/>
          <w:color w:val="auto"/>
        </w:rPr>
      </w:pPr>
      <w:r>
        <w:rPr>
          <w:rFonts w:ascii="Arial" w:cs="Arial" w:eastAsia="Arial" w:hAnsi="Arial"/>
          <w:sz w:val="13"/>
          <w:szCs w:val="13"/>
          <w:color w:val="auto"/>
        </w:rPr>
        <w:t>The Company is currently unable to determine the financial statement impact related to the ASU, but we anticipate the ASU will simplify modifications executed between the selected start date and December 31, 2020 that are directly related to the LIBOR transition.</w:t>
      </w:r>
    </w:p>
    <w:p>
      <w:pPr>
        <w:spacing w:after="0" w:line="150"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Specifically, the ASU will allow the Company to recognize the modification related to LIBOR as a continuation of the old contract, rather than a cancellation of the old contract resulting in a write off of unamortized fees and creation of a new contract.</w:t>
      </w:r>
    </w:p>
    <w:p>
      <w:pPr>
        <w:spacing w:after="0" w:line="4869" w:lineRule="exact"/>
        <w:rPr>
          <w:sz w:val="20"/>
          <w:szCs w:val="20"/>
          <w:color w:val="auto"/>
        </w:rPr>
      </w:pPr>
    </w:p>
    <w:p>
      <w:pPr>
        <w:sectPr>
          <w:pgSz w:w="11900" w:h="16838" w:orient="portrait"/>
          <w:cols w:equalWidth="0" w:num="3">
            <w:col w:w="1440" w:space="140"/>
            <w:col w:w="5300" w:space="80"/>
            <w:col w:w="4280"/>
          </w:cols>
          <w:pgMar w:left="320" w:top="171" w:right="3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80645</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4" w:name="page15"/>
    <w:bookmarkEnd w:id="14"/>
    <w:p>
      <w:pPr>
        <w:spacing w:after="0"/>
        <w:tabs>
          <w:tab w:leader="none" w:pos="404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ectPr>
          <w:pgSz w:w="11900" w:h="16838" w:orient="portrait"/>
          <w:cols w:equalWidth="0" w:num="1">
            <w:col w:w="11260"/>
          </w:cols>
          <w:pgMar w:left="320" w:top="171" w:right="31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Standard</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ASU 2016-13</w:t>
      </w:r>
    </w:p>
    <w:p>
      <w:pPr>
        <w:spacing w:after="0" w:line="168" w:lineRule="exact"/>
        <w:rPr>
          <w:sz w:val="20"/>
          <w:szCs w:val="20"/>
          <w:color w:val="auto"/>
        </w:rPr>
      </w:pPr>
    </w:p>
    <w:p>
      <w:pPr>
        <w:ind w:left="120"/>
        <w:spacing w:after="0" w:line="270" w:lineRule="auto"/>
        <w:rPr>
          <w:sz w:val="20"/>
          <w:szCs w:val="20"/>
          <w:color w:val="auto"/>
        </w:rPr>
      </w:pPr>
      <w:r>
        <w:rPr>
          <w:rFonts w:ascii="Arial" w:cs="Arial" w:eastAsia="Arial" w:hAnsi="Arial"/>
          <w:sz w:val="13"/>
          <w:szCs w:val="13"/>
          <w:i w:val="1"/>
          <w:iCs w:val="1"/>
          <w:color w:val="auto"/>
        </w:rPr>
        <w:t>Financial Instruments-Credit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Anticipated Date of Adoption</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If we maintain our EGC status, the Company is not required to implement this standard until January 2023. The Company will monitor its progress and the requirements related to adoption.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5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Requires an entity to utilize a new impairment model known as the current expected credit loss (“CECL”) model to estimate its lifetime expected credit loss and record an allowance that, when deducted from amortized cost basis of the financial asset, presents the net amount expected to be collected on the financial 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 on Financial Statements or Other Significant Matters</w:t>
      </w:r>
    </w:p>
    <w:p>
      <w:pPr>
        <w:spacing w:after="0" w:line="55"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Company has established a committee of individuals from applicable departments to oversee the implementation process.</w:t>
      </w:r>
    </w:p>
    <w:p>
      <w:pPr>
        <w:spacing w:after="0" w:line="132"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Company implemented a third-party software solution and completed the software implementation phase of the transition. The software implementation phase included data capture and portfolio segmentation amongst other items.</w:t>
      </w:r>
    </w:p>
    <w:p>
      <w:pPr>
        <w:spacing w:after="0" w:line="146"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The Company has completed an initial parallel run using 2019 data and completed a second parallel during the fourth quarter of 2019. During the first quarter of 2020, the Company chose to adjust its underlying assumptions and review the results using the 2019 financial data. The Company plans to continue parallel runs once an analysis of the 2019 results is completed.</w:t>
      </w:r>
    </w:p>
    <w:p>
      <w:pPr>
        <w:spacing w:after="0" w:line="150" w:lineRule="exact"/>
        <w:rPr>
          <w:sz w:val="20"/>
          <w:szCs w:val="20"/>
          <w:color w:val="auto"/>
        </w:rPr>
      </w:pPr>
    </w:p>
    <w:p>
      <w:pPr>
        <w:ind w:right="240"/>
        <w:spacing w:after="0" w:line="321" w:lineRule="auto"/>
        <w:rPr>
          <w:sz w:val="20"/>
          <w:szCs w:val="20"/>
          <w:color w:val="auto"/>
        </w:rPr>
      </w:pPr>
      <w:r>
        <w:rPr>
          <w:rFonts w:ascii="Arial" w:cs="Arial" w:eastAsia="Arial" w:hAnsi="Arial"/>
          <w:sz w:val="13"/>
          <w:szCs w:val="13"/>
          <w:color w:val="auto"/>
        </w:rPr>
        <w:t>In addition, the Company is evaluating the internal control changes that will be necessary to transition to the third-party platform.</w:t>
      </w:r>
    </w:p>
    <w:p>
      <w:pPr>
        <w:spacing w:after="0" w:line="109"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At this time, an estimate of the impact cannot be established as the Company continues to evaluate the inputs into the model. The actual impact could be significantly affected by the composition, characteristics, and quality of the underlying loan portfolio at the time of adoption.</w:t>
      </w:r>
    </w:p>
    <w:p>
      <w:pPr>
        <w:spacing w:after="0" w:line="1" w:lineRule="exact"/>
        <w:rPr>
          <w:sz w:val="20"/>
          <w:szCs w:val="20"/>
          <w:color w:val="auto"/>
        </w:rPr>
      </w:pPr>
    </w:p>
    <w:p>
      <w:pPr>
        <w:sectPr>
          <w:pgSz w:w="11900" w:h="16838" w:orient="portrait"/>
          <w:cols w:equalWidth="0" w:num="4">
            <w:col w:w="1420" w:space="180"/>
            <w:col w:w="2180" w:space="120"/>
            <w:col w:w="2880" w:space="180"/>
            <w:col w:w="4300"/>
          </w:cols>
          <w:pgMar w:left="320" w:top="171" w:right="319" w:bottom="1440" w:gutter="0" w:footer="0" w:header="0"/>
          <w:type w:val="continuous"/>
        </w:sectPr>
      </w:pPr>
    </w:p>
    <w:tbl>
      <w:tblPr>
        <w:tblLayout w:type="fixed"/>
        <w:tblInd w:w="120" w:type="dxa"/>
        <w:tblCellMar>
          <w:top w:w="0" w:type="dxa"/>
          <w:left w:w="0" w:type="dxa"/>
          <w:bottom w:w="0" w:type="dxa"/>
          <w:right w:w="0" w:type="dxa"/>
        </w:tblCellMar>
      </w:tblPr>
      <w:tr>
        <w:trPr>
          <w:trHeight w:val="149"/>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ASU 2016-02</w:t>
            </w:r>
          </w:p>
        </w:tc>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The Company expects to implement</w:t>
            </w:r>
          </w:p>
        </w:tc>
        <w:tc>
          <w:tcPr>
            <w:tcW w:w="3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Requires lessees and lessors to recognize lease</w:t>
            </w:r>
          </w:p>
        </w:tc>
        <w:tc>
          <w:tcPr>
            <w:tcW w:w="43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1"/>
              </w:rPr>
              <w:t>The Company expects to apply the update as of the beginning of the period</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5"/>
              </w:rPr>
              <w:t>this standard in 2021 if EGC status is</w:t>
            </w:r>
          </w:p>
        </w:tc>
        <w:tc>
          <w:tcPr>
            <w:tcW w:w="3080" w:type="dxa"/>
            <w:vAlign w:val="bottom"/>
            <w:shd w:val="clear" w:color="auto" w:fill="CCEEFF"/>
          </w:tcPr>
          <w:p>
            <w:pPr>
              <w:ind w:left="80"/>
              <w:spacing w:after="0"/>
              <w:rPr>
                <w:sz w:val="20"/>
                <w:szCs w:val="20"/>
                <w:color w:val="auto"/>
              </w:rPr>
            </w:pPr>
            <w:r>
              <w:rPr>
                <w:rFonts w:ascii="Arial" w:cs="Arial" w:eastAsia="Arial" w:hAnsi="Arial"/>
                <w:sz w:val="14"/>
                <w:szCs w:val="14"/>
                <w:color w:val="auto"/>
                <w:w w:val="92"/>
              </w:rPr>
              <w:t>assets and lease liabilities on the balance sheet and</w:t>
            </w:r>
          </w:p>
        </w:tc>
        <w:tc>
          <w:tcPr>
            <w:tcW w:w="43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1"/>
              </w:rPr>
              <w:t>of adoption and the Company does not plan to restate comparative periods.</w:t>
            </w:r>
          </w:p>
        </w:tc>
        <w:tc>
          <w:tcPr>
            <w:tcW w:w="0" w:type="dxa"/>
            <w:vAlign w:val="bottom"/>
          </w:tcPr>
          <w:p>
            <w:pPr>
              <w:spacing w:after="0"/>
              <w:rPr>
                <w:sz w:val="1"/>
                <w:szCs w:val="1"/>
                <w:color w:val="auto"/>
              </w:rPr>
            </w:pPr>
          </w:p>
        </w:tc>
      </w:tr>
      <w:tr>
        <w:trPr>
          <w:trHeight w:val="95"/>
        </w:trPr>
        <w:tc>
          <w:tcPr>
            <w:tcW w:w="1280" w:type="dxa"/>
            <w:vAlign w:val="bottom"/>
            <w:vMerge w:val="restart"/>
            <w:shd w:val="clear" w:color="auto" w:fill="CCEEFF"/>
          </w:tcPr>
          <w:p>
            <w:pPr>
              <w:spacing w:after="0"/>
              <w:rPr>
                <w:sz w:val="20"/>
                <w:szCs w:val="20"/>
                <w:color w:val="auto"/>
              </w:rPr>
            </w:pPr>
            <w:r>
              <w:rPr>
                <w:rFonts w:ascii="Arial" w:cs="Arial" w:eastAsia="Arial" w:hAnsi="Arial"/>
                <w:sz w:val="14"/>
                <w:szCs w:val="14"/>
                <w:i w:val="1"/>
                <w:iCs w:val="1"/>
                <w:color w:val="auto"/>
              </w:rPr>
              <w:t>Leases (Topic 842)</w:t>
            </w:r>
          </w:p>
        </w:tc>
        <w:tc>
          <w:tcPr>
            <w:tcW w:w="242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97"/>
              </w:rPr>
              <w:t>maintained. If the Company loses its</w:t>
            </w:r>
          </w:p>
        </w:tc>
        <w:tc>
          <w:tcPr>
            <w:tcW w:w="3080" w:type="dxa"/>
            <w:vAlign w:val="bottom"/>
            <w:shd w:val="clear" w:color="auto" w:fill="CCEEFF"/>
          </w:tcPr>
          <w:p>
            <w:pPr>
              <w:ind w:left="80"/>
              <w:spacing w:after="0" w:line="96" w:lineRule="exact"/>
              <w:rPr>
                <w:sz w:val="20"/>
                <w:szCs w:val="20"/>
                <w:color w:val="auto"/>
              </w:rPr>
            </w:pPr>
            <w:r>
              <w:rPr>
                <w:rFonts w:ascii="Arial" w:cs="Arial" w:eastAsia="Arial" w:hAnsi="Arial"/>
                <w:sz w:val="11"/>
                <w:szCs w:val="11"/>
                <w:color w:val="auto"/>
              </w:rPr>
              <w:t>disclose key information about leasing</w:t>
            </w:r>
          </w:p>
        </w:tc>
        <w:tc>
          <w:tcPr>
            <w:tcW w:w="43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The Company expects to elect certain optional practical expedients.</w:t>
            </w:r>
          </w:p>
        </w:tc>
        <w:tc>
          <w:tcPr>
            <w:tcW w:w="0" w:type="dxa"/>
            <w:vAlign w:val="bottom"/>
          </w:tcPr>
          <w:p>
            <w:pPr>
              <w:spacing w:after="0"/>
              <w:rPr>
                <w:sz w:val="1"/>
                <w:szCs w:val="1"/>
                <w:color w:val="auto"/>
              </w:rPr>
            </w:pPr>
          </w:p>
        </w:tc>
      </w:tr>
      <w:tr>
        <w:trPr>
          <w:trHeight w:val="106"/>
        </w:trPr>
        <w:tc>
          <w:tcPr>
            <w:tcW w:w="1280" w:type="dxa"/>
            <w:vAlign w:val="bottom"/>
            <w:vMerge w:val="continue"/>
            <w:shd w:val="clear" w:color="auto" w:fill="CCEEFF"/>
          </w:tcPr>
          <w:p>
            <w:pPr>
              <w:spacing w:after="0"/>
              <w:rPr>
                <w:sz w:val="9"/>
                <w:szCs w:val="9"/>
                <w:color w:val="auto"/>
              </w:rPr>
            </w:pPr>
          </w:p>
        </w:tc>
        <w:tc>
          <w:tcPr>
            <w:tcW w:w="2420" w:type="dxa"/>
            <w:vAlign w:val="bottom"/>
            <w:vMerge w:val="continue"/>
            <w:shd w:val="clear" w:color="auto" w:fill="CCEEFF"/>
          </w:tcPr>
          <w:p>
            <w:pPr>
              <w:spacing w:after="0"/>
              <w:rPr>
                <w:sz w:val="9"/>
                <w:szCs w:val="9"/>
                <w:color w:val="auto"/>
              </w:rPr>
            </w:pPr>
          </w:p>
        </w:tc>
        <w:tc>
          <w:tcPr>
            <w:tcW w:w="30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arrangements.</w:t>
            </w:r>
          </w:p>
        </w:tc>
        <w:tc>
          <w:tcPr>
            <w:tcW w:w="4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280" w:type="dxa"/>
            <w:vAlign w:val="bottom"/>
            <w:shd w:val="clear" w:color="auto" w:fill="CCEEFF"/>
          </w:tcPr>
          <w:p>
            <w:pPr>
              <w:spacing w:after="0"/>
              <w:rPr>
                <w:sz w:val="6"/>
                <w:szCs w:val="6"/>
                <w:color w:val="auto"/>
              </w:rPr>
            </w:pPr>
          </w:p>
        </w:tc>
        <w:tc>
          <w:tcPr>
            <w:tcW w:w="242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EGC status in 2020, the Company</w:t>
            </w:r>
          </w:p>
        </w:tc>
        <w:tc>
          <w:tcPr>
            <w:tcW w:w="3080" w:type="dxa"/>
            <w:vAlign w:val="bottom"/>
            <w:vMerge w:val="continue"/>
            <w:shd w:val="clear" w:color="auto" w:fill="CCEEFF"/>
          </w:tcPr>
          <w:p>
            <w:pPr>
              <w:spacing w:after="0"/>
              <w:rPr>
                <w:sz w:val="6"/>
                <w:szCs w:val="6"/>
                <w:color w:val="auto"/>
              </w:rPr>
            </w:pPr>
          </w:p>
        </w:tc>
        <w:tc>
          <w:tcPr>
            <w:tcW w:w="4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280" w:type="dxa"/>
            <w:vAlign w:val="bottom"/>
            <w:shd w:val="clear" w:color="auto" w:fill="CCEEFF"/>
          </w:tcPr>
          <w:p>
            <w:pPr>
              <w:spacing w:after="0"/>
              <w:rPr>
                <w:sz w:val="8"/>
                <w:szCs w:val="8"/>
                <w:color w:val="auto"/>
              </w:rPr>
            </w:pPr>
          </w:p>
        </w:tc>
        <w:tc>
          <w:tcPr>
            <w:tcW w:w="2420" w:type="dxa"/>
            <w:vAlign w:val="bottom"/>
            <w:vMerge w:val="continue"/>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c>
          <w:tcPr>
            <w:tcW w:w="4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80" w:type="dxa"/>
            <w:vAlign w:val="bottom"/>
            <w:shd w:val="clear" w:color="auto" w:fill="CCEEFF"/>
          </w:tcPr>
          <w:p>
            <w:pPr>
              <w:spacing w:after="0"/>
              <w:rPr>
                <w:sz w:val="16"/>
                <w:szCs w:val="16"/>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would be required to implement the</w:t>
            </w:r>
          </w:p>
        </w:tc>
        <w:tc>
          <w:tcPr>
            <w:tcW w:w="3080" w:type="dxa"/>
            <w:vAlign w:val="bottom"/>
            <w:shd w:val="clear" w:color="auto" w:fill="CCEEFF"/>
          </w:tcPr>
          <w:p>
            <w:pPr>
              <w:ind w:left="80"/>
              <w:spacing w:after="0"/>
              <w:rPr>
                <w:sz w:val="20"/>
                <w:szCs w:val="20"/>
                <w:color w:val="auto"/>
              </w:rPr>
            </w:pPr>
            <w:r>
              <w:rPr>
                <w:rFonts w:ascii="Arial" w:cs="Arial" w:eastAsia="Arial" w:hAnsi="Arial"/>
                <w:sz w:val="14"/>
                <w:szCs w:val="14"/>
                <w:color w:val="auto"/>
                <w:w w:val="89"/>
              </w:rPr>
              <w:t>The update requires lessees and lessors to recognize</w:t>
            </w:r>
          </w:p>
        </w:tc>
        <w:tc>
          <w:tcPr>
            <w:tcW w:w="43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0"/>
              </w:rPr>
              <w:t>The Company gathered all potential lease and embedded lease agreements</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spacing w:after="0"/>
              <w:rPr>
                <w:sz w:val="11"/>
                <w:szCs w:val="11"/>
                <w:color w:val="auto"/>
              </w:rPr>
            </w:pPr>
          </w:p>
        </w:tc>
        <w:tc>
          <w:tcPr>
            <w:tcW w:w="24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ASU as of the beginning of 2020.</w:t>
            </w:r>
          </w:p>
        </w:tc>
        <w:tc>
          <w:tcPr>
            <w:tcW w:w="30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3"/>
              </w:rPr>
              <w:t>and measure leases at the beginning of the earliest</w:t>
            </w:r>
          </w:p>
        </w:tc>
        <w:tc>
          <w:tcPr>
            <w:tcW w:w="43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3"/>
              </w:rPr>
              <w:t>during 2019 and 2020 and is evaluating the applicability and impact to the</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3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period presented using a modified retrospective</w:t>
            </w:r>
          </w:p>
        </w:tc>
        <w:tc>
          <w:tcPr>
            <w:tcW w:w="43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5"/>
              </w:rPr>
              <w:t>On April 8, 2020, the FASB proposed</w:t>
            </w:r>
          </w:p>
        </w:tc>
        <w:tc>
          <w:tcPr>
            <w:tcW w:w="308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approach with the option to elect certain practical</w:t>
            </w:r>
          </w:p>
        </w:tc>
        <w:tc>
          <w:tcPr>
            <w:tcW w:w="4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242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a one-year deferral on the ASU. If</w:t>
            </w:r>
          </w:p>
        </w:tc>
        <w:tc>
          <w:tcPr>
            <w:tcW w:w="3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expedients.</w:t>
            </w:r>
          </w:p>
        </w:tc>
        <w:tc>
          <w:tcPr>
            <w:tcW w:w="43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w w:val="95"/>
              </w:rPr>
              <w:t>The Company’s current operating leases relate primarily to three branch</w:t>
            </w:r>
          </w:p>
        </w:tc>
        <w:tc>
          <w:tcPr>
            <w:tcW w:w="0" w:type="dxa"/>
            <w:vAlign w:val="bottom"/>
          </w:tcPr>
          <w:p>
            <w:pPr>
              <w:spacing w:after="0"/>
              <w:rPr>
                <w:sz w:val="1"/>
                <w:szCs w:val="1"/>
                <w:color w:val="auto"/>
              </w:rPr>
            </w:pPr>
          </w:p>
        </w:tc>
      </w:tr>
      <w:tr>
        <w:trPr>
          <w:trHeight w:val="32"/>
        </w:trPr>
        <w:tc>
          <w:tcPr>
            <w:tcW w:w="1280" w:type="dxa"/>
            <w:vAlign w:val="bottom"/>
            <w:shd w:val="clear" w:color="auto" w:fill="CCEEFF"/>
          </w:tcPr>
          <w:p>
            <w:pPr>
              <w:spacing w:after="0"/>
              <w:rPr>
                <w:sz w:val="2"/>
                <w:szCs w:val="2"/>
                <w:color w:val="auto"/>
              </w:rPr>
            </w:pPr>
          </w:p>
        </w:tc>
        <w:tc>
          <w:tcPr>
            <w:tcW w:w="2420" w:type="dxa"/>
            <w:vAlign w:val="bottom"/>
            <w:vMerge w:val="continue"/>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436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EGC status is maintained and the</w:t>
            </w:r>
          </w:p>
        </w:tc>
        <w:tc>
          <w:tcPr>
            <w:tcW w:w="30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98"/>
              </w:rPr>
              <w:t>The update will also increase disclosures around</w:t>
            </w:r>
          </w:p>
        </w:tc>
        <w:tc>
          <w:tcPr>
            <w:tcW w:w="43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4"/>
              </w:rPr>
              <w:t>locations, as well as two future lease obligations. Based on these current</w:t>
            </w:r>
          </w:p>
        </w:tc>
        <w:tc>
          <w:tcPr>
            <w:tcW w:w="0" w:type="dxa"/>
            <w:vAlign w:val="bottom"/>
          </w:tcPr>
          <w:p>
            <w:pPr>
              <w:spacing w:after="0"/>
              <w:rPr>
                <w:sz w:val="1"/>
                <w:szCs w:val="1"/>
                <w:color w:val="auto"/>
              </w:rPr>
            </w:pPr>
          </w:p>
        </w:tc>
      </w:tr>
      <w:tr>
        <w:trPr>
          <w:trHeight w:val="53"/>
        </w:trPr>
        <w:tc>
          <w:tcPr>
            <w:tcW w:w="1280" w:type="dxa"/>
            <w:vAlign w:val="bottom"/>
            <w:shd w:val="clear" w:color="auto" w:fill="CCEEFF"/>
          </w:tcPr>
          <w:p>
            <w:pPr>
              <w:spacing w:after="0"/>
              <w:rPr>
                <w:sz w:val="4"/>
                <w:szCs w:val="4"/>
                <w:color w:val="auto"/>
              </w:rPr>
            </w:pPr>
          </w:p>
        </w:tc>
        <w:tc>
          <w:tcPr>
            <w:tcW w:w="242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92"/>
              </w:rPr>
              <w:t>FASB issues the final amendment, the</w:t>
            </w:r>
          </w:p>
        </w:tc>
        <w:tc>
          <w:tcPr>
            <w:tcW w:w="3080" w:type="dxa"/>
            <w:vAlign w:val="bottom"/>
            <w:vMerge w:val="continue"/>
            <w:shd w:val="clear" w:color="auto" w:fill="CCEEFF"/>
          </w:tcPr>
          <w:p>
            <w:pPr>
              <w:spacing w:after="0"/>
              <w:rPr>
                <w:sz w:val="4"/>
                <w:szCs w:val="4"/>
                <w:color w:val="auto"/>
              </w:rPr>
            </w:pPr>
          </w:p>
        </w:tc>
        <w:tc>
          <w:tcPr>
            <w:tcW w:w="43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w w:val="95"/>
              </w:rPr>
              <w:t>leases, the Company anticipates recognizing a lease liability and related</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spacing w:after="0"/>
              <w:rPr>
                <w:sz w:val="11"/>
                <w:szCs w:val="11"/>
                <w:color w:val="auto"/>
              </w:rPr>
            </w:pPr>
          </w:p>
        </w:tc>
        <w:tc>
          <w:tcPr>
            <w:tcW w:w="2420" w:type="dxa"/>
            <w:vAlign w:val="bottom"/>
            <w:vMerge w:val="continue"/>
            <w:shd w:val="clear" w:color="auto" w:fill="CCEEFF"/>
          </w:tcPr>
          <w:p>
            <w:pPr>
              <w:spacing w:after="0"/>
              <w:rPr>
                <w:sz w:val="11"/>
                <w:szCs w:val="11"/>
                <w:color w:val="auto"/>
              </w:rPr>
            </w:pPr>
          </w:p>
        </w:tc>
        <w:tc>
          <w:tcPr>
            <w:tcW w:w="30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leases, including qualitative and specific</w:t>
            </w:r>
          </w:p>
        </w:tc>
        <w:tc>
          <w:tcPr>
            <w:tcW w:w="4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rPr>
                <w:sz w:val="12"/>
                <w:szCs w:val="12"/>
                <w:color w:val="auto"/>
              </w:rPr>
            </w:pPr>
          </w:p>
        </w:tc>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Company would be able to defer</w:t>
            </w:r>
          </w:p>
        </w:tc>
        <w:tc>
          <w:tcPr>
            <w:tcW w:w="30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quantitative measures.</w:t>
            </w:r>
          </w:p>
        </w:tc>
        <w:tc>
          <w:tcPr>
            <w:tcW w:w="43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8"/>
              </w:rPr>
              <w:t>right-to-use asset on its balance sheet, with an immaterial impact to its</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implementation until January 1, 2022.</w:t>
            </w:r>
          </w:p>
        </w:tc>
        <w:tc>
          <w:tcPr>
            <w:tcW w:w="3080" w:type="dxa"/>
            <w:vAlign w:val="bottom"/>
            <w:shd w:val="clear" w:color="auto" w:fill="CCEEFF"/>
          </w:tcPr>
          <w:p>
            <w:pPr>
              <w:spacing w:after="0"/>
              <w:rPr>
                <w:sz w:val="14"/>
                <w:szCs w:val="14"/>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income statement compared to the current lease accounting model.</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4"/>
                <w:szCs w:val="14"/>
                <w:color w:val="auto"/>
              </w:rPr>
              <w:t>However, the ultimate impact of the standard will depend on the</w:t>
            </w: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Company's lease portfolio as of the adoption date.</w:t>
            </w:r>
          </w:p>
        </w:tc>
        <w:tc>
          <w:tcPr>
            <w:tcW w:w="0" w:type="dxa"/>
            <w:vAlign w:val="bottom"/>
          </w:tcPr>
          <w:p>
            <w:pPr>
              <w:spacing w:after="0"/>
              <w:rPr>
                <w:sz w:val="1"/>
                <w:szCs w:val="1"/>
                <w:color w:val="auto"/>
              </w:rPr>
            </w:pPr>
          </w:p>
        </w:tc>
      </w:tr>
      <w:tr>
        <w:trPr>
          <w:trHeight w:val="22"/>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15" w:name="page16"/>
    <w:bookmarkEnd w:id="15"/>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0" w:type="dxa"/>
            <w:vAlign w:val="bottom"/>
            <w:gridSpan w:val="2"/>
          </w:tcPr>
          <w:p>
            <w:pPr>
              <w:spacing w:after="0"/>
              <w:rPr>
                <w:sz w:val="20"/>
                <w:szCs w:val="20"/>
                <w:color w:val="auto"/>
              </w:rPr>
            </w:pPr>
            <w:r>
              <w:rPr>
                <w:rFonts w:ascii="Arial" w:cs="Arial" w:eastAsia="Arial" w:hAnsi="Arial"/>
                <w:sz w:val="17"/>
                <w:szCs w:val="17"/>
                <w:b w:val="1"/>
                <w:bCs w:val="1"/>
                <w:color w:val="auto"/>
              </w:rPr>
              <w:t>Note 2:</w:t>
            </w:r>
          </w:p>
        </w:tc>
        <w:tc>
          <w:tcPr>
            <w:tcW w:w="6420" w:type="dxa"/>
            <w:vAlign w:val="bottom"/>
          </w:tcPr>
          <w:p>
            <w:pPr>
              <w:ind w:left="80"/>
              <w:spacing w:after="0"/>
              <w:rPr>
                <w:sz w:val="20"/>
                <w:szCs w:val="20"/>
                <w:color w:val="auto"/>
              </w:rPr>
            </w:pPr>
            <w:r>
              <w:rPr>
                <w:rFonts w:ascii="Arial" w:cs="Arial" w:eastAsia="Arial" w:hAnsi="Arial"/>
                <w:sz w:val="17"/>
                <w:szCs w:val="17"/>
                <w:b w:val="1"/>
                <w:bCs w:val="1"/>
                <w:color w:val="auto"/>
              </w:rPr>
              <w:t>Earnings Per Share</w:t>
            </w: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89"/>
        </w:trPr>
        <w:tc>
          <w:tcPr>
            <w:tcW w:w="140" w:type="dxa"/>
            <w:vAlign w:val="bottom"/>
          </w:tcPr>
          <w:p>
            <w:pPr>
              <w:spacing w:after="0"/>
              <w:rPr>
                <w:sz w:val="24"/>
                <w:szCs w:val="24"/>
                <w:color w:val="auto"/>
              </w:rPr>
            </w:pPr>
          </w:p>
        </w:tc>
        <w:tc>
          <w:tcPr>
            <w:tcW w:w="7220" w:type="dxa"/>
            <w:vAlign w:val="bottom"/>
            <w:gridSpan w:val="2"/>
          </w:tcPr>
          <w:p>
            <w:pPr>
              <w:ind w:left="380"/>
              <w:spacing w:after="0"/>
              <w:rPr>
                <w:sz w:val="20"/>
                <w:szCs w:val="20"/>
                <w:color w:val="auto"/>
              </w:rPr>
            </w:pPr>
            <w:r>
              <w:rPr>
                <w:rFonts w:ascii="Arial" w:cs="Arial" w:eastAsia="Arial" w:hAnsi="Arial"/>
                <w:sz w:val="14"/>
                <w:szCs w:val="14"/>
                <w:color w:val="auto"/>
              </w:rPr>
              <w:t>The following table presents the computation of basic and diluted earnings per share:</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0"/>
        </w:trPr>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gridSpan w:val="3"/>
          </w:tcPr>
          <w:p>
            <w:pPr>
              <w:jc w:val="center"/>
              <w:ind w:right="229"/>
              <w:spacing w:after="0"/>
              <w:rPr>
                <w:sz w:val="20"/>
                <w:szCs w:val="20"/>
                <w:color w:val="auto"/>
              </w:rPr>
            </w:pPr>
            <w:r>
              <w:rPr>
                <w:rFonts w:ascii="Arial" w:cs="Arial" w:eastAsia="Arial" w:hAnsi="Arial"/>
                <w:sz w:val="14"/>
                <w:szCs w:val="14"/>
                <w:b w:val="1"/>
                <w:bCs w:val="1"/>
                <w:color w:val="auto"/>
                <w:w w:val="92"/>
              </w:rPr>
              <w:t>Three Months Ended</w:t>
            </w:r>
          </w:p>
        </w:tc>
        <w:tc>
          <w:tcPr>
            <w:tcW w:w="780" w:type="dxa"/>
            <w:vAlign w:val="bottom"/>
          </w:tcPr>
          <w:p>
            <w:pPr>
              <w:spacing w:after="0"/>
              <w:rPr>
                <w:sz w:val="24"/>
                <w:szCs w:val="24"/>
                <w:color w:val="auto"/>
              </w:rPr>
            </w:pPr>
          </w:p>
        </w:tc>
      </w:tr>
      <w:tr>
        <w:trPr>
          <w:trHeight w:val="212"/>
        </w:trPr>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Pr>
          <w:p>
            <w:pPr>
              <w:spacing w:after="0"/>
              <w:rPr>
                <w:sz w:val="18"/>
                <w:szCs w:val="18"/>
                <w:color w:val="auto"/>
              </w:rPr>
            </w:pPr>
          </w:p>
        </w:tc>
      </w:tr>
      <w:tr>
        <w:trPr>
          <w:trHeight w:val="22"/>
        </w:trPr>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1"/>
        </w:trPr>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5"/>
                <w:szCs w:val="15"/>
                <w:color w:val="auto"/>
              </w:rPr>
            </w:pPr>
          </w:p>
        </w:tc>
      </w:tr>
      <w:tr>
        <w:trPr>
          <w:trHeight w:val="22"/>
        </w:trPr>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140" w:type="dxa"/>
            <w:vAlign w:val="bottom"/>
            <w:tcBorders>
              <w:bottom w:val="single" w:sz="8" w:color="auto"/>
            </w:tcBorders>
            <w:gridSpan w:val="4"/>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7"/>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140" w:type="dxa"/>
            <w:vAlign w:val="bottom"/>
            <w:gridSpan w:val="4"/>
          </w:tcPr>
          <w:p>
            <w:pPr>
              <w:jc w:val="center"/>
              <w:ind w:left="710"/>
              <w:spacing w:after="0"/>
              <w:rPr>
                <w:sz w:val="20"/>
                <w:szCs w:val="20"/>
                <w:color w:val="auto"/>
              </w:rPr>
            </w:pPr>
            <w:r>
              <w:rPr>
                <w:rFonts w:ascii="Arial" w:cs="Arial" w:eastAsia="Arial" w:hAnsi="Arial"/>
                <w:sz w:val="13"/>
                <w:szCs w:val="13"/>
                <w:i w:val="1"/>
                <w:iCs w:val="1"/>
                <w:color w:val="auto"/>
                <w:w w:val="89"/>
              </w:rPr>
              <w:t>(Dollars in thousands except per share data)</w:t>
            </w:r>
          </w:p>
        </w:tc>
        <w:tc>
          <w:tcPr>
            <w:tcW w:w="780" w:type="dxa"/>
            <w:vAlign w:val="bottom"/>
          </w:tcPr>
          <w:p>
            <w:pPr>
              <w:spacing w:after="0"/>
              <w:rPr>
                <w:sz w:val="14"/>
                <w:szCs w:val="14"/>
                <w:color w:val="auto"/>
              </w:rPr>
            </w:pPr>
          </w:p>
        </w:tc>
      </w:tr>
      <w:tr>
        <w:trPr>
          <w:trHeight w:val="26"/>
        </w:trPr>
        <w:tc>
          <w:tcPr>
            <w:tcW w:w="140" w:type="dxa"/>
            <w:vAlign w:val="bottom"/>
          </w:tcPr>
          <w:p>
            <w:pPr>
              <w:spacing w:after="0"/>
              <w:rPr>
                <w:sz w:val="2"/>
                <w:szCs w:val="2"/>
                <w:color w:val="auto"/>
              </w:rPr>
            </w:pPr>
          </w:p>
        </w:tc>
        <w:tc>
          <w:tcPr>
            <w:tcW w:w="72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2"/>
        </w:trPr>
        <w:tc>
          <w:tcPr>
            <w:tcW w:w="140" w:type="dxa"/>
            <w:vAlign w:val="bottom"/>
          </w:tcPr>
          <w:p>
            <w:pPr>
              <w:spacing w:after="0"/>
              <w:rPr>
                <w:sz w:val="16"/>
                <w:szCs w:val="16"/>
                <w:color w:val="auto"/>
              </w:rPr>
            </w:pPr>
          </w:p>
        </w:tc>
        <w:tc>
          <w:tcPr>
            <w:tcW w:w="7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per Share</w:t>
            </w:r>
          </w:p>
        </w:tc>
        <w:tc>
          <w:tcPr>
            <w:tcW w:w="10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8"/>
              </w:rPr>
              <w:t>Net income</w:t>
            </w:r>
          </w:p>
        </w:tc>
        <w:tc>
          <w:tcPr>
            <w:tcW w:w="6420" w:type="dxa"/>
            <w:vAlign w:val="bottom"/>
          </w:tcPr>
          <w:p>
            <w:pPr>
              <w:spacing w:after="0"/>
              <w:rPr>
                <w:sz w:val="16"/>
                <w:szCs w:val="16"/>
                <w:color w:val="auto"/>
              </w:rPr>
            </w:pP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3,857</w:t>
            </w:r>
          </w:p>
        </w:tc>
        <w:tc>
          <w:tcPr>
            <w:tcW w:w="200" w:type="dxa"/>
            <w:vAlign w:val="bottom"/>
          </w:tcPr>
          <w:p>
            <w:pPr>
              <w:spacing w:after="0"/>
              <w:rPr>
                <w:sz w:val="16"/>
                <w:szCs w:val="16"/>
                <w:color w:val="auto"/>
              </w:rPr>
            </w:pPr>
          </w:p>
        </w:tc>
        <w:tc>
          <w:tcPr>
            <w:tcW w:w="1080" w:type="dxa"/>
            <w:vAlign w:val="bottom"/>
          </w:tcPr>
          <w:p>
            <w:pPr>
              <w:jc w:val="right"/>
              <w:ind w:right="90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9,350</w:t>
            </w:r>
          </w:p>
        </w:tc>
      </w:tr>
      <w:tr>
        <w:trPr>
          <w:trHeight w:val="22"/>
        </w:trPr>
        <w:tc>
          <w:tcPr>
            <w:tcW w:w="14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140" w:type="dxa"/>
            <w:vAlign w:val="bottom"/>
          </w:tcPr>
          <w:p>
            <w:pPr>
              <w:spacing w:after="0"/>
              <w:rPr>
                <w:sz w:val="18"/>
                <w:szCs w:val="18"/>
                <w:color w:val="auto"/>
              </w:rPr>
            </w:pPr>
          </w:p>
        </w:tc>
        <w:tc>
          <w:tcPr>
            <w:tcW w:w="7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Less: preferred stock dividends</w:t>
            </w:r>
          </w:p>
        </w:tc>
        <w:tc>
          <w:tcPr>
            <w:tcW w:w="10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175</w:t>
            </w:r>
          </w:p>
        </w:tc>
      </w:tr>
      <w:tr>
        <w:trPr>
          <w:trHeight w:val="203"/>
        </w:trPr>
        <w:tc>
          <w:tcPr>
            <w:tcW w:w="140" w:type="dxa"/>
            <w:vAlign w:val="bottom"/>
          </w:tcPr>
          <w:p>
            <w:pPr>
              <w:spacing w:after="0"/>
              <w:rPr>
                <w:sz w:val="17"/>
                <w:szCs w:val="17"/>
                <w:color w:val="auto"/>
              </w:rPr>
            </w:pPr>
          </w:p>
        </w:tc>
        <w:tc>
          <w:tcPr>
            <w:tcW w:w="7220" w:type="dxa"/>
            <w:vAlign w:val="bottom"/>
            <w:gridSpan w:val="2"/>
          </w:tcPr>
          <w:p>
            <w:pPr>
              <w:ind w:left="160"/>
              <w:spacing w:after="0"/>
              <w:rPr>
                <w:sz w:val="20"/>
                <w:szCs w:val="20"/>
                <w:color w:val="auto"/>
              </w:rPr>
            </w:pPr>
            <w:r>
              <w:rPr>
                <w:rFonts w:ascii="Arial" w:cs="Arial" w:eastAsia="Arial" w:hAnsi="Arial"/>
                <w:sz w:val="14"/>
                <w:szCs w:val="14"/>
                <w:color w:val="auto"/>
              </w:rPr>
              <w:t>Net income available to common stockholders</w:t>
            </w:r>
          </w:p>
        </w:tc>
        <w:tc>
          <w:tcPr>
            <w:tcW w:w="108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3,857</w:t>
            </w:r>
          </w:p>
        </w:tc>
        <w:tc>
          <w:tcPr>
            <w:tcW w:w="2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0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9,175</w:t>
            </w:r>
          </w:p>
        </w:tc>
      </w:tr>
      <w:tr>
        <w:trPr>
          <w:trHeight w:val="20"/>
        </w:trPr>
        <w:tc>
          <w:tcPr>
            <w:tcW w:w="140" w:type="dxa"/>
            <w:vAlign w:val="bottom"/>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7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Weighted average common shares</w:t>
            </w:r>
          </w:p>
        </w:tc>
        <w:tc>
          <w:tcPr>
            <w:tcW w:w="10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8"/>
              </w:rPr>
              <w:t>52,071,484</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8"/>
              </w:rPr>
              <w:t>45,093,442</w:t>
            </w:r>
          </w:p>
        </w:tc>
      </w:tr>
      <w:tr>
        <w:trPr>
          <w:trHeight w:val="203"/>
        </w:trPr>
        <w:tc>
          <w:tcPr>
            <w:tcW w:w="140" w:type="dxa"/>
            <w:vAlign w:val="bottom"/>
          </w:tcPr>
          <w:p>
            <w:pPr>
              <w:spacing w:after="0"/>
              <w:rPr>
                <w:sz w:val="17"/>
                <w:szCs w:val="17"/>
                <w:color w:val="auto"/>
              </w:rPr>
            </w:pPr>
          </w:p>
        </w:tc>
        <w:tc>
          <w:tcPr>
            <w:tcW w:w="7220" w:type="dxa"/>
            <w:vAlign w:val="bottom"/>
            <w:gridSpan w:val="2"/>
          </w:tcPr>
          <w:p>
            <w:pPr>
              <w:ind w:left="240"/>
              <w:spacing w:after="0"/>
              <w:rPr>
                <w:sz w:val="20"/>
                <w:szCs w:val="20"/>
                <w:color w:val="auto"/>
              </w:rPr>
            </w:pPr>
            <w:r>
              <w:rPr>
                <w:rFonts w:ascii="Arial" w:cs="Arial" w:eastAsia="Arial" w:hAnsi="Arial"/>
                <w:sz w:val="14"/>
                <w:szCs w:val="14"/>
                <w:color w:val="auto"/>
              </w:rPr>
              <w:t>Earnings per share</w:t>
            </w:r>
          </w:p>
        </w:tc>
        <w:tc>
          <w:tcPr>
            <w:tcW w:w="108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0.07</w:t>
            </w:r>
          </w:p>
        </w:tc>
        <w:tc>
          <w:tcPr>
            <w:tcW w:w="2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0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0.20</w:t>
            </w:r>
          </w:p>
        </w:tc>
      </w:tr>
      <w:tr>
        <w:trPr>
          <w:trHeight w:val="20"/>
        </w:trPr>
        <w:tc>
          <w:tcPr>
            <w:tcW w:w="140" w:type="dxa"/>
            <w:vAlign w:val="bottom"/>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4"/>
        </w:trPr>
        <w:tc>
          <w:tcPr>
            <w:tcW w:w="140" w:type="dxa"/>
            <w:vAlign w:val="bottom"/>
          </w:tcPr>
          <w:p>
            <w:pPr>
              <w:spacing w:after="0"/>
              <w:rPr>
                <w:sz w:val="13"/>
                <w:szCs w:val="13"/>
                <w:color w:val="auto"/>
              </w:rPr>
            </w:pPr>
          </w:p>
        </w:tc>
        <w:tc>
          <w:tcPr>
            <w:tcW w:w="7220" w:type="dxa"/>
            <w:vAlign w:val="bottom"/>
            <w:tcBorders>
              <w:bottom w:val="single" w:sz="8" w:color="CCEEFF"/>
            </w:tcBorders>
            <w:gridSpan w:val="2"/>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Dilutive Earnings Per Share</w:t>
            </w:r>
          </w:p>
        </w:tc>
        <w:tc>
          <w:tcPr>
            <w:tcW w:w="10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r>
      <w:tr>
        <w:trPr>
          <w:trHeight w:val="191"/>
        </w:trPr>
        <w:tc>
          <w:tcPr>
            <w:tcW w:w="140" w:type="dxa"/>
            <w:vAlign w:val="bottom"/>
          </w:tcPr>
          <w:p>
            <w:pPr>
              <w:spacing w:after="0"/>
              <w:rPr>
                <w:sz w:val="16"/>
                <w:szCs w:val="16"/>
                <w:color w:val="auto"/>
              </w:rPr>
            </w:pPr>
          </w:p>
        </w:tc>
        <w:tc>
          <w:tcPr>
            <w:tcW w:w="7220" w:type="dxa"/>
            <w:vAlign w:val="bottom"/>
            <w:gridSpan w:val="2"/>
          </w:tcPr>
          <w:p>
            <w:pPr>
              <w:ind w:left="160"/>
              <w:spacing w:after="0"/>
              <w:rPr>
                <w:sz w:val="20"/>
                <w:szCs w:val="20"/>
                <w:color w:val="auto"/>
              </w:rPr>
            </w:pPr>
            <w:r>
              <w:rPr>
                <w:rFonts w:ascii="Arial" w:cs="Arial" w:eastAsia="Arial" w:hAnsi="Arial"/>
                <w:sz w:val="14"/>
                <w:szCs w:val="14"/>
                <w:color w:val="auto"/>
              </w:rPr>
              <w:t>Net income available to common stockholders</w:t>
            </w:r>
          </w:p>
        </w:tc>
        <w:tc>
          <w:tcPr>
            <w:tcW w:w="1080" w:type="dxa"/>
            <w:vAlign w:val="bottom"/>
          </w:tcPr>
          <w:p>
            <w:pPr>
              <w:jc w:val="right"/>
              <w:ind w:right="91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3,857</w:t>
            </w:r>
          </w:p>
        </w:tc>
        <w:tc>
          <w:tcPr>
            <w:tcW w:w="200" w:type="dxa"/>
            <w:vAlign w:val="bottom"/>
          </w:tcPr>
          <w:p>
            <w:pPr>
              <w:spacing w:after="0"/>
              <w:rPr>
                <w:sz w:val="16"/>
                <w:szCs w:val="16"/>
                <w:color w:val="auto"/>
              </w:rPr>
            </w:pPr>
          </w:p>
        </w:tc>
        <w:tc>
          <w:tcPr>
            <w:tcW w:w="1080" w:type="dxa"/>
            <w:vAlign w:val="bottom"/>
          </w:tcPr>
          <w:p>
            <w:pPr>
              <w:jc w:val="right"/>
              <w:ind w:right="90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9,175</w:t>
            </w:r>
          </w:p>
        </w:tc>
      </w:tr>
      <w:tr>
        <w:trPr>
          <w:trHeight w:val="22"/>
        </w:trPr>
        <w:tc>
          <w:tcPr>
            <w:tcW w:w="14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Weighted average common shares</w:t>
            </w:r>
          </w:p>
        </w:tc>
        <w:tc>
          <w:tcPr>
            <w:tcW w:w="10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8"/>
              </w:rPr>
              <w:t>52,071,484</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8"/>
              </w:rPr>
              <w:t>45,093,442</w:t>
            </w:r>
          </w:p>
        </w:tc>
      </w:tr>
      <w:tr>
        <w:trPr>
          <w:trHeight w:val="191"/>
        </w:trPr>
        <w:tc>
          <w:tcPr>
            <w:tcW w:w="140" w:type="dxa"/>
            <w:vAlign w:val="bottom"/>
          </w:tcPr>
          <w:p>
            <w:pPr>
              <w:spacing w:after="0"/>
              <w:rPr>
                <w:sz w:val="16"/>
                <w:szCs w:val="16"/>
                <w:color w:val="auto"/>
              </w:rPr>
            </w:pPr>
          </w:p>
        </w:tc>
        <w:tc>
          <w:tcPr>
            <w:tcW w:w="7220" w:type="dxa"/>
            <w:vAlign w:val="bottom"/>
            <w:gridSpan w:val="2"/>
          </w:tcPr>
          <w:p>
            <w:pPr>
              <w:ind w:left="160"/>
              <w:spacing w:after="0"/>
              <w:rPr>
                <w:sz w:val="20"/>
                <w:szCs w:val="20"/>
                <w:color w:val="auto"/>
              </w:rPr>
            </w:pPr>
            <w:r>
              <w:rPr>
                <w:rFonts w:ascii="Arial" w:cs="Arial" w:eastAsia="Arial" w:hAnsi="Arial"/>
                <w:sz w:val="14"/>
                <w:szCs w:val="14"/>
                <w:color w:val="auto"/>
              </w:rPr>
              <w:t>Effect of dilutive shares</w:t>
            </w:r>
          </w:p>
        </w:tc>
        <w:tc>
          <w:tcPr>
            <w:tcW w:w="108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588,786</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866,825</w:t>
            </w:r>
          </w:p>
        </w:tc>
      </w:tr>
      <w:tr>
        <w:trPr>
          <w:trHeight w:val="22"/>
        </w:trPr>
        <w:tc>
          <w:tcPr>
            <w:tcW w:w="140" w:type="dxa"/>
            <w:vAlign w:val="bottom"/>
          </w:tcPr>
          <w:p>
            <w:pPr>
              <w:spacing w:after="0" w:line="20" w:lineRule="exact"/>
              <w:rPr>
                <w:sz w:val="1"/>
                <w:szCs w:val="1"/>
                <w:color w:val="auto"/>
              </w:rPr>
            </w:pPr>
          </w:p>
        </w:tc>
        <w:tc>
          <w:tcPr>
            <w:tcW w:w="7220" w:type="dxa"/>
            <w:vAlign w:val="bottom"/>
            <w:tcBorders>
              <w:bottom w:val="single" w:sz="8" w:color="CCEEFF"/>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7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Weighted average dilutive common shares</w:t>
            </w:r>
          </w:p>
        </w:tc>
        <w:tc>
          <w:tcPr>
            <w:tcW w:w="10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8"/>
              </w:rPr>
              <w:t>52,660,270</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8"/>
              </w:rPr>
              <w:t>45,960,267</w:t>
            </w:r>
          </w:p>
        </w:tc>
      </w:tr>
      <w:tr>
        <w:trPr>
          <w:trHeight w:val="181"/>
        </w:trPr>
        <w:tc>
          <w:tcPr>
            <w:tcW w:w="140" w:type="dxa"/>
            <w:vAlign w:val="bottom"/>
          </w:tcPr>
          <w:p>
            <w:pPr>
              <w:spacing w:after="0"/>
              <w:rPr>
                <w:sz w:val="15"/>
                <w:szCs w:val="15"/>
                <w:color w:val="auto"/>
              </w:rPr>
            </w:pPr>
          </w:p>
        </w:tc>
        <w:tc>
          <w:tcPr>
            <w:tcW w:w="7220" w:type="dxa"/>
            <w:vAlign w:val="bottom"/>
            <w:gridSpan w:val="2"/>
          </w:tcPr>
          <w:p>
            <w:pPr>
              <w:ind w:left="240"/>
              <w:spacing w:after="0"/>
              <w:rPr>
                <w:sz w:val="20"/>
                <w:szCs w:val="20"/>
                <w:color w:val="auto"/>
              </w:rPr>
            </w:pPr>
            <w:r>
              <w:rPr>
                <w:rFonts w:ascii="Arial" w:cs="Arial" w:eastAsia="Arial" w:hAnsi="Arial"/>
                <w:sz w:val="14"/>
                <w:szCs w:val="14"/>
                <w:color w:val="auto"/>
              </w:rPr>
              <w:t>Diluted earnings per share</w:t>
            </w:r>
          </w:p>
        </w:tc>
        <w:tc>
          <w:tcPr>
            <w:tcW w:w="108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0.07</w:t>
            </w:r>
          </w:p>
        </w:tc>
        <w:tc>
          <w:tcPr>
            <w:tcW w:w="2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90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0.20</w:t>
            </w:r>
          </w:p>
        </w:tc>
      </w:tr>
      <w:tr>
        <w:trPr>
          <w:trHeight w:val="20"/>
        </w:trPr>
        <w:tc>
          <w:tcPr>
            <w:tcW w:w="140" w:type="dxa"/>
            <w:vAlign w:val="bottom"/>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3"/>
        </w:trPr>
        <w:tc>
          <w:tcPr>
            <w:tcW w:w="140" w:type="dxa"/>
            <w:vAlign w:val="bottom"/>
          </w:tcPr>
          <w:p>
            <w:pPr>
              <w:spacing w:after="0"/>
              <w:rPr>
                <w:sz w:val="15"/>
                <w:szCs w:val="15"/>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Stock-based awards not included because to do so would be antidilutive</w:t>
            </w:r>
          </w:p>
        </w:tc>
        <w:tc>
          <w:tcPr>
            <w:tcW w:w="10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905,406</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487,346</w:t>
            </w:r>
          </w:p>
        </w:tc>
      </w:tr>
      <w:tr>
        <w:trPr>
          <w:trHeight w:val="22"/>
        </w:trPr>
        <w:tc>
          <w:tcPr>
            <w:tcW w:w="14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6" w:name="page17"/>
    <w:bookmarkEnd w:id="16"/>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4"/>
          <w:szCs w:val="14"/>
          <w:b w:val="1"/>
          <w:bCs w:val="1"/>
          <w:color w:val="auto"/>
        </w:rPr>
        <w:t>Securities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Available-for-Sale Debt and Equity Securities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The amortized cost and approximate fair values, together with gross unrealized gains and losses, of period end available-for-sale debt and equity securities consisted of the following:</w:t>
      </w:r>
    </w:p>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3"/>
          </w:tcPr>
          <w:p>
            <w:pPr>
              <w:jc w:val="right"/>
              <w:ind w:right="349"/>
              <w:spacing w:after="0"/>
              <w:rPr>
                <w:sz w:val="20"/>
                <w:szCs w:val="20"/>
                <w:color w:val="auto"/>
              </w:rPr>
            </w:pPr>
            <w:r>
              <w:rPr>
                <w:rFonts w:ascii="Arial" w:cs="Arial" w:eastAsia="Arial" w:hAnsi="Arial"/>
                <w:sz w:val="14"/>
                <w:szCs w:val="14"/>
                <w:b w:val="1"/>
                <w:bCs w:val="1"/>
                <w:color w:val="auto"/>
              </w:rPr>
              <w:t>March 31, 2020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r>
      <w:tr>
        <w:trPr>
          <w:trHeight w:val="181"/>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Gross Unrealized Gains</w:t>
            </w: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Gross Unrealized Losses</w:t>
            </w:r>
          </w:p>
        </w:tc>
        <w:tc>
          <w:tcPr>
            <w:tcW w:w="16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7"/>
              </w:rPr>
              <w:t>Approximate Fair Value</w:t>
            </w:r>
          </w:p>
        </w:tc>
      </w:tr>
      <w:tr>
        <w:trPr>
          <w:trHeight w:val="22"/>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3"/>
          </w:tcPr>
          <w:p>
            <w:pPr>
              <w:jc w:val="right"/>
              <w:ind w:right="289"/>
              <w:spacing w:after="0"/>
              <w:rPr>
                <w:sz w:val="20"/>
                <w:szCs w:val="20"/>
                <w:color w:val="auto"/>
              </w:rPr>
            </w:pPr>
            <w:r>
              <w:rPr>
                <w:rFonts w:ascii="Arial" w:cs="Arial" w:eastAsia="Arial" w:hAnsi="Arial"/>
                <w:sz w:val="13"/>
                <w:szCs w:val="13"/>
                <w:i w:val="1"/>
                <w:iCs w:val="1"/>
                <w:color w:val="auto"/>
              </w:rPr>
              <w:t>(Dollars in thousands)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Available-for-sale debt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1"/>
        </w:trPr>
        <w:tc>
          <w:tcPr>
            <w:tcW w:w="4440" w:type="dxa"/>
            <w:vAlign w:val="bottom"/>
          </w:tcPr>
          <w:p>
            <w:pPr>
              <w:ind w:left="160"/>
              <w:spacing w:after="0"/>
              <w:rPr>
                <w:sz w:val="20"/>
                <w:szCs w:val="20"/>
                <w:color w:val="auto"/>
              </w:rPr>
            </w:pPr>
            <w:r>
              <w:rPr>
                <w:rFonts w:ascii="Arial" w:cs="Arial" w:eastAsia="Arial" w:hAnsi="Arial"/>
                <w:sz w:val="14"/>
                <w:szCs w:val="14"/>
                <w:color w:val="auto"/>
              </w:rPr>
              <w:t>Mortgage-backed - GSE residential</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144,175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70"/>
              <w:spacing w:after="0"/>
              <w:rPr>
                <w:sz w:val="20"/>
                <w:szCs w:val="20"/>
                <w:color w:val="auto"/>
              </w:rPr>
            </w:pPr>
            <w:r>
              <w:rPr>
                <w:rFonts w:ascii="Arial" w:cs="Arial" w:eastAsia="Arial" w:hAnsi="Arial"/>
                <w:sz w:val="14"/>
                <w:szCs w:val="14"/>
                <w:color w:val="auto"/>
              </w:rPr>
              <w:t>5,646</w:t>
            </w:r>
          </w:p>
        </w:tc>
        <w:tc>
          <w:tcPr>
            <w:tcW w:w="80" w:type="dxa"/>
            <w:vAlign w:val="bottom"/>
          </w:tcPr>
          <w:p>
            <w:pPr>
              <w:spacing w:after="0"/>
              <w:rPr>
                <w:sz w:val="16"/>
                <w:szCs w:val="16"/>
                <w:color w:val="auto"/>
              </w:rPr>
            </w:pP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149,821</w:t>
            </w:r>
          </w:p>
        </w:tc>
      </w:tr>
      <w:tr>
        <w:trPr>
          <w:trHeight w:val="22"/>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4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Collateralized mortgage obligations - GSE residential</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115,734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3,206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118,938</w:t>
            </w:r>
          </w:p>
        </w:tc>
      </w:tr>
      <w:tr>
        <w:trPr>
          <w:trHeight w:val="191"/>
        </w:trPr>
        <w:tc>
          <w:tcPr>
            <w:tcW w:w="4440" w:type="dxa"/>
            <w:vAlign w:val="bottom"/>
          </w:tcPr>
          <w:p>
            <w:pPr>
              <w:ind w:left="160"/>
              <w:spacing w:after="0"/>
              <w:rPr>
                <w:sz w:val="20"/>
                <w:szCs w:val="20"/>
                <w:color w:val="auto"/>
              </w:rPr>
            </w:pPr>
            <w:r>
              <w:rPr>
                <w:rFonts w:ascii="Arial" w:cs="Arial" w:eastAsia="Arial" w:hAnsi="Arial"/>
                <w:sz w:val="14"/>
                <w:szCs w:val="14"/>
                <w:color w:val="auto"/>
              </w:rPr>
              <w:t>State and political subdivisions</w:t>
            </w:r>
          </w:p>
        </w:tc>
        <w:tc>
          <w:tcPr>
            <w:tcW w:w="200" w:type="dxa"/>
            <w:vAlign w:val="bottom"/>
          </w:tcPr>
          <w:p>
            <w:pPr>
              <w:spacing w:after="0"/>
              <w:rPr>
                <w:sz w:val="16"/>
                <w:szCs w:val="16"/>
                <w:color w:val="auto"/>
              </w:rPr>
            </w:pP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441,888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70"/>
              <w:spacing w:after="0"/>
              <w:rPr>
                <w:sz w:val="20"/>
                <w:szCs w:val="20"/>
                <w:color w:val="auto"/>
              </w:rPr>
            </w:pPr>
            <w:r>
              <w:rPr>
                <w:rFonts w:ascii="Arial" w:cs="Arial" w:eastAsia="Arial" w:hAnsi="Arial"/>
                <w:sz w:val="14"/>
                <w:szCs w:val="14"/>
                <w:color w:val="auto"/>
              </w:rPr>
              <w:t>21,589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462,850</w:t>
            </w:r>
          </w:p>
        </w:tc>
      </w:tr>
      <w:tr>
        <w:trPr>
          <w:trHeight w:val="22"/>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Corporate bonds</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1,298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1,415</w:t>
            </w:r>
          </w:p>
        </w:tc>
      </w:tr>
      <w:tr>
        <w:trPr>
          <w:trHeight w:val="181"/>
        </w:trPr>
        <w:tc>
          <w:tcPr>
            <w:tcW w:w="4440" w:type="dxa"/>
            <w:vAlign w:val="bottom"/>
          </w:tcPr>
          <w:p>
            <w:pPr>
              <w:spacing w:after="0"/>
              <w:rPr>
                <w:sz w:val="20"/>
                <w:szCs w:val="20"/>
                <w:color w:val="auto"/>
              </w:rPr>
            </w:pPr>
            <w:r>
              <w:rPr>
                <w:rFonts w:ascii="Arial" w:cs="Arial" w:eastAsia="Arial" w:hAnsi="Arial"/>
                <w:sz w:val="14"/>
                <w:szCs w:val="14"/>
                <w:color w:val="auto"/>
              </w:rPr>
              <w:t>Total available-for-sale debt securities</w:t>
            </w: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703,095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30,558</w:t>
            </w: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733,024</w:t>
            </w:r>
          </w:p>
        </w:tc>
      </w:tr>
      <w:tr>
        <w:trPr>
          <w:trHeight w:val="22"/>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Equity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1"/>
        </w:trPr>
        <w:tc>
          <w:tcPr>
            <w:tcW w:w="4440" w:type="dxa"/>
            <w:vAlign w:val="bottom"/>
          </w:tcPr>
          <w:p>
            <w:pPr>
              <w:ind w:left="160"/>
              <w:spacing w:after="0"/>
              <w:rPr>
                <w:sz w:val="20"/>
                <w:szCs w:val="20"/>
                <w:color w:val="auto"/>
              </w:rPr>
            </w:pPr>
            <w:r>
              <w:rPr>
                <w:rFonts w:ascii="Arial" w:cs="Arial" w:eastAsia="Arial" w:hAnsi="Arial"/>
                <w:sz w:val="14"/>
                <w:szCs w:val="14"/>
                <w:color w:val="auto"/>
              </w:rPr>
              <w:t>Mutual funds</w:t>
            </w:r>
          </w:p>
        </w:tc>
        <w:tc>
          <w:tcPr>
            <w:tcW w:w="200" w:type="dxa"/>
            <w:vAlign w:val="bottom"/>
          </w:tcPr>
          <w:p>
            <w:pPr>
              <w:spacing w:after="0"/>
              <w:rPr>
                <w:sz w:val="16"/>
                <w:szCs w:val="16"/>
                <w:color w:val="auto"/>
              </w:rPr>
            </w:pP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2,202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7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2,207</w:t>
            </w:r>
          </w:p>
        </w:tc>
      </w:tr>
      <w:tr>
        <w:trPr>
          <w:trHeight w:val="22"/>
        </w:trPr>
        <w:tc>
          <w:tcPr>
            <w:tcW w:w="4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equity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2,202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2,207</w:t>
            </w:r>
          </w:p>
        </w:tc>
      </w:tr>
      <w:tr>
        <w:trPr>
          <w:trHeight w:val="203"/>
        </w:trPr>
        <w:tc>
          <w:tcPr>
            <w:tcW w:w="4440" w:type="dxa"/>
            <w:vAlign w:val="bottom"/>
          </w:tcPr>
          <w:p>
            <w:pPr>
              <w:spacing w:after="0"/>
              <w:rPr>
                <w:sz w:val="20"/>
                <w:szCs w:val="20"/>
                <w:color w:val="auto"/>
              </w:rPr>
            </w:pPr>
            <w:r>
              <w:rPr>
                <w:rFonts w:ascii="Arial" w:cs="Arial" w:eastAsia="Arial" w:hAnsi="Arial"/>
                <w:sz w:val="14"/>
                <w:szCs w:val="14"/>
                <w:color w:val="auto"/>
              </w:rPr>
              <w:t>Total available-for-sale securities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705,297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30,563</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735,231</w:t>
            </w: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tcPr>
          <w:p>
            <w:pPr>
              <w:jc w:val="right"/>
              <w:ind w:right="269"/>
              <w:spacing w:after="0"/>
              <w:rPr>
                <w:sz w:val="20"/>
                <w:szCs w:val="20"/>
                <w:color w:val="auto"/>
              </w:rPr>
            </w:pPr>
            <w:r>
              <w:rPr>
                <w:rFonts w:ascii="Arial" w:cs="Arial" w:eastAsia="Arial" w:hAnsi="Arial"/>
                <w:sz w:val="14"/>
                <w:szCs w:val="14"/>
                <w:b w:val="1"/>
                <w:bCs w:val="1"/>
                <w:color w:val="auto"/>
              </w:rPr>
              <w:t>December 31, 2019</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r>
      <w:tr>
        <w:trPr>
          <w:trHeight w:val="181"/>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Gross Unrealized Gains</w:t>
            </w: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Gross Unrealized Losses</w:t>
            </w:r>
          </w:p>
        </w:tc>
        <w:tc>
          <w:tcPr>
            <w:tcW w:w="16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7"/>
              </w:rPr>
              <w:t>Approximate Fair Value</w:t>
            </w:r>
          </w:p>
        </w:tc>
      </w:tr>
      <w:tr>
        <w:trPr>
          <w:trHeight w:val="22"/>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3"/>
          </w:tcPr>
          <w:p>
            <w:pPr>
              <w:jc w:val="right"/>
              <w:ind w:right="309"/>
              <w:spacing w:after="0"/>
              <w:rPr>
                <w:sz w:val="20"/>
                <w:szCs w:val="20"/>
                <w:color w:val="auto"/>
              </w:rPr>
            </w:pPr>
            <w:r>
              <w:rPr>
                <w:rFonts w:ascii="Arial" w:cs="Arial" w:eastAsia="Arial" w:hAnsi="Arial"/>
                <w:sz w:val="13"/>
                <w:szCs w:val="13"/>
                <w:i w:val="1"/>
                <w:iCs w:val="1"/>
                <w:color w:val="auto"/>
              </w:rPr>
              <w:t>(Dollars in thousands)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Available-for-sale debt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1"/>
        </w:trPr>
        <w:tc>
          <w:tcPr>
            <w:tcW w:w="4440" w:type="dxa"/>
            <w:vAlign w:val="bottom"/>
          </w:tcPr>
          <w:p>
            <w:pPr>
              <w:ind w:left="160"/>
              <w:spacing w:after="0"/>
              <w:rPr>
                <w:sz w:val="20"/>
                <w:szCs w:val="20"/>
                <w:color w:val="auto"/>
              </w:rPr>
            </w:pPr>
            <w:r>
              <w:rPr>
                <w:rFonts w:ascii="Arial" w:cs="Arial" w:eastAsia="Arial" w:hAnsi="Arial"/>
                <w:sz w:val="14"/>
                <w:szCs w:val="14"/>
                <w:color w:val="auto"/>
              </w:rPr>
              <w:t>Mortgage-backed - GSE residential</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151,037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70"/>
              <w:spacing w:after="0"/>
              <w:rPr>
                <w:sz w:val="20"/>
                <w:szCs w:val="20"/>
                <w:color w:val="auto"/>
              </w:rPr>
            </w:pPr>
            <w:r>
              <w:rPr>
                <w:rFonts w:ascii="Arial" w:cs="Arial" w:eastAsia="Arial" w:hAnsi="Arial"/>
                <w:sz w:val="14"/>
                <w:szCs w:val="14"/>
                <w:color w:val="auto"/>
              </w:rPr>
              <w:t>1,668</w:t>
            </w:r>
          </w:p>
        </w:tc>
        <w:tc>
          <w:tcPr>
            <w:tcW w:w="80" w:type="dxa"/>
            <w:vAlign w:val="bottom"/>
          </w:tcPr>
          <w:p>
            <w:pPr>
              <w:spacing w:after="0"/>
              <w:rPr>
                <w:sz w:val="16"/>
                <w:szCs w:val="16"/>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152,512</w:t>
            </w:r>
          </w:p>
        </w:tc>
      </w:tr>
      <w:tr>
        <w:trPr>
          <w:trHeight w:val="22"/>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4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Collateralized mortgage obligations - GSE residential</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128,876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129,212</w:t>
            </w:r>
          </w:p>
        </w:tc>
      </w:tr>
      <w:tr>
        <w:trPr>
          <w:trHeight w:val="191"/>
        </w:trPr>
        <w:tc>
          <w:tcPr>
            <w:tcW w:w="4440" w:type="dxa"/>
            <w:vAlign w:val="bottom"/>
          </w:tcPr>
          <w:p>
            <w:pPr>
              <w:ind w:left="160"/>
              <w:spacing w:after="0"/>
              <w:rPr>
                <w:sz w:val="20"/>
                <w:szCs w:val="20"/>
                <w:color w:val="auto"/>
              </w:rPr>
            </w:pPr>
            <w:r>
              <w:rPr>
                <w:rFonts w:ascii="Arial" w:cs="Arial" w:eastAsia="Arial" w:hAnsi="Arial"/>
                <w:sz w:val="14"/>
                <w:szCs w:val="14"/>
                <w:color w:val="auto"/>
              </w:rPr>
              <w:t>State and political subdivisions</w:t>
            </w:r>
          </w:p>
        </w:tc>
        <w:tc>
          <w:tcPr>
            <w:tcW w:w="200" w:type="dxa"/>
            <w:vAlign w:val="bottom"/>
          </w:tcPr>
          <w:p>
            <w:pPr>
              <w:spacing w:after="0"/>
              <w:rPr>
                <w:sz w:val="16"/>
                <w:szCs w:val="16"/>
                <w:color w:val="auto"/>
              </w:rPr>
            </w:pP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436,448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70"/>
              <w:spacing w:after="0"/>
              <w:rPr>
                <w:sz w:val="20"/>
                <w:szCs w:val="20"/>
                <w:color w:val="auto"/>
              </w:rPr>
            </w:pPr>
            <w:r>
              <w:rPr>
                <w:rFonts w:ascii="Arial" w:cs="Arial" w:eastAsia="Arial" w:hAnsi="Arial"/>
                <w:sz w:val="14"/>
                <w:szCs w:val="14"/>
                <w:color w:val="auto"/>
              </w:rPr>
              <w:t>19,996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456,340</w:t>
            </w:r>
          </w:p>
        </w:tc>
      </w:tr>
      <w:tr>
        <w:trPr>
          <w:trHeight w:val="22"/>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Corporate bonds</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88</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1,409</w:t>
            </w:r>
          </w:p>
        </w:tc>
      </w:tr>
      <w:tr>
        <w:trPr>
          <w:trHeight w:val="181"/>
        </w:trPr>
        <w:tc>
          <w:tcPr>
            <w:tcW w:w="4440" w:type="dxa"/>
            <w:vAlign w:val="bottom"/>
          </w:tcPr>
          <w:p>
            <w:pPr>
              <w:spacing w:after="0"/>
              <w:rPr>
                <w:sz w:val="20"/>
                <w:szCs w:val="20"/>
                <w:color w:val="auto"/>
              </w:rPr>
            </w:pPr>
            <w:r>
              <w:rPr>
                <w:rFonts w:ascii="Arial" w:cs="Arial" w:eastAsia="Arial" w:hAnsi="Arial"/>
                <w:sz w:val="14"/>
                <w:szCs w:val="14"/>
                <w:color w:val="auto"/>
              </w:rPr>
              <w:t>Total available-for-sale debt securities</w:t>
            </w: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717,682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22,377</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739,473</w:t>
            </w:r>
          </w:p>
        </w:tc>
      </w:tr>
      <w:tr>
        <w:trPr>
          <w:trHeight w:val="22"/>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Equity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1"/>
        </w:trPr>
        <w:tc>
          <w:tcPr>
            <w:tcW w:w="4440" w:type="dxa"/>
            <w:vAlign w:val="bottom"/>
          </w:tcPr>
          <w:p>
            <w:pPr>
              <w:ind w:left="160"/>
              <w:spacing w:after="0"/>
              <w:rPr>
                <w:sz w:val="20"/>
                <w:szCs w:val="20"/>
                <w:color w:val="auto"/>
              </w:rPr>
            </w:pPr>
            <w:r>
              <w:rPr>
                <w:rFonts w:ascii="Arial" w:cs="Arial" w:eastAsia="Arial" w:hAnsi="Arial"/>
                <w:sz w:val="14"/>
                <w:szCs w:val="14"/>
                <w:color w:val="auto"/>
              </w:rPr>
              <w:t>Mutual funds</w:t>
            </w:r>
          </w:p>
        </w:tc>
        <w:tc>
          <w:tcPr>
            <w:tcW w:w="200" w:type="dxa"/>
            <w:vAlign w:val="bottom"/>
          </w:tcPr>
          <w:p>
            <w:pPr>
              <w:spacing w:after="0"/>
              <w:rPr>
                <w:sz w:val="16"/>
                <w:szCs w:val="16"/>
                <w:color w:val="auto"/>
              </w:rPr>
            </w:pP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2,190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2,161</w:t>
            </w:r>
          </w:p>
        </w:tc>
      </w:tr>
      <w:tr>
        <w:trPr>
          <w:trHeight w:val="22"/>
        </w:trPr>
        <w:tc>
          <w:tcPr>
            <w:tcW w:w="4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equity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2,190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2,161</w:t>
            </w:r>
          </w:p>
        </w:tc>
      </w:tr>
      <w:tr>
        <w:trPr>
          <w:trHeight w:val="203"/>
        </w:trPr>
        <w:tc>
          <w:tcPr>
            <w:tcW w:w="4440" w:type="dxa"/>
            <w:vAlign w:val="bottom"/>
          </w:tcPr>
          <w:p>
            <w:pPr>
              <w:spacing w:after="0"/>
              <w:rPr>
                <w:sz w:val="20"/>
                <w:szCs w:val="20"/>
                <w:color w:val="auto"/>
              </w:rPr>
            </w:pPr>
            <w:r>
              <w:rPr>
                <w:rFonts w:ascii="Arial" w:cs="Arial" w:eastAsia="Arial" w:hAnsi="Arial"/>
                <w:sz w:val="14"/>
                <w:szCs w:val="14"/>
                <w:color w:val="auto"/>
              </w:rPr>
              <w:t>Total available-for-sale securities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719,872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22,377</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741,634</w:t>
            </w: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carrying value of securities pledged as collateral was $50 million and $41 million at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7" w:name="page18"/>
    <w:bookmarkEnd w:id="17"/>
    <w:p>
      <w:pPr>
        <w:spacing w:after="0"/>
        <w:tabs>
          <w:tab w:leader="none" w:pos="404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amortized cost and fair value of available-for-sale debt securities at March 31, 2020, by contractual maturity, are shown below:</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10"/>
              <w:spacing w:after="0"/>
              <w:rPr>
                <w:sz w:val="20"/>
                <w:szCs w:val="20"/>
                <w:color w:val="auto"/>
              </w:rPr>
            </w:pPr>
            <w:r>
              <w:rPr>
                <w:rFonts w:ascii="Arial" w:cs="Arial" w:eastAsia="Arial" w:hAnsi="Arial"/>
                <w:sz w:val="14"/>
                <w:szCs w:val="14"/>
                <w:b w:val="1"/>
                <w:bCs w:val="1"/>
                <w:color w:val="auto"/>
                <w:w w:val="94"/>
              </w:rPr>
              <w:t>March 31, 2020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81"/>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b w:val="1"/>
                <w:bCs w:val="1"/>
                <w:color w:val="auto"/>
              </w:rPr>
              <w:t>Within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b w:val="1"/>
                <w:bCs w:val="1"/>
                <w:color w:val="auto"/>
              </w:rPr>
              <w:t>After One to</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After Five to</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289"/>
              <w:spacing w:after="0"/>
              <w:rPr>
                <w:sz w:val="20"/>
                <w:szCs w:val="20"/>
                <w:color w:val="auto"/>
              </w:rPr>
            </w:pPr>
            <w:r>
              <w:rPr>
                <w:rFonts w:ascii="Arial" w:cs="Arial" w:eastAsia="Arial" w:hAnsi="Arial"/>
                <w:sz w:val="14"/>
                <w:szCs w:val="14"/>
                <w:b w:val="1"/>
                <w:bCs w:val="1"/>
                <w:color w:val="auto"/>
              </w:rPr>
              <w:t>After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2"/>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49"/>
              <w:spacing w:after="0"/>
              <w:rPr>
                <w:sz w:val="20"/>
                <w:szCs w:val="20"/>
                <w:color w:val="auto"/>
              </w:rPr>
            </w:pPr>
            <w:r>
              <w:rPr>
                <w:rFonts w:ascii="Arial" w:cs="Arial" w:eastAsia="Arial" w:hAnsi="Arial"/>
                <w:sz w:val="14"/>
                <w:szCs w:val="14"/>
                <w:b w:val="1"/>
                <w:bCs w:val="1"/>
                <w:color w:val="auto"/>
              </w:rPr>
              <w:t>One Year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Five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Ten Years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Ten Years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r>
      <w:tr>
        <w:trPr>
          <w:trHeight w:val="22"/>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4"/>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7"/>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329"/>
              <w:spacing w:after="0"/>
              <w:rPr>
                <w:sz w:val="20"/>
                <w:szCs w:val="20"/>
                <w:color w:val="auto"/>
              </w:rPr>
            </w:pPr>
            <w:r>
              <w:rPr>
                <w:rFonts w:ascii="Arial" w:cs="Arial" w:eastAsia="Arial" w:hAnsi="Arial"/>
                <w:sz w:val="13"/>
                <w:szCs w:val="13"/>
                <w:i w:val="1"/>
                <w:iCs w:val="1"/>
                <w:color w:val="auto"/>
                <w:w w:val="90"/>
              </w:rPr>
              <w:t>(Dollars in thousands)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Available-for-sale debt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180"/>
        </w:trPr>
        <w:tc>
          <w:tcPr>
            <w:tcW w:w="4080" w:type="dxa"/>
            <w:vAlign w:val="bottom"/>
          </w:tcPr>
          <w:p>
            <w:pPr>
              <w:ind w:left="100"/>
              <w:spacing w:after="0" w:line="181" w:lineRule="exact"/>
              <w:rPr>
                <w:sz w:val="20"/>
                <w:szCs w:val="20"/>
                <w:color w:val="auto"/>
              </w:rPr>
            </w:pPr>
            <w:r>
              <w:rPr>
                <w:rFonts w:ascii="Arial" w:cs="Arial" w:eastAsia="Arial" w:hAnsi="Arial"/>
                <w:sz w:val="14"/>
                <w:szCs w:val="14"/>
                <w:color w:val="auto"/>
              </w:rPr>
              <w:t>Mortgage-backed - GSE residential</w:t>
            </w:r>
            <w:r>
              <w:rPr>
                <w:rFonts w:ascii="Arial" w:cs="Arial" w:eastAsia="Arial" w:hAnsi="Arial"/>
                <w:sz w:val="18"/>
                <w:szCs w:val="18"/>
                <w:color w:val="auto"/>
                <w:vertAlign w:val="superscript"/>
              </w:rPr>
              <w:t>(1)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2"/>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Amortized cost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480" w:type="dxa"/>
            <w:vAlign w:val="bottom"/>
            <w:tcBorders>
              <w:bottom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143,886</w:t>
            </w:r>
          </w:p>
        </w:tc>
        <w:tc>
          <w:tcPr>
            <w:tcW w:w="540" w:type="dxa"/>
            <w:vAlign w:val="bottom"/>
            <w:tcBorders>
              <w:bottom w:val="single" w:sz="8" w:color="CCEEFF"/>
            </w:tcBorders>
            <w:gridSpan w:val="3"/>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144,175</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4080" w:type="dxa"/>
            <w:vAlign w:val="bottom"/>
          </w:tcPr>
          <w:p>
            <w:pPr>
              <w:ind w:left="240"/>
              <w:spacing w:after="0"/>
              <w:rPr>
                <w:sz w:val="20"/>
                <w:szCs w:val="20"/>
                <w:color w:val="auto"/>
              </w:rPr>
            </w:pPr>
            <w:r>
              <w:rPr>
                <w:rFonts w:ascii="Arial" w:cs="Arial" w:eastAsia="Arial" w:hAnsi="Arial"/>
                <w:sz w:val="14"/>
                <w:szCs w:val="14"/>
                <w:color w:val="auto"/>
              </w:rPr>
              <w:t>Estimated fair value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304</w:t>
            </w:r>
          </w:p>
        </w:tc>
        <w:tc>
          <w:tcPr>
            <w:tcW w:w="4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149,517</w:t>
            </w:r>
          </w:p>
        </w:tc>
        <w:tc>
          <w:tcPr>
            <w:tcW w:w="540" w:type="dxa"/>
            <w:vAlign w:val="bottom"/>
            <w:gridSpan w:val="3"/>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149,821</w:t>
            </w:r>
          </w:p>
        </w:tc>
        <w:tc>
          <w:tcPr>
            <w:tcW w:w="160" w:type="dxa"/>
            <w:vAlign w:val="bottom"/>
          </w:tcPr>
          <w:p>
            <w:pPr>
              <w:spacing w:after="0"/>
              <w:rPr>
                <w:sz w:val="16"/>
                <w:szCs w:val="16"/>
                <w:color w:val="auto"/>
              </w:rPr>
            </w:pPr>
          </w:p>
        </w:tc>
      </w:tr>
      <w:tr>
        <w:trPr>
          <w:trHeight w:val="22"/>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12"/>
        </w:trPr>
        <w:tc>
          <w:tcPr>
            <w:tcW w:w="4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9"/>
              <w:spacing w:after="0"/>
              <w:rPr>
                <w:sz w:val="20"/>
                <w:szCs w:val="20"/>
                <w:color w:val="auto"/>
              </w:rPr>
            </w:pPr>
            <w:r>
              <w:rPr>
                <w:rFonts w:ascii="Arial" w:cs="Arial" w:eastAsia="Arial" w:hAnsi="Arial"/>
                <w:sz w:val="14"/>
                <w:szCs w:val="14"/>
                <w:color w:val="auto"/>
              </w:rPr>
              <w:t>— %</w:t>
            </w:r>
          </w:p>
        </w:tc>
        <w:tc>
          <w:tcPr>
            <w:tcW w:w="1340" w:type="dxa"/>
            <w:vAlign w:val="bottom"/>
            <w:gridSpan w:val="4"/>
            <w:shd w:val="clear" w:color="auto" w:fill="CCEEFF"/>
          </w:tcPr>
          <w:p>
            <w:pPr>
              <w:jc w:val="right"/>
              <w:ind w:right="109"/>
              <w:spacing w:after="0"/>
              <w:rPr>
                <w:sz w:val="20"/>
                <w:szCs w:val="20"/>
                <w:color w:val="auto"/>
              </w:rPr>
            </w:pPr>
            <w:r>
              <w:rPr>
                <w:rFonts w:ascii="Arial" w:cs="Arial" w:eastAsia="Arial" w:hAnsi="Arial"/>
                <w:sz w:val="14"/>
                <w:szCs w:val="14"/>
                <w:color w:val="auto"/>
              </w:rPr>
              <w:t>—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4.02 %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2.43 %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2.43 %</w:t>
            </w:r>
          </w:p>
        </w:tc>
      </w:tr>
      <w:tr>
        <w:trPr>
          <w:trHeight w:val="180"/>
        </w:trPr>
        <w:tc>
          <w:tcPr>
            <w:tcW w:w="4080" w:type="dxa"/>
            <w:vAlign w:val="bottom"/>
          </w:tcPr>
          <w:p>
            <w:pPr>
              <w:ind w:left="100"/>
              <w:spacing w:after="0" w:line="181" w:lineRule="exact"/>
              <w:rPr>
                <w:sz w:val="20"/>
                <w:szCs w:val="20"/>
                <w:color w:val="auto"/>
              </w:rPr>
            </w:pPr>
            <w:r>
              <w:rPr>
                <w:rFonts w:ascii="Arial" w:cs="Arial" w:eastAsia="Arial" w:hAnsi="Arial"/>
                <w:sz w:val="14"/>
                <w:szCs w:val="14"/>
                <w:color w:val="auto"/>
              </w:rPr>
              <w:t>Collateralized mortgage obligations - GSE residential</w:t>
            </w:r>
            <w:r>
              <w:rPr>
                <w:rFonts w:ascii="Arial" w:cs="Arial" w:eastAsia="Arial" w:hAnsi="Arial"/>
                <w:sz w:val="18"/>
                <w:szCs w:val="18"/>
                <w:color w:val="auto"/>
                <w:vertAlign w:val="superscript"/>
              </w:rPr>
              <w:t>(1)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2"/>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Amortized cost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2,517</w:t>
            </w:r>
          </w:p>
        </w:tc>
        <w:tc>
          <w:tcPr>
            <w:tcW w:w="480" w:type="dxa"/>
            <w:vAlign w:val="bottom"/>
            <w:tcBorders>
              <w:bottom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113,217</w:t>
            </w:r>
          </w:p>
        </w:tc>
        <w:tc>
          <w:tcPr>
            <w:tcW w:w="540" w:type="dxa"/>
            <w:vAlign w:val="bottom"/>
            <w:tcBorders>
              <w:bottom w:val="single" w:sz="8" w:color="CCEEFF"/>
            </w:tcBorders>
            <w:gridSpan w:val="3"/>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115,734</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4080" w:type="dxa"/>
            <w:vAlign w:val="bottom"/>
          </w:tcPr>
          <w:p>
            <w:pPr>
              <w:ind w:left="240"/>
              <w:spacing w:after="0"/>
              <w:rPr>
                <w:sz w:val="20"/>
                <w:szCs w:val="20"/>
                <w:color w:val="auto"/>
              </w:rPr>
            </w:pPr>
            <w:r>
              <w:rPr>
                <w:rFonts w:ascii="Arial" w:cs="Arial" w:eastAsia="Arial" w:hAnsi="Arial"/>
                <w:sz w:val="14"/>
                <w:szCs w:val="14"/>
                <w:color w:val="auto"/>
              </w:rPr>
              <w:t>Estimated fair value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2,722</w:t>
            </w:r>
          </w:p>
        </w:tc>
        <w:tc>
          <w:tcPr>
            <w:tcW w:w="4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116,216</w:t>
            </w:r>
          </w:p>
        </w:tc>
        <w:tc>
          <w:tcPr>
            <w:tcW w:w="540" w:type="dxa"/>
            <w:vAlign w:val="bottom"/>
            <w:gridSpan w:val="3"/>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118,938</w:t>
            </w:r>
          </w:p>
        </w:tc>
        <w:tc>
          <w:tcPr>
            <w:tcW w:w="160" w:type="dxa"/>
            <w:vAlign w:val="bottom"/>
          </w:tcPr>
          <w:p>
            <w:pPr>
              <w:spacing w:after="0"/>
              <w:rPr>
                <w:sz w:val="16"/>
                <w:szCs w:val="16"/>
                <w:color w:val="auto"/>
              </w:rPr>
            </w:pPr>
          </w:p>
        </w:tc>
      </w:tr>
      <w:tr>
        <w:trPr>
          <w:trHeight w:val="22"/>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12"/>
        </w:trPr>
        <w:tc>
          <w:tcPr>
            <w:tcW w:w="4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9"/>
              <w:spacing w:after="0"/>
              <w:rPr>
                <w:sz w:val="20"/>
                <w:szCs w:val="20"/>
                <w:color w:val="auto"/>
              </w:rPr>
            </w:pPr>
            <w:r>
              <w:rPr>
                <w:rFonts w:ascii="Arial" w:cs="Arial" w:eastAsia="Arial" w:hAnsi="Arial"/>
                <w:sz w:val="14"/>
                <w:szCs w:val="14"/>
                <w:color w:val="auto"/>
              </w:rPr>
              <w:t>— %</w:t>
            </w:r>
          </w:p>
        </w:tc>
        <w:tc>
          <w:tcPr>
            <w:tcW w:w="1340" w:type="dxa"/>
            <w:vAlign w:val="bottom"/>
            <w:gridSpan w:val="4"/>
            <w:shd w:val="clear" w:color="auto" w:fill="CCEEFF"/>
          </w:tcPr>
          <w:p>
            <w:pPr>
              <w:jc w:val="right"/>
              <w:ind w:right="109"/>
              <w:spacing w:after="0"/>
              <w:rPr>
                <w:sz w:val="20"/>
                <w:szCs w:val="20"/>
                <w:color w:val="auto"/>
              </w:rPr>
            </w:pPr>
            <w:r>
              <w:rPr>
                <w:rFonts w:ascii="Arial" w:cs="Arial" w:eastAsia="Arial" w:hAnsi="Arial"/>
                <w:sz w:val="14"/>
                <w:szCs w:val="14"/>
                <w:color w:val="auto"/>
              </w:rPr>
              <w:t>—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2.76 %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1.43 %</w:t>
            </w:r>
          </w:p>
        </w:tc>
      </w:tr>
      <w:tr>
        <w:trPr>
          <w:trHeight w:val="191"/>
        </w:trPr>
        <w:tc>
          <w:tcPr>
            <w:tcW w:w="4080" w:type="dxa"/>
            <w:vAlign w:val="bottom"/>
          </w:tcPr>
          <w:p>
            <w:pPr>
              <w:ind w:left="80"/>
              <w:spacing w:after="0"/>
              <w:rPr>
                <w:sz w:val="20"/>
                <w:szCs w:val="20"/>
                <w:color w:val="auto"/>
              </w:rPr>
            </w:pPr>
            <w:r>
              <w:rPr>
                <w:rFonts w:ascii="Arial" w:cs="Arial" w:eastAsia="Arial" w:hAnsi="Arial"/>
                <w:sz w:val="14"/>
                <w:szCs w:val="14"/>
                <w:color w:val="auto"/>
              </w:rPr>
              <w:t>State and political subdivisions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Amortized cost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420" w:type="dxa"/>
            <w:vAlign w:val="bottom"/>
            <w:tcBorders>
              <w:bottom w:val="single" w:sz="8" w:color="CCEEFF"/>
            </w:tcBorders>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6,039</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61,072</w:t>
            </w:r>
          </w:p>
        </w:tc>
        <w:tc>
          <w:tcPr>
            <w:tcW w:w="480" w:type="dxa"/>
            <w:vAlign w:val="bottom"/>
            <w:tcBorders>
              <w:bottom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374,122</w:t>
            </w:r>
          </w:p>
        </w:tc>
        <w:tc>
          <w:tcPr>
            <w:tcW w:w="540" w:type="dxa"/>
            <w:vAlign w:val="bottom"/>
            <w:tcBorders>
              <w:bottom w:val="single" w:sz="8" w:color="CCEEFF"/>
            </w:tcBorders>
            <w:gridSpan w:val="3"/>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441,888</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4080" w:type="dxa"/>
            <w:vAlign w:val="bottom"/>
          </w:tcPr>
          <w:p>
            <w:pPr>
              <w:ind w:left="240"/>
              <w:spacing w:after="0"/>
              <w:rPr>
                <w:sz w:val="20"/>
                <w:szCs w:val="20"/>
                <w:color w:val="auto"/>
              </w:rPr>
            </w:pPr>
            <w:r>
              <w:rPr>
                <w:rFonts w:ascii="Arial" w:cs="Arial" w:eastAsia="Arial" w:hAnsi="Arial"/>
                <w:sz w:val="14"/>
                <w:szCs w:val="14"/>
                <w:color w:val="auto"/>
              </w:rPr>
              <w:t>Estimated fair value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c>
          <w:tcPr>
            <w:tcW w:w="4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6,141</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64,922</w:t>
            </w:r>
          </w:p>
        </w:tc>
        <w:tc>
          <w:tcPr>
            <w:tcW w:w="4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391,132</w:t>
            </w:r>
          </w:p>
        </w:tc>
        <w:tc>
          <w:tcPr>
            <w:tcW w:w="540" w:type="dxa"/>
            <w:vAlign w:val="bottom"/>
            <w:gridSpan w:val="3"/>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462,850</w:t>
            </w:r>
          </w:p>
        </w:tc>
        <w:tc>
          <w:tcPr>
            <w:tcW w:w="160" w:type="dxa"/>
            <w:vAlign w:val="bottom"/>
          </w:tcPr>
          <w:p>
            <w:pPr>
              <w:spacing w:after="0"/>
              <w:rPr>
                <w:sz w:val="16"/>
                <w:szCs w:val="16"/>
                <w:color w:val="auto"/>
              </w:rPr>
            </w:pPr>
          </w:p>
        </w:tc>
      </w:tr>
      <w:tr>
        <w:trPr>
          <w:trHeight w:val="22"/>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4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1"/>
        </w:trPr>
        <w:tc>
          <w:tcPr>
            <w:tcW w:w="4080" w:type="dxa"/>
            <w:vAlign w:val="bottom"/>
          </w:tcPr>
          <w:p>
            <w:pPr>
              <w:ind w:left="80"/>
              <w:spacing w:after="0"/>
              <w:rPr>
                <w:sz w:val="20"/>
                <w:szCs w:val="20"/>
                <w:color w:val="auto"/>
              </w:rPr>
            </w:pPr>
            <w:r>
              <w:rPr>
                <w:rFonts w:ascii="Arial" w:cs="Arial" w:eastAsia="Arial" w:hAnsi="Arial"/>
                <w:sz w:val="14"/>
                <w:szCs w:val="14"/>
                <w:color w:val="auto"/>
              </w:rPr>
              <w:t>Corporate bonds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Amortized cost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480" w:type="dxa"/>
            <w:vAlign w:val="bottom"/>
            <w:tcBorders>
              <w:bottom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3"/>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4080" w:type="dxa"/>
            <w:vAlign w:val="bottom"/>
          </w:tcPr>
          <w:p>
            <w:pPr>
              <w:ind w:left="240"/>
              <w:spacing w:after="0"/>
              <w:rPr>
                <w:sz w:val="20"/>
                <w:szCs w:val="20"/>
                <w:color w:val="auto"/>
              </w:rPr>
            </w:pPr>
            <w:r>
              <w:rPr>
                <w:rFonts w:ascii="Arial" w:cs="Arial" w:eastAsia="Arial" w:hAnsi="Arial"/>
                <w:sz w:val="14"/>
                <w:szCs w:val="14"/>
                <w:color w:val="auto"/>
              </w:rPr>
              <w:t>Estimated fair value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380</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1,035</w:t>
            </w:r>
          </w:p>
        </w:tc>
        <w:tc>
          <w:tcPr>
            <w:tcW w:w="4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1,415</w:t>
            </w:r>
          </w:p>
        </w:tc>
        <w:tc>
          <w:tcPr>
            <w:tcW w:w="160" w:type="dxa"/>
            <w:vAlign w:val="bottom"/>
          </w:tcPr>
          <w:p>
            <w:pPr>
              <w:spacing w:after="0"/>
              <w:rPr>
                <w:sz w:val="16"/>
                <w:szCs w:val="16"/>
                <w:color w:val="auto"/>
              </w:rPr>
            </w:pPr>
          </w:p>
        </w:tc>
      </w:tr>
      <w:tr>
        <w:trPr>
          <w:trHeight w:val="22"/>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12"/>
        </w:trPr>
        <w:tc>
          <w:tcPr>
            <w:tcW w:w="4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9"/>
              <w:spacing w:after="0"/>
              <w:rPr>
                <w:sz w:val="20"/>
                <w:szCs w:val="20"/>
                <w:color w:val="auto"/>
              </w:rPr>
            </w:pPr>
            <w:r>
              <w:rPr>
                <w:rFonts w:ascii="Arial" w:cs="Arial" w:eastAsia="Arial" w:hAnsi="Arial"/>
                <w:sz w:val="14"/>
                <w:szCs w:val="14"/>
                <w:color w:val="auto"/>
              </w:rPr>
              <w:t>— %</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5.83 %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5.42 %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329"/>
              <w:spacing w:after="0"/>
              <w:rPr>
                <w:sz w:val="20"/>
                <w:szCs w:val="20"/>
                <w:color w:val="auto"/>
              </w:rPr>
            </w:pPr>
            <w:r>
              <w:rPr>
                <w:rFonts w:ascii="Arial" w:cs="Arial" w:eastAsia="Arial" w:hAnsi="Arial"/>
                <w:sz w:val="14"/>
                <w:szCs w:val="14"/>
                <w:color w:val="auto"/>
              </w:rPr>
              <w:t>—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5.53 %</w:t>
            </w:r>
          </w:p>
        </w:tc>
      </w:tr>
      <w:tr>
        <w:trPr>
          <w:trHeight w:val="191"/>
        </w:trPr>
        <w:tc>
          <w:tcPr>
            <w:tcW w:w="4080" w:type="dxa"/>
            <w:vAlign w:val="bottom"/>
          </w:tcPr>
          <w:p>
            <w:pPr>
              <w:ind w:left="80"/>
              <w:spacing w:after="0"/>
              <w:rPr>
                <w:sz w:val="20"/>
                <w:szCs w:val="20"/>
                <w:color w:val="auto"/>
              </w:rPr>
            </w:pPr>
            <w:r>
              <w:rPr>
                <w:rFonts w:ascii="Arial" w:cs="Arial" w:eastAsia="Arial" w:hAnsi="Arial"/>
                <w:sz w:val="14"/>
                <w:szCs w:val="14"/>
                <w:color w:val="auto"/>
              </w:rPr>
              <w:t>Total available-for-sale debt securities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
        </w:trPr>
        <w:tc>
          <w:tcPr>
            <w:tcW w:w="4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23"/>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Amortized cost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6,400</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64,815</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631,225</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703,095</w:t>
            </w:r>
          </w:p>
        </w:tc>
        <w:tc>
          <w:tcPr>
            <w:tcW w:w="160" w:type="dxa"/>
            <w:vAlign w:val="bottom"/>
            <w:tcBorders>
              <w:bottom w:val="single" w:sz="8" w:color="auto"/>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5"/>
        </w:trPr>
        <w:tc>
          <w:tcPr>
            <w:tcW w:w="4080" w:type="dxa"/>
            <w:vAlign w:val="bottom"/>
          </w:tcPr>
          <w:p>
            <w:pPr>
              <w:ind w:left="240"/>
              <w:spacing w:after="0"/>
              <w:rPr>
                <w:sz w:val="20"/>
                <w:szCs w:val="20"/>
                <w:color w:val="auto"/>
              </w:rPr>
            </w:pPr>
            <w:r>
              <w:rPr>
                <w:rFonts w:ascii="Arial" w:cs="Arial" w:eastAsia="Arial" w:hAnsi="Arial"/>
                <w:sz w:val="14"/>
                <w:szCs w:val="14"/>
                <w:color w:val="auto"/>
              </w:rPr>
              <w:t>Estimated fair value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c>
          <w:tcPr>
            <w:tcW w:w="4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6,521</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68,983</w:t>
            </w:r>
          </w:p>
        </w:tc>
        <w:tc>
          <w:tcPr>
            <w:tcW w:w="4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656,865</w:t>
            </w:r>
          </w:p>
        </w:tc>
        <w:tc>
          <w:tcPr>
            <w:tcW w:w="540" w:type="dxa"/>
            <w:vAlign w:val="bottom"/>
            <w:gridSpan w:val="3"/>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733,024</w:t>
            </w:r>
          </w:p>
        </w:tc>
        <w:tc>
          <w:tcPr>
            <w:tcW w:w="160" w:type="dxa"/>
            <w:vAlign w:val="bottom"/>
          </w:tcPr>
          <w:p>
            <w:pPr>
              <w:spacing w:after="0"/>
              <w:rPr>
                <w:sz w:val="15"/>
                <w:szCs w:val="15"/>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080" w:type="dxa"/>
            <w:vAlign w:val="bottom"/>
            <w:tcBorders>
              <w:bottom w:val="single" w:sz="8" w:color="CCEEFF"/>
            </w:tcBorders>
            <w:shd w:val="clear" w:color="auto" w:fill="CCEEFF"/>
          </w:tcPr>
          <w:p>
            <w:pPr>
              <w:ind w:left="260"/>
              <w:spacing w:after="0" w:line="195"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bl>
    <w:p>
      <w:pPr>
        <w:ind w:left="420" w:hanging="135"/>
        <w:spacing w:after="0" w:line="215" w:lineRule="auto"/>
        <w:tabs>
          <w:tab w:leader="none" w:pos="42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Actual maturities may differ from contractual maturities because issuers may have the rights to call or prepay obligations with or without prepayment penalties.</w:t>
      </w:r>
    </w:p>
    <w:p>
      <w:pPr>
        <w:spacing w:after="0" w:line="18" w:lineRule="exact"/>
        <w:rPr>
          <w:rFonts w:ascii="Arial" w:cs="Arial" w:eastAsia="Arial" w:hAnsi="Arial"/>
          <w:sz w:val="16"/>
          <w:szCs w:val="16"/>
          <w:color w:val="auto"/>
          <w:vertAlign w:val="superscript"/>
        </w:rPr>
      </w:pPr>
    </w:p>
    <w:p>
      <w:pPr>
        <w:ind w:left="400" w:hanging="115"/>
        <w:spacing w:after="0" w:line="225" w:lineRule="auto"/>
        <w:tabs>
          <w:tab w:leader="none" w:pos="40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Yields are calculated based on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-205105</wp:posOffset>
            </wp:positionV>
            <wp:extent cx="44869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86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8" w:name="page19"/>
    <w:bookmarkEnd w:id="18"/>
    <w:p>
      <w:pPr>
        <w:spacing w:after="0"/>
        <w:tabs>
          <w:tab w:leader="none" w:pos="404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jc w:val="both"/>
        <w:ind w:left="120" w:right="20" w:firstLine="382"/>
        <w:spacing w:after="0" w:line="267" w:lineRule="auto"/>
        <w:rPr>
          <w:sz w:val="20"/>
          <w:szCs w:val="20"/>
          <w:color w:val="auto"/>
        </w:rPr>
      </w:pPr>
      <w:r>
        <w:rPr>
          <w:rFonts w:ascii="Arial" w:cs="Arial" w:eastAsia="Arial" w:hAnsi="Arial"/>
          <w:sz w:val="14"/>
          <w:szCs w:val="14"/>
          <w:color w:val="auto"/>
        </w:rPr>
        <w:t>The following tables show gross unrealized losses, the number of securities that are in an unrealized loss position, and fair value of the Company’s investments with unrealized losses that are not deemed to be other-than-temporarily impaired, aggregated by investment class and length of time that individual securities have been in a continuous unrealized loss position at March 31, 2020 and December 31, 2019:</w:t>
      </w: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2020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5"/>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5"/>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Less than 12 Months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12 Months or More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4"/>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78"/>
              </w:rPr>
              <w:t>Losses</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4"/>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ind w:left="20"/>
              <w:spacing w:after="0"/>
              <w:rPr>
                <w:sz w:val="20"/>
                <w:szCs w:val="20"/>
                <w:color w:val="auto"/>
              </w:rPr>
            </w:pPr>
            <w:r>
              <w:rPr>
                <w:rFonts w:ascii="Arial" w:cs="Arial" w:eastAsia="Arial" w:hAnsi="Arial"/>
                <w:sz w:val="13"/>
                <w:szCs w:val="13"/>
                <w:i w:val="1"/>
                <w:iCs w:val="1"/>
                <w:color w:val="auto"/>
                <w:w w:val="94"/>
              </w:rPr>
              <w:t>(Dollars in 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6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Available-for-Sale Debt Securities</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Mortgage-backed - GSE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740" w:type="dxa"/>
            <w:vAlign w:val="bottom"/>
          </w:tcPr>
          <w:p>
            <w:pPr>
              <w:ind w:left="220"/>
              <w:spacing w:after="0"/>
              <w:rPr>
                <w:sz w:val="20"/>
                <w:szCs w:val="20"/>
                <w:color w:val="auto"/>
              </w:rPr>
            </w:pPr>
            <w:r>
              <w:rPr>
                <w:rFonts w:ascii="Arial" w:cs="Arial" w:eastAsia="Arial" w:hAnsi="Arial"/>
                <w:sz w:val="14"/>
                <w:szCs w:val="14"/>
                <w:color w:val="auto"/>
              </w:rPr>
              <w:t>residential</w:t>
            </w: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Collateralized mortgage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obligations - GSE</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w:t>
            </w: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3"/>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State and political</w:t>
            </w:r>
          </w:p>
        </w:tc>
        <w:tc>
          <w:tcPr>
            <w:tcW w:w="100" w:type="dxa"/>
            <w:vAlign w:val="bottom"/>
          </w:tcPr>
          <w:p>
            <w:pPr>
              <w:spacing w:after="0"/>
              <w:rPr>
                <w:sz w:val="11"/>
                <w:szCs w:val="11"/>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13,926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69"/>
              <w:spacing w:after="0"/>
              <w:rPr>
                <w:sz w:val="20"/>
                <w:szCs w:val="20"/>
                <w:color w:val="auto"/>
              </w:rPr>
            </w:pPr>
            <w:r>
              <w:rPr>
                <w:rFonts w:ascii="Arial" w:cs="Arial" w:eastAsia="Arial" w:hAnsi="Arial"/>
                <w:sz w:val="14"/>
                <w:szCs w:val="14"/>
                <w:color w:val="auto"/>
              </w:rPr>
              <w:t>14,080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0"/>
        </w:trPr>
        <w:tc>
          <w:tcPr>
            <w:tcW w:w="1740" w:type="dxa"/>
            <w:vAlign w:val="bottom"/>
          </w:tcPr>
          <w:p>
            <w:pPr>
              <w:ind w:left="220"/>
              <w:spacing w:after="0"/>
              <w:rPr>
                <w:sz w:val="20"/>
                <w:szCs w:val="20"/>
                <w:color w:val="auto"/>
              </w:rPr>
            </w:pPr>
            <w:r>
              <w:rPr>
                <w:rFonts w:ascii="Arial" w:cs="Arial" w:eastAsia="Arial" w:hAnsi="Arial"/>
                <w:sz w:val="14"/>
                <w:szCs w:val="14"/>
                <w:color w:val="auto"/>
              </w:rPr>
              <w:t>subdivisions</w:t>
            </w: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Corporate bonds</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1740" w:type="dxa"/>
            <w:vAlign w:val="bottom"/>
          </w:tcPr>
          <w:p>
            <w:pPr>
              <w:spacing w:after="0" w:line="118" w:lineRule="exact"/>
              <w:rPr>
                <w:sz w:val="20"/>
                <w:szCs w:val="20"/>
                <w:color w:val="auto"/>
              </w:rPr>
            </w:pPr>
            <w:r>
              <w:rPr>
                <w:rFonts w:ascii="Arial" w:cs="Arial" w:eastAsia="Arial" w:hAnsi="Arial"/>
                <w:sz w:val="13"/>
                <w:szCs w:val="13"/>
                <w:color w:val="auto"/>
              </w:rPr>
              <w:t>Total temporarily impaired</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13,943</w:t>
            </w:r>
          </w:p>
        </w:tc>
        <w:tc>
          <w:tcPr>
            <w:tcW w:w="80" w:type="dxa"/>
            <w:vAlign w:val="bottom"/>
            <w:vMerge w:val="restart"/>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154</w:t>
            </w:r>
          </w:p>
        </w:tc>
        <w:tc>
          <w:tcPr>
            <w:tcW w:w="8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14,097</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9"/>
        </w:trPr>
        <w:tc>
          <w:tcPr>
            <w:tcW w:w="1740" w:type="dxa"/>
            <w:vAlign w:val="bottom"/>
          </w:tcPr>
          <w:p>
            <w:pPr>
              <w:ind w:left="140"/>
              <w:spacing w:after="0" w:line="159" w:lineRule="exact"/>
              <w:rPr>
                <w:sz w:val="20"/>
                <w:szCs w:val="20"/>
                <w:color w:val="auto"/>
              </w:rPr>
            </w:pPr>
            <w:r>
              <w:rPr>
                <w:rFonts w:ascii="Arial" w:cs="Arial" w:eastAsia="Arial" w:hAnsi="Arial"/>
                <w:sz w:val="14"/>
                <w:szCs w:val="14"/>
                <w:color w:val="auto"/>
              </w:rPr>
              <w:t>debt securities</w:t>
            </w:r>
          </w:p>
        </w:tc>
        <w:tc>
          <w:tcPr>
            <w:tcW w:w="1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December 31, 2019</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5"/>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5"/>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Less than 12 Months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12 Months or More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4"/>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78"/>
              </w:rPr>
              <w:t>Losses</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4"/>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ind w:left="20"/>
              <w:spacing w:after="0"/>
              <w:rPr>
                <w:sz w:val="20"/>
                <w:szCs w:val="20"/>
                <w:color w:val="auto"/>
              </w:rPr>
            </w:pPr>
            <w:r>
              <w:rPr>
                <w:rFonts w:ascii="Arial" w:cs="Arial" w:eastAsia="Arial" w:hAnsi="Arial"/>
                <w:sz w:val="13"/>
                <w:szCs w:val="13"/>
                <w:i w:val="1"/>
                <w:iCs w:val="1"/>
                <w:color w:val="auto"/>
                <w:w w:val="94"/>
              </w:rPr>
              <w:t>(Dollars in 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6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Available-for-Sale Debt Securities</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Mortgage-backed - GSE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7,959</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20,396</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ind w:right="69"/>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ind w:right="69"/>
              <w:spacing w:after="0"/>
              <w:rPr>
                <w:sz w:val="20"/>
                <w:szCs w:val="20"/>
                <w:color w:val="auto"/>
              </w:rPr>
            </w:pPr>
            <w:r>
              <w:rPr>
                <w:rFonts w:ascii="Arial" w:cs="Arial" w:eastAsia="Arial" w:hAnsi="Arial"/>
                <w:sz w:val="14"/>
                <w:szCs w:val="14"/>
                <w:color w:val="auto"/>
              </w:rPr>
              <w:t>28,355</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1740" w:type="dxa"/>
            <w:vAlign w:val="bottom"/>
          </w:tcPr>
          <w:p>
            <w:pPr>
              <w:ind w:left="220"/>
              <w:spacing w:after="0"/>
              <w:rPr>
                <w:sz w:val="20"/>
                <w:szCs w:val="20"/>
                <w:color w:val="auto"/>
              </w:rPr>
            </w:pPr>
            <w:r>
              <w:rPr>
                <w:rFonts w:ascii="Arial" w:cs="Arial" w:eastAsia="Arial" w:hAnsi="Arial"/>
                <w:sz w:val="14"/>
                <w:szCs w:val="14"/>
                <w:color w:val="auto"/>
              </w:rPr>
              <w:t>residential</w:t>
            </w: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Collateralized mortgage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obligations - GSE</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48,980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8,622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57,602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w:t>
            </w: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40" w:type="dxa"/>
            <w:vAlign w:val="bottom"/>
          </w:tcPr>
          <w:p>
            <w:pPr>
              <w:ind w:left="100"/>
              <w:spacing w:after="0" w:line="138" w:lineRule="exact"/>
              <w:rPr>
                <w:sz w:val="20"/>
                <w:szCs w:val="20"/>
                <w:color w:val="auto"/>
              </w:rPr>
            </w:pPr>
            <w:r>
              <w:rPr>
                <w:rFonts w:ascii="Arial" w:cs="Arial" w:eastAsia="Arial" w:hAnsi="Arial"/>
                <w:sz w:val="14"/>
                <w:szCs w:val="14"/>
                <w:color w:val="auto"/>
              </w:rPr>
              <w:t>State and political</w:t>
            </w:r>
          </w:p>
        </w:tc>
        <w:tc>
          <w:tcPr>
            <w:tcW w:w="100" w:type="dxa"/>
            <w:vAlign w:val="bottom"/>
          </w:tcPr>
          <w:p>
            <w:pPr>
              <w:spacing w:after="0"/>
              <w:rPr>
                <w:sz w:val="11"/>
                <w:szCs w:val="11"/>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21,412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69"/>
              <w:spacing w:after="0"/>
              <w:rPr>
                <w:sz w:val="20"/>
                <w:szCs w:val="20"/>
                <w:color w:val="auto"/>
              </w:rPr>
            </w:pPr>
            <w:r>
              <w:rPr>
                <w:rFonts w:ascii="Arial" w:cs="Arial" w:eastAsia="Arial" w:hAnsi="Arial"/>
                <w:sz w:val="14"/>
                <w:szCs w:val="14"/>
                <w:color w:val="auto"/>
              </w:rPr>
              <w:t>21,579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0"/>
        </w:trPr>
        <w:tc>
          <w:tcPr>
            <w:tcW w:w="1740" w:type="dxa"/>
            <w:vAlign w:val="bottom"/>
          </w:tcPr>
          <w:p>
            <w:pPr>
              <w:ind w:left="220"/>
              <w:spacing w:after="0"/>
              <w:rPr>
                <w:sz w:val="20"/>
                <w:szCs w:val="20"/>
                <w:color w:val="auto"/>
              </w:rPr>
            </w:pPr>
            <w:r>
              <w:rPr>
                <w:rFonts w:ascii="Arial" w:cs="Arial" w:eastAsia="Arial" w:hAnsi="Arial"/>
                <w:sz w:val="14"/>
                <w:szCs w:val="14"/>
                <w:color w:val="auto"/>
              </w:rPr>
              <w:t>subdivisions</w:t>
            </w: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Corporate bonds</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18"/>
        </w:trPr>
        <w:tc>
          <w:tcPr>
            <w:tcW w:w="1740" w:type="dxa"/>
            <w:vAlign w:val="bottom"/>
          </w:tcPr>
          <w:p>
            <w:pPr>
              <w:spacing w:after="0" w:line="118" w:lineRule="exact"/>
              <w:rPr>
                <w:sz w:val="20"/>
                <w:szCs w:val="20"/>
                <w:color w:val="auto"/>
              </w:rPr>
            </w:pPr>
            <w:r>
              <w:rPr>
                <w:rFonts w:ascii="Arial" w:cs="Arial" w:eastAsia="Arial" w:hAnsi="Arial"/>
                <w:sz w:val="13"/>
                <w:szCs w:val="13"/>
                <w:color w:val="auto"/>
              </w:rPr>
              <w:t>Total temporarily impaired</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78,881</w:t>
            </w:r>
          </w:p>
        </w:tc>
        <w:tc>
          <w:tcPr>
            <w:tcW w:w="80" w:type="dxa"/>
            <w:vAlign w:val="bottom"/>
            <w:vMerge w:val="restart"/>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29,185</w:t>
            </w:r>
          </w:p>
        </w:tc>
        <w:tc>
          <w:tcPr>
            <w:tcW w:w="8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108,066</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9"/>
        </w:trPr>
        <w:tc>
          <w:tcPr>
            <w:tcW w:w="1740" w:type="dxa"/>
            <w:vAlign w:val="bottom"/>
          </w:tcPr>
          <w:p>
            <w:pPr>
              <w:ind w:left="140"/>
              <w:spacing w:after="0" w:line="159" w:lineRule="exact"/>
              <w:rPr>
                <w:sz w:val="20"/>
                <w:szCs w:val="20"/>
                <w:color w:val="auto"/>
              </w:rPr>
            </w:pPr>
            <w:r>
              <w:rPr>
                <w:rFonts w:ascii="Arial" w:cs="Arial" w:eastAsia="Arial" w:hAnsi="Arial"/>
                <w:sz w:val="14"/>
                <w:szCs w:val="14"/>
                <w:color w:val="auto"/>
              </w:rPr>
              <w:t>debt securities</w:t>
            </w:r>
          </w:p>
        </w:tc>
        <w:tc>
          <w:tcPr>
            <w:tcW w:w="1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120" w:right="100" w:firstLine="382"/>
        <w:spacing w:after="0" w:line="267" w:lineRule="auto"/>
        <w:rPr>
          <w:sz w:val="20"/>
          <w:szCs w:val="20"/>
          <w:color w:val="auto"/>
        </w:rPr>
      </w:pPr>
      <w:r>
        <w:rPr>
          <w:rFonts w:ascii="Arial" w:cs="Arial" w:eastAsia="Arial" w:hAnsi="Arial"/>
          <w:sz w:val="14"/>
          <w:szCs w:val="14"/>
          <w:color w:val="auto"/>
        </w:rPr>
        <w:t>The unrealized losses on the Company’s investments in state and political subdivisions were caused by interest rate changes and adjustments in credit ratings. The contractual terms of those investments do not permit the issuer to settle the securities at a price less than the amortized cost basis of the investments. The unrealized losses on the Company’s investments in collateralized mortgage-backed securities were caused by interest rate changes and market assumptions about prepayment speeds.</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9" w:name="page20"/>
    <w:bookmarkEnd w:id="19"/>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140" w:right="180" w:firstLine="382"/>
        <w:spacing w:after="0" w:line="267" w:lineRule="auto"/>
        <w:rPr>
          <w:sz w:val="20"/>
          <w:szCs w:val="20"/>
          <w:color w:val="auto"/>
        </w:rPr>
      </w:pPr>
      <w:r>
        <w:rPr>
          <w:rFonts w:ascii="Arial" w:cs="Arial" w:eastAsia="Arial" w:hAnsi="Arial"/>
          <w:sz w:val="14"/>
          <w:szCs w:val="14"/>
          <w:color w:val="auto"/>
        </w:rPr>
        <w:t>The Company expects to recover the amortized cost basis over the term of the securities. Because the Company does not intend to sell the investments and it is not more likely than not the Company will be required to sell the investments before recovery of their amortized cost basis, which may be maturity, the Company does not consider those investments to be other-than-temporarily impaired (“OTTI”) at March 31, 2020.</w:t>
      </w:r>
    </w:p>
    <w:p>
      <w:pPr>
        <w:spacing w:after="0" w:line="99" w:lineRule="exact"/>
        <w:rPr>
          <w:sz w:val="20"/>
          <w:szCs w:val="20"/>
          <w:color w:val="auto"/>
        </w:rPr>
      </w:pPr>
    </w:p>
    <w:p>
      <w:pPr>
        <w:jc w:val="both"/>
        <w:ind w:left="140" w:right="60" w:firstLine="382"/>
        <w:spacing w:after="0" w:line="267" w:lineRule="auto"/>
        <w:rPr>
          <w:sz w:val="20"/>
          <w:szCs w:val="20"/>
          <w:color w:val="auto"/>
        </w:rPr>
      </w:pPr>
      <w:r>
        <w:rPr>
          <w:rFonts w:ascii="Arial" w:cs="Arial" w:eastAsia="Arial" w:hAnsi="Arial"/>
          <w:sz w:val="14"/>
          <w:szCs w:val="14"/>
          <w:color w:val="auto"/>
        </w:rPr>
        <w:t>Gains and losses on the sale of debt securities are recorded on the trade date and are determined using the specific identification method. Gross gains of $402 thousand and $57 thousand and gross losses of $9 thousand and $4 thousand resulting from sales of available-for-sale securities were realized for the three months ended March 31, 2020 and 2019, respectively. The gross gains as of March 31, 2020, included $75 thousand related to a previously disclosed OTTI municipal security that was settled in 2020.</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Securities</w:t>
      </w:r>
    </w:p>
    <w:p>
      <w:pPr>
        <w:spacing w:after="0" w:line="126" w:lineRule="exact"/>
        <w:rPr>
          <w:sz w:val="20"/>
          <w:szCs w:val="20"/>
          <w:color w:val="auto"/>
        </w:rPr>
      </w:pPr>
    </w:p>
    <w:p>
      <w:pPr>
        <w:ind w:left="140" w:right="20" w:firstLine="382"/>
        <w:spacing w:after="0" w:line="281" w:lineRule="auto"/>
        <w:rPr>
          <w:sz w:val="20"/>
          <w:szCs w:val="20"/>
          <w:color w:val="auto"/>
        </w:rPr>
      </w:pPr>
      <w:r>
        <w:rPr>
          <w:rFonts w:ascii="Arial" w:cs="Arial" w:eastAsia="Arial" w:hAnsi="Arial"/>
          <w:sz w:val="14"/>
          <w:szCs w:val="14"/>
          <w:color w:val="auto"/>
        </w:rPr>
        <w:t>Equity securities consist of Community Reinvestment Act mutual funds. The fair value of the equity securities was $2 million at both March 31, 2020 and December 31, 2019. The following is a summary of the recorded fair value and the unrealized and realized gains and losses recognized in net income on available-for-sale equity securities:</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2260" w:type="dxa"/>
            <w:vAlign w:val="bottom"/>
            <w:gridSpan w:val="4"/>
          </w:tcPr>
          <w:p>
            <w:pPr>
              <w:jc w:val="center"/>
              <w:ind w:left="331"/>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r>
      <w:tr>
        <w:trPr>
          <w:trHeight w:val="212"/>
        </w:trPr>
        <w:tc>
          <w:tcPr>
            <w:tcW w:w="8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gridSpan w:val="3"/>
          </w:tcPr>
          <w:p>
            <w:pPr>
              <w:jc w:val="center"/>
              <w:ind w:right="429"/>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8"/>
                <w:szCs w:val="18"/>
                <w:color w:val="auto"/>
              </w:rPr>
            </w:pPr>
          </w:p>
        </w:tc>
      </w:tr>
      <w:tr>
        <w:trPr>
          <w:trHeight w:val="22"/>
        </w:trPr>
        <w:tc>
          <w:tcPr>
            <w:tcW w:w="8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1"/>
        </w:trPr>
        <w:tc>
          <w:tcPr>
            <w:tcW w:w="8480" w:type="dxa"/>
            <w:vAlign w:val="bottom"/>
          </w:tcPr>
          <w:p>
            <w:pPr>
              <w:spacing w:after="0"/>
              <w:rPr>
                <w:sz w:val="15"/>
                <w:szCs w:val="15"/>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r>
      <w:tr>
        <w:trPr>
          <w:trHeight w:val="22"/>
        </w:trPr>
        <w:tc>
          <w:tcPr>
            <w:tcW w:w="8480" w:type="dxa"/>
            <w:vAlign w:val="bottom"/>
          </w:tcPr>
          <w:p>
            <w:pPr>
              <w:spacing w:after="0" w:line="20" w:lineRule="exact"/>
              <w:rPr>
                <w:sz w:val="1"/>
                <w:szCs w:val="1"/>
                <w:color w:val="auto"/>
              </w:rPr>
            </w:pPr>
          </w:p>
        </w:tc>
        <w:tc>
          <w:tcPr>
            <w:tcW w:w="22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67"/>
        </w:trPr>
        <w:tc>
          <w:tcPr>
            <w:tcW w:w="8480" w:type="dxa"/>
            <w:vAlign w:val="bottom"/>
          </w:tcPr>
          <w:p>
            <w:pPr>
              <w:spacing w:after="0"/>
              <w:rPr>
                <w:sz w:val="14"/>
                <w:szCs w:val="14"/>
                <w:color w:val="auto"/>
              </w:rPr>
            </w:pPr>
          </w:p>
        </w:tc>
        <w:tc>
          <w:tcPr>
            <w:tcW w:w="2260" w:type="dxa"/>
            <w:vAlign w:val="bottom"/>
            <w:gridSpan w:val="4"/>
          </w:tcPr>
          <w:p>
            <w:pPr>
              <w:jc w:val="center"/>
              <w:ind w:left="331"/>
              <w:spacing w:after="0"/>
              <w:rPr>
                <w:sz w:val="20"/>
                <w:szCs w:val="20"/>
                <w:color w:val="auto"/>
              </w:rPr>
            </w:pPr>
            <w:r>
              <w:rPr>
                <w:rFonts w:ascii="Arial" w:cs="Arial" w:eastAsia="Arial" w:hAnsi="Arial"/>
                <w:sz w:val="13"/>
                <w:szCs w:val="13"/>
                <w:i w:val="1"/>
                <w:iCs w:val="1"/>
                <w:color w:val="auto"/>
                <w:w w:val="90"/>
              </w:rPr>
              <w:t>(Dollars in thousands)</w:t>
            </w:r>
          </w:p>
        </w:tc>
        <w:tc>
          <w:tcPr>
            <w:tcW w:w="400" w:type="dxa"/>
            <w:vAlign w:val="bottom"/>
          </w:tcPr>
          <w:p>
            <w:pPr>
              <w:spacing w:after="0"/>
              <w:rPr>
                <w:sz w:val="14"/>
                <w:szCs w:val="14"/>
                <w:color w:val="auto"/>
              </w:rPr>
            </w:pPr>
          </w:p>
        </w:tc>
      </w:tr>
      <w:tr>
        <w:trPr>
          <w:trHeight w:val="26"/>
        </w:trPr>
        <w:tc>
          <w:tcPr>
            <w:tcW w:w="8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92"/>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gains recognized during the reporting period on equity securities</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26</w:t>
            </w:r>
          </w:p>
        </w:tc>
      </w:tr>
      <w:tr>
        <w:trPr>
          <w:trHeight w:val="212"/>
        </w:trPr>
        <w:tc>
          <w:tcPr>
            <w:tcW w:w="8480" w:type="dxa"/>
            <w:vAlign w:val="bottom"/>
          </w:tcPr>
          <w:p>
            <w:pPr>
              <w:spacing w:after="0"/>
              <w:rPr>
                <w:sz w:val="20"/>
                <w:szCs w:val="20"/>
                <w:color w:val="auto"/>
              </w:rPr>
            </w:pPr>
            <w:r>
              <w:rPr>
                <w:rFonts w:ascii="Arial" w:cs="Arial" w:eastAsia="Arial" w:hAnsi="Arial"/>
                <w:sz w:val="14"/>
                <w:szCs w:val="14"/>
                <w:color w:val="auto"/>
              </w:rPr>
              <w:t>Less: net gains recognized during the reporting period on equity securities sold during the reporting period</w:t>
            </w:r>
          </w:p>
        </w:tc>
        <w:tc>
          <w:tcPr>
            <w:tcW w:w="9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8"/>
                <w:szCs w:val="18"/>
                <w:color w:val="auto"/>
              </w:rPr>
            </w:pPr>
          </w:p>
        </w:tc>
        <w:tc>
          <w:tcPr>
            <w:tcW w:w="40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8"/>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Unrealized gain recognized during the reporting period on equity securities still held at the reporting date</w:t>
            </w:r>
          </w:p>
        </w:tc>
        <w:tc>
          <w:tcPr>
            <w:tcW w:w="900" w:type="dxa"/>
            <w:vAlign w:val="bottom"/>
            <w:tcBorders>
              <w:top w:val="single" w:sz="8" w:color="auto"/>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0" w:type="dxa"/>
            <w:vAlign w:val="bottom"/>
            <w:gridSpan w:val="2"/>
          </w:tcPr>
          <w:p>
            <w:pPr>
              <w:spacing w:after="0"/>
              <w:rPr>
                <w:sz w:val="20"/>
                <w:szCs w:val="20"/>
                <w:color w:val="auto"/>
              </w:rPr>
            </w:pPr>
            <w:r>
              <w:rPr>
                <w:rFonts w:ascii="Arial" w:cs="Arial" w:eastAsia="Arial" w:hAnsi="Arial"/>
                <w:sz w:val="17"/>
                <w:szCs w:val="17"/>
                <w:b w:val="1"/>
                <w:bCs w:val="1"/>
                <w:color w:val="auto"/>
              </w:rPr>
              <w:t>Note 4:</w:t>
            </w:r>
          </w:p>
        </w:tc>
        <w:tc>
          <w:tcPr>
            <w:tcW w:w="5700" w:type="dxa"/>
            <w:vAlign w:val="bottom"/>
          </w:tcPr>
          <w:p>
            <w:pPr>
              <w:ind w:left="60"/>
              <w:spacing w:after="0"/>
              <w:rPr>
                <w:sz w:val="20"/>
                <w:szCs w:val="20"/>
                <w:color w:val="auto"/>
              </w:rPr>
            </w:pPr>
            <w:r>
              <w:rPr>
                <w:rFonts w:ascii="Arial" w:cs="Arial" w:eastAsia="Arial" w:hAnsi="Arial"/>
                <w:sz w:val="17"/>
                <w:szCs w:val="17"/>
                <w:b w:val="1"/>
                <w:bCs w:val="1"/>
                <w:color w:val="auto"/>
              </w:rPr>
              <w:t>Loans and Allowance for Loan Losses</w:t>
            </w: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89"/>
        </w:trPr>
        <w:tc>
          <w:tcPr>
            <w:tcW w:w="140" w:type="dxa"/>
            <w:vAlign w:val="bottom"/>
          </w:tcPr>
          <w:p>
            <w:pPr>
              <w:spacing w:after="0"/>
              <w:rPr>
                <w:sz w:val="24"/>
                <w:szCs w:val="24"/>
                <w:color w:val="auto"/>
              </w:rPr>
            </w:pPr>
          </w:p>
        </w:tc>
        <w:tc>
          <w:tcPr>
            <w:tcW w:w="6520" w:type="dxa"/>
            <w:vAlign w:val="bottom"/>
            <w:gridSpan w:val="2"/>
          </w:tcPr>
          <w:p>
            <w:pPr>
              <w:ind w:left="380"/>
              <w:spacing w:after="0"/>
              <w:rPr>
                <w:sz w:val="20"/>
                <w:szCs w:val="20"/>
                <w:color w:val="auto"/>
              </w:rPr>
            </w:pPr>
            <w:r>
              <w:rPr>
                <w:rFonts w:ascii="Arial" w:cs="Arial" w:eastAsia="Arial" w:hAnsi="Arial"/>
                <w:sz w:val="14"/>
                <w:szCs w:val="14"/>
                <w:color w:val="auto"/>
              </w:rPr>
              <w:t>Categories of loans at March 31, 2020 and December 31, 2019 include:</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0"/>
        </w:trPr>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31, 2020</w:t>
            </w:r>
          </w:p>
        </w:tc>
        <w:tc>
          <w:tcPr>
            <w:tcW w:w="540" w:type="dxa"/>
            <w:vAlign w:val="bottom"/>
          </w:tcPr>
          <w:p>
            <w:pPr>
              <w:spacing w:after="0"/>
              <w:rPr>
                <w:sz w:val="24"/>
                <w:szCs w:val="24"/>
                <w:color w:val="auto"/>
              </w:rPr>
            </w:pPr>
          </w:p>
        </w:tc>
        <w:tc>
          <w:tcPr>
            <w:tcW w:w="1720" w:type="dxa"/>
            <w:vAlign w:val="bottom"/>
          </w:tcPr>
          <w:p>
            <w:pPr>
              <w:jc w:val="right"/>
              <w:ind w:right="489"/>
              <w:spacing w:after="0"/>
              <w:rPr>
                <w:sz w:val="20"/>
                <w:szCs w:val="20"/>
                <w:color w:val="auto"/>
              </w:rPr>
            </w:pPr>
            <w:r>
              <w:rPr>
                <w:rFonts w:ascii="Arial" w:cs="Arial" w:eastAsia="Arial" w:hAnsi="Arial"/>
                <w:sz w:val="14"/>
                <w:szCs w:val="14"/>
                <w:b w:val="1"/>
                <w:bCs w:val="1"/>
                <w:color w:val="auto"/>
                <w:w w:val="90"/>
              </w:rPr>
              <w:t>December 31, 2019</w:t>
            </w:r>
          </w:p>
        </w:tc>
      </w:tr>
      <w:tr>
        <w:trPr>
          <w:trHeight w:val="22"/>
        </w:trPr>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3"/>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67"/>
        </w:trPr>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1720" w:type="dxa"/>
            <w:vAlign w:val="bottom"/>
          </w:tcPr>
          <w:p>
            <w:pPr>
              <w:spacing w:after="0"/>
              <w:rPr>
                <w:sz w:val="14"/>
                <w:szCs w:val="14"/>
                <w:color w:val="auto"/>
              </w:rPr>
            </w:pPr>
          </w:p>
        </w:tc>
      </w:tr>
      <w:tr>
        <w:trPr>
          <w:trHeight w:val="26"/>
        </w:trPr>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14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w:t>
            </w:r>
          </w:p>
        </w:tc>
        <w:tc>
          <w:tcPr>
            <w:tcW w:w="57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1,355,723</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1,356,817</w:t>
            </w:r>
          </w:p>
        </w:tc>
      </w:tr>
      <w:tr>
        <w:trPr>
          <w:trHeight w:val="191"/>
        </w:trPr>
        <w:tc>
          <w:tcPr>
            <w:tcW w:w="1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Energy</w:t>
            </w:r>
          </w:p>
        </w:tc>
        <w:tc>
          <w:tcPr>
            <w:tcW w:w="5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jc w:val="right"/>
              <w:ind w:right="70"/>
              <w:spacing w:after="0"/>
              <w:rPr>
                <w:sz w:val="20"/>
                <w:szCs w:val="20"/>
                <w:color w:val="auto"/>
              </w:rPr>
            </w:pPr>
            <w:r>
              <w:rPr>
                <w:rFonts w:ascii="Arial" w:cs="Arial" w:eastAsia="Arial" w:hAnsi="Arial"/>
                <w:sz w:val="14"/>
                <w:szCs w:val="14"/>
                <w:color w:val="auto"/>
              </w:rPr>
              <w:t>398,797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69"/>
              <w:spacing w:after="0"/>
              <w:rPr>
                <w:sz w:val="20"/>
                <w:szCs w:val="20"/>
                <w:color w:val="auto"/>
              </w:rPr>
            </w:pPr>
            <w:r>
              <w:rPr>
                <w:rFonts w:ascii="Arial" w:cs="Arial" w:eastAsia="Arial" w:hAnsi="Arial"/>
                <w:sz w:val="14"/>
                <w:szCs w:val="14"/>
                <w:color w:val="auto"/>
              </w:rPr>
              <w:t>408,573</w:t>
            </w:r>
          </w:p>
        </w:tc>
      </w:tr>
      <w:tr>
        <w:trPr>
          <w:trHeight w:val="22"/>
        </w:trPr>
        <w:tc>
          <w:tcPr>
            <w:tcW w:w="14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3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1,084,684</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1,024,041</w:t>
            </w:r>
          </w:p>
        </w:tc>
      </w:tr>
      <w:tr>
        <w:trPr>
          <w:trHeight w:val="191"/>
        </w:trPr>
        <w:tc>
          <w:tcPr>
            <w:tcW w:w="140" w:type="dxa"/>
            <w:vAlign w:val="bottom"/>
          </w:tcPr>
          <w:p>
            <w:pPr>
              <w:spacing w:after="0"/>
              <w:rPr>
                <w:sz w:val="16"/>
                <w:szCs w:val="16"/>
                <w:color w:val="auto"/>
              </w:rPr>
            </w:pPr>
          </w:p>
        </w:tc>
        <w:tc>
          <w:tcPr>
            <w:tcW w:w="6520" w:type="dxa"/>
            <w:vAlign w:val="bottom"/>
            <w:gridSpan w:val="2"/>
          </w:tcPr>
          <w:p>
            <w:pPr>
              <w:spacing w:after="0"/>
              <w:rPr>
                <w:sz w:val="20"/>
                <w:szCs w:val="20"/>
                <w:color w:val="auto"/>
              </w:rPr>
            </w:pPr>
            <w:r>
              <w:rPr>
                <w:rFonts w:ascii="Arial" w:cs="Arial" w:eastAsia="Arial" w:hAnsi="Arial"/>
                <w:sz w:val="14"/>
                <w:szCs w:val="14"/>
                <w:color w:val="auto"/>
              </w:rPr>
              <w:t>Construction and land development</w:t>
            </w:r>
          </w:p>
        </w:tc>
        <w:tc>
          <w:tcPr>
            <w:tcW w:w="380" w:type="dxa"/>
            <w:vAlign w:val="bottom"/>
          </w:tcPr>
          <w:p>
            <w:pPr>
              <w:spacing w:after="0"/>
              <w:rPr>
                <w:sz w:val="16"/>
                <w:szCs w:val="16"/>
                <w:color w:val="auto"/>
              </w:rPr>
            </w:pPr>
          </w:p>
        </w:tc>
        <w:tc>
          <w:tcPr>
            <w:tcW w:w="1900" w:type="dxa"/>
            <w:vAlign w:val="bottom"/>
          </w:tcPr>
          <w:p>
            <w:pPr>
              <w:jc w:val="right"/>
              <w:ind w:right="70"/>
              <w:spacing w:after="0"/>
              <w:rPr>
                <w:sz w:val="20"/>
                <w:szCs w:val="20"/>
                <w:color w:val="auto"/>
              </w:rPr>
            </w:pPr>
            <w:r>
              <w:rPr>
                <w:rFonts w:ascii="Arial" w:cs="Arial" w:eastAsia="Arial" w:hAnsi="Arial"/>
                <w:sz w:val="14"/>
                <w:szCs w:val="14"/>
                <w:color w:val="auto"/>
              </w:rPr>
              <w:t>625,145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69"/>
              <w:spacing w:after="0"/>
              <w:rPr>
                <w:sz w:val="20"/>
                <w:szCs w:val="20"/>
                <w:color w:val="auto"/>
              </w:rPr>
            </w:pPr>
            <w:r>
              <w:rPr>
                <w:rFonts w:ascii="Arial" w:cs="Arial" w:eastAsia="Arial" w:hAnsi="Arial"/>
                <w:sz w:val="14"/>
                <w:szCs w:val="14"/>
                <w:color w:val="auto"/>
              </w:rPr>
              <w:t>628,418</w:t>
            </w:r>
          </w:p>
        </w:tc>
      </w:tr>
      <w:tr>
        <w:trPr>
          <w:trHeight w:val="22"/>
        </w:trPr>
        <w:tc>
          <w:tcPr>
            <w:tcW w:w="14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3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503,702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398,695</w:t>
            </w:r>
          </w:p>
        </w:tc>
      </w:tr>
      <w:tr>
        <w:trPr>
          <w:trHeight w:val="191"/>
        </w:trPr>
        <w:tc>
          <w:tcPr>
            <w:tcW w:w="1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Consumer</w:t>
            </w:r>
          </w:p>
        </w:tc>
        <w:tc>
          <w:tcPr>
            <w:tcW w:w="5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jc w:val="right"/>
              <w:ind w:right="70"/>
              <w:spacing w:after="0"/>
              <w:rPr>
                <w:sz w:val="20"/>
                <w:szCs w:val="20"/>
                <w:color w:val="auto"/>
              </w:rPr>
            </w:pPr>
            <w:r>
              <w:rPr>
                <w:rFonts w:ascii="Arial" w:cs="Arial" w:eastAsia="Arial" w:hAnsi="Arial"/>
                <w:sz w:val="14"/>
                <w:szCs w:val="14"/>
                <w:color w:val="auto"/>
              </w:rPr>
              <w:t>43,118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69"/>
              <w:spacing w:after="0"/>
              <w:rPr>
                <w:sz w:val="20"/>
                <w:szCs w:val="20"/>
                <w:color w:val="auto"/>
              </w:rPr>
            </w:pPr>
            <w:r>
              <w:rPr>
                <w:rFonts w:ascii="Arial" w:cs="Arial" w:eastAsia="Arial" w:hAnsi="Arial"/>
                <w:sz w:val="14"/>
                <w:szCs w:val="14"/>
                <w:color w:val="auto"/>
              </w:rPr>
              <w:t>45,163</w:t>
            </w:r>
          </w:p>
        </w:tc>
      </w:tr>
      <w:tr>
        <w:trPr>
          <w:trHeight w:val="22"/>
        </w:trPr>
        <w:tc>
          <w:tcPr>
            <w:tcW w:w="140" w:type="dxa"/>
            <w:vAlign w:val="bottom"/>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w w:val="96"/>
              </w:rPr>
              <w:t>Gross loans</w:t>
            </w:r>
          </w:p>
        </w:tc>
        <w:tc>
          <w:tcPr>
            <w:tcW w:w="57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4,011,169</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3,861,707</w:t>
            </w:r>
          </w:p>
        </w:tc>
      </w:tr>
      <w:tr>
        <w:trPr>
          <w:trHeight w:val="191"/>
        </w:trPr>
        <w:tc>
          <w:tcPr>
            <w:tcW w:w="140" w:type="dxa"/>
            <w:vAlign w:val="bottom"/>
          </w:tcPr>
          <w:p>
            <w:pPr>
              <w:spacing w:after="0"/>
              <w:rPr>
                <w:sz w:val="16"/>
                <w:szCs w:val="16"/>
                <w:color w:val="auto"/>
              </w:rPr>
            </w:pPr>
          </w:p>
        </w:tc>
        <w:tc>
          <w:tcPr>
            <w:tcW w:w="6520" w:type="dxa"/>
            <w:vAlign w:val="bottom"/>
            <w:gridSpan w:val="2"/>
          </w:tcPr>
          <w:p>
            <w:pPr>
              <w:spacing w:after="0"/>
              <w:rPr>
                <w:sz w:val="20"/>
                <w:szCs w:val="20"/>
                <w:color w:val="auto"/>
              </w:rPr>
            </w:pPr>
            <w:r>
              <w:rPr>
                <w:rFonts w:ascii="Arial" w:cs="Arial" w:eastAsia="Arial" w:hAnsi="Arial"/>
                <w:sz w:val="14"/>
                <w:szCs w:val="14"/>
                <w:color w:val="auto"/>
              </w:rPr>
              <w:t>Less: Allowance for loan losses</w:t>
            </w:r>
          </w:p>
        </w:tc>
        <w:tc>
          <w:tcPr>
            <w:tcW w:w="380" w:type="dxa"/>
            <w:vAlign w:val="bottom"/>
          </w:tcPr>
          <w:p>
            <w:pPr>
              <w:spacing w:after="0"/>
              <w:rPr>
                <w:sz w:val="16"/>
                <w:szCs w:val="16"/>
                <w:color w:val="auto"/>
              </w:rPr>
            </w:pPr>
          </w:p>
        </w:tc>
        <w:tc>
          <w:tcPr>
            <w:tcW w:w="1900" w:type="dxa"/>
            <w:vAlign w:val="bottom"/>
          </w:tcPr>
          <w:p>
            <w:pPr>
              <w:jc w:val="right"/>
              <w:ind w:right="70"/>
              <w:spacing w:after="0"/>
              <w:rPr>
                <w:sz w:val="20"/>
                <w:szCs w:val="20"/>
                <w:color w:val="auto"/>
              </w:rPr>
            </w:pPr>
            <w:r>
              <w:rPr>
                <w:rFonts w:ascii="Arial" w:cs="Arial" w:eastAsia="Arial" w:hAnsi="Arial"/>
                <w:sz w:val="14"/>
                <w:szCs w:val="14"/>
                <w:color w:val="auto"/>
              </w:rPr>
              <w:t>51,458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69"/>
              <w:spacing w:after="0"/>
              <w:rPr>
                <w:sz w:val="20"/>
                <w:szCs w:val="20"/>
                <w:color w:val="auto"/>
              </w:rPr>
            </w:pPr>
            <w:r>
              <w:rPr>
                <w:rFonts w:ascii="Arial" w:cs="Arial" w:eastAsia="Arial" w:hAnsi="Arial"/>
                <w:sz w:val="14"/>
                <w:szCs w:val="14"/>
                <w:color w:val="auto"/>
              </w:rPr>
              <w:t>56,896</w:t>
            </w:r>
          </w:p>
        </w:tc>
      </w:tr>
      <w:tr>
        <w:trPr>
          <w:trHeight w:val="22"/>
        </w:trPr>
        <w:tc>
          <w:tcPr>
            <w:tcW w:w="14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2"/>
        </w:trPr>
        <w:tc>
          <w:tcPr>
            <w:tcW w:w="140" w:type="dxa"/>
            <w:vAlign w:val="bottom"/>
          </w:tcPr>
          <w:p>
            <w:pPr>
              <w:spacing w:after="0"/>
              <w:rPr>
                <w:sz w:val="18"/>
                <w:szCs w:val="18"/>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Less: Net deferred loan fees and costs</w:t>
            </w:r>
          </w:p>
        </w:tc>
        <w:tc>
          <w:tcPr>
            <w:tcW w:w="3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8,718</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9,463</w:t>
            </w:r>
          </w:p>
        </w:tc>
      </w:tr>
      <w:tr>
        <w:trPr>
          <w:trHeight w:val="203"/>
        </w:trPr>
        <w:tc>
          <w:tcPr>
            <w:tcW w:w="14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Net loans</w:t>
            </w:r>
          </w:p>
        </w:tc>
        <w:tc>
          <w:tcPr>
            <w:tcW w:w="57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3,950,993</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3,795,348</w:t>
            </w:r>
          </w:p>
        </w:tc>
      </w:tr>
      <w:tr>
        <w:trPr>
          <w:trHeight w:val="20"/>
        </w:trPr>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Allowance for Loan Losses</w:t>
      </w:r>
    </w:p>
    <w:p>
      <w:pPr>
        <w:spacing w:after="0" w:line="126" w:lineRule="exact"/>
        <w:rPr>
          <w:sz w:val="20"/>
          <w:szCs w:val="20"/>
          <w:color w:val="auto"/>
        </w:rPr>
      </w:pPr>
    </w:p>
    <w:p>
      <w:pPr>
        <w:ind w:left="140" w:right="260" w:firstLine="382"/>
        <w:spacing w:after="0" w:line="281" w:lineRule="auto"/>
        <w:rPr>
          <w:sz w:val="20"/>
          <w:szCs w:val="20"/>
          <w:color w:val="auto"/>
        </w:rPr>
      </w:pPr>
      <w:r>
        <w:rPr>
          <w:rFonts w:ascii="Arial" w:cs="Arial" w:eastAsia="Arial" w:hAnsi="Arial"/>
          <w:sz w:val="14"/>
          <w:szCs w:val="14"/>
          <w:color w:val="auto"/>
        </w:rPr>
        <w:t>The allowance for loan losses is established as losses are estimated to have occurred through a provision for loan losses charged to income. Loan losses are charged against the allowance when management believes the loan balance is not collectible. Subsequent recoveries, if any, are credited to the allowance.</w:t>
      </w:r>
    </w:p>
    <w:p>
      <w:pPr>
        <w:spacing w:after="0" w:line="90" w:lineRule="exact"/>
        <w:rPr>
          <w:sz w:val="20"/>
          <w:szCs w:val="20"/>
          <w:color w:val="auto"/>
        </w:rPr>
      </w:pPr>
    </w:p>
    <w:p>
      <w:pPr>
        <w:ind w:left="140" w:right="340" w:firstLine="382"/>
        <w:spacing w:after="0" w:line="297" w:lineRule="auto"/>
        <w:rPr>
          <w:sz w:val="20"/>
          <w:szCs w:val="20"/>
          <w:color w:val="auto"/>
        </w:rPr>
      </w:pPr>
      <w:r>
        <w:rPr>
          <w:rFonts w:ascii="Arial" w:cs="Arial" w:eastAsia="Arial" w:hAnsi="Arial"/>
          <w:sz w:val="13"/>
          <w:szCs w:val="13"/>
          <w:color w:val="auto"/>
        </w:rPr>
        <w:t>The allowance for loan losses is evaluated on a regular basis by management and is based upon management’s periodic review of its ability to collect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0" w:name="page21"/>
    <w:bookmarkEnd w:id="20"/>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140" w:right="160" w:firstLine="382"/>
        <w:spacing w:after="0" w:line="260" w:lineRule="auto"/>
        <w:rPr>
          <w:sz w:val="20"/>
          <w:szCs w:val="20"/>
          <w:color w:val="auto"/>
        </w:rPr>
      </w:pPr>
      <w:r>
        <w:rPr>
          <w:rFonts w:ascii="Arial" w:cs="Arial" w:eastAsia="Arial" w:hAnsi="Arial"/>
          <w:sz w:val="14"/>
          <w:szCs w:val="14"/>
          <w:color w:val="auto"/>
        </w:rPr>
        <w:t>The allowance consists of allocated and general components. The allocated component relates to loans that are classified as impaired. For those loans that are classified as impaired, an allowance is established when the discounted cash flows (or collateral value or observable market price) of the impaired loan is lower than the carrying value of that loan. The general component covers unclassified loans and is based on historical charge-off experience and expected loss given default derived from the Company’s internal risk rating process and loan categories. Other adjustments may be made to the allowance for pools of loans after an assessment of internal or external influences on credit quality that are not fully reflected in the historical loss or risk rating data.</w:t>
      </w:r>
    </w:p>
    <w:p>
      <w:pPr>
        <w:spacing w:after="0" w:line="295" w:lineRule="exact"/>
        <w:rPr>
          <w:sz w:val="20"/>
          <w:szCs w:val="20"/>
          <w:color w:val="auto"/>
        </w:rPr>
      </w:pPr>
    </w:p>
    <w:p>
      <w:pPr>
        <w:ind w:left="140" w:right="40" w:firstLine="382"/>
        <w:spacing w:after="0" w:line="281" w:lineRule="auto"/>
        <w:rPr>
          <w:sz w:val="20"/>
          <w:szCs w:val="20"/>
          <w:color w:val="auto"/>
        </w:rPr>
      </w:pPr>
      <w:r>
        <w:rPr>
          <w:rFonts w:ascii="Arial" w:cs="Arial" w:eastAsia="Arial" w:hAnsi="Arial"/>
          <w:sz w:val="14"/>
          <w:szCs w:val="14"/>
          <w:color w:val="auto"/>
        </w:rPr>
        <w:t>The following tables summarize the activity in the allowance for loan losses by portfolio segment and disaggregated based on the Company’s impairment methodology. The allocation in one portfolio segment does not preclude its availability to absorb losses in other segments:</w:t>
      </w:r>
    </w:p>
    <w:p>
      <w:pPr>
        <w:sectPr>
          <w:pgSz w:w="11900" w:h="16838" w:orient="portrait"/>
          <w:cols w:equalWidth="0" w:num="1">
            <w:col w:w="11280"/>
          </w:cols>
          <w:pgMar w:left="300" w:top="1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spacing w:after="0" w:line="335" w:lineRule="auto"/>
        <w:rPr>
          <w:sz w:val="20"/>
          <w:szCs w:val="20"/>
          <w:color w:val="auto"/>
        </w:rPr>
      </w:pPr>
      <w:r>
        <w:rPr>
          <w:rFonts w:ascii="Arial" w:cs="Arial" w:eastAsia="Arial" w:hAnsi="Arial"/>
          <w:sz w:val="14"/>
          <w:szCs w:val="14"/>
          <w:b w:val="1"/>
          <w:bCs w:val="1"/>
          <w:color w:val="auto"/>
        </w:rPr>
        <w:t xml:space="preserve">Three months ended March 31, 2020 </w:t>
      </w:r>
      <w:r>
        <w:rPr>
          <w:rFonts w:ascii="Arial" w:cs="Arial" w:eastAsia="Arial" w:hAnsi="Arial"/>
          <w:sz w:val="14"/>
          <w:szCs w:val="14"/>
          <w:color w:val="auto"/>
        </w:rPr>
        <w:t>Allowance for loan losses</w:t>
      </w:r>
    </w:p>
    <w:p>
      <w:pPr>
        <w:ind w:left="140"/>
        <w:spacing w:after="0"/>
        <w:rPr>
          <w:sz w:val="20"/>
          <w:szCs w:val="20"/>
          <w:color w:val="auto"/>
        </w:rPr>
      </w:pPr>
      <w:r>
        <w:rPr>
          <w:rFonts w:ascii="Arial" w:cs="Arial" w:eastAsia="Arial" w:hAnsi="Arial"/>
          <w:sz w:val="14"/>
          <w:szCs w:val="14"/>
          <w:color w:val="auto"/>
        </w:rPr>
        <w:t>Beginning balance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Provision charged to expense</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Charge-offs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Recoveries</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Ending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Three months ended March 31, 2019</w:t>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Allowance for loan losses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Beginning balance</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Provision charged to expense</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Charge-offs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Recoveries</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Ending balance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12"/>
              <w:spacing w:after="0"/>
              <w:rPr>
                <w:sz w:val="20"/>
                <w:szCs w:val="20"/>
                <w:color w:val="auto"/>
              </w:rPr>
            </w:pPr>
            <w:r>
              <w:rPr>
                <w:rFonts w:ascii="Arial" w:cs="Arial" w:eastAsia="Arial" w:hAnsi="Arial"/>
                <w:sz w:val="13"/>
                <w:szCs w:val="13"/>
                <w:b w:val="1"/>
                <w:bCs w:val="1"/>
                <w:color w:val="auto"/>
                <w:w w:val="89"/>
              </w:rPr>
              <w:t>Commercial Real</w:t>
            </w:r>
          </w:p>
        </w:tc>
        <w:tc>
          <w:tcPr>
            <w:tcW w:w="10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Construction and</w:t>
            </w:r>
          </w:p>
        </w:tc>
        <w:tc>
          <w:tcPr>
            <w:tcW w:w="8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Residential Real</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Commercial</w:t>
            </w:r>
          </w:p>
        </w:tc>
        <w:tc>
          <w:tcPr>
            <w:tcW w:w="22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Energy</w:t>
            </w:r>
          </w:p>
        </w:tc>
        <w:tc>
          <w:tcPr>
            <w:tcW w:w="80" w:type="dxa"/>
            <w:vAlign w:val="bottom"/>
          </w:tcPr>
          <w:p>
            <w:pPr>
              <w:spacing w:after="0"/>
              <w:rPr>
                <w:sz w:val="14"/>
                <w:szCs w:val="14"/>
                <w:color w:val="auto"/>
              </w:rPr>
            </w:pPr>
          </w:p>
        </w:tc>
        <w:tc>
          <w:tcPr>
            <w:tcW w:w="1020" w:type="dxa"/>
            <w:vAlign w:val="bottom"/>
          </w:tcPr>
          <w:p>
            <w:pPr>
              <w:jc w:val="center"/>
              <w:ind w:right="12"/>
              <w:spacing w:after="0"/>
              <w:rPr>
                <w:sz w:val="20"/>
                <w:szCs w:val="20"/>
                <w:color w:val="auto"/>
              </w:rPr>
            </w:pPr>
            <w:r>
              <w:rPr>
                <w:rFonts w:ascii="Arial" w:cs="Arial" w:eastAsia="Arial" w:hAnsi="Arial"/>
                <w:sz w:val="13"/>
                <w:szCs w:val="13"/>
                <w:b w:val="1"/>
                <w:bCs w:val="1"/>
                <w:color w:val="auto"/>
                <w:w w:val="87"/>
              </w:rPr>
              <w:t>Estate</w:t>
            </w:r>
          </w:p>
        </w:tc>
        <w:tc>
          <w:tcPr>
            <w:tcW w:w="1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Land Development</w:t>
            </w: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Estate</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Consumer</w:t>
            </w:r>
          </w:p>
        </w:tc>
        <w:tc>
          <w:tcPr>
            <w:tcW w:w="260" w:type="dxa"/>
            <w:vAlign w:val="bottom"/>
          </w:tcPr>
          <w:p>
            <w:pPr>
              <w:spacing w:after="0"/>
              <w:rPr>
                <w:sz w:val="14"/>
                <w:szCs w:val="14"/>
                <w:color w:val="auto"/>
              </w:rPr>
            </w:pPr>
          </w:p>
        </w:tc>
        <w:tc>
          <w:tcPr>
            <w:tcW w:w="880" w:type="dxa"/>
            <w:vAlign w:val="bottom"/>
          </w:tcPr>
          <w:p>
            <w:pPr>
              <w:jc w:val="right"/>
              <w:ind w:right="351"/>
              <w:spacing w:after="0"/>
              <w:rPr>
                <w:sz w:val="20"/>
                <w:szCs w:val="20"/>
                <w:color w:val="auto"/>
              </w:rPr>
            </w:pPr>
            <w:r>
              <w:rPr>
                <w:rFonts w:ascii="Arial" w:cs="Arial" w:eastAsia="Arial" w:hAnsi="Arial"/>
                <w:sz w:val="13"/>
                <w:szCs w:val="13"/>
                <w:b w:val="1"/>
                <w:bCs w:val="1"/>
                <w:color w:val="auto"/>
              </w:rPr>
              <w:t>Total</w:t>
            </w:r>
          </w:p>
        </w:tc>
      </w:tr>
      <w:tr>
        <w:trPr>
          <w:trHeight w:val="26"/>
        </w:trPr>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7"/>
        </w:trPr>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41"/>
        </w:trPr>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35,864</w:t>
            </w:r>
          </w:p>
        </w:tc>
        <w:tc>
          <w:tcPr>
            <w:tcW w:w="10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6,565</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8,085</w:t>
            </w:r>
          </w:p>
        </w:tc>
        <w:tc>
          <w:tcPr>
            <w:tcW w:w="460" w:type="dxa"/>
            <w:vAlign w:val="bottom"/>
            <w:gridSpan w:val="2"/>
          </w:tcPr>
          <w:p>
            <w:pPr>
              <w:jc w:val="right"/>
              <w:ind w:right="216"/>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2,546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56,896</w:t>
            </w:r>
          </w:p>
        </w:tc>
      </w:tr>
      <w:tr>
        <w:trPr>
          <w:trHeight w:val="212"/>
        </w:trPr>
        <w:tc>
          <w:tcPr>
            <w:tcW w:w="16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3,271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2,313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4,538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2,141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13,950</w:t>
            </w:r>
          </w:p>
        </w:tc>
      </w:tr>
      <w:tr>
        <w:trPr>
          <w:trHeight w:val="212"/>
        </w:trPr>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(18,077)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(1,279)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(19,460)</w:t>
            </w:r>
          </w:p>
        </w:tc>
      </w:tr>
      <w:tr>
        <w:trPr>
          <w:trHeight w:val="212"/>
        </w:trPr>
        <w:tc>
          <w:tcPr>
            <w:tcW w:w="16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72</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1"/>
        </w:trPr>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21,129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7,599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12,623</w:t>
            </w:r>
          </w:p>
        </w:tc>
        <w:tc>
          <w:tcPr>
            <w:tcW w:w="460" w:type="dxa"/>
            <w:vAlign w:val="bottom"/>
            <w:gridSpan w:val="2"/>
          </w:tcPr>
          <w:p>
            <w:pPr>
              <w:jc w:val="right"/>
              <w:ind w:right="216"/>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5,021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4,687</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51,458</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98"/>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ind w:right="12"/>
              <w:spacing w:after="0"/>
              <w:rPr>
                <w:sz w:val="20"/>
                <w:szCs w:val="20"/>
                <w:color w:val="auto"/>
              </w:rPr>
            </w:pPr>
            <w:r>
              <w:rPr>
                <w:rFonts w:ascii="Arial" w:cs="Arial" w:eastAsia="Arial" w:hAnsi="Arial"/>
                <w:sz w:val="13"/>
                <w:szCs w:val="13"/>
                <w:b w:val="1"/>
                <w:bCs w:val="1"/>
                <w:color w:val="auto"/>
                <w:w w:val="89"/>
              </w:rPr>
              <w:t>Commercial Real</w:t>
            </w:r>
          </w:p>
        </w:tc>
        <w:tc>
          <w:tcPr>
            <w:tcW w:w="10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Construction and</w:t>
            </w: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Residential Real</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5"/>
        </w:trPr>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Commercial</w:t>
            </w:r>
          </w:p>
        </w:tc>
        <w:tc>
          <w:tcPr>
            <w:tcW w:w="22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Energy</w:t>
            </w:r>
          </w:p>
        </w:tc>
        <w:tc>
          <w:tcPr>
            <w:tcW w:w="80" w:type="dxa"/>
            <w:vAlign w:val="bottom"/>
          </w:tcPr>
          <w:p>
            <w:pPr>
              <w:spacing w:after="0"/>
              <w:rPr>
                <w:sz w:val="14"/>
                <w:szCs w:val="14"/>
                <w:color w:val="auto"/>
              </w:rPr>
            </w:pPr>
          </w:p>
        </w:tc>
        <w:tc>
          <w:tcPr>
            <w:tcW w:w="1020" w:type="dxa"/>
            <w:vAlign w:val="bottom"/>
          </w:tcPr>
          <w:p>
            <w:pPr>
              <w:jc w:val="center"/>
              <w:ind w:right="12"/>
              <w:spacing w:after="0"/>
              <w:rPr>
                <w:sz w:val="20"/>
                <w:szCs w:val="20"/>
                <w:color w:val="auto"/>
              </w:rPr>
            </w:pPr>
            <w:r>
              <w:rPr>
                <w:rFonts w:ascii="Arial" w:cs="Arial" w:eastAsia="Arial" w:hAnsi="Arial"/>
                <w:sz w:val="13"/>
                <w:szCs w:val="13"/>
                <w:b w:val="1"/>
                <w:bCs w:val="1"/>
                <w:color w:val="auto"/>
                <w:w w:val="87"/>
              </w:rPr>
              <w:t>Estate</w:t>
            </w:r>
          </w:p>
        </w:tc>
        <w:tc>
          <w:tcPr>
            <w:tcW w:w="1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Land Development</w:t>
            </w: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Estate</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Consumer</w:t>
            </w:r>
          </w:p>
        </w:tc>
        <w:tc>
          <w:tcPr>
            <w:tcW w:w="260" w:type="dxa"/>
            <w:vAlign w:val="bottom"/>
          </w:tcPr>
          <w:p>
            <w:pPr>
              <w:spacing w:after="0"/>
              <w:rPr>
                <w:sz w:val="14"/>
                <w:szCs w:val="14"/>
                <w:color w:val="auto"/>
              </w:rPr>
            </w:pPr>
          </w:p>
        </w:tc>
        <w:tc>
          <w:tcPr>
            <w:tcW w:w="880" w:type="dxa"/>
            <w:vAlign w:val="bottom"/>
          </w:tcPr>
          <w:p>
            <w:pPr>
              <w:jc w:val="right"/>
              <w:ind w:right="351"/>
              <w:spacing w:after="0"/>
              <w:rPr>
                <w:sz w:val="20"/>
                <w:szCs w:val="20"/>
                <w:color w:val="auto"/>
              </w:rPr>
            </w:pPr>
            <w:r>
              <w:rPr>
                <w:rFonts w:ascii="Arial" w:cs="Arial" w:eastAsia="Arial" w:hAnsi="Arial"/>
                <w:sz w:val="13"/>
                <w:szCs w:val="13"/>
                <w:b w:val="1"/>
                <w:bCs w:val="1"/>
                <w:color w:val="auto"/>
              </w:rPr>
              <w:t>Total</w:t>
            </w:r>
          </w:p>
        </w:tc>
      </w:tr>
      <w:tr>
        <w:trPr>
          <w:trHeight w:val="26"/>
        </w:trPr>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7"/>
        </w:trPr>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41"/>
        </w:trPr>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16,584</w:t>
            </w:r>
          </w:p>
        </w:tc>
        <w:tc>
          <w:tcPr>
            <w:tcW w:w="10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10,262</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6,755</w:t>
            </w:r>
          </w:p>
        </w:tc>
        <w:tc>
          <w:tcPr>
            <w:tcW w:w="460" w:type="dxa"/>
            <w:vAlign w:val="bottom"/>
            <w:gridSpan w:val="2"/>
          </w:tcPr>
          <w:p>
            <w:pPr>
              <w:jc w:val="right"/>
              <w:ind w:right="216"/>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2,475</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1,464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37,826</w:t>
            </w:r>
          </w:p>
        </w:tc>
      </w:tr>
      <w:tr>
        <w:trPr>
          <w:trHeight w:val="212"/>
        </w:trPr>
        <w:tc>
          <w:tcPr>
            <w:tcW w:w="16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5,163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(3,748)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583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2,850</w:t>
            </w:r>
          </w:p>
        </w:tc>
      </w:tr>
      <w:tr>
        <w:trPr>
          <w:trHeight w:val="212"/>
        </w:trPr>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(1,264)</w:t>
            </w:r>
          </w:p>
        </w:tc>
      </w:tr>
      <w:tr>
        <w:trPr>
          <w:trHeight w:val="212"/>
        </w:trPr>
        <w:tc>
          <w:tcPr>
            <w:tcW w:w="16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589</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1"/>
        </w:trPr>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20,506</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7,090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7,471</w:t>
            </w:r>
          </w:p>
        </w:tc>
        <w:tc>
          <w:tcPr>
            <w:tcW w:w="460" w:type="dxa"/>
            <w:vAlign w:val="bottom"/>
            <w:gridSpan w:val="2"/>
          </w:tcPr>
          <w:p>
            <w:pPr>
              <w:jc w:val="right"/>
              <w:ind w:right="216"/>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2,585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2,047</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40,001</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98"/>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ind w:right="12"/>
              <w:spacing w:after="0"/>
              <w:rPr>
                <w:sz w:val="20"/>
                <w:szCs w:val="20"/>
                <w:color w:val="auto"/>
              </w:rPr>
            </w:pPr>
            <w:r>
              <w:rPr>
                <w:rFonts w:ascii="Arial" w:cs="Arial" w:eastAsia="Arial" w:hAnsi="Arial"/>
                <w:sz w:val="13"/>
                <w:szCs w:val="13"/>
                <w:b w:val="1"/>
                <w:bCs w:val="1"/>
                <w:color w:val="auto"/>
                <w:w w:val="89"/>
              </w:rPr>
              <w:t>Commercial Real</w:t>
            </w:r>
          </w:p>
        </w:tc>
        <w:tc>
          <w:tcPr>
            <w:tcW w:w="10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Construction and</w:t>
            </w: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Residential Real</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5"/>
        </w:trPr>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Commercial</w:t>
            </w:r>
          </w:p>
        </w:tc>
        <w:tc>
          <w:tcPr>
            <w:tcW w:w="22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Energy</w:t>
            </w:r>
          </w:p>
        </w:tc>
        <w:tc>
          <w:tcPr>
            <w:tcW w:w="80" w:type="dxa"/>
            <w:vAlign w:val="bottom"/>
          </w:tcPr>
          <w:p>
            <w:pPr>
              <w:spacing w:after="0"/>
              <w:rPr>
                <w:sz w:val="14"/>
                <w:szCs w:val="14"/>
                <w:color w:val="auto"/>
              </w:rPr>
            </w:pPr>
          </w:p>
        </w:tc>
        <w:tc>
          <w:tcPr>
            <w:tcW w:w="1020" w:type="dxa"/>
            <w:vAlign w:val="bottom"/>
          </w:tcPr>
          <w:p>
            <w:pPr>
              <w:jc w:val="center"/>
              <w:ind w:right="12"/>
              <w:spacing w:after="0"/>
              <w:rPr>
                <w:sz w:val="20"/>
                <w:szCs w:val="20"/>
                <w:color w:val="auto"/>
              </w:rPr>
            </w:pPr>
            <w:r>
              <w:rPr>
                <w:rFonts w:ascii="Arial" w:cs="Arial" w:eastAsia="Arial" w:hAnsi="Arial"/>
                <w:sz w:val="13"/>
                <w:szCs w:val="13"/>
                <w:b w:val="1"/>
                <w:bCs w:val="1"/>
                <w:color w:val="auto"/>
                <w:w w:val="87"/>
              </w:rPr>
              <w:t>Estate</w:t>
            </w:r>
          </w:p>
        </w:tc>
        <w:tc>
          <w:tcPr>
            <w:tcW w:w="1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Land Development</w:t>
            </w: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Estate</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Consumer</w:t>
            </w:r>
          </w:p>
        </w:tc>
        <w:tc>
          <w:tcPr>
            <w:tcW w:w="260" w:type="dxa"/>
            <w:vAlign w:val="bottom"/>
          </w:tcPr>
          <w:p>
            <w:pPr>
              <w:spacing w:after="0"/>
              <w:rPr>
                <w:sz w:val="14"/>
                <w:szCs w:val="14"/>
                <w:color w:val="auto"/>
              </w:rPr>
            </w:pPr>
          </w:p>
        </w:tc>
        <w:tc>
          <w:tcPr>
            <w:tcW w:w="880" w:type="dxa"/>
            <w:vAlign w:val="bottom"/>
          </w:tcPr>
          <w:p>
            <w:pPr>
              <w:jc w:val="right"/>
              <w:ind w:right="351"/>
              <w:spacing w:after="0"/>
              <w:rPr>
                <w:sz w:val="20"/>
                <w:szCs w:val="20"/>
                <w:color w:val="auto"/>
              </w:rPr>
            </w:pPr>
            <w:r>
              <w:rPr>
                <w:rFonts w:ascii="Arial" w:cs="Arial" w:eastAsia="Arial" w:hAnsi="Arial"/>
                <w:sz w:val="13"/>
                <w:szCs w:val="13"/>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-3095625</wp:posOffset>
            </wp:positionV>
            <wp:extent cx="7080885"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-2826385</wp:posOffset>
            </wp:positionV>
            <wp:extent cx="7080885"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-2556510</wp:posOffset>
            </wp:positionV>
            <wp:extent cx="7080885"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-2287270</wp:posOffset>
            </wp:positionV>
            <wp:extent cx="7080885" cy="154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0885" cy="15494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-1471930</wp:posOffset>
            </wp:positionV>
            <wp:extent cx="7080885"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-1202690</wp:posOffset>
            </wp:positionV>
            <wp:extent cx="7080885"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-932815</wp:posOffset>
            </wp:positionV>
            <wp:extent cx="7080885"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-663575</wp:posOffset>
            </wp:positionV>
            <wp:extent cx="7080885" cy="154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0885" cy="154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16510</wp:posOffset>
            </wp:positionV>
            <wp:extent cx="52819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81930" cy="6985"/>
                    </a:xfrm>
                    <a:prstGeom prst="rect">
                      <a:avLst/>
                    </a:prstGeom>
                    <a:noFill/>
                  </pic:spPr>
                </pic:pic>
              </a:graphicData>
            </a:graphic>
          </wp:anchor>
        </w:drawing>
      </w:r>
    </w:p>
    <w:p>
      <w:pPr>
        <w:spacing w:after="0" w:line="31" w:lineRule="exact"/>
        <w:rPr>
          <w:sz w:val="20"/>
          <w:szCs w:val="20"/>
          <w:color w:val="auto"/>
        </w:rPr>
      </w:pPr>
    </w:p>
    <w:p>
      <w:pPr>
        <w:ind w:left="3580"/>
        <w:spacing w:after="0"/>
        <w:rPr>
          <w:sz w:val="20"/>
          <w:szCs w:val="20"/>
          <w:color w:val="auto"/>
        </w:rPr>
      </w:pPr>
      <w:r>
        <w:rPr>
          <w:rFonts w:ascii="Arial" w:cs="Arial" w:eastAsia="Arial" w:hAnsi="Arial"/>
          <w:sz w:val="13"/>
          <w:szCs w:val="13"/>
          <w:i w:val="1"/>
          <w:iCs w:val="1"/>
          <w:color w:val="auto"/>
        </w:rPr>
        <w:t>(Dollars in thousands)</w:t>
      </w:r>
    </w:p>
    <w:p>
      <w:pPr>
        <w:spacing w:after="0" w:line="38" w:lineRule="exact"/>
        <w:rPr>
          <w:sz w:val="20"/>
          <w:szCs w:val="20"/>
          <w:color w:val="auto"/>
        </w:rPr>
      </w:pPr>
    </w:p>
    <w:p>
      <w:pPr>
        <w:sectPr>
          <w:pgSz w:w="11900" w:h="16838" w:orient="portrait"/>
          <w:cols w:equalWidth="0" w:num="2">
            <w:col w:w="2360" w:space="600"/>
            <w:col w:w="8320"/>
          </w:cols>
          <w:pgMar w:left="300" w:top="171" w:right="31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1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1"/>
        </w:trPr>
        <w:tc>
          <w:tcPr>
            <w:tcW w:w="1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Ending balance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140" w:type="dxa"/>
            <w:vAlign w:val="bottom"/>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Individually evaluated for impairment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3,228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6,090</w:t>
            </w:r>
          </w:p>
        </w:tc>
      </w:tr>
      <w:tr>
        <w:trPr>
          <w:trHeight w:val="203"/>
        </w:trPr>
        <w:tc>
          <w:tcPr>
            <w:tcW w:w="140" w:type="dxa"/>
            <w:vAlign w:val="bottom"/>
          </w:tcPr>
          <w:p>
            <w:pPr>
              <w:spacing w:after="0"/>
              <w:rPr>
                <w:sz w:val="17"/>
                <w:szCs w:val="17"/>
                <w:color w:val="auto"/>
              </w:rPr>
            </w:pPr>
          </w:p>
        </w:tc>
        <w:tc>
          <w:tcPr>
            <w:tcW w:w="28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Collectively evaluated for impairment</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17,901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6,375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11,174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5,021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4,498</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399</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45,368</w:t>
            </w:r>
          </w:p>
        </w:tc>
      </w:tr>
      <w:tr>
        <w:trPr>
          <w:trHeight w:val="172"/>
        </w:trPr>
        <w:tc>
          <w:tcPr>
            <w:tcW w:w="140" w:type="dxa"/>
            <w:vAlign w:val="bottom"/>
          </w:tcPr>
          <w:p>
            <w:pPr>
              <w:spacing w:after="0"/>
              <w:rPr>
                <w:sz w:val="14"/>
                <w:szCs w:val="1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Allocated to loans:</w:t>
            </w:r>
          </w:p>
        </w:tc>
        <w:tc>
          <w:tcPr>
            <w:tcW w:w="2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r>
      <w:tr>
        <w:trPr>
          <w:trHeight w:val="212"/>
        </w:trPr>
        <w:tc>
          <w:tcPr>
            <w:tcW w:w="14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4"/>
                <w:szCs w:val="14"/>
                <w:color w:val="auto"/>
              </w:rPr>
              <w:t>Individually evaluated for impairment</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71,983</w:t>
            </w:r>
          </w:p>
        </w:tc>
        <w:tc>
          <w:tcPr>
            <w:tcW w:w="100" w:type="dxa"/>
            <w:vAlign w:val="bottom"/>
          </w:tcPr>
          <w:p>
            <w:pPr>
              <w:spacing w:after="0"/>
              <w:rPr>
                <w:sz w:val="18"/>
                <w:szCs w:val="18"/>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15,703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14,840</w:t>
            </w:r>
          </w:p>
        </w:tc>
        <w:tc>
          <w:tcPr>
            <w:tcW w:w="100" w:type="dxa"/>
            <w:vAlign w:val="bottom"/>
          </w:tcPr>
          <w:p>
            <w:pPr>
              <w:spacing w:after="0"/>
              <w:rPr>
                <w:sz w:val="18"/>
                <w:szCs w:val="18"/>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5,654</w:t>
            </w:r>
          </w:p>
        </w:tc>
        <w:tc>
          <w:tcPr>
            <w:tcW w:w="80" w:type="dxa"/>
            <w:vAlign w:val="bottom"/>
          </w:tcPr>
          <w:p>
            <w:pPr>
              <w:spacing w:after="0"/>
              <w:rPr>
                <w:sz w:val="18"/>
                <w:szCs w:val="18"/>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8"/>
                <w:szCs w:val="18"/>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108,434</w:t>
            </w:r>
          </w:p>
        </w:tc>
      </w:tr>
      <w:tr>
        <w:trPr>
          <w:trHeight w:val="203"/>
        </w:trPr>
        <w:tc>
          <w:tcPr>
            <w:tcW w:w="14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Collectively evaluated for impairment</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1,283,740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383,094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1,069,844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625,145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498,048</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42,864</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3,902,735</w:t>
            </w:r>
          </w:p>
        </w:tc>
      </w:tr>
      <w:tr>
        <w:trPr>
          <w:trHeight w:val="203"/>
        </w:trPr>
        <w:tc>
          <w:tcPr>
            <w:tcW w:w="14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Ending balance</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1,355,723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398,797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1,084,684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625,145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503,702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43,118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4,011,169</w:t>
            </w:r>
          </w:p>
        </w:tc>
      </w:tr>
      <w:tr>
        <w:trPr>
          <w:trHeight w:val="20"/>
        </w:trPr>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25"/>
        </w:trPr>
        <w:tc>
          <w:tcPr>
            <w:tcW w:w="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66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7"/>
        </w:trPr>
        <w:tc>
          <w:tcPr>
            <w:tcW w:w="14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type w:val="continuous"/>
        </w:sectPr>
      </w:pPr>
    </w:p>
    <w:bookmarkStart w:id="21" w:name="page22"/>
    <w:bookmarkEnd w:id="21"/>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40" w:type="dxa"/>
        <w:tblCellMar>
          <w:top w:w="0" w:type="dxa"/>
          <w:left w:w="0" w:type="dxa"/>
          <w:bottom w:w="0" w:type="dxa"/>
          <w:right w:w="0" w:type="dxa"/>
        </w:tblCellMar>
      </w:tblPr>
      <w:tr>
        <w:trPr>
          <w:trHeight w:val="159"/>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11"/>
              <w:spacing w:after="0"/>
              <w:rPr>
                <w:sz w:val="20"/>
                <w:szCs w:val="20"/>
                <w:color w:val="auto"/>
              </w:rPr>
            </w:pPr>
            <w:r>
              <w:rPr>
                <w:rFonts w:ascii="Arial" w:cs="Arial" w:eastAsia="Arial" w:hAnsi="Arial"/>
                <w:sz w:val="13"/>
                <w:szCs w:val="13"/>
                <w:b w:val="1"/>
                <w:bCs w:val="1"/>
                <w:color w:val="auto"/>
                <w:w w:val="87"/>
              </w:rPr>
              <w:t>Commercial Real</w:t>
            </w:r>
          </w:p>
        </w:tc>
        <w:tc>
          <w:tcPr>
            <w:tcW w:w="10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Construction and</w:t>
            </w:r>
          </w:p>
        </w:tc>
        <w:tc>
          <w:tcPr>
            <w:tcW w:w="8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Residential Real</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Commercial</w:t>
            </w:r>
          </w:p>
        </w:tc>
        <w:tc>
          <w:tcPr>
            <w:tcW w:w="22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Energy</w:t>
            </w:r>
          </w:p>
        </w:tc>
        <w:tc>
          <w:tcPr>
            <w:tcW w:w="80" w:type="dxa"/>
            <w:vAlign w:val="bottom"/>
          </w:tcPr>
          <w:p>
            <w:pPr>
              <w:spacing w:after="0"/>
              <w:rPr>
                <w:sz w:val="14"/>
                <w:szCs w:val="14"/>
                <w:color w:val="auto"/>
              </w:rPr>
            </w:pPr>
          </w:p>
        </w:tc>
        <w:tc>
          <w:tcPr>
            <w:tcW w:w="1020" w:type="dxa"/>
            <w:vAlign w:val="bottom"/>
          </w:tcPr>
          <w:p>
            <w:pPr>
              <w:jc w:val="right"/>
              <w:ind w:right="311"/>
              <w:spacing w:after="0"/>
              <w:rPr>
                <w:sz w:val="20"/>
                <w:szCs w:val="20"/>
                <w:color w:val="auto"/>
              </w:rPr>
            </w:pPr>
            <w:r>
              <w:rPr>
                <w:rFonts w:ascii="Arial" w:cs="Arial" w:eastAsia="Arial" w:hAnsi="Arial"/>
                <w:sz w:val="13"/>
                <w:szCs w:val="13"/>
                <w:b w:val="1"/>
                <w:bCs w:val="1"/>
                <w:color w:val="auto"/>
              </w:rPr>
              <w:t>Estate</w:t>
            </w:r>
          </w:p>
        </w:tc>
        <w:tc>
          <w:tcPr>
            <w:tcW w:w="1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Land Development</w:t>
            </w: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Estate</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Consumer</w:t>
            </w:r>
          </w:p>
        </w:tc>
        <w:tc>
          <w:tcPr>
            <w:tcW w:w="260" w:type="dxa"/>
            <w:vAlign w:val="bottom"/>
          </w:tcPr>
          <w:p>
            <w:pPr>
              <w:spacing w:after="0"/>
              <w:rPr>
                <w:sz w:val="14"/>
                <w:szCs w:val="14"/>
                <w:color w:val="auto"/>
              </w:rPr>
            </w:pPr>
          </w:p>
        </w:tc>
        <w:tc>
          <w:tcPr>
            <w:tcW w:w="880" w:type="dxa"/>
            <w:vAlign w:val="bottom"/>
          </w:tcPr>
          <w:p>
            <w:pPr>
              <w:jc w:val="right"/>
              <w:ind w:right="350"/>
              <w:spacing w:after="0"/>
              <w:rPr>
                <w:sz w:val="20"/>
                <w:szCs w:val="20"/>
                <w:color w:val="auto"/>
              </w:rPr>
            </w:pPr>
            <w:r>
              <w:rPr>
                <w:rFonts w:ascii="Arial" w:cs="Arial" w:eastAsia="Arial" w:hAnsi="Arial"/>
                <w:sz w:val="13"/>
                <w:szCs w:val="13"/>
                <w:b w:val="1"/>
                <w:bCs w:val="1"/>
                <w:color w:val="auto"/>
              </w:rPr>
              <w:t>Total</w:t>
            </w:r>
          </w:p>
        </w:tc>
      </w:tr>
      <w:tr>
        <w:trPr>
          <w:trHeight w:val="26"/>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7"/>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6"/>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2820" w:type="dxa"/>
            <w:vAlign w:val="bottom"/>
          </w:tcPr>
          <w:p>
            <w:pPr>
              <w:spacing w:after="0"/>
              <w:rPr>
                <w:sz w:val="20"/>
                <w:szCs w:val="20"/>
                <w:color w:val="auto"/>
              </w:rPr>
            </w:pPr>
            <w:r>
              <w:rPr>
                <w:rFonts w:ascii="Arial" w:cs="Arial" w:eastAsia="Arial" w:hAnsi="Arial"/>
                <w:sz w:val="14"/>
                <w:szCs w:val="14"/>
                <w:color w:val="auto"/>
              </w:rPr>
              <w:t>Ending balance</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Individually evaluated for impairment</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19,942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1,949</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22,298</w:t>
            </w:r>
          </w:p>
        </w:tc>
      </w:tr>
      <w:tr>
        <w:trPr>
          <w:trHeight w:val="203"/>
        </w:trPr>
        <w:tc>
          <w:tcPr>
            <w:tcW w:w="2820" w:type="dxa"/>
            <w:vAlign w:val="bottom"/>
          </w:tcPr>
          <w:p>
            <w:pPr>
              <w:ind w:left="140"/>
              <w:spacing w:after="0"/>
              <w:rPr>
                <w:sz w:val="20"/>
                <w:szCs w:val="20"/>
                <w:color w:val="auto"/>
              </w:rPr>
            </w:pPr>
            <w:r>
              <w:rPr>
                <w:rFonts w:ascii="Arial" w:cs="Arial" w:eastAsia="Arial" w:hAnsi="Arial"/>
                <w:sz w:val="14"/>
                <w:szCs w:val="14"/>
                <w:color w:val="auto"/>
              </w:rPr>
              <w:t>Collectively evaluated for impairment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15,922</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4,616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7,875</w:t>
            </w:r>
          </w:p>
        </w:tc>
        <w:tc>
          <w:tcPr>
            <w:tcW w:w="40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2,349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34,598</w:t>
            </w:r>
          </w:p>
        </w:tc>
      </w:tr>
      <w:tr>
        <w:trPr>
          <w:trHeight w:val="172"/>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Allocated to loans:</w:t>
            </w: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12"/>
        </w:trPr>
        <w:tc>
          <w:tcPr>
            <w:tcW w:w="28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Individually evaluated for impairment</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70,876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9,744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10,492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2,388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93,500</w:t>
            </w:r>
          </w:p>
        </w:tc>
      </w:tr>
      <w:tr>
        <w:trPr>
          <w:trHeight w:val="203"/>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Collectively evaluated for impairment</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1,285,941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398,829</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1,013,549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628,418</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396,307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45,163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3,768,207</w:t>
            </w:r>
          </w:p>
        </w:tc>
      </w:tr>
      <w:tr>
        <w:trPr>
          <w:trHeight w:val="203"/>
        </w:trPr>
        <w:tc>
          <w:tcPr>
            <w:tcW w:w="2820" w:type="dxa"/>
            <w:vAlign w:val="bottom"/>
          </w:tcPr>
          <w:p>
            <w:pPr>
              <w:spacing w:after="0"/>
              <w:rPr>
                <w:sz w:val="20"/>
                <w:szCs w:val="20"/>
                <w:color w:val="auto"/>
              </w:rPr>
            </w:pPr>
            <w:r>
              <w:rPr>
                <w:rFonts w:ascii="Arial" w:cs="Arial" w:eastAsia="Arial" w:hAnsi="Arial"/>
                <w:sz w:val="14"/>
                <w:szCs w:val="14"/>
                <w:color w:val="auto"/>
              </w:rPr>
              <w:t>Ending balance</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1,356,817</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408,573</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1,024,041</w:t>
            </w:r>
          </w:p>
        </w:tc>
        <w:tc>
          <w:tcPr>
            <w:tcW w:w="40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628,418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398,695</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45,163</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3,861,707</w:t>
            </w:r>
          </w:p>
        </w:tc>
      </w:tr>
      <w:tr>
        <w:trPr>
          <w:trHeight w:val="20"/>
        </w:trPr>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 Profile</w:t>
      </w:r>
    </w:p>
    <w:p>
      <w:pPr>
        <w:spacing w:after="0" w:line="126" w:lineRule="exact"/>
        <w:rPr>
          <w:sz w:val="20"/>
          <w:szCs w:val="20"/>
          <w:color w:val="auto"/>
        </w:rPr>
      </w:pPr>
    </w:p>
    <w:p>
      <w:pPr>
        <w:ind w:left="140" w:right="180" w:firstLine="382"/>
        <w:spacing w:after="0" w:line="281" w:lineRule="auto"/>
        <w:rPr>
          <w:sz w:val="20"/>
          <w:szCs w:val="20"/>
          <w:color w:val="auto"/>
        </w:rPr>
      </w:pPr>
      <w:r>
        <w:rPr>
          <w:rFonts w:ascii="Arial" w:cs="Arial" w:eastAsia="Arial" w:hAnsi="Arial"/>
          <w:sz w:val="14"/>
          <w:szCs w:val="14"/>
          <w:color w:val="auto"/>
        </w:rPr>
        <w:t>The Company analyzes its loan portfolio based on an internal rating category (grades 1 - 8), portfolio segment and payment activity. These categories are utilized to develop the associated allowance for loan losses. A description of the loan grades and segments follows: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Loan Grades</w:t>
      </w:r>
    </w:p>
    <w:p>
      <w:pPr>
        <w:spacing w:after="0" w:line="132" w:lineRule="exact"/>
        <w:rPr>
          <w:sz w:val="20"/>
          <w:szCs w:val="20"/>
          <w:color w:val="auto"/>
        </w:rPr>
      </w:pPr>
    </w:p>
    <w:p>
      <w:pPr>
        <w:jc w:val="both"/>
        <w:ind w:left="1020" w:right="280" w:hanging="506"/>
        <w:spacing w:after="0" w:line="369" w:lineRule="auto"/>
        <w:tabs>
          <w:tab w:leader="none" w:pos="1016"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Pass &amp; Watch (risk rating 1 - 4) </w:t>
      </w:r>
      <w:r>
        <w:rPr>
          <w:rFonts w:ascii="Arial" w:cs="Arial" w:eastAsia="Arial" w:hAnsi="Arial"/>
          <w:sz w:val="12"/>
          <w:szCs w:val="12"/>
          <w:color w:val="auto"/>
        </w:rPr>
        <w:t>- Considered satisfactory. Includes borrowers that generally maintain good liquidity and financial condition or the credit is currently protected</w:t>
      </w:r>
      <w:r>
        <w:rPr>
          <w:rFonts w:ascii="Arial" w:cs="Arial" w:eastAsia="Arial" w:hAnsi="Arial"/>
          <w:sz w:val="12"/>
          <w:szCs w:val="12"/>
          <w:b w:val="1"/>
          <w:bCs w:val="1"/>
          <w:color w:val="auto"/>
        </w:rPr>
        <w:t xml:space="preserve"> </w:t>
      </w:r>
      <w:r>
        <w:rPr>
          <w:rFonts w:ascii="Arial" w:cs="Arial" w:eastAsia="Arial" w:hAnsi="Arial"/>
          <w:sz w:val="12"/>
          <w:szCs w:val="12"/>
          <w:color w:val="auto"/>
        </w:rPr>
        <w:t>with sales trends remaining flat or declining. Most ratios compare favorably with industry norms and Company policies. Debt is programmed and timely repayment is expected.</w:t>
      </w:r>
    </w:p>
    <w:p>
      <w:pPr>
        <w:ind w:left="1020" w:right="120" w:hanging="506"/>
        <w:spacing w:after="0" w:line="335" w:lineRule="auto"/>
        <w:tabs>
          <w:tab w:leader="none" w:pos="1016"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Special Mention (risk rating 5) </w:t>
      </w:r>
      <w:r>
        <w:rPr>
          <w:rFonts w:ascii="Arial" w:cs="Arial" w:eastAsia="Arial" w:hAnsi="Arial"/>
          <w:sz w:val="12"/>
          <w:szCs w:val="12"/>
          <w:color w:val="auto"/>
        </w:rPr>
        <w:t>- Borrowers generally exhibit adverse trends in operations or an imbalanced position in their balance sheet that has not reached a point where</w:t>
      </w:r>
      <w:r>
        <w:rPr>
          <w:rFonts w:ascii="Arial" w:cs="Arial" w:eastAsia="Arial" w:hAnsi="Arial"/>
          <w:sz w:val="12"/>
          <w:szCs w:val="12"/>
          <w:b w:val="1"/>
          <w:bCs w:val="1"/>
          <w:color w:val="auto"/>
        </w:rPr>
        <w:t xml:space="preserve"> </w:t>
      </w:r>
      <w:r>
        <w:rPr>
          <w:rFonts w:ascii="Arial" w:cs="Arial" w:eastAsia="Arial" w:hAnsi="Arial"/>
          <w:sz w:val="12"/>
          <w:szCs w:val="12"/>
          <w:color w:val="auto"/>
        </w:rPr>
        <w:t>repayment is 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16" w:lineRule="exact"/>
        <w:rPr>
          <w:rFonts w:ascii="Arial" w:cs="Arial" w:eastAsia="Arial" w:hAnsi="Arial"/>
          <w:sz w:val="12"/>
          <w:szCs w:val="12"/>
          <w:color w:val="auto"/>
        </w:rPr>
      </w:pPr>
    </w:p>
    <w:p>
      <w:pPr>
        <w:ind w:left="1020" w:right="200" w:hanging="506"/>
        <w:spacing w:after="0" w:line="270"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Substandard (risk rating 6) </w:t>
      </w:r>
      <w:r>
        <w:rPr>
          <w:rFonts w:ascii="Arial" w:cs="Arial" w:eastAsia="Arial" w:hAnsi="Arial"/>
          <w:sz w:val="14"/>
          <w:szCs w:val="14"/>
          <w:color w:val="auto"/>
        </w:rPr>
        <w:t>- Credits generally exhibit a well-defined weaknesses that jeopardize repayment. Credits are inadequately protected by the current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obligor or of the collateral pledged. A distinct possibility exists that the Company will sustain some loss if deficiencies are not corrected. Loss potential, while existing in the aggregate amount of substandard assets, does not have to exist in individual assets classified substandard.</w:t>
      </w:r>
    </w:p>
    <w:p>
      <w:pPr>
        <w:spacing w:after="0" w:line="50" w:lineRule="exact"/>
        <w:rPr>
          <w:rFonts w:ascii="Arial" w:cs="Arial" w:eastAsia="Arial" w:hAnsi="Arial"/>
          <w:sz w:val="14"/>
          <w:szCs w:val="14"/>
          <w:color w:val="auto"/>
        </w:rPr>
      </w:pPr>
    </w:p>
    <w:p>
      <w:pPr>
        <w:ind w:left="1020" w:right="200" w:hanging="506"/>
        <w:spacing w:after="0" w:line="270"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Doubtful (risk rating 7) </w:t>
      </w:r>
      <w:r>
        <w:rPr>
          <w:rFonts w:ascii="Arial" w:cs="Arial" w:eastAsia="Arial" w:hAnsi="Arial"/>
          <w:sz w:val="14"/>
          <w:szCs w:val="14"/>
          <w:color w:val="auto"/>
        </w:rPr>
        <w:t>- Credits which exhibit weaknesses inherent in a substandard credit with the added characteristic that these weaknesses make collection or liquidation in</w:t>
      </w:r>
      <w:r>
        <w:rPr>
          <w:rFonts w:ascii="Arial" w:cs="Arial" w:eastAsia="Arial" w:hAnsi="Arial"/>
          <w:sz w:val="14"/>
          <w:szCs w:val="14"/>
          <w:b w:val="1"/>
          <w:bCs w:val="1"/>
          <w:color w:val="auto"/>
        </w:rPr>
        <w:t xml:space="preserve"> </w:t>
      </w:r>
      <w:r>
        <w:rPr>
          <w:rFonts w:ascii="Arial" w:cs="Arial" w:eastAsia="Arial" w:hAnsi="Arial"/>
          <w:sz w:val="14"/>
          <w:szCs w:val="14"/>
          <w:color w:val="auto"/>
        </w:rPr>
        <w:t>full highly questionable and improbable based on existing facts, conditions and values. Because of reasonably specific pending factors, which may work to the advantage and strengthening of the assets, classification as a loss is deferred until its more exact status may be determined.</w:t>
      </w:r>
    </w:p>
    <w:p>
      <w:pPr>
        <w:spacing w:after="0" w:line="50" w:lineRule="exact"/>
        <w:rPr>
          <w:rFonts w:ascii="Arial" w:cs="Arial" w:eastAsia="Arial" w:hAnsi="Arial"/>
          <w:sz w:val="14"/>
          <w:szCs w:val="14"/>
          <w:color w:val="auto"/>
        </w:rPr>
      </w:pPr>
    </w:p>
    <w:p>
      <w:pPr>
        <w:ind w:left="1020" w:hanging="506"/>
        <w:spacing w:after="0"/>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Loss (risk rating 8) </w:t>
      </w:r>
      <w:r>
        <w:rPr>
          <w:rFonts w:ascii="Arial" w:cs="Arial" w:eastAsia="Arial" w:hAnsi="Arial"/>
          <w:sz w:val="14"/>
          <w:szCs w:val="14"/>
          <w:color w:val="auto"/>
        </w:rPr>
        <w:t>- Credits which are considered uncollectible or of such little value that their continuance as a bankable asset is not warranted.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Loan Portfolio Segments</w:t>
      </w:r>
    </w:p>
    <w:p>
      <w:pPr>
        <w:spacing w:after="0" w:line="132" w:lineRule="exact"/>
        <w:rPr>
          <w:sz w:val="20"/>
          <w:szCs w:val="20"/>
          <w:color w:val="auto"/>
        </w:rPr>
      </w:pPr>
    </w:p>
    <w:p>
      <w:pPr>
        <w:ind w:left="1020" w:right="40" w:hanging="506"/>
        <w:spacing w:after="0" w:line="270" w:lineRule="auto"/>
        <w:tabs>
          <w:tab w:leader="none" w:pos="10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Commercial </w:t>
      </w:r>
      <w:r>
        <w:rPr>
          <w:rFonts w:ascii="Arial" w:cs="Arial" w:eastAsia="Arial" w:hAnsi="Arial"/>
          <w:sz w:val="14"/>
          <w:szCs w:val="14"/>
          <w:color w:val="auto"/>
        </w:rPr>
        <w:t>- Includes loans to commercial customers for use in financing working capital needs, equipment purchases and expansions. Repayment is primarily from the cash flow</w:t>
      </w:r>
      <w:r>
        <w:rPr>
          <w:rFonts w:ascii="Arial" w:cs="Arial" w:eastAsia="Arial" w:hAnsi="Arial"/>
          <w:sz w:val="14"/>
          <w:szCs w:val="14"/>
          <w:b w:val="1"/>
          <w:bCs w:val="1"/>
          <w:color w:val="auto"/>
        </w:rPr>
        <w:t xml:space="preserve"> </w:t>
      </w:r>
      <w:r>
        <w:rPr>
          <w:rFonts w:ascii="Arial" w:cs="Arial" w:eastAsia="Arial" w:hAnsi="Arial"/>
          <w:sz w:val="14"/>
          <w:szCs w:val="14"/>
          <w:color w:val="auto"/>
        </w:rPr>
        <w:t>of a borrower’s principal business operation. Credit risk is driven by creditworthiness of a borrower and the economic conditions that impact the cash flow stability from business operations.</w:t>
      </w:r>
    </w:p>
    <w:p>
      <w:pPr>
        <w:spacing w:after="0" w:line="50" w:lineRule="exact"/>
        <w:rPr>
          <w:rFonts w:ascii="Arial" w:cs="Arial" w:eastAsia="Arial" w:hAnsi="Arial"/>
          <w:sz w:val="14"/>
          <w:szCs w:val="14"/>
          <w:color w:val="auto"/>
        </w:rPr>
      </w:pPr>
    </w:p>
    <w:p>
      <w:pPr>
        <w:jc w:val="both"/>
        <w:ind w:left="1020" w:right="280" w:hanging="506"/>
        <w:spacing w:after="0" w:line="270" w:lineRule="auto"/>
        <w:tabs>
          <w:tab w:leader="none" w:pos="10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Energy </w:t>
      </w:r>
      <w:r>
        <w:rPr>
          <w:rFonts w:ascii="Arial" w:cs="Arial" w:eastAsia="Arial" w:hAnsi="Arial"/>
          <w:sz w:val="14"/>
          <w:szCs w:val="14"/>
          <w:color w:val="auto"/>
        </w:rPr>
        <w:t>- Includes loans to oil and natural gas customers for use in financing working capital needs, exploration and production activities, and acquisitions. The loans are repaid</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from the conversion of crude oil 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2" w:name="page23"/>
    <w:bookmarkEnd w:id="22"/>
    <w:p>
      <w:pPr>
        <w:spacing w:after="0"/>
        <w:tabs>
          <w:tab w:leader="none" w:pos="404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1000" w:right="120" w:hanging="506"/>
        <w:spacing w:after="0" w:line="270" w:lineRule="auto"/>
        <w:tabs>
          <w:tab w:leader="none" w:pos="99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Commercial Real Estate </w:t>
      </w:r>
      <w:r>
        <w:rPr>
          <w:rFonts w:ascii="Arial" w:cs="Arial" w:eastAsia="Arial" w:hAnsi="Arial"/>
          <w:sz w:val="14"/>
          <w:szCs w:val="14"/>
          <w:color w:val="auto"/>
        </w:rPr>
        <w:t>- Loans typically involve larger principal amounts, and repayment of these loans is generally dependent on the successful operations of the property</w:t>
      </w:r>
      <w:r>
        <w:rPr>
          <w:rFonts w:ascii="Arial" w:cs="Arial" w:eastAsia="Arial" w:hAnsi="Arial"/>
          <w:sz w:val="14"/>
          <w:szCs w:val="14"/>
          <w:b w:val="1"/>
          <w:bCs w:val="1"/>
          <w:color w:val="auto"/>
        </w:rPr>
        <w:t xml:space="preserve"> </w:t>
      </w:r>
      <w:r>
        <w:rPr>
          <w:rFonts w:ascii="Arial" w:cs="Arial" w:eastAsia="Arial" w:hAnsi="Arial"/>
          <w:sz w:val="14"/>
          <w:szCs w:val="14"/>
          <w:color w:val="auto"/>
        </w:rPr>
        <w:t>securing the loan or the business conducted on the 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50" w:lineRule="exact"/>
        <w:rPr>
          <w:rFonts w:ascii="Arial" w:cs="Arial" w:eastAsia="Arial" w:hAnsi="Arial"/>
          <w:sz w:val="14"/>
          <w:szCs w:val="14"/>
          <w:color w:val="auto"/>
        </w:rPr>
      </w:pPr>
    </w:p>
    <w:p>
      <w:pPr>
        <w:ind w:left="1000" w:right="20" w:hanging="506"/>
        <w:spacing w:after="0" w:line="261" w:lineRule="auto"/>
        <w:tabs>
          <w:tab w:leader="none" w:pos="99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Construction and Land Development </w:t>
      </w:r>
      <w:r>
        <w:rPr>
          <w:rFonts w:ascii="Arial" w:cs="Arial" w:eastAsia="Arial" w:hAnsi="Arial"/>
          <w:sz w:val="14"/>
          <w:szCs w:val="14"/>
          <w:color w:val="auto"/>
        </w:rPr>
        <w:t>- Loans are usually based upon estimates of costs and estimated value of the completed project and include independent appraisal reviews</w:t>
      </w:r>
      <w:r>
        <w:rPr>
          <w:rFonts w:ascii="Arial" w:cs="Arial" w:eastAsia="Arial" w:hAnsi="Arial"/>
          <w:sz w:val="14"/>
          <w:szCs w:val="14"/>
          <w:b w:val="1"/>
          <w:bCs w:val="1"/>
          <w:color w:val="auto"/>
        </w:rPr>
        <w:t xml:space="preserve"> </w:t>
      </w:r>
      <w:r>
        <w:rPr>
          <w:rFonts w:ascii="Arial" w:cs="Arial" w:eastAsia="Arial" w:hAnsi="Arial"/>
          <w:sz w:val="14"/>
          <w:szCs w:val="14"/>
          <w:color w:val="auto"/>
        </w:rPr>
        <w:t>and a financial analysis of the developers and property owners. Sources of repayment include permanent loans, sales of 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58" w:lineRule="exact"/>
        <w:rPr>
          <w:rFonts w:ascii="Arial" w:cs="Arial" w:eastAsia="Arial" w:hAnsi="Arial"/>
          <w:sz w:val="14"/>
          <w:szCs w:val="14"/>
          <w:color w:val="auto"/>
        </w:rPr>
      </w:pPr>
    </w:p>
    <w:p>
      <w:pPr>
        <w:ind w:left="1000" w:right="120" w:hanging="506"/>
        <w:spacing w:after="0" w:line="270" w:lineRule="auto"/>
        <w:tabs>
          <w:tab w:leader="none" w:pos="99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Residential Real Estate </w:t>
      </w:r>
      <w:r>
        <w:rPr>
          <w:rFonts w:ascii="Arial" w:cs="Arial" w:eastAsia="Arial" w:hAnsi="Arial"/>
          <w:sz w:val="14"/>
          <w:szCs w:val="14"/>
          <w:color w:val="auto"/>
        </w:rPr>
        <w:t>- The loans are generally secured by owner-occupied 1-4 family residences or multifamily properties. Repayment of these loans is primarily dependent on</w:t>
      </w:r>
      <w:r>
        <w:rPr>
          <w:rFonts w:ascii="Arial" w:cs="Arial" w:eastAsia="Arial" w:hAnsi="Arial"/>
          <w:sz w:val="14"/>
          <w:szCs w:val="14"/>
          <w:b w:val="1"/>
          <w:bCs w:val="1"/>
          <w:color w:val="auto"/>
        </w:rPr>
        <w:t xml:space="preserve"> </w:t>
      </w:r>
      <w:r>
        <w:rPr>
          <w:rFonts w:ascii="Arial" w:cs="Arial" w:eastAsia="Arial" w:hAnsi="Arial"/>
          <w:sz w:val="14"/>
          <w:szCs w:val="14"/>
          <w:color w:val="auto"/>
        </w:rPr>
        <w:t>the personal income and credit rating of the borrowers or underlying tenants. Credit risk in these loans can be impacted by economic conditions within or outside the borrower’s market areas that might impact either property values, a borrower’s personal income, or residents’ income.</w:t>
      </w:r>
    </w:p>
    <w:p>
      <w:pPr>
        <w:spacing w:after="0" w:line="50" w:lineRule="exact"/>
        <w:rPr>
          <w:rFonts w:ascii="Arial" w:cs="Arial" w:eastAsia="Arial" w:hAnsi="Arial"/>
          <w:sz w:val="14"/>
          <w:szCs w:val="14"/>
          <w:color w:val="auto"/>
        </w:rPr>
      </w:pPr>
    </w:p>
    <w:p>
      <w:pPr>
        <w:ind w:left="1000" w:hanging="506"/>
        <w:spacing w:after="0" w:line="270" w:lineRule="auto"/>
        <w:tabs>
          <w:tab w:leader="none" w:pos="99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Consumer </w:t>
      </w:r>
      <w:r>
        <w:rPr>
          <w:rFonts w:ascii="Arial" w:cs="Arial" w:eastAsia="Arial" w:hAnsi="Arial"/>
          <w:sz w:val="14"/>
          <w:szCs w:val="14"/>
          <w:color w:val="auto"/>
        </w:rPr>
        <w:t>- The loan portfolio consists of revolving lines of credit and various term loans such as automobile loans and loans for other personal purposes. Repayment is primarily</w:t>
      </w:r>
      <w:r>
        <w:rPr>
          <w:rFonts w:ascii="Arial" w:cs="Arial" w:eastAsia="Arial" w:hAnsi="Arial"/>
          <w:sz w:val="14"/>
          <w:szCs w:val="14"/>
          <w:b w:val="1"/>
          <w:bCs w:val="1"/>
          <w:color w:val="auto"/>
        </w:rPr>
        <w:t xml:space="preserve"> </w:t>
      </w:r>
      <w:r>
        <w:rPr>
          <w:rFonts w:ascii="Arial" w:cs="Arial" w:eastAsia="Arial" w:hAnsi="Arial"/>
          <w:sz w:val="14"/>
          <w:szCs w:val="14"/>
          <w:color w:val="auto"/>
        </w:rPr>
        <w:t>dependent on the personal income and credit rating of the borrowers. Credit risk is driven by consumer economic factors (such as unemployment and general economic conditions in the borrower’s market area) and the creditworthiness of a borrower.</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tables present the credit risk profile of the Company’s loan portfolio based on an internal rating category (grades 1 - 8), portfolio segment and payment activity:</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 &amp; Watch</w:t>
            </w:r>
          </w:p>
        </w:tc>
        <w:tc>
          <w:tcPr>
            <w:tcW w:w="12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Special Mention</w:t>
            </w: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Substandard</w:t>
            </w:r>
          </w:p>
        </w:tc>
        <w:tc>
          <w:tcPr>
            <w:tcW w:w="24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w:t>
            </w:r>
          </w:p>
        </w:tc>
        <w:tc>
          <w:tcPr>
            <w:tcW w:w="300" w:type="dxa"/>
            <w:vAlign w:val="bottom"/>
          </w:tcPr>
          <w:p>
            <w:pPr>
              <w:spacing w:after="0"/>
              <w:rPr>
                <w:sz w:val="16"/>
                <w:szCs w:val="16"/>
                <w:color w:val="auto"/>
              </w:rPr>
            </w:pPr>
          </w:p>
        </w:tc>
        <w:tc>
          <w:tcPr>
            <w:tcW w:w="106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22"/>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7"/>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640"/>
              <w:spacing w:after="0"/>
              <w:rPr>
                <w:sz w:val="20"/>
                <w:szCs w:val="20"/>
                <w:color w:val="auto"/>
              </w:rPr>
            </w:pPr>
            <w:r>
              <w:rPr>
                <w:rFonts w:ascii="Arial" w:cs="Arial" w:eastAsia="Arial" w:hAnsi="Arial"/>
                <w:sz w:val="13"/>
                <w:szCs w:val="13"/>
                <w:i w:val="1"/>
                <w:iCs w:val="1"/>
                <w:color w:val="auto"/>
              </w:rPr>
              <w:t>(Dollars in thousands)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2"/>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1"/>
        </w:trPr>
        <w:tc>
          <w:tcPr>
            <w:tcW w:w="2660" w:type="dxa"/>
            <w:vAlign w:val="bottom"/>
          </w:tcPr>
          <w:p>
            <w:pPr>
              <w:spacing w:after="0"/>
              <w:rPr>
                <w:sz w:val="20"/>
                <w:szCs w:val="20"/>
                <w:color w:val="auto"/>
              </w:rPr>
            </w:pPr>
            <w:r>
              <w:rPr>
                <w:rFonts w:ascii="Arial" w:cs="Arial" w:eastAsia="Arial" w:hAnsi="Arial"/>
                <w:sz w:val="14"/>
                <w:szCs w:val="14"/>
                <w:color w:val="auto"/>
              </w:rPr>
              <w:t>Commercial</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1,234,385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49,459</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71,879</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1,355,723</w:t>
            </w:r>
          </w:p>
        </w:tc>
      </w:tr>
      <w:tr>
        <w:trPr>
          <w:trHeight w:val="22"/>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370,614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12,628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12,294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3,261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398,797</w:t>
            </w:r>
          </w:p>
        </w:tc>
      </w:tr>
      <w:tr>
        <w:trPr>
          <w:trHeight w:val="191"/>
        </w:trPr>
        <w:tc>
          <w:tcPr>
            <w:tcW w:w="2660" w:type="dxa"/>
            <w:vAlign w:val="bottom"/>
          </w:tcPr>
          <w:p>
            <w:pPr>
              <w:spacing w:after="0"/>
              <w:rPr>
                <w:sz w:val="20"/>
                <w:szCs w:val="20"/>
                <w:color w:val="auto"/>
              </w:rPr>
            </w:pPr>
            <w:r>
              <w:rPr>
                <w:rFonts w:ascii="Arial" w:cs="Arial" w:eastAsia="Arial" w:hAnsi="Arial"/>
                <w:sz w:val="14"/>
                <w:szCs w:val="14"/>
                <w:color w:val="auto"/>
              </w:rPr>
              <w:t>Commercial real estate</w:t>
            </w:r>
          </w:p>
        </w:tc>
        <w:tc>
          <w:tcPr>
            <w:tcW w:w="16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1,058,543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14,985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10,329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1,084,684</w:t>
            </w:r>
          </w:p>
        </w:tc>
      </w:tr>
      <w:tr>
        <w:trPr>
          <w:trHeight w:val="22"/>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Construction and land development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625,145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625,145</w:t>
            </w:r>
          </w:p>
        </w:tc>
      </w:tr>
      <w:tr>
        <w:trPr>
          <w:trHeight w:val="191"/>
        </w:trPr>
        <w:tc>
          <w:tcPr>
            <w:tcW w:w="2660" w:type="dxa"/>
            <w:vAlign w:val="bottom"/>
          </w:tcPr>
          <w:p>
            <w:pPr>
              <w:spacing w:after="0"/>
              <w:rPr>
                <w:sz w:val="20"/>
                <w:szCs w:val="20"/>
                <w:color w:val="auto"/>
              </w:rPr>
            </w:pPr>
            <w:r>
              <w:rPr>
                <w:rFonts w:ascii="Arial" w:cs="Arial" w:eastAsia="Arial" w:hAnsi="Arial"/>
                <w:sz w:val="14"/>
                <w:szCs w:val="14"/>
                <w:color w:val="auto"/>
              </w:rPr>
              <w:t>Residential real estate</w:t>
            </w:r>
          </w:p>
        </w:tc>
        <w:tc>
          <w:tcPr>
            <w:tcW w:w="16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496,236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1,791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5,675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503,702</w:t>
            </w:r>
          </w:p>
        </w:tc>
      </w:tr>
      <w:tr>
        <w:trPr>
          <w:trHeight w:val="22"/>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42,864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43,118</w:t>
            </w:r>
          </w:p>
        </w:tc>
      </w:tr>
      <w:tr>
        <w:trPr>
          <w:trHeight w:val="181"/>
        </w:trPr>
        <w:tc>
          <w:tcPr>
            <w:tcW w:w="266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3,827,787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78,863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100,431</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4,088</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4,011,169</w:t>
            </w:r>
          </w:p>
        </w:tc>
      </w:tr>
      <w:tr>
        <w:trPr>
          <w:trHeight w:val="22"/>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 &amp; Watch</w:t>
            </w:r>
          </w:p>
        </w:tc>
        <w:tc>
          <w:tcPr>
            <w:tcW w:w="12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Special Mention</w:t>
            </w: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Substandard</w:t>
            </w:r>
          </w:p>
        </w:tc>
        <w:tc>
          <w:tcPr>
            <w:tcW w:w="24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w:t>
            </w:r>
          </w:p>
        </w:tc>
        <w:tc>
          <w:tcPr>
            <w:tcW w:w="300" w:type="dxa"/>
            <w:vAlign w:val="bottom"/>
          </w:tcPr>
          <w:p>
            <w:pPr>
              <w:spacing w:after="0"/>
              <w:rPr>
                <w:sz w:val="16"/>
                <w:szCs w:val="16"/>
                <w:color w:val="auto"/>
              </w:rPr>
            </w:pPr>
          </w:p>
        </w:tc>
        <w:tc>
          <w:tcPr>
            <w:tcW w:w="106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22"/>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7"/>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640"/>
              <w:spacing w:after="0"/>
              <w:rPr>
                <w:sz w:val="20"/>
                <w:szCs w:val="20"/>
                <w:color w:val="auto"/>
              </w:rPr>
            </w:pPr>
            <w:r>
              <w:rPr>
                <w:rFonts w:ascii="Arial" w:cs="Arial" w:eastAsia="Arial" w:hAnsi="Arial"/>
                <w:sz w:val="13"/>
                <w:szCs w:val="13"/>
                <w:i w:val="1"/>
                <w:iCs w:val="1"/>
                <w:color w:val="auto"/>
              </w:rPr>
              <w:t>(Dollars in thousands)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2"/>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1"/>
        </w:trPr>
        <w:tc>
          <w:tcPr>
            <w:tcW w:w="2660" w:type="dxa"/>
            <w:vAlign w:val="bottom"/>
          </w:tcPr>
          <w:p>
            <w:pPr>
              <w:spacing w:after="0"/>
              <w:rPr>
                <w:sz w:val="20"/>
                <w:szCs w:val="20"/>
                <w:color w:val="auto"/>
              </w:rPr>
            </w:pPr>
            <w:r>
              <w:rPr>
                <w:rFonts w:ascii="Arial" w:cs="Arial" w:eastAsia="Arial" w:hAnsi="Arial"/>
                <w:sz w:val="14"/>
                <w:szCs w:val="14"/>
                <w:color w:val="auto"/>
              </w:rPr>
              <w:t>Commercial</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1,258,952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27,069</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70,796</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1,356,817</w:t>
            </w:r>
          </w:p>
        </w:tc>
      </w:tr>
      <w:tr>
        <w:trPr>
          <w:trHeight w:val="22"/>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Energy</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392,233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9,460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2,340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4,540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408,573</w:t>
            </w:r>
          </w:p>
        </w:tc>
      </w:tr>
      <w:tr>
        <w:trPr>
          <w:trHeight w:val="191"/>
        </w:trPr>
        <w:tc>
          <w:tcPr>
            <w:tcW w:w="2660" w:type="dxa"/>
            <w:vAlign w:val="bottom"/>
          </w:tcPr>
          <w:p>
            <w:pPr>
              <w:spacing w:after="0"/>
              <w:rPr>
                <w:sz w:val="20"/>
                <w:szCs w:val="20"/>
                <w:color w:val="auto"/>
              </w:rPr>
            </w:pPr>
            <w:r>
              <w:rPr>
                <w:rFonts w:ascii="Arial" w:cs="Arial" w:eastAsia="Arial" w:hAnsi="Arial"/>
                <w:sz w:val="14"/>
                <w:szCs w:val="14"/>
                <w:color w:val="auto"/>
              </w:rPr>
              <w:t>Commercial real estate</w:t>
            </w:r>
          </w:p>
        </w:tc>
        <w:tc>
          <w:tcPr>
            <w:tcW w:w="16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1,007,921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9,311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5,866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1,024,041</w:t>
            </w:r>
          </w:p>
        </w:tc>
      </w:tr>
      <w:tr>
        <w:trPr>
          <w:trHeight w:val="22"/>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Construction and land development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628,418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628,418</w:t>
            </w:r>
          </w:p>
        </w:tc>
      </w:tr>
      <w:tr>
        <w:trPr>
          <w:trHeight w:val="191"/>
        </w:trPr>
        <w:tc>
          <w:tcPr>
            <w:tcW w:w="2660" w:type="dxa"/>
            <w:vAlign w:val="bottom"/>
          </w:tcPr>
          <w:p>
            <w:pPr>
              <w:spacing w:after="0"/>
              <w:rPr>
                <w:sz w:val="20"/>
                <w:szCs w:val="20"/>
                <w:color w:val="auto"/>
              </w:rPr>
            </w:pPr>
            <w:r>
              <w:rPr>
                <w:rFonts w:ascii="Arial" w:cs="Arial" w:eastAsia="Arial" w:hAnsi="Arial"/>
                <w:sz w:val="14"/>
                <w:szCs w:val="14"/>
                <w:color w:val="auto"/>
              </w:rPr>
              <w:t>Residential real estate</w:t>
            </w:r>
          </w:p>
        </w:tc>
        <w:tc>
          <w:tcPr>
            <w:tcW w:w="16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394,495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1,789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2,411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398,695</w:t>
            </w:r>
          </w:p>
        </w:tc>
      </w:tr>
      <w:tr>
        <w:trPr>
          <w:trHeight w:val="22"/>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45,163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45,163</w:t>
            </w:r>
          </w:p>
        </w:tc>
      </w:tr>
      <w:tr>
        <w:trPr>
          <w:trHeight w:val="181"/>
        </w:trPr>
        <w:tc>
          <w:tcPr>
            <w:tcW w:w="266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3,727,182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47,629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81,413</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5,483</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3,861,707</w:t>
            </w:r>
          </w:p>
        </w:tc>
      </w:tr>
      <w:tr>
        <w:trPr>
          <w:trHeight w:val="22"/>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20" w:right="220" w:firstLine="382"/>
        <w:spacing w:after="0" w:line="281" w:lineRule="auto"/>
        <w:rPr>
          <w:sz w:val="20"/>
          <w:szCs w:val="20"/>
          <w:color w:val="auto"/>
        </w:rPr>
      </w:pPr>
      <w:r>
        <w:rPr>
          <w:rFonts w:ascii="Arial" w:cs="Arial" w:eastAsia="Arial" w:hAnsi="Arial"/>
          <w:sz w:val="14"/>
          <w:szCs w:val="14"/>
          <w:color w:val="auto"/>
        </w:rPr>
        <w:t>The Company evaluates the loan risk grading system definitions, portfolio segment definitions and allowance for loan loss methodology on an ongoing basis. No significant changes were made during the past year.</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3" w:name="page24"/>
    <w:bookmarkEnd w:id="23"/>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Loan Portfolio Aging Analysis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present the Company’s loan portfolio aging analysis of the recorded investment in loans as of March 31, 2020 and December 31, 2019:</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30-59 Days Past</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60-89 Days Past</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Total Loans</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Loans &gt;= 90 Days</w:t>
            </w:r>
          </w:p>
        </w:tc>
      </w:t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Due</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Due</w:t>
            </w:r>
          </w:p>
        </w:tc>
        <w:tc>
          <w:tcPr>
            <w:tcW w:w="1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90 Days or More</w:t>
            </w:r>
          </w:p>
        </w:tc>
        <w:tc>
          <w:tcPr>
            <w:tcW w:w="14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Total Past Due</w:t>
            </w: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Receivable</w:t>
            </w:r>
          </w:p>
        </w:tc>
        <w:tc>
          <w:tcPr>
            <w:tcW w:w="140" w:type="dxa"/>
            <w:vAlign w:val="bottom"/>
          </w:tcPr>
          <w:p>
            <w:pPr>
              <w:spacing w:after="0"/>
              <w:rPr>
                <w:sz w:val="16"/>
                <w:szCs w:val="16"/>
                <w:color w:val="auto"/>
              </w:rPr>
            </w:pP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and Accruing</w:t>
            </w:r>
          </w:p>
        </w:tc>
      </w:tr>
      <w:tr>
        <w:trPr>
          <w:trHeight w:val="22"/>
        </w:trPr>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7"/>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3"/>
                <w:szCs w:val="13"/>
                <w:i w:val="1"/>
                <w:iCs w:val="1"/>
                <w:color w:val="auto"/>
                <w:w w:val="90"/>
              </w:rPr>
              <w:t>(Dollars 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1"/>
        </w:trPr>
        <w:tc>
          <w:tcPr>
            <w:tcW w:w="2140" w:type="dxa"/>
            <w:vAlign w:val="bottom"/>
          </w:tcPr>
          <w:p>
            <w:pPr>
              <w:spacing w:after="0"/>
              <w:rPr>
                <w:sz w:val="20"/>
                <w:szCs w:val="20"/>
                <w:color w:val="auto"/>
              </w:rPr>
            </w:pPr>
            <w:r>
              <w:rPr>
                <w:rFonts w:ascii="Arial" w:cs="Arial" w:eastAsia="Arial" w:hAnsi="Arial"/>
                <w:sz w:val="14"/>
                <w:szCs w:val="14"/>
                <w:color w:val="auto"/>
              </w:rPr>
              <w:t>Commercial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5,135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469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10,062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15,666</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1,340,057</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1,355,723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ind w:left="780"/>
              <w:spacing w:after="0"/>
              <w:rPr>
                <w:sz w:val="20"/>
                <w:szCs w:val="20"/>
                <w:color w:val="auto"/>
              </w:rPr>
            </w:pPr>
            <w:r>
              <w:rPr>
                <w:rFonts w:ascii="Arial" w:cs="Arial" w:eastAsia="Arial" w:hAnsi="Arial"/>
                <w:sz w:val="14"/>
                <w:szCs w:val="14"/>
                <w:color w:val="auto"/>
              </w:rPr>
              <w:t>—</w:t>
            </w:r>
          </w:p>
        </w:tc>
      </w:tr>
      <w:tr>
        <w:trPr>
          <w:trHeight w:val="22"/>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Energy</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5,612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3,314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8,926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389,871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398,797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w:t>
            </w:r>
          </w:p>
        </w:tc>
      </w:tr>
      <w:tr>
        <w:trPr>
          <w:trHeight w:val="191"/>
        </w:trPr>
        <w:tc>
          <w:tcPr>
            <w:tcW w:w="2140" w:type="dxa"/>
            <w:vAlign w:val="bottom"/>
          </w:tcPr>
          <w:p>
            <w:pPr>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4,092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4,586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8,678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1,076,006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1,084,684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780"/>
              <w:spacing w:after="0"/>
              <w:rPr>
                <w:sz w:val="20"/>
                <w:szCs w:val="20"/>
                <w:color w:val="auto"/>
              </w:rPr>
            </w:pPr>
            <w:r>
              <w:rPr>
                <w:rFonts w:ascii="Arial" w:cs="Arial" w:eastAsia="Arial" w:hAnsi="Arial"/>
                <w:sz w:val="14"/>
                <w:szCs w:val="14"/>
                <w:color w:val="auto"/>
              </w:rPr>
              <w:t>—</w:t>
            </w:r>
          </w:p>
        </w:tc>
      </w:tr>
      <w:tr>
        <w:trPr>
          <w:trHeight w:val="22"/>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w w:val="96"/>
              </w:rPr>
              <w:t>Construction and land development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625,145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625,145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r>
      <w:tr>
        <w:trPr>
          <w:trHeight w:val="191"/>
        </w:trPr>
        <w:tc>
          <w:tcPr>
            <w:tcW w:w="2140" w:type="dxa"/>
            <w:vAlign w:val="bottom"/>
          </w:tcPr>
          <w:p>
            <w:pPr>
              <w:spacing w:after="0"/>
              <w:rPr>
                <w:sz w:val="20"/>
                <w:szCs w:val="20"/>
                <w:color w:val="auto"/>
              </w:rPr>
            </w:pPr>
            <w:r>
              <w:rPr>
                <w:rFonts w:ascii="Arial" w:cs="Arial" w:eastAsia="Arial" w:hAnsi="Arial"/>
                <w:sz w:val="14"/>
                <w:szCs w:val="14"/>
                <w:color w:val="auto"/>
              </w:rPr>
              <w:t>Residential real estate</w:t>
            </w:r>
          </w:p>
        </w:tc>
        <w:tc>
          <w:tcPr>
            <w:tcW w:w="1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3,707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1,920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5,896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497,806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503,702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780"/>
              <w:spacing w:after="0"/>
              <w:rPr>
                <w:sz w:val="20"/>
                <w:szCs w:val="20"/>
                <w:color w:val="auto"/>
              </w:rPr>
            </w:pPr>
            <w:r>
              <w:rPr>
                <w:rFonts w:ascii="Arial" w:cs="Arial" w:eastAsia="Arial" w:hAnsi="Arial"/>
                <w:sz w:val="14"/>
                <w:szCs w:val="14"/>
                <w:color w:val="auto"/>
              </w:rPr>
              <w:t>—</w:t>
            </w:r>
          </w:p>
        </w:tc>
      </w:tr>
      <w:tr>
        <w:trPr>
          <w:trHeight w:val="22"/>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42,864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43,118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w:t>
            </w:r>
          </w:p>
        </w:tc>
      </w:tr>
      <w:tr>
        <w:trPr>
          <w:trHeight w:val="181"/>
        </w:trPr>
        <w:tc>
          <w:tcPr>
            <w:tcW w:w="2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12,934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6,604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19,882</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39,420</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3,971,749</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4,011,169</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4"/>
                <w:szCs w:val="14"/>
                <w:color w:val="auto"/>
              </w:rPr>
              <w:t>—</w:t>
            </w:r>
          </w:p>
        </w:tc>
      </w:tr>
      <w:tr>
        <w:trPr>
          <w:trHeight w:val="22"/>
        </w:trPr>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30-59 Days Past</w:t>
            </w: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60-89 Days Past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Total Loans</w:t>
            </w:r>
          </w:p>
        </w:tc>
        <w:tc>
          <w:tcPr>
            <w:tcW w:w="124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6"/>
              </w:rPr>
              <w:t>Loans &gt;= 90 Days</w:t>
            </w:r>
          </w:p>
        </w:tc>
      </w:t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Due</w:t>
            </w:r>
          </w:p>
        </w:tc>
        <w:tc>
          <w:tcPr>
            <w:tcW w:w="8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90 Days or More</w:t>
            </w: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Receivable</w:t>
            </w:r>
          </w:p>
        </w:tc>
        <w:tc>
          <w:tcPr>
            <w:tcW w:w="160" w:type="dxa"/>
            <w:vAlign w:val="bottom"/>
          </w:tcPr>
          <w:p>
            <w:pPr>
              <w:spacing w:after="0"/>
              <w:rPr>
                <w:sz w:val="16"/>
                <w:szCs w:val="16"/>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w w:val="96"/>
              </w:rPr>
              <w:t>and Accruing</w:t>
            </w:r>
          </w:p>
        </w:tc>
      </w:tr>
      <w:tr>
        <w:trPr>
          <w:trHeight w:val="22"/>
        </w:trPr>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7"/>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3"/>
                <w:szCs w:val="13"/>
                <w:i w:val="1"/>
                <w:iCs w:val="1"/>
                <w:color w:val="auto"/>
                <w:w w:val="96"/>
              </w:rPr>
              <w:t>(Dollars 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1"/>
        </w:trPr>
        <w:tc>
          <w:tcPr>
            <w:tcW w:w="2140" w:type="dxa"/>
            <w:vAlign w:val="bottom"/>
          </w:tcPr>
          <w:p>
            <w:pPr>
              <w:spacing w:after="0"/>
              <w:rPr>
                <w:sz w:val="20"/>
                <w:szCs w:val="20"/>
                <w:color w:val="auto"/>
              </w:rPr>
            </w:pPr>
            <w:r>
              <w:rPr>
                <w:rFonts w:ascii="Arial" w:cs="Arial" w:eastAsia="Arial" w:hAnsi="Arial"/>
                <w:sz w:val="14"/>
                <w:szCs w:val="14"/>
                <w:color w:val="auto"/>
              </w:rPr>
              <w:t>Commercial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1,091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30,911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32,278</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1,324,539</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1,356,817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37</w:t>
            </w:r>
          </w:p>
        </w:tc>
      </w:tr>
      <w:tr>
        <w:trPr>
          <w:trHeight w:val="22"/>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Energy</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2,340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4,593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6,933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401,640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408,573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53</w:t>
            </w:r>
          </w:p>
        </w:tc>
      </w:tr>
      <w:tr>
        <w:trPr>
          <w:trHeight w:val="191"/>
        </w:trPr>
        <w:tc>
          <w:tcPr>
            <w:tcW w:w="2140" w:type="dxa"/>
            <w:vAlign w:val="bottom"/>
          </w:tcPr>
          <w:p>
            <w:pPr>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4,589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4,905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1,019,136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1,024,041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4,501</w:t>
            </w:r>
          </w:p>
        </w:tc>
      </w:tr>
      <w:tr>
        <w:trPr>
          <w:trHeight w:val="22"/>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w w:val="96"/>
              </w:rPr>
              <w:t>Construction and land development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628,222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628,418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r>
      <w:tr>
        <w:trPr>
          <w:trHeight w:val="191"/>
        </w:trPr>
        <w:tc>
          <w:tcPr>
            <w:tcW w:w="2140" w:type="dxa"/>
            <w:vAlign w:val="bottom"/>
          </w:tcPr>
          <w:p>
            <w:pPr>
              <w:spacing w:after="0"/>
              <w:rPr>
                <w:sz w:val="20"/>
                <w:szCs w:val="20"/>
                <w:color w:val="auto"/>
              </w:rPr>
            </w:pPr>
            <w:r>
              <w:rPr>
                <w:rFonts w:ascii="Arial" w:cs="Arial" w:eastAsia="Arial" w:hAnsi="Arial"/>
                <w:sz w:val="14"/>
                <w:szCs w:val="14"/>
                <w:color w:val="auto"/>
              </w:rPr>
              <w:t>Residential real estate</w:t>
            </w:r>
          </w:p>
        </w:tc>
        <w:tc>
          <w:tcPr>
            <w:tcW w:w="10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2,347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1,919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4,266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394,429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398,695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22"/>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44,907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45,163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r>
      <w:tr>
        <w:trPr>
          <w:trHeight w:val="181"/>
        </w:trPr>
        <w:tc>
          <w:tcPr>
            <w:tcW w:w="2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6,292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42,012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48,834</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3,812,873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3,861,707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4,591</w:t>
            </w:r>
          </w:p>
        </w:tc>
      </w:tr>
      <w:tr>
        <w:trPr>
          <w:trHeight w:val="22"/>
        </w:trPr>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Impaired Loans</w:t>
      </w:r>
    </w:p>
    <w:p>
      <w:pPr>
        <w:spacing w:after="0" w:line="126" w:lineRule="exact"/>
        <w:rPr>
          <w:sz w:val="20"/>
          <w:szCs w:val="20"/>
          <w:color w:val="auto"/>
        </w:rPr>
      </w:pPr>
    </w:p>
    <w:p>
      <w:pPr>
        <w:jc w:val="both"/>
        <w:ind w:left="140" w:firstLine="382"/>
        <w:spacing w:after="0" w:line="297" w:lineRule="auto"/>
        <w:rPr>
          <w:sz w:val="20"/>
          <w:szCs w:val="20"/>
          <w:color w:val="auto"/>
        </w:rPr>
      </w:pPr>
      <w:r>
        <w:rPr>
          <w:rFonts w:ascii="Arial" w:cs="Arial" w:eastAsia="Arial" w:hAnsi="Arial"/>
          <w:sz w:val="13"/>
          <w:szCs w:val="13"/>
          <w:color w:val="auto"/>
        </w:rPr>
        <w:t>A loan is considered impaired, in accordance with the impairment accounting guidance (ASC 310-10-35-16), when based on current information and events, it is probable the Company will be unable to collect all amounts due from the borrower in accordance with the contractual terms of the loan. Impaired loans include nonperforming loans but also include loans modified in troubled debt restructurings where concessions have been granted to borrowers experiencing financial difficulties. The intent of concessions is to maximize collection.</w:t>
      </w:r>
    </w:p>
    <w:p>
      <w:pPr>
        <w:spacing w:after="0" w:line="82" w:lineRule="exact"/>
        <w:rPr>
          <w:sz w:val="20"/>
          <w:szCs w:val="20"/>
          <w:color w:val="auto"/>
        </w:rPr>
      </w:pPr>
    </w:p>
    <w:p>
      <w:pPr>
        <w:ind w:left="140" w:right="40" w:firstLine="382"/>
        <w:spacing w:after="0" w:line="281" w:lineRule="auto"/>
        <w:rPr>
          <w:sz w:val="20"/>
          <w:szCs w:val="20"/>
          <w:color w:val="auto"/>
        </w:rPr>
      </w:pPr>
      <w:r>
        <w:rPr>
          <w:rFonts w:ascii="Arial" w:cs="Arial" w:eastAsia="Arial" w:hAnsi="Arial"/>
          <w:sz w:val="14"/>
          <w:szCs w:val="14"/>
          <w:color w:val="auto"/>
        </w:rPr>
        <w:t>Groups of loans with similar risk characteristics are collectively evaluated for impairment based on the group’s historical loss experience adjusted for changes in trends, conditions and other relevant factors that affect repayment of the loans.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71" w:right="359" w:bottom="1440" w:gutter="0" w:footer="0" w:header="0"/>
        </w:sectPr>
      </w:pPr>
    </w:p>
    <w:bookmarkStart w:id="24" w:name="page25"/>
    <w:bookmarkEnd w:id="24"/>
    <w:p>
      <w:pPr>
        <w:spacing w:after="0"/>
        <w:tabs>
          <w:tab w:leader="none" w:pos="404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tables present impaired loans for the periods ended March 31, 2020 and December 31, 2019:</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Unpaid</w:t>
            </w: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12"/>
        </w:trPr>
        <w:tc>
          <w:tcPr>
            <w:tcW w:w="4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ind w:left="220"/>
              <w:spacing w:after="0"/>
              <w:rPr>
                <w:sz w:val="20"/>
                <w:szCs w:val="20"/>
                <w:color w:val="auto"/>
              </w:rPr>
            </w:pPr>
            <w:r>
              <w:rPr>
                <w:rFonts w:ascii="Arial" w:cs="Arial" w:eastAsia="Arial" w:hAnsi="Arial"/>
                <w:sz w:val="14"/>
                <w:szCs w:val="14"/>
                <w:b w:val="1"/>
                <w:bCs w:val="1"/>
                <w:color w:val="auto"/>
              </w:rPr>
              <w:t>Recorded Balance</w:t>
            </w:r>
          </w:p>
        </w:tc>
        <w:tc>
          <w:tcPr>
            <w:tcW w:w="30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Principal Balance</w:t>
            </w:r>
          </w:p>
        </w:tc>
        <w:tc>
          <w:tcPr>
            <w:tcW w:w="320" w:type="dxa"/>
            <w:vAlign w:val="bottom"/>
          </w:tcPr>
          <w:p>
            <w:pPr>
              <w:spacing w:after="0"/>
              <w:rPr>
                <w:sz w:val="18"/>
                <w:szCs w:val="18"/>
                <w:color w:val="auto"/>
              </w:rPr>
            </w:pPr>
          </w:p>
        </w:tc>
        <w:tc>
          <w:tcPr>
            <w:tcW w:w="1860" w:type="dxa"/>
            <w:vAlign w:val="bottom"/>
          </w:tcPr>
          <w:p>
            <w:pPr>
              <w:jc w:val="right"/>
              <w:ind w:right="449"/>
              <w:spacing w:after="0"/>
              <w:rPr>
                <w:sz w:val="20"/>
                <w:szCs w:val="20"/>
                <w:color w:val="auto"/>
              </w:rPr>
            </w:pPr>
            <w:r>
              <w:rPr>
                <w:rFonts w:ascii="Arial" w:cs="Arial" w:eastAsia="Arial" w:hAnsi="Arial"/>
                <w:sz w:val="14"/>
                <w:szCs w:val="14"/>
                <w:b w:val="1"/>
                <w:bCs w:val="1"/>
                <w:color w:val="auto"/>
              </w:rPr>
              <w:t>Specific Allowance</w:t>
            </w:r>
          </w:p>
        </w:tc>
      </w:tr>
      <w:tr>
        <w:trPr>
          <w:trHeight w:val="22"/>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67"/>
        </w:trPr>
        <w:tc>
          <w:tcPr>
            <w:tcW w:w="4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3"/>
                <w:szCs w:val="13"/>
                <w:i w:val="1"/>
                <w:iCs w:val="1"/>
                <w:color w:val="auto"/>
                <w:w w:val="91"/>
              </w:rPr>
              <w:t>(Dollars in thousands)</w:t>
            </w: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6"/>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92"/>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r>
      <w:tr>
        <w:trPr>
          <w:trHeight w:val="191"/>
        </w:trPr>
        <w:tc>
          <w:tcPr>
            <w:tcW w:w="4460" w:type="dxa"/>
            <w:vAlign w:val="bottom"/>
          </w:tcPr>
          <w:p>
            <w:pPr>
              <w:spacing w:after="0"/>
              <w:rPr>
                <w:sz w:val="20"/>
                <w:szCs w:val="20"/>
                <w:color w:val="auto"/>
              </w:rPr>
            </w:pPr>
            <w:r>
              <w:rPr>
                <w:rFonts w:ascii="Arial" w:cs="Arial" w:eastAsia="Arial" w:hAnsi="Arial"/>
                <w:sz w:val="14"/>
                <w:szCs w:val="14"/>
                <w:b w:val="1"/>
                <w:bCs w:val="1"/>
                <w:color w:val="auto"/>
              </w:rPr>
              <w:t>Loans without a specific valuation</w:t>
            </w: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60,048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60,077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4460" w:type="dxa"/>
            <w:vAlign w:val="bottom"/>
          </w:tcPr>
          <w:p>
            <w:pPr>
              <w:ind w:left="160"/>
              <w:spacing w:after="0"/>
              <w:rPr>
                <w:sz w:val="20"/>
                <w:szCs w:val="20"/>
                <w:color w:val="auto"/>
              </w:rPr>
            </w:pPr>
            <w:r>
              <w:rPr>
                <w:rFonts w:ascii="Arial" w:cs="Arial" w:eastAsia="Arial" w:hAnsi="Arial"/>
                <w:sz w:val="14"/>
                <w:szCs w:val="14"/>
                <w:color w:val="auto"/>
              </w:rPr>
              <w:t>Energy</w:t>
            </w: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3,462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70"/>
              <w:spacing w:after="0"/>
              <w:rPr>
                <w:sz w:val="20"/>
                <w:szCs w:val="20"/>
                <w:color w:val="auto"/>
              </w:rPr>
            </w:pPr>
            <w:r>
              <w:rPr>
                <w:rFonts w:ascii="Arial" w:cs="Arial" w:eastAsia="Arial" w:hAnsi="Arial"/>
                <w:sz w:val="14"/>
                <w:szCs w:val="14"/>
                <w:color w:val="auto"/>
              </w:rPr>
              <w:t>7,741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 real estate</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8,492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8,622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4460" w:type="dxa"/>
            <w:vAlign w:val="bottom"/>
          </w:tcPr>
          <w:p>
            <w:pPr>
              <w:ind w:left="160"/>
              <w:spacing w:after="0"/>
              <w:rPr>
                <w:sz w:val="20"/>
                <w:szCs w:val="20"/>
                <w:color w:val="auto"/>
              </w:rPr>
            </w:pPr>
            <w:r>
              <w:rPr>
                <w:rFonts w:ascii="Arial" w:cs="Arial" w:eastAsia="Arial" w:hAnsi="Arial"/>
                <w:sz w:val="14"/>
                <w:szCs w:val="14"/>
                <w:color w:val="auto"/>
              </w:rPr>
              <w:t>Construction and land development</w:t>
            </w:r>
          </w:p>
        </w:tc>
        <w:tc>
          <w:tcPr>
            <w:tcW w:w="320" w:type="dxa"/>
            <w:vAlign w:val="bottom"/>
          </w:tcPr>
          <w:p>
            <w:pPr>
              <w:spacing w:after="0"/>
              <w:rPr>
                <w:sz w:val="16"/>
                <w:szCs w:val="16"/>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Residential real estate</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5,409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5,430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4460" w:type="dxa"/>
            <w:vAlign w:val="bottom"/>
          </w:tcPr>
          <w:p>
            <w:pPr>
              <w:ind w:left="160"/>
              <w:spacing w:after="0"/>
              <w:rPr>
                <w:sz w:val="20"/>
                <w:szCs w:val="20"/>
                <w:color w:val="auto"/>
              </w:rPr>
            </w:pPr>
            <w:r>
              <w:rPr>
                <w:rFonts w:ascii="Arial" w:cs="Arial" w:eastAsia="Arial" w:hAnsi="Arial"/>
                <w:sz w:val="14"/>
                <w:szCs w:val="14"/>
                <w:color w:val="auto"/>
              </w:rPr>
              <w:t>Consumer</w:t>
            </w: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70"/>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Loans with a specific valuation</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r>
      <w:tr>
        <w:trPr>
          <w:trHeight w:val="191"/>
        </w:trPr>
        <w:tc>
          <w:tcPr>
            <w:tcW w:w="4460" w:type="dxa"/>
            <w:vAlign w:val="bottom"/>
          </w:tcPr>
          <w:p>
            <w:pPr>
              <w:ind w:left="160"/>
              <w:spacing w:after="0"/>
              <w:rPr>
                <w:sz w:val="20"/>
                <w:szCs w:val="20"/>
                <w:color w:val="auto"/>
              </w:rPr>
            </w:pPr>
            <w:r>
              <w:rPr>
                <w:rFonts w:ascii="Arial" w:cs="Arial" w:eastAsia="Arial" w:hAnsi="Arial"/>
                <w:sz w:val="14"/>
                <w:szCs w:val="14"/>
                <w:color w:val="auto"/>
              </w:rPr>
              <w:t>Commercial</w:t>
            </w: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11,935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70"/>
              <w:spacing w:after="0"/>
              <w:rPr>
                <w:sz w:val="20"/>
                <w:szCs w:val="20"/>
                <w:color w:val="auto"/>
              </w:rPr>
            </w:pPr>
            <w:r>
              <w:rPr>
                <w:rFonts w:ascii="Arial" w:cs="Arial" w:eastAsia="Arial" w:hAnsi="Arial"/>
                <w:sz w:val="14"/>
                <w:szCs w:val="14"/>
                <w:color w:val="auto"/>
              </w:rPr>
              <w:t>23,341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3,228</w:t>
            </w: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Energy</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12,241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12,241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1,224</w:t>
            </w:r>
          </w:p>
        </w:tc>
      </w:tr>
      <w:tr>
        <w:trPr>
          <w:trHeight w:val="191"/>
        </w:trPr>
        <w:tc>
          <w:tcPr>
            <w:tcW w:w="4460" w:type="dxa"/>
            <w:vAlign w:val="bottom"/>
          </w:tcPr>
          <w:p>
            <w:pPr>
              <w:ind w:left="160"/>
              <w:spacing w:after="0"/>
              <w:rPr>
                <w:sz w:val="20"/>
                <w:szCs w:val="20"/>
                <w:color w:val="auto"/>
              </w:rPr>
            </w:pPr>
            <w:r>
              <w:rPr>
                <w:rFonts w:ascii="Arial" w:cs="Arial" w:eastAsia="Arial" w:hAnsi="Arial"/>
                <w:sz w:val="14"/>
                <w:szCs w:val="14"/>
                <w:color w:val="auto"/>
              </w:rPr>
              <w:t>Commercial real estate</w:t>
            </w: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6,348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70"/>
              <w:spacing w:after="0"/>
              <w:rPr>
                <w:sz w:val="20"/>
                <w:szCs w:val="20"/>
                <w:color w:val="auto"/>
              </w:rPr>
            </w:pPr>
            <w:r>
              <w:rPr>
                <w:rFonts w:ascii="Arial" w:cs="Arial" w:eastAsia="Arial" w:hAnsi="Arial"/>
                <w:sz w:val="14"/>
                <w:szCs w:val="14"/>
                <w:color w:val="auto"/>
              </w:rPr>
              <w:t>6,474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1,449</w:t>
            </w: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Construction and land development</w:t>
            </w:r>
          </w:p>
        </w:tc>
        <w:tc>
          <w:tcPr>
            <w:tcW w:w="3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4460" w:type="dxa"/>
            <w:vAlign w:val="bottom"/>
          </w:tcPr>
          <w:p>
            <w:pPr>
              <w:ind w:left="160"/>
              <w:spacing w:after="0"/>
              <w:rPr>
                <w:sz w:val="20"/>
                <w:szCs w:val="20"/>
                <w:color w:val="auto"/>
              </w:rPr>
            </w:pPr>
            <w:r>
              <w:rPr>
                <w:rFonts w:ascii="Arial" w:cs="Arial" w:eastAsia="Arial" w:hAnsi="Arial"/>
                <w:sz w:val="14"/>
                <w:szCs w:val="14"/>
                <w:color w:val="auto"/>
              </w:rPr>
              <w:t>Residential real estate</w:t>
            </w: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70"/>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189</w:t>
            </w: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Consumer</w:t>
            </w:r>
          </w:p>
        </w:tc>
        <w:tc>
          <w:tcPr>
            <w:tcW w:w="3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446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71,983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83,418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3,228</w:t>
            </w:r>
          </w:p>
        </w:tc>
      </w:tr>
      <w:tr>
        <w:trPr>
          <w:trHeight w:val="191"/>
        </w:trPr>
        <w:tc>
          <w:tcPr>
            <w:tcW w:w="4460" w:type="dxa"/>
            <w:vAlign w:val="bottom"/>
          </w:tcPr>
          <w:p>
            <w:pPr>
              <w:ind w:left="160"/>
              <w:spacing w:after="0"/>
              <w:rPr>
                <w:sz w:val="20"/>
                <w:szCs w:val="20"/>
                <w:color w:val="auto"/>
              </w:rPr>
            </w:pPr>
            <w:r>
              <w:rPr>
                <w:rFonts w:ascii="Arial" w:cs="Arial" w:eastAsia="Arial" w:hAnsi="Arial"/>
                <w:sz w:val="14"/>
                <w:szCs w:val="14"/>
                <w:color w:val="auto"/>
              </w:rPr>
              <w:t>Energy</w:t>
            </w: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15,703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70"/>
              <w:spacing w:after="0"/>
              <w:rPr>
                <w:sz w:val="20"/>
                <w:szCs w:val="20"/>
                <w:color w:val="auto"/>
              </w:rPr>
            </w:pPr>
            <w:r>
              <w:rPr>
                <w:rFonts w:ascii="Arial" w:cs="Arial" w:eastAsia="Arial" w:hAnsi="Arial"/>
                <w:sz w:val="14"/>
                <w:szCs w:val="14"/>
                <w:color w:val="auto"/>
              </w:rPr>
              <w:t>19,982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1,224</w:t>
            </w: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 real estate</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14,840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15,096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1,449</w:t>
            </w:r>
          </w:p>
        </w:tc>
      </w:tr>
      <w:tr>
        <w:trPr>
          <w:trHeight w:val="191"/>
        </w:trPr>
        <w:tc>
          <w:tcPr>
            <w:tcW w:w="4460" w:type="dxa"/>
            <w:vAlign w:val="bottom"/>
          </w:tcPr>
          <w:p>
            <w:pPr>
              <w:ind w:left="160"/>
              <w:spacing w:after="0"/>
              <w:rPr>
                <w:sz w:val="20"/>
                <w:szCs w:val="20"/>
                <w:color w:val="auto"/>
              </w:rPr>
            </w:pPr>
            <w:r>
              <w:rPr>
                <w:rFonts w:ascii="Arial" w:cs="Arial" w:eastAsia="Arial" w:hAnsi="Arial"/>
                <w:sz w:val="14"/>
                <w:szCs w:val="14"/>
                <w:color w:val="auto"/>
              </w:rPr>
              <w:t>Construction and land development</w:t>
            </w:r>
          </w:p>
        </w:tc>
        <w:tc>
          <w:tcPr>
            <w:tcW w:w="320" w:type="dxa"/>
            <w:vAlign w:val="bottom"/>
          </w:tcPr>
          <w:p>
            <w:pPr>
              <w:spacing w:after="0"/>
              <w:rPr>
                <w:sz w:val="16"/>
                <w:szCs w:val="16"/>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Residential real estate</w:t>
            </w: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5,654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5,674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189</w:t>
            </w:r>
          </w:p>
        </w:tc>
      </w:tr>
      <w:tr>
        <w:trPr>
          <w:trHeight w:val="191"/>
        </w:trPr>
        <w:tc>
          <w:tcPr>
            <w:tcW w:w="4460" w:type="dxa"/>
            <w:vAlign w:val="bottom"/>
          </w:tcPr>
          <w:p>
            <w:pPr>
              <w:ind w:left="160"/>
              <w:spacing w:after="0"/>
              <w:rPr>
                <w:sz w:val="20"/>
                <w:szCs w:val="20"/>
                <w:color w:val="auto"/>
              </w:rPr>
            </w:pPr>
            <w:r>
              <w:rPr>
                <w:rFonts w:ascii="Arial" w:cs="Arial" w:eastAsia="Arial" w:hAnsi="Arial"/>
                <w:sz w:val="14"/>
                <w:szCs w:val="14"/>
                <w:color w:val="auto"/>
              </w:rPr>
              <w:t>Consumer</w:t>
            </w: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70"/>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8"/>
        </w:trPr>
        <w:tc>
          <w:tcPr>
            <w:tcW w:w="4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108,434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124,424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6,090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180"/>
        </w:trPr>
        <w:tc>
          <w:tcPr>
            <w:tcW w:w="3180" w:type="dxa"/>
            <w:vAlign w:val="bottom"/>
            <w:gridSpan w:val="2"/>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4120" w:type="dxa"/>
            <w:vAlign w:val="bottom"/>
            <w:gridSpan w:val="5"/>
          </w:tcPr>
          <w:p>
            <w:pPr>
              <w:jc w:val="right"/>
              <w:ind w:right="9"/>
              <w:spacing w:after="0"/>
              <w:rPr>
                <w:sz w:val="20"/>
                <w:szCs w:val="20"/>
                <w:color w:val="auto"/>
              </w:rPr>
            </w:pPr>
            <w:r>
              <w:rPr>
                <w:rFonts w:ascii="Arial" w:cs="Arial" w:eastAsia="Arial" w:hAnsi="Arial"/>
                <w:sz w:val="14"/>
                <w:szCs w:val="14"/>
                <w:color w:val="auto"/>
              </w:rPr>
              <w:t>Notes to Consolidated Financial Statements (unaudited)</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637"/>
        </w:trPr>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Unpaid</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2"/>
        </w:trPr>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b w:val="1"/>
                <w:bCs w:val="1"/>
                <w:color w:val="auto"/>
              </w:rPr>
              <w:t>Recorded Balance</w:t>
            </w:r>
          </w:p>
        </w:tc>
        <w:tc>
          <w:tcPr>
            <w:tcW w:w="44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Principal Balance</w:t>
            </w:r>
          </w:p>
        </w:tc>
        <w:tc>
          <w:tcPr>
            <w:tcW w:w="300" w:type="dxa"/>
            <w:vAlign w:val="bottom"/>
          </w:tcPr>
          <w:p>
            <w:pPr>
              <w:spacing w:after="0"/>
              <w:rPr>
                <w:sz w:val="18"/>
                <w:szCs w:val="18"/>
                <w:color w:val="auto"/>
              </w:rPr>
            </w:pPr>
          </w:p>
        </w:tc>
        <w:tc>
          <w:tcPr>
            <w:tcW w:w="1860" w:type="dxa"/>
            <w:vAlign w:val="bottom"/>
          </w:tcPr>
          <w:p>
            <w:pPr>
              <w:jc w:val="right"/>
              <w:ind w:right="449"/>
              <w:spacing w:after="0"/>
              <w:rPr>
                <w:sz w:val="20"/>
                <w:szCs w:val="20"/>
                <w:color w:val="auto"/>
              </w:rPr>
            </w:pPr>
            <w:r>
              <w:rPr>
                <w:rFonts w:ascii="Arial" w:cs="Arial" w:eastAsia="Arial" w:hAnsi="Arial"/>
                <w:sz w:val="14"/>
                <w:szCs w:val="14"/>
                <w:b w:val="1"/>
                <w:bCs w:val="1"/>
                <w:color w:val="auto"/>
              </w:rPr>
              <w:t>Specific Allowance</w:t>
            </w: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67"/>
        </w:trPr>
        <w:tc>
          <w:tcPr>
            <w:tcW w:w="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0"/>
              </w:rPr>
              <w:t>(Dollars in thousands)</w:t>
            </w: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6"/>
        </w:trPr>
        <w:tc>
          <w:tcPr>
            <w:tcW w:w="1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r>
      <w:tr>
        <w:trPr>
          <w:trHeight w:val="191"/>
        </w:trPr>
        <w:tc>
          <w:tcPr>
            <w:tcW w:w="1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Loans without a specific valuation</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35,846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35,846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1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Energy</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2,864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2,864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 real estate</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9,464</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9,464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1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Construction and land development</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Residential real estate</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2,139</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2,139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1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Consumer</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Loans with a specific valuation</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r>
      <w:tr>
        <w:trPr>
          <w:trHeight w:val="191"/>
        </w:trPr>
        <w:tc>
          <w:tcPr>
            <w:tcW w:w="1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Commercial</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35,030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40,030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19,942</w:t>
            </w: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Energy</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6,880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9,880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1,949</w:t>
            </w:r>
          </w:p>
        </w:tc>
      </w:tr>
      <w:tr>
        <w:trPr>
          <w:trHeight w:val="191"/>
        </w:trPr>
        <w:tc>
          <w:tcPr>
            <w:tcW w:w="1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Commercial real estate</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1,028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1,028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210</w:t>
            </w: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Construction and land development</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1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Residential real estate</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197</w:t>
            </w: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Consumer</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91"/>
        </w:trPr>
        <w:tc>
          <w:tcPr>
            <w:tcW w:w="1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70,876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75,876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19,942</w:t>
            </w:r>
          </w:p>
        </w:tc>
      </w:tr>
      <w:tr>
        <w:trPr>
          <w:trHeight w:val="191"/>
        </w:trPr>
        <w:tc>
          <w:tcPr>
            <w:tcW w:w="1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Energy</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9,744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color w:val="auto"/>
              </w:rPr>
              <w:t>12,744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1,949</w:t>
            </w: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 real estate</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10,492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10,492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210</w:t>
            </w:r>
          </w:p>
        </w:tc>
      </w:tr>
      <w:tr>
        <w:trPr>
          <w:trHeight w:val="191"/>
        </w:trPr>
        <w:tc>
          <w:tcPr>
            <w:tcW w:w="1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Construction and land development</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Residential real estate</w:t>
            </w:r>
          </w:p>
        </w:tc>
        <w:tc>
          <w:tcPr>
            <w:tcW w:w="1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2,388</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2,388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197</w:t>
            </w:r>
          </w:p>
        </w:tc>
      </w:tr>
      <w:tr>
        <w:trPr>
          <w:trHeight w:val="191"/>
        </w:trPr>
        <w:tc>
          <w:tcPr>
            <w:tcW w:w="1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Consumer</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120" w:type="dxa"/>
            <w:vAlign w:val="bottom"/>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8"/>
        </w:trPr>
        <w:tc>
          <w:tcPr>
            <w:tcW w:w="120" w:type="dxa"/>
            <w:vAlign w:val="bottom"/>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93,500</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101,500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22,298</w:t>
            </w:r>
          </w:p>
        </w:tc>
      </w:tr>
      <w:tr>
        <w:trPr>
          <w:trHeight w:val="20"/>
        </w:trPr>
        <w:tc>
          <w:tcPr>
            <w:tcW w:w="1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table below shows interest income recognized during the three month periods ended March 31, 2020 and March 31, 2019 for impaired loans held at the end of each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jc w:val="right"/>
              <w:ind w:right="76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3"/>
                <w:szCs w:val="13"/>
                <w:i w:val="1"/>
                <w:iCs w:val="1"/>
                <w:color w:val="auto"/>
                <w:w w:val="90"/>
              </w:rPr>
              <w:t>(Dollars in thousands)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w:t>
            </w:r>
          </w:p>
        </w:tc>
        <w:tc>
          <w:tcPr>
            <w:tcW w:w="4660" w:type="dxa"/>
            <w:vAlign w:val="bottom"/>
            <w:tcBorders>
              <w:bottom w:val="single" w:sz="8" w:color="CCEEFF"/>
            </w:tcBorders>
            <w:gridSpan w:val="2"/>
            <w:shd w:val="clear" w:color="auto" w:fill="CCEEFF"/>
          </w:tcPr>
          <w:p>
            <w:pPr>
              <w:jc w:val="right"/>
              <w:ind w:right="11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910</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Energy</w:t>
            </w:r>
          </w:p>
        </w:tc>
        <w:tc>
          <w:tcPr>
            <w:tcW w:w="3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3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123</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3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3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Consumer</w:t>
            </w:r>
          </w:p>
        </w:tc>
        <w:tc>
          <w:tcPr>
            <w:tcW w:w="3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interest income recognized</w:t>
            </w:r>
          </w:p>
        </w:tc>
        <w:tc>
          <w:tcPr>
            <w:tcW w:w="4660" w:type="dxa"/>
            <w:vAlign w:val="bottom"/>
            <w:gridSpan w:val="2"/>
            <w:shd w:val="clear" w:color="auto" w:fill="CCEEFF"/>
          </w:tcPr>
          <w:p>
            <w:pPr>
              <w:jc w:val="right"/>
              <w:ind w:right="11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1,195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1469"/>
              <w:spacing w:after="0"/>
              <w:rPr>
                <w:sz w:val="20"/>
                <w:szCs w:val="20"/>
                <w:color w:val="auto"/>
              </w:rPr>
            </w:pPr>
            <w:r>
              <w:rPr>
                <w:rFonts w:ascii="Arial" w:cs="Arial" w:eastAsia="Arial" w:hAnsi="Arial"/>
                <w:sz w:val="14"/>
                <w:szCs w:val="14"/>
                <w:color w:val="auto"/>
              </w:rPr>
              <w:t>26</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6" w:name="page27"/>
    <w:bookmarkEnd w:id="26"/>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shows the three month average balance of impaired loans as of March 31, 2020 and 2019 by loan category for impaired loans held at the end of each period:</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1260" w:type="dxa"/>
            <w:vAlign w:val="bottom"/>
          </w:tcPr>
          <w:p>
            <w:pPr>
              <w:spacing w:after="0"/>
              <w:rPr>
                <w:sz w:val="16"/>
                <w:szCs w:val="16"/>
                <w:color w:val="auto"/>
              </w:rPr>
            </w:pPr>
          </w:p>
        </w:tc>
      </w:tr>
      <w:tr>
        <w:trPr>
          <w:trHeight w:val="212"/>
        </w:trPr>
        <w:tc>
          <w:tcPr>
            <w:tcW w:w="7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tcPr>
          <w:p>
            <w:pPr>
              <w:spacing w:after="0"/>
              <w:rPr>
                <w:sz w:val="18"/>
                <w:szCs w:val="18"/>
                <w:color w:val="auto"/>
              </w:rPr>
            </w:pPr>
          </w:p>
        </w:tc>
      </w:tr>
      <w:tr>
        <w:trPr>
          <w:trHeight w:val="22"/>
        </w:trPr>
        <w:tc>
          <w:tcPr>
            <w:tcW w:w="7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7120" w:type="dxa"/>
            <w:vAlign w:val="bottom"/>
          </w:tcPr>
          <w:p>
            <w:pPr>
              <w:spacing w:after="0"/>
              <w:rPr>
                <w:sz w:val="15"/>
                <w:szCs w:val="15"/>
                <w:color w:val="auto"/>
              </w:rPr>
            </w:pPr>
          </w:p>
        </w:tc>
        <w:tc>
          <w:tcPr>
            <w:tcW w:w="1260" w:type="dxa"/>
            <w:vAlign w:val="bottom"/>
          </w:tcPr>
          <w:p>
            <w:pPr>
              <w:jc w:val="right"/>
              <w:ind w:right="49"/>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jc w:val="right"/>
              <w:ind w:right="769"/>
              <w:spacing w:after="0"/>
              <w:rPr>
                <w:sz w:val="20"/>
                <w:szCs w:val="20"/>
                <w:color w:val="auto"/>
              </w:rPr>
            </w:pPr>
            <w:r>
              <w:rPr>
                <w:rFonts w:ascii="Arial" w:cs="Arial" w:eastAsia="Arial" w:hAnsi="Arial"/>
                <w:sz w:val="14"/>
                <w:szCs w:val="14"/>
                <w:b w:val="1"/>
                <w:bCs w:val="1"/>
                <w:color w:val="auto"/>
              </w:rPr>
              <w:t>2019</w:t>
            </w:r>
          </w:p>
        </w:tc>
      </w:tr>
      <w:tr>
        <w:trPr>
          <w:trHeight w:val="22"/>
        </w:trPr>
        <w:tc>
          <w:tcPr>
            <w:tcW w:w="7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7"/>
        </w:trPr>
        <w:tc>
          <w:tcPr>
            <w:tcW w:w="7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3"/>
                <w:szCs w:val="13"/>
                <w:i w:val="1"/>
                <w:iCs w:val="1"/>
                <w:color w:val="auto"/>
                <w:w w:val="90"/>
              </w:rPr>
              <w:t>(Dollars in thousands)</w:t>
            </w:r>
          </w:p>
        </w:tc>
        <w:tc>
          <w:tcPr>
            <w:tcW w:w="1260" w:type="dxa"/>
            <w:vAlign w:val="bottom"/>
          </w:tcPr>
          <w:p>
            <w:pPr>
              <w:spacing w:after="0"/>
              <w:rPr>
                <w:sz w:val="14"/>
                <w:szCs w:val="14"/>
                <w:color w:val="auto"/>
              </w:rPr>
            </w:pPr>
          </w:p>
        </w:tc>
      </w:tr>
      <w:tr>
        <w:trPr>
          <w:trHeight w:val="26"/>
        </w:trPr>
        <w:tc>
          <w:tcPr>
            <w:tcW w:w="7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2"/>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86,626</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77,698</w:t>
            </w:r>
          </w:p>
        </w:tc>
      </w:tr>
      <w:tr>
        <w:trPr>
          <w:trHeight w:val="191"/>
        </w:trPr>
        <w:tc>
          <w:tcPr>
            <w:tcW w:w="7120" w:type="dxa"/>
            <w:vAlign w:val="bottom"/>
          </w:tcPr>
          <w:p>
            <w:pPr>
              <w:spacing w:after="0"/>
              <w:rPr>
                <w:sz w:val="20"/>
                <w:szCs w:val="20"/>
                <w:color w:val="auto"/>
              </w:rPr>
            </w:pPr>
            <w:r>
              <w:rPr>
                <w:rFonts w:ascii="Arial" w:cs="Arial" w:eastAsia="Arial" w:hAnsi="Arial"/>
                <w:sz w:val="14"/>
                <w:szCs w:val="14"/>
                <w:color w:val="auto"/>
              </w:rPr>
              <w:t>Energy</w:t>
            </w:r>
          </w:p>
        </w:tc>
        <w:tc>
          <w:tcPr>
            <w:tcW w:w="1260" w:type="dxa"/>
            <w:vAlign w:val="bottom"/>
          </w:tcPr>
          <w:p>
            <w:pPr>
              <w:spacing w:after="0"/>
              <w:rPr>
                <w:sz w:val="16"/>
                <w:szCs w:val="16"/>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16,976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15,986</w:t>
            </w:r>
          </w:p>
        </w:tc>
      </w:tr>
      <w:tr>
        <w:trPr>
          <w:trHeight w:val="22"/>
        </w:trPr>
        <w:tc>
          <w:tcPr>
            <w:tcW w:w="7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1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14,927</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14,073</w:t>
            </w:r>
          </w:p>
        </w:tc>
      </w:tr>
      <w:tr>
        <w:trPr>
          <w:trHeight w:val="191"/>
        </w:trPr>
        <w:tc>
          <w:tcPr>
            <w:tcW w:w="712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12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7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1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5,230</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2,157</w:t>
            </w:r>
          </w:p>
        </w:tc>
      </w:tr>
      <w:tr>
        <w:trPr>
          <w:trHeight w:val="191"/>
        </w:trPr>
        <w:tc>
          <w:tcPr>
            <w:tcW w:w="7120" w:type="dxa"/>
            <w:vAlign w:val="bottom"/>
          </w:tcPr>
          <w:p>
            <w:pPr>
              <w:spacing w:after="0"/>
              <w:rPr>
                <w:sz w:val="20"/>
                <w:szCs w:val="20"/>
                <w:color w:val="auto"/>
              </w:rPr>
            </w:pPr>
            <w:r>
              <w:rPr>
                <w:rFonts w:ascii="Arial" w:cs="Arial" w:eastAsia="Arial" w:hAnsi="Arial"/>
                <w:sz w:val="14"/>
                <w:szCs w:val="14"/>
                <w:color w:val="auto"/>
              </w:rPr>
              <w:t>Consumer</w:t>
            </w:r>
          </w:p>
        </w:tc>
        <w:tc>
          <w:tcPr>
            <w:tcW w:w="1260" w:type="dxa"/>
            <w:vAlign w:val="bottom"/>
          </w:tcPr>
          <w:p>
            <w:pPr>
              <w:spacing w:after="0"/>
              <w:rPr>
                <w:sz w:val="16"/>
                <w:szCs w:val="16"/>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8"/>
        </w:trPr>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average impaired loans</w:t>
            </w: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124,013</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109,914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Non-accrual Loans</w:t>
      </w:r>
    </w:p>
    <w:p>
      <w:pPr>
        <w:spacing w:after="0" w:line="126" w:lineRule="exact"/>
        <w:rPr>
          <w:sz w:val="20"/>
          <w:szCs w:val="20"/>
          <w:color w:val="auto"/>
        </w:rPr>
      </w:pPr>
    </w:p>
    <w:p>
      <w:pPr>
        <w:ind w:left="140" w:right="40" w:firstLine="382"/>
        <w:spacing w:after="0" w:line="267" w:lineRule="auto"/>
        <w:rPr>
          <w:sz w:val="20"/>
          <w:szCs w:val="20"/>
          <w:color w:val="auto"/>
        </w:rPr>
      </w:pPr>
      <w:r>
        <w:rPr>
          <w:rFonts w:ascii="Arial" w:cs="Arial" w:eastAsia="Arial" w:hAnsi="Arial"/>
          <w:sz w:val="14"/>
          <w:szCs w:val="14"/>
          <w:color w:val="auto"/>
        </w:rPr>
        <w:t>Nonperforming loans are loans for which the Company does not record interest income. The accrual of interest on mortgage and commercial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w:t>
      </w:r>
    </w:p>
    <w:p>
      <w:pPr>
        <w:spacing w:after="0" w:line="99" w:lineRule="exact"/>
        <w:rPr>
          <w:sz w:val="20"/>
          <w:szCs w:val="20"/>
          <w:color w:val="auto"/>
        </w:rPr>
      </w:pPr>
    </w:p>
    <w:p>
      <w:pPr>
        <w:ind w:left="140" w:firstLine="382"/>
        <w:spacing w:after="0" w:line="297" w:lineRule="auto"/>
        <w:rPr>
          <w:sz w:val="20"/>
          <w:szCs w:val="20"/>
          <w:color w:val="auto"/>
        </w:rPr>
      </w:pPr>
      <w:r>
        <w:rPr>
          <w:rFonts w:ascii="Arial" w:cs="Arial" w:eastAsia="Arial" w:hAnsi="Arial"/>
          <w:sz w:val="13"/>
          <w:szCs w:val="13"/>
          <w:color w:val="auto"/>
        </w:rPr>
        <w:t>All interest accrued but not collected for loans that are placed on non-accrual or charged off are reversed against interest income. The interest on these loans is accounted for on the cash basis or cost-recovery method, until qualifying for return to accrual. Loans are returned to accrual status when all the principal and interest amounts contractually due are brought current and future payments are reasonably assured. The following table presents the Company’s non-accrual loans by loan category at March 31, 2020 and December 31, 2019:</w:t>
      </w:r>
    </w:p>
    <w:p>
      <w:pPr>
        <w:spacing w:after="0" w:line="12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Arial" w:cs="Arial" w:eastAsia="Arial" w:hAnsi="Arial"/>
                <w:sz w:val="14"/>
                <w:szCs w:val="14"/>
                <w:b w:val="1"/>
                <w:bCs w:val="1"/>
                <w:color w:val="auto"/>
              </w:rPr>
              <w:t>December 31, 2019</w:t>
            </w:r>
          </w:p>
        </w:tc>
      </w:tr>
      <w:tr>
        <w:trPr>
          <w:trHeight w:val="22"/>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4"/>
          </w:tcPr>
          <w:p>
            <w:pPr>
              <w:spacing w:after="0" w:line="20" w:lineRule="exact"/>
              <w:rPr>
                <w:sz w:val="1"/>
                <w:szCs w:val="1"/>
                <w:color w:val="auto"/>
              </w:rPr>
            </w:pPr>
          </w:p>
        </w:tc>
      </w:tr>
      <w:tr>
        <w:trPr>
          <w:trHeight w:val="167"/>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20" w:type="dxa"/>
            <w:vAlign w:val="bottom"/>
            <w:gridSpan w:val="4"/>
          </w:tcPr>
          <w:p>
            <w:pPr>
              <w:jc w:val="right"/>
              <w:ind w:right="1369"/>
              <w:spacing w:after="0"/>
              <w:rPr>
                <w:sz w:val="20"/>
                <w:szCs w:val="20"/>
                <w:color w:val="auto"/>
              </w:rPr>
            </w:pPr>
            <w:r>
              <w:rPr>
                <w:rFonts w:ascii="Arial" w:cs="Arial" w:eastAsia="Arial" w:hAnsi="Arial"/>
                <w:sz w:val="13"/>
                <w:szCs w:val="13"/>
                <w:i w:val="1"/>
                <w:iCs w:val="1"/>
                <w:color w:val="auto"/>
              </w:rPr>
              <w:t>(Dollars in thousands)</w:t>
            </w:r>
          </w:p>
        </w:tc>
      </w:tr>
      <w:tr>
        <w:trPr>
          <w:trHeight w:val="26"/>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10,352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32,130</w:t>
            </w:r>
          </w:p>
        </w:tc>
      </w:tr>
      <w:tr>
        <w:trPr>
          <w:trHeight w:val="191"/>
        </w:trPr>
        <w:tc>
          <w:tcPr>
            <w:tcW w:w="7120" w:type="dxa"/>
            <w:vAlign w:val="bottom"/>
          </w:tcPr>
          <w:p>
            <w:pPr>
              <w:spacing w:after="0"/>
              <w:rPr>
                <w:sz w:val="20"/>
                <w:szCs w:val="20"/>
                <w:color w:val="auto"/>
              </w:rPr>
            </w:pPr>
            <w:r>
              <w:rPr>
                <w:rFonts w:ascii="Arial" w:cs="Arial" w:eastAsia="Arial" w:hAnsi="Arial"/>
                <w:sz w:val="14"/>
                <w:szCs w:val="14"/>
                <w:color w:val="auto"/>
              </w:rPr>
              <w:t>Energy</w:t>
            </w:r>
          </w:p>
        </w:tc>
        <w:tc>
          <w:tcPr>
            <w:tcW w:w="300" w:type="dxa"/>
            <w:vAlign w:val="bottom"/>
          </w:tcPr>
          <w:p>
            <w:pPr>
              <w:spacing w:after="0"/>
              <w:rPr>
                <w:sz w:val="16"/>
                <w:szCs w:val="16"/>
                <w:color w:val="auto"/>
              </w:rPr>
            </w:pPr>
          </w:p>
        </w:tc>
        <w:tc>
          <w:tcPr>
            <w:tcW w:w="1680" w:type="dxa"/>
            <w:vAlign w:val="bottom"/>
          </w:tcPr>
          <w:p>
            <w:pPr>
              <w:jc w:val="right"/>
              <w:ind w:right="70"/>
              <w:spacing w:after="0"/>
              <w:rPr>
                <w:sz w:val="20"/>
                <w:szCs w:val="20"/>
                <w:color w:val="auto"/>
              </w:rPr>
            </w:pPr>
            <w:r>
              <w:rPr>
                <w:rFonts w:ascii="Arial" w:cs="Arial" w:eastAsia="Arial" w:hAnsi="Arial"/>
                <w:sz w:val="14"/>
                <w:szCs w:val="14"/>
                <w:color w:val="auto"/>
              </w:rPr>
              <w:t>8,265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ind w:right="69"/>
              <w:spacing w:after="0"/>
              <w:rPr>
                <w:sz w:val="20"/>
                <w:szCs w:val="20"/>
                <w:color w:val="auto"/>
              </w:rPr>
            </w:pPr>
            <w:r>
              <w:rPr>
                <w:rFonts w:ascii="Arial" w:cs="Arial" w:eastAsia="Arial" w:hAnsi="Arial"/>
                <w:sz w:val="14"/>
                <w:szCs w:val="14"/>
                <w:color w:val="auto"/>
              </w:rPr>
              <w:t>4,540</w:t>
            </w: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3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5,443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1,063</w:t>
            </w:r>
          </w:p>
        </w:tc>
      </w:tr>
      <w:tr>
        <w:trPr>
          <w:trHeight w:val="191"/>
        </w:trPr>
        <w:tc>
          <w:tcPr>
            <w:tcW w:w="712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30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72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3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1,941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1,942</w:t>
            </w:r>
          </w:p>
        </w:tc>
      </w:tr>
      <w:tr>
        <w:trPr>
          <w:trHeight w:val="191"/>
        </w:trPr>
        <w:tc>
          <w:tcPr>
            <w:tcW w:w="7120" w:type="dxa"/>
            <w:vAlign w:val="bottom"/>
          </w:tcPr>
          <w:p>
            <w:pPr>
              <w:spacing w:after="0"/>
              <w:rPr>
                <w:sz w:val="20"/>
                <w:szCs w:val="20"/>
                <w:color w:val="auto"/>
              </w:rPr>
            </w:pPr>
            <w:r>
              <w:rPr>
                <w:rFonts w:ascii="Arial" w:cs="Arial" w:eastAsia="Arial" w:hAnsi="Arial"/>
                <w:sz w:val="14"/>
                <w:szCs w:val="14"/>
                <w:color w:val="auto"/>
              </w:rPr>
              <w:t>Consumer</w:t>
            </w:r>
          </w:p>
        </w:tc>
        <w:tc>
          <w:tcPr>
            <w:tcW w:w="300" w:type="dxa"/>
            <w:vAlign w:val="bottom"/>
          </w:tcPr>
          <w:p>
            <w:pPr>
              <w:spacing w:after="0"/>
              <w:rPr>
                <w:sz w:val="16"/>
                <w:szCs w:val="16"/>
                <w:color w:val="auto"/>
              </w:rPr>
            </w:pPr>
          </w:p>
        </w:tc>
        <w:tc>
          <w:tcPr>
            <w:tcW w:w="1680" w:type="dxa"/>
            <w:vAlign w:val="bottom"/>
          </w:tcPr>
          <w:p>
            <w:pPr>
              <w:jc w:val="right"/>
              <w:ind w:right="70"/>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8"/>
        </w:trPr>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non-accrual loans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26,255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39,675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Troubled Debt Restructurings</w:t>
      </w:r>
    </w:p>
    <w:p>
      <w:pPr>
        <w:spacing w:after="0" w:line="126" w:lineRule="exact"/>
        <w:rPr>
          <w:sz w:val="20"/>
          <w:szCs w:val="20"/>
          <w:color w:val="auto"/>
        </w:rPr>
      </w:pPr>
    </w:p>
    <w:p>
      <w:pPr>
        <w:ind w:left="140" w:right="400" w:firstLine="382"/>
        <w:spacing w:after="0" w:line="281" w:lineRule="auto"/>
        <w:rPr>
          <w:sz w:val="20"/>
          <w:szCs w:val="20"/>
          <w:color w:val="auto"/>
        </w:rPr>
      </w:pPr>
      <w:r>
        <w:rPr>
          <w:rFonts w:ascii="Arial" w:cs="Arial" w:eastAsia="Arial" w:hAnsi="Arial"/>
          <w:sz w:val="14"/>
          <w:szCs w:val="14"/>
          <w:color w:val="auto"/>
        </w:rPr>
        <w:t>Restructured loans are those extended to borrowers who are experiencing financial difficulty and who have been granted a concession. The modification of terms typically includes the extension of maturity, reduction or deferment of monthly payment, or reduction of the stated interest rate.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7" w:name="page28"/>
    <w:bookmarkEnd w:id="27"/>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140" w:firstLine="382"/>
        <w:spacing w:after="0" w:line="281" w:lineRule="auto"/>
        <w:rPr>
          <w:sz w:val="20"/>
          <w:szCs w:val="20"/>
          <w:color w:val="auto"/>
        </w:rPr>
      </w:pPr>
      <w:r>
        <w:rPr>
          <w:rFonts w:ascii="Arial" w:cs="Arial" w:eastAsia="Arial" w:hAnsi="Arial"/>
          <w:sz w:val="14"/>
          <w:szCs w:val="14"/>
          <w:color w:val="auto"/>
        </w:rPr>
        <w:t>The table below presents loans restructured, excluding loans restructured as a result of the COVID-19 pandemic, during the three months ended March 31, 2020 and 2019, including the post-modification outstanding balance and the type of concession made:</w:t>
      </w:r>
    </w:p>
    <w:p>
      <w:pPr>
        <w:spacing w:after="0" w:line="128"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28575</wp:posOffset>
            </wp:positionV>
            <wp:extent cx="255333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3335" cy="6985"/>
                    </a:xfrm>
                    <a:prstGeom prst="rect">
                      <a:avLst/>
                    </a:prstGeom>
                    <a:noFill/>
                  </pic:spPr>
                </pic:pic>
              </a:graphicData>
            </a:graphic>
          </wp:anchor>
        </w:drawing>
      </w:r>
    </w:p>
    <w:p>
      <w:pPr>
        <w:spacing w:after="0" w:line="42" w:lineRule="exact"/>
        <w:rPr>
          <w:sz w:val="20"/>
          <w:szCs w:val="20"/>
          <w:color w:val="auto"/>
        </w:rPr>
      </w:pPr>
    </w:p>
    <w:p>
      <w:pPr>
        <w:ind w:left="7780"/>
        <w:spacing w:after="0"/>
        <w:tabs>
          <w:tab w:leader="none" w:pos="9820" w:val="left"/>
        </w:tabs>
        <w:rPr>
          <w:sz w:val="20"/>
          <w:szCs w:val="20"/>
          <w:color w:val="auto"/>
        </w:rPr>
      </w:pPr>
      <w:r>
        <w:rPr>
          <w:rFonts w:ascii="Arial" w:cs="Arial" w:eastAsia="Arial" w:hAnsi="Arial"/>
          <w:sz w:val="14"/>
          <w:szCs w:val="14"/>
          <w:b w:val="1"/>
          <w:bCs w:val="1"/>
          <w:color w:val="auto"/>
        </w:rPr>
        <w:t>March 31, 2020</w:t>
      </w:r>
      <w:r>
        <w:rPr>
          <w:sz w:val="20"/>
          <w:szCs w:val="20"/>
          <w:color w:val="auto"/>
        </w:rPr>
        <w:tab/>
      </w:r>
      <w:r>
        <w:rPr>
          <w:rFonts w:ascii="Arial" w:cs="Arial" w:eastAsia="Arial" w:hAnsi="Arial"/>
          <w:sz w:val="12"/>
          <w:szCs w:val="12"/>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28575</wp:posOffset>
            </wp:positionV>
            <wp:extent cx="255333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3335" cy="6985"/>
                    </a:xfrm>
                    <a:prstGeom prst="rect">
                      <a:avLst/>
                    </a:prstGeom>
                    <a:noFill/>
                  </pic:spPr>
                </pic:pic>
              </a:graphicData>
            </a:graphic>
          </wp:anchor>
        </w:drawing>
      </w:r>
    </w:p>
    <w:p>
      <w:pPr>
        <w:spacing w:after="0" w:line="50" w:lineRule="exact"/>
        <w:rPr>
          <w:sz w:val="20"/>
          <w:szCs w:val="20"/>
          <w:color w:val="auto"/>
        </w:rPr>
      </w:pPr>
    </w:p>
    <w:p>
      <w:pPr>
        <w:ind w:left="8700"/>
        <w:spacing w:after="0"/>
        <w:rPr>
          <w:sz w:val="20"/>
          <w:szCs w:val="20"/>
          <w:color w:val="auto"/>
        </w:rPr>
      </w:pPr>
      <w:r>
        <w:rPr>
          <w:rFonts w:ascii="Arial" w:cs="Arial" w:eastAsia="Arial" w:hAnsi="Arial"/>
          <w:sz w:val="13"/>
          <w:szCs w:val="13"/>
          <w:i w:val="1"/>
          <w:iCs w:val="1"/>
          <w:color w:val="auto"/>
        </w:rPr>
        <w:t>(Dollars in thousands)</w:t>
      </w:r>
    </w:p>
    <w:p>
      <w:pPr>
        <w:spacing w:after="0" w:line="38"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1"/>
        </w:trPr>
        <w:tc>
          <w:tcPr>
            <w:tcW w:w="7120" w:type="dxa"/>
            <w:vAlign w:val="bottom"/>
          </w:tcPr>
          <w:p>
            <w:pPr>
              <w:ind w:left="80"/>
              <w:spacing w:after="0"/>
              <w:rPr>
                <w:sz w:val="20"/>
                <w:szCs w:val="20"/>
                <w:color w:val="auto"/>
              </w:rPr>
            </w:pPr>
            <w:r>
              <w:rPr>
                <w:rFonts w:ascii="Arial" w:cs="Arial" w:eastAsia="Arial" w:hAnsi="Arial"/>
                <w:sz w:val="14"/>
                <w:szCs w:val="14"/>
                <w:color w:val="auto"/>
              </w:rPr>
              <w:t>- Interest rate reduction</w:t>
            </w:r>
          </w:p>
        </w:tc>
        <w:tc>
          <w:tcPr>
            <w:tcW w:w="800" w:type="dxa"/>
            <w:vAlign w:val="bottom"/>
          </w:tcPr>
          <w:p>
            <w:pPr>
              <w:jc w:val="right"/>
              <w:ind w:right="64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3,171</w:t>
            </w:r>
          </w:p>
        </w:tc>
        <w:tc>
          <w:tcPr>
            <w:tcW w:w="80" w:type="dxa"/>
            <w:vAlign w:val="bottom"/>
          </w:tcPr>
          <w:p>
            <w:pPr>
              <w:spacing w:after="0"/>
              <w:rPr>
                <w:sz w:val="16"/>
                <w:szCs w:val="16"/>
                <w:color w:val="auto"/>
              </w:rPr>
            </w:pPr>
          </w:p>
        </w:tc>
        <w:tc>
          <w:tcPr>
            <w:tcW w:w="800" w:type="dxa"/>
            <w:vAlign w:val="bottom"/>
          </w:tcPr>
          <w:p>
            <w:pPr>
              <w:jc w:val="right"/>
              <w:ind w:right="6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7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 Reduction of monthly payment</w:t>
            </w:r>
          </w:p>
        </w:tc>
        <w:tc>
          <w:tcPr>
            <w:tcW w:w="8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4,761</w:t>
            </w:r>
          </w:p>
        </w:tc>
      </w:tr>
      <w:tr>
        <w:trPr>
          <w:trHeight w:val="191"/>
        </w:trPr>
        <w:tc>
          <w:tcPr>
            <w:tcW w:w="7120" w:type="dxa"/>
            <w:vAlign w:val="bottom"/>
          </w:tcPr>
          <w:p>
            <w:pPr>
              <w:spacing w:after="0"/>
              <w:rPr>
                <w:sz w:val="20"/>
                <w:szCs w:val="20"/>
                <w:color w:val="auto"/>
              </w:rPr>
            </w:pPr>
            <w:r>
              <w:rPr>
                <w:rFonts w:ascii="Arial" w:cs="Arial" w:eastAsia="Arial" w:hAnsi="Arial"/>
                <w:sz w:val="14"/>
                <w:szCs w:val="14"/>
                <w:color w:val="auto"/>
              </w:rPr>
              <w:t>Energy</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
        </w:trPr>
        <w:tc>
          <w:tcPr>
            <w:tcW w:w="7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 Extension of maturity date</w:t>
            </w:r>
          </w:p>
        </w:tc>
        <w:tc>
          <w:tcPr>
            <w:tcW w:w="8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2,340</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203"/>
        </w:trPr>
        <w:tc>
          <w:tcPr>
            <w:tcW w:w="7120" w:type="dxa"/>
            <w:vAlign w:val="bottom"/>
          </w:tcPr>
          <w:p>
            <w:pPr>
              <w:ind w:left="160"/>
              <w:spacing w:after="0"/>
              <w:rPr>
                <w:sz w:val="20"/>
                <w:szCs w:val="20"/>
                <w:color w:val="auto"/>
              </w:rPr>
            </w:pPr>
            <w:r>
              <w:rPr>
                <w:rFonts w:ascii="Arial" w:cs="Arial" w:eastAsia="Arial" w:hAnsi="Arial"/>
                <w:sz w:val="14"/>
                <w:szCs w:val="14"/>
                <w:color w:val="auto"/>
              </w:rPr>
              <w:t>Total troubled debt restructurings</w:t>
            </w: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5,511</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4,761</w:t>
            </w:r>
          </w:p>
        </w:tc>
      </w:tr>
      <w:tr>
        <w:trPr>
          <w:trHeight w:val="20"/>
        </w:trPr>
        <w:tc>
          <w:tcPr>
            <w:tcW w:w="7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40" w:firstLine="382"/>
        <w:spacing w:after="0" w:line="267" w:lineRule="auto"/>
        <w:rPr>
          <w:sz w:val="20"/>
          <w:szCs w:val="20"/>
          <w:color w:val="auto"/>
        </w:rPr>
      </w:pPr>
      <w:r>
        <w:rPr>
          <w:rFonts w:ascii="Arial" w:cs="Arial" w:eastAsia="Arial" w:hAnsi="Arial"/>
          <w:sz w:val="14"/>
          <w:szCs w:val="14"/>
          <w:color w:val="auto"/>
        </w:rPr>
        <w:t>As of March 31, 2020 and December 31, 2019, the Company had $556 thousand and $934 thousand, respectively, in unfunded commitments to borrowers whose terms have been modified in troubled debt restructurings. As of March 31, 2020, the modifications related to the troubled debt restructurings above did not impact the allowance for loan losses because the loans were previously impaired and evaluated on an individual basis or enough collateral was obtained to provide an additional commitment.</w:t>
      </w:r>
    </w:p>
    <w:p>
      <w:pPr>
        <w:spacing w:after="0" w:line="99" w:lineRule="exact"/>
        <w:rPr>
          <w:sz w:val="20"/>
          <w:szCs w:val="20"/>
          <w:color w:val="auto"/>
        </w:rPr>
      </w:pPr>
    </w:p>
    <w:p>
      <w:pPr>
        <w:ind w:left="140" w:right="340" w:firstLine="382"/>
        <w:spacing w:after="0" w:line="281" w:lineRule="auto"/>
        <w:rPr>
          <w:sz w:val="20"/>
          <w:szCs w:val="20"/>
          <w:color w:val="auto"/>
        </w:rPr>
      </w:pPr>
      <w:r>
        <w:rPr>
          <w:rFonts w:ascii="Arial" w:cs="Arial" w:eastAsia="Arial" w:hAnsi="Arial"/>
          <w:sz w:val="14"/>
          <w:szCs w:val="14"/>
          <w:color w:val="auto"/>
        </w:rPr>
        <w:t>The balance of restructured loans, excluding loans restructured as a result of the COVID-19 pandemic, is provided below as of March 31, 2020 and December 31, 2019. In addition, the balance of those loans that are in default at any time during the past twelve months at March 31, 2020 and December 31, 2019 is provided below:</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w w:val="94"/>
              </w:rPr>
              <w:t>March 31, 2020</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9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30"/>
              <w:spacing w:after="0" w:line="129" w:lineRule="exact"/>
              <w:rPr>
                <w:sz w:val="20"/>
                <w:szCs w:val="20"/>
                <w:color w:val="auto"/>
              </w:rPr>
            </w:pPr>
            <w:r>
              <w:rPr>
                <w:rFonts w:ascii="Arial" w:cs="Arial" w:eastAsia="Arial" w:hAnsi="Arial"/>
                <w:sz w:val="14"/>
                <w:szCs w:val="14"/>
                <w:b w:val="1"/>
                <w:bCs w:val="1"/>
                <w:color w:val="auto"/>
                <w:w w:val="87"/>
              </w:rPr>
              <w:t>Balance 90 days past</w:t>
            </w:r>
          </w:p>
        </w:tc>
        <w:tc>
          <w:tcPr>
            <w:tcW w:w="80" w:type="dxa"/>
            <w:vAlign w:val="bottom"/>
          </w:tcPr>
          <w:p>
            <w:pPr>
              <w:spacing w:after="0"/>
              <w:rPr>
                <w:sz w:val="11"/>
                <w:szCs w:val="11"/>
                <w:color w:val="auto"/>
              </w:rPr>
            </w:pPr>
          </w:p>
        </w:tc>
        <w:tc>
          <w:tcPr>
            <w:tcW w:w="9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29"/>
              <w:spacing w:after="0" w:line="129" w:lineRule="exact"/>
              <w:rPr>
                <w:sz w:val="20"/>
                <w:szCs w:val="20"/>
                <w:color w:val="auto"/>
              </w:rPr>
            </w:pPr>
            <w:r>
              <w:rPr>
                <w:rFonts w:ascii="Arial" w:cs="Arial" w:eastAsia="Arial" w:hAnsi="Arial"/>
                <w:sz w:val="14"/>
                <w:szCs w:val="14"/>
                <w:b w:val="1"/>
                <w:bCs w:val="1"/>
                <w:color w:val="auto"/>
                <w:w w:val="88"/>
              </w:rPr>
              <w:t>Balance 90 days past</w:t>
            </w:r>
          </w:p>
        </w:tc>
        <w:tc>
          <w:tcPr>
            <w:tcW w:w="0" w:type="dxa"/>
            <w:vAlign w:val="bottom"/>
          </w:tcPr>
          <w:p>
            <w:pPr>
              <w:spacing w:after="0"/>
              <w:rPr>
                <w:sz w:val="1"/>
                <w:szCs w:val="1"/>
                <w:color w:val="auto"/>
              </w:rPr>
            </w:pPr>
          </w:p>
        </w:tc>
      </w:tr>
      <w:tr>
        <w:trPr>
          <w:trHeight w:val="138"/>
        </w:trPr>
        <w:tc>
          <w:tcPr>
            <w:tcW w:w="33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9"/>
              </w:rPr>
              <w:t>Outstanding Balance</w:t>
            </w:r>
          </w:p>
        </w:tc>
        <w:tc>
          <w:tcPr>
            <w:tcW w:w="1520" w:type="dxa"/>
            <w:vAlign w:val="bottom"/>
            <w:gridSpan w:val="3"/>
          </w:tcPr>
          <w:p>
            <w:pPr>
              <w:ind w:left="40"/>
              <w:spacing w:after="0" w:line="138" w:lineRule="exact"/>
              <w:rPr>
                <w:sz w:val="20"/>
                <w:szCs w:val="20"/>
                <w:color w:val="auto"/>
              </w:rPr>
            </w:pPr>
            <w:r>
              <w:rPr>
                <w:rFonts w:ascii="Arial" w:cs="Arial" w:eastAsia="Arial" w:hAnsi="Arial"/>
                <w:sz w:val="14"/>
                <w:szCs w:val="14"/>
                <w:b w:val="1"/>
                <w:bCs w:val="1"/>
                <w:color w:val="auto"/>
                <w:w w:val="97"/>
              </w:rPr>
              <w:t>due at any time during</w:t>
            </w:r>
          </w:p>
        </w:tc>
        <w:tc>
          <w:tcPr>
            <w:tcW w:w="920" w:type="dxa"/>
            <w:vAlign w:val="bottom"/>
            <w:gridSpan w:val="2"/>
            <w:vMerge w:val="continue"/>
          </w:tcPr>
          <w:p>
            <w:pPr>
              <w:spacing w:after="0"/>
              <w:rPr>
                <w:sz w:val="11"/>
                <w:szCs w:val="11"/>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9"/>
              </w:rPr>
              <w:t>Outstanding Balance</w:t>
            </w:r>
          </w:p>
        </w:tc>
        <w:tc>
          <w:tcPr>
            <w:tcW w:w="146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92"/>
              </w:rPr>
              <w:t>due at any time during</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7"/>
              </w:rPr>
              <w:t>Loans</w:t>
            </w:r>
          </w:p>
        </w:tc>
        <w:tc>
          <w:tcPr>
            <w:tcW w:w="1500" w:type="dxa"/>
            <w:vAlign w:val="bottom"/>
            <w:tcBorders>
              <w:bottom w:val="single" w:sz="8" w:color="auto"/>
            </w:tcBorders>
            <w:gridSpan w:val="3"/>
            <w:vMerge w:val="continue"/>
          </w:tcPr>
          <w:p>
            <w:pPr>
              <w:spacing w:after="0"/>
              <w:rPr>
                <w:sz w:val="15"/>
                <w:szCs w:val="15"/>
                <w:color w:val="auto"/>
              </w:rPr>
            </w:pPr>
          </w:p>
        </w:tc>
        <w:tc>
          <w:tcPr>
            <w:tcW w:w="1520" w:type="dxa"/>
            <w:vAlign w:val="bottom"/>
            <w:tcBorders>
              <w:bottom w:val="single" w:sz="8" w:color="auto"/>
            </w:tcBorders>
            <w:gridSpan w:val="3"/>
          </w:tcPr>
          <w:p>
            <w:pPr>
              <w:ind w:left="80"/>
              <w:spacing w:after="0" w:line="181" w:lineRule="exact"/>
              <w:rPr>
                <w:sz w:val="20"/>
                <w:szCs w:val="20"/>
                <w:color w:val="auto"/>
              </w:rPr>
            </w:pPr>
            <w:r>
              <w:rPr>
                <w:rFonts w:ascii="Arial" w:cs="Arial" w:eastAsia="Arial" w:hAnsi="Arial"/>
                <w:sz w:val="14"/>
                <w:szCs w:val="14"/>
                <w:b w:val="1"/>
                <w:bCs w:val="1"/>
                <w:color w:val="auto"/>
                <w:w w:val="96"/>
              </w:rPr>
              <w:t>previous 12 months</w:t>
            </w:r>
            <w:r>
              <w:rPr>
                <w:rFonts w:ascii="Arial" w:cs="Arial" w:eastAsia="Arial" w:hAnsi="Arial"/>
                <w:sz w:val="18"/>
                <w:szCs w:val="18"/>
                <w:b w:val="1"/>
                <w:bCs w:val="1"/>
                <w:color w:val="auto"/>
                <w:w w:val="96"/>
                <w:vertAlign w:val="superscript"/>
              </w:rPr>
              <w:t>(1)</w:t>
            </w: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Loans</w:t>
            </w:r>
          </w:p>
        </w:tc>
        <w:tc>
          <w:tcPr>
            <w:tcW w:w="150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9"/>
              <w:spacing w:after="0" w:line="181" w:lineRule="exact"/>
              <w:rPr>
                <w:sz w:val="20"/>
                <w:szCs w:val="20"/>
                <w:color w:val="auto"/>
              </w:rPr>
            </w:pPr>
            <w:r>
              <w:rPr>
                <w:rFonts w:ascii="Arial" w:cs="Arial" w:eastAsia="Arial" w:hAnsi="Arial"/>
                <w:sz w:val="14"/>
                <w:szCs w:val="14"/>
                <w:b w:val="1"/>
                <w:bCs w:val="1"/>
                <w:color w:val="auto"/>
                <w:w w:val="87"/>
              </w:rPr>
              <w:t>previous 12 months</w:t>
            </w:r>
            <w:r>
              <w:rPr>
                <w:rFonts w:ascii="Arial" w:cs="Arial" w:eastAsia="Arial" w:hAnsi="Arial"/>
                <w:sz w:val="18"/>
                <w:szCs w:val="18"/>
                <w:b w:val="1"/>
                <w:bCs w:val="1"/>
                <w:color w:val="auto"/>
                <w:w w:val="87"/>
                <w:vertAlign w:val="superscript"/>
              </w:rPr>
              <w:t>(1)</w:t>
            </w: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4"/>
          </w:tcPr>
          <w:p>
            <w:pPr>
              <w:ind w:left="840"/>
              <w:spacing w:after="0"/>
              <w:rPr>
                <w:sz w:val="20"/>
                <w:szCs w:val="20"/>
                <w:color w:val="auto"/>
              </w:rPr>
            </w:pPr>
            <w:r>
              <w:rPr>
                <w:rFonts w:ascii="Arial" w:cs="Arial" w:eastAsia="Arial" w:hAnsi="Arial"/>
                <w:sz w:val="13"/>
                <w:szCs w:val="13"/>
                <w:i w:val="1"/>
                <w:iCs w:val="1"/>
                <w:color w:val="auto"/>
              </w:rPr>
              <w:t>(Dollars in thousands)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9,966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842</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31,770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20"/>
                <w:szCs w:val="20"/>
                <w:color w:val="auto"/>
              </w:rPr>
            </w:pPr>
            <w:r>
              <w:rPr>
                <w:rFonts w:ascii="Arial" w:cs="Arial" w:eastAsia="Arial" w:hAnsi="Arial"/>
                <w:sz w:val="14"/>
                <w:szCs w:val="14"/>
                <w:color w:val="auto"/>
              </w:rPr>
              <w:t>Energy</w:t>
            </w:r>
          </w:p>
        </w:tc>
        <w:tc>
          <w:tcPr>
            <w:tcW w:w="840" w:type="dxa"/>
            <w:vAlign w:val="bottom"/>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5,100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2,864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4,772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4,909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3,000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20"/>
                <w:szCs w:val="20"/>
                <w:color w:val="auto"/>
              </w:rPr>
            </w:pPr>
            <w:r>
              <w:rPr>
                <w:rFonts w:ascii="Arial" w:cs="Arial" w:eastAsia="Arial" w:hAnsi="Arial"/>
                <w:sz w:val="14"/>
                <w:szCs w:val="14"/>
                <w:color w:val="auto"/>
              </w:rPr>
              <w:t>Consumer</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restructured loans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22,838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842</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39,543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1"/>
        </w:trPr>
        <w:tc>
          <w:tcPr>
            <w:tcW w:w="3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 w:hanging="134"/>
        <w:spacing w:after="0" w:line="215" w:lineRule="auto"/>
        <w:tabs>
          <w:tab w:leader="none" w:pos="28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Default is considered to mean 90 days or more past due as to interest or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-97155</wp:posOffset>
            </wp:positionV>
            <wp:extent cx="496506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65065" cy="6985"/>
                    </a:xfrm>
                    <a:prstGeom prst="rect">
                      <a:avLst/>
                    </a:prstGeom>
                    <a:noFill/>
                  </pic:spPr>
                </pic:pic>
              </a:graphicData>
            </a:graphic>
          </wp:anchor>
        </w:drawing>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restructured loans above had a total specific valuation allowance of $2 million and $18 million as of March 31, 2020 and December 31, 2019, respectively.</w:t>
      </w:r>
    </w:p>
    <w:p>
      <w:pPr>
        <w:spacing w:after="0" w:line="200" w:lineRule="exact"/>
        <w:rPr>
          <w:sz w:val="20"/>
          <w:szCs w:val="20"/>
          <w:color w:val="auto"/>
        </w:rPr>
      </w:pPr>
    </w:p>
    <w:p>
      <w:pPr>
        <w:spacing w:after="0" w:line="25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Derivatives and Hedging</w:t>
      </w:r>
    </w:p>
    <w:p>
      <w:pPr>
        <w:spacing w:after="0" w:line="133" w:lineRule="exact"/>
        <w:rPr>
          <w:sz w:val="20"/>
          <w:szCs w:val="20"/>
          <w:color w:val="auto"/>
        </w:rPr>
      </w:pPr>
    </w:p>
    <w:p>
      <w:pPr>
        <w:ind w:left="140" w:right="180" w:firstLine="382"/>
        <w:spacing w:after="0" w:line="262" w:lineRule="auto"/>
        <w:rPr>
          <w:sz w:val="20"/>
          <w:szCs w:val="20"/>
          <w:color w:val="auto"/>
        </w:rPr>
      </w:pPr>
      <w:r>
        <w:rPr>
          <w:rFonts w:ascii="Arial" w:cs="Arial" w:eastAsia="Arial" w:hAnsi="Arial"/>
          <w:sz w:val="14"/>
          <w:szCs w:val="14"/>
          <w:color w:val="auto"/>
        </w:rPr>
        <w:t>Derivatives not designated as hedges are not speculative and result from a service the Company provides to clients. The Company executes interest rate swaps with customers to facilitate their respective risk management strategies. Those interest rate swaps are simultaneously hedged by offsetting derivatives that the Company executes with a third party, such that the Company minimizes its net risk exposure resulting from such transactions. As the interest rate derivatives associated with this program do not meet the strict hedge accounting requirements, changes in the fair value of both the customer derivatives and the offsetting derivatives are recognized directly in earnings.</w:t>
      </w:r>
    </w:p>
    <w:p>
      <w:pPr>
        <w:spacing w:after="0" w:line="103" w:lineRule="exact"/>
        <w:rPr>
          <w:sz w:val="20"/>
          <w:szCs w:val="20"/>
          <w:color w:val="auto"/>
        </w:rPr>
      </w:pPr>
    </w:p>
    <w:p>
      <w:pPr>
        <w:jc w:val="both"/>
        <w:ind w:left="140" w:right="80" w:firstLine="382"/>
        <w:spacing w:after="0" w:line="267" w:lineRule="auto"/>
        <w:rPr>
          <w:sz w:val="20"/>
          <w:szCs w:val="20"/>
          <w:color w:val="auto"/>
        </w:rPr>
      </w:pPr>
      <w:r>
        <w:rPr>
          <w:rFonts w:ascii="Arial" w:cs="Arial" w:eastAsia="Arial" w:hAnsi="Arial"/>
          <w:sz w:val="14"/>
          <w:szCs w:val="14"/>
          <w:color w:val="auto"/>
        </w:rPr>
        <w:t>During 2019, the Company changed an input associated with the fair market value related to derivatives not designated as hedges. The model utilized to calculate the non-performance risk, also known as the credit valuation adjustment, or CVA, was adjusted from a more conservative default methodology to a review of the historical defaults recognized by the Company. Management believes this change better aligns with the Company’s credit methodology and underwriting standards.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8" w:name="page29"/>
    <w:bookmarkEnd w:id="28"/>
    <w:p>
      <w:pPr>
        <w:spacing w:after="0"/>
        <w:tabs>
          <w:tab w:leader="none" w:pos="404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As of March 31, 2020 and December 31, 2019, the Company had the following outstanding derivatives that were not designated as hedges in qualifying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113665</wp:posOffset>
            </wp:positionV>
            <wp:extent cx="546417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64175" cy="6985"/>
                    </a:xfrm>
                    <a:prstGeom prst="rect">
                      <a:avLst/>
                    </a:prstGeom>
                    <a:noFill/>
                  </pic:spPr>
                </pic:pic>
              </a:graphicData>
            </a:graphic>
          </wp:anchor>
        </w:drawing>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w w:val="98"/>
              </w:rPr>
              <w:t>March 31, 2020</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tcBorders>
              <w:bottom w:val="single" w:sz="8" w:color="auto"/>
            </w:tcBorders>
            <w:gridSpan w:val="3"/>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r>
      <w:tr>
        <w:trPr>
          <w:trHeight w:val="181"/>
        </w:trPr>
        <w:tc>
          <w:tcPr>
            <w:tcW w:w="2300" w:type="dxa"/>
            <w:vAlign w:val="bottom"/>
          </w:tcPr>
          <w:p>
            <w:pPr>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5"/>
                <w:szCs w:val="15"/>
                <w:color w:val="auto"/>
              </w:rPr>
            </w:pPr>
          </w:p>
        </w:tc>
        <w:tc>
          <w:tcPr>
            <w:tcW w:w="2660" w:type="dxa"/>
            <w:vAlign w:val="bottom"/>
            <w:gridSpan w:val="3"/>
          </w:tcPr>
          <w:p>
            <w:pPr>
              <w:jc w:val="center"/>
              <w:ind w:right="389"/>
              <w:spacing w:after="0"/>
              <w:rPr>
                <w:sz w:val="20"/>
                <w:szCs w:val="20"/>
                <w:color w:val="auto"/>
              </w:rPr>
            </w:pPr>
            <w:r>
              <w:rPr>
                <w:rFonts w:ascii="Arial" w:cs="Arial" w:eastAsia="Arial" w:hAnsi="Arial"/>
                <w:sz w:val="14"/>
                <w:szCs w:val="14"/>
                <w:b w:val="1"/>
                <w:bCs w:val="1"/>
                <w:color w:val="auto"/>
                <w:w w:val="93"/>
              </w:rPr>
              <w:t>Number of Instruments</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Notional 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2"/>
          </w:tcPr>
          <w:p>
            <w:pPr>
              <w:ind w:left="400"/>
              <w:spacing w:after="0"/>
              <w:rPr>
                <w:sz w:val="20"/>
                <w:szCs w:val="20"/>
                <w:color w:val="auto"/>
              </w:rPr>
            </w:pPr>
            <w:r>
              <w:rPr>
                <w:rFonts w:ascii="Arial" w:cs="Arial" w:eastAsia="Arial" w:hAnsi="Arial"/>
                <w:sz w:val="14"/>
                <w:szCs w:val="14"/>
                <w:b w:val="1"/>
                <w:bCs w:val="1"/>
                <w:color w:val="auto"/>
                <w:w w:val="93"/>
              </w:rPr>
              <w:t>Number of Instruments</w:t>
            </w:r>
          </w:p>
        </w:tc>
        <w:tc>
          <w:tcPr>
            <w:tcW w:w="880" w:type="dxa"/>
            <w:vAlign w:val="bottom"/>
          </w:tcPr>
          <w:p>
            <w:pPr>
              <w:spacing w:after="0"/>
              <w:rPr>
                <w:sz w:val="15"/>
                <w:szCs w:val="15"/>
                <w:color w:val="auto"/>
              </w:rPr>
            </w:pPr>
          </w:p>
        </w:tc>
        <w:tc>
          <w:tcPr>
            <w:tcW w:w="154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w w:val="93"/>
              </w:rPr>
              <w:t>Notional Amount</w:t>
            </w:r>
          </w:p>
        </w:tc>
      </w:tr>
      <w:tr>
        <w:trPr>
          <w:trHeight w:val="22"/>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7"/>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740"/>
              <w:spacing w:after="0"/>
              <w:rPr>
                <w:sz w:val="20"/>
                <w:szCs w:val="20"/>
                <w:color w:val="auto"/>
              </w:rPr>
            </w:pPr>
            <w:r>
              <w:rPr>
                <w:rFonts w:ascii="Arial" w:cs="Arial" w:eastAsia="Arial" w:hAnsi="Arial"/>
                <w:sz w:val="13"/>
                <w:szCs w:val="13"/>
                <w:i w:val="1"/>
                <w:iCs w:val="1"/>
                <w:color w:val="auto"/>
              </w:rPr>
              <w:t>(Dollars in thousands)</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6"/>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2"/>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Back-to-back swaps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58</w:t>
            </w:r>
          </w:p>
        </w:tc>
        <w:tc>
          <w:tcPr>
            <w:tcW w:w="10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w w:val="90"/>
              </w:rPr>
              <w:t>440,617</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56</w:t>
            </w:r>
          </w:p>
        </w:tc>
        <w:tc>
          <w:tcPr>
            <w:tcW w:w="5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380,050</w:t>
            </w:r>
          </w:p>
        </w:tc>
      </w:tr>
      <w:tr>
        <w:trPr>
          <w:trHeight w:val="297"/>
        </w:trPr>
        <w:tc>
          <w:tcPr>
            <w:tcW w:w="11140" w:type="dxa"/>
            <w:vAlign w:val="bottom"/>
            <w:gridSpan w:val="15"/>
          </w:tcPr>
          <w:p>
            <w:pPr>
              <w:jc w:val="right"/>
              <w:ind w:right="429"/>
              <w:spacing w:after="0"/>
              <w:rPr>
                <w:sz w:val="20"/>
                <w:szCs w:val="20"/>
                <w:color w:val="auto"/>
              </w:rPr>
            </w:pPr>
            <w:r>
              <w:rPr>
                <w:rFonts w:ascii="Arial" w:cs="Arial" w:eastAsia="Arial" w:hAnsi="Arial"/>
                <w:sz w:val="14"/>
                <w:szCs w:val="14"/>
                <w:color w:val="auto"/>
                <w:w w:val="94"/>
              </w:rPr>
              <w:t>The table below presents the fair value of the Company’s derivative financial instruments and their classification on the Balance Sheet as of March 31, 2020 and December 31, 2019:</w:t>
            </w:r>
          </w:p>
        </w:tc>
      </w:tr>
      <w:tr>
        <w:trPr>
          <w:trHeight w:val="340"/>
        </w:trPr>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Asset Derivatives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Liability Derivatives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
        </w:trPr>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left="9"/>
              <w:spacing w:after="0"/>
              <w:rPr>
                <w:sz w:val="20"/>
                <w:szCs w:val="20"/>
                <w:color w:val="auto"/>
              </w:rPr>
            </w:pPr>
            <w:r>
              <w:rPr>
                <w:rFonts w:ascii="Arial" w:cs="Arial" w:eastAsia="Arial" w:hAnsi="Arial"/>
                <w:sz w:val="14"/>
                <w:szCs w:val="14"/>
                <w:b w:val="1"/>
                <w:bCs w:val="1"/>
                <w:color w:val="auto"/>
                <w:w w:val="87"/>
              </w:rPr>
              <w:t>Balance Sheet</w:t>
            </w:r>
          </w:p>
        </w:tc>
        <w:tc>
          <w:tcPr>
            <w:tcW w:w="580" w:type="dxa"/>
            <w:vAlign w:val="bottom"/>
          </w:tcPr>
          <w:p>
            <w:pPr>
              <w:spacing w:after="0"/>
              <w:rPr>
                <w:sz w:val="15"/>
                <w:szCs w:val="15"/>
                <w:color w:val="auto"/>
              </w:rPr>
            </w:pPr>
          </w:p>
        </w:tc>
        <w:tc>
          <w:tcPr>
            <w:tcW w:w="1080" w:type="dxa"/>
            <w:vAlign w:val="bottom"/>
          </w:tcPr>
          <w:p>
            <w:pPr>
              <w:jc w:val="right"/>
              <w:ind w:right="209"/>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Balance Sheet</w:t>
            </w:r>
          </w:p>
        </w:tc>
        <w:tc>
          <w:tcPr>
            <w:tcW w:w="540" w:type="dxa"/>
            <w:vAlign w:val="bottom"/>
          </w:tcPr>
          <w:p>
            <w:pPr>
              <w:spacing w:after="0"/>
              <w:rPr>
                <w:sz w:val="15"/>
                <w:szCs w:val="15"/>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5"/>
                <w:szCs w:val="15"/>
                <w:color w:val="auto"/>
              </w:rPr>
            </w:pPr>
          </w:p>
        </w:tc>
        <w:tc>
          <w:tcPr>
            <w:tcW w:w="1160" w:type="dxa"/>
            <w:vAlign w:val="bottom"/>
          </w:tcPr>
          <w:p>
            <w:pPr>
              <w:jc w:val="right"/>
              <w:ind w:right="189"/>
              <w:spacing w:after="0"/>
              <w:rPr>
                <w:sz w:val="20"/>
                <w:szCs w:val="20"/>
                <w:color w:val="auto"/>
              </w:rPr>
            </w:pPr>
            <w:r>
              <w:rPr>
                <w:rFonts w:ascii="Arial" w:cs="Arial" w:eastAsia="Arial" w:hAnsi="Arial"/>
                <w:sz w:val="14"/>
                <w:szCs w:val="14"/>
                <w:b w:val="1"/>
                <w:bCs w:val="1"/>
                <w:color w:val="auto"/>
                <w:w w:val="96"/>
              </w:rPr>
              <w:t>December 31,</w:t>
            </w:r>
          </w:p>
        </w:tc>
      </w:tr>
      <w:tr>
        <w:trPr>
          <w:trHeight w:val="212"/>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left="29"/>
              <w:spacing w:after="0"/>
              <w:rPr>
                <w:sz w:val="20"/>
                <w:szCs w:val="20"/>
                <w:color w:val="auto"/>
              </w:rPr>
            </w:pPr>
            <w:r>
              <w:rPr>
                <w:rFonts w:ascii="Arial" w:cs="Arial" w:eastAsia="Arial" w:hAnsi="Arial"/>
                <w:sz w:val="14"/>
                <w:szCs w:val="14"/>
                <w:b w:val="1"/>
                <w:bCs w:val="1"/>
                <w:color w:val="auto"/>
                <w:w w:val="92"/>
              </w:rPr>
              <w:t>Location</w:t>
            </w:r>
          </w:p>
        </w:tc>
        <w:tc>
          <w:tcPr>
            <w:tcW w:w="580" w:type="dxa"/>
            <w:vAlign w:val="bottom"/>
          </w:tcPr>
          <w:p>
            <w:pPr>
              <w:spacing w:after="0"/>
              <w:rPr>
                <w:sz w:val="18"/>
                <w:szCs w:val="18"/>
                <w:color w:val="auto"/>
              </w:rPr>
            </w:pPr>
          </w:p>
        </w:tc>
        <w:tc>
          <w:tcPr>
            <w:tcW w:w="1080" w:type="dxa"/>
            <w:vAlign w:val="bottom"/>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4"/>
                <w:szCs w:val="14"/>
                <w:b w:val="1"/>
                <w:bCs w:val="1"/>
                <w:color w:val="auto"/>
              </w:rPr>
              <w:t>Location</w:t>
            </w:r>
          </w:p>
        </w:tc>
        <w:tc>
          <w:tcPr>
            <w:tcW w:w="540" w:type="dxa"/>
            <w:vAlign w:val="bottom"/>
          </w:tcPr>
          <w:p>
            <w:pPr>
              <w:spacing w:after="0"/>
              <w:rPr>
                <w:sz w:val="18"/>
                <w:szCs w:val="18"/>
                <w:color w:val="auto"/>
              </w:rPr>
            </w:pPr>
          </w:p>
        </w:tc>
        <w:tc>
          <w:tcPr>
            <w:tcW w:w="880" w:type="dxa"/>
            <w:vAlign w:val="bottom"/>
          </w:tcPr>
          <w:p>
            <w:pPr>
              <w:jc w:val="right"/>
              <w:ind w:right="32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8"/>
                <w:szCs w:val="18"/>
                <w:color w:val="auto"/>
              </w:rPr>
            </w:pPr>
          </w:p>
        </w:tc>
        <w:tc>
          <w:tcPr>
            <w:tcW w:w="1160" w:type="dxa"/>
            <w:vAlign w:val="bottom"/>
          </w:tcPr>
          <w:p>
            <w:pPr>
              <w:jc w:val="right"/>
              <w:ind w:right="449"/>
              <w:spacing w:after="0"/>
              <w:rPr>
                <w:sz w:val="20"/>
                <w:szCs w:val="20"/>
                <w:color w:val="auto"/>
              </w:rPr>
            </w:pPr>
            <w:r>
              <w:rPr>
                <w:rFonts w:ascii="Arial" w:cs="Arial" w:eastAsia="Arial" w:hAnsi="Arial"/>
                <w:sz w:val="14"/>
                <w:szCs w:val="14"/>
                <w:b w:val="1"/>
                <w:bCs w:val="1"/>
                <w:color w:val="auto"/>
              </w:rPr>
              <w:t>2019</w:t>
            </w:r>
          </w:p>
        </w:tc>
      </w:tr>
      <w:tr>
        <w:trPr>
          <w:trHeight w:val="22"/>
        </w:trPr>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7"/>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620"/>
              <w:spacing w:after="0"/>
              <w:rPr>
                <w:sz w:val="20"/>
                <w:szCs w:val="20"/>
                <w:color w:val="auto"/>
              </w:rPr>
            </w:pPr>
            <w:r>
              <w:rPr>
                <w:rFonts w:ascii="Arial" w:cs="Arial" w:eastAsia="Arial" w:hAnsi="Arial"/>
                <w:sz w:val="13"/>
                <w:szCs w:val="13"/>
                <w:i w:val="1"/>
                <w:iCs w:val="1"/>
                <w:color w:val="auto"/>
              </w:rPr>
              <w:t>(Dollars in thousands)</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6"/>
        </w:trPr>
        <w:tc>
          <w:tcPr>
            <w:tcW w:w="354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2"/>
        </w:trPr>
        <w:tc>
          <w:tcPr>
            <w:tcW w:w="3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5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1"/>
        </w:trPr>
        <w:tc>
          <w:tcPr>
            <w:tcW w:w="2300" w:type="dxa"/>
            <w:vAlign w:val="bottom"/>
          </w:tcPr>
          <w:p>
            <w:pPr>
              <w:ind w:left="80"/>
              <w:spacing w:after="0"/>
              <w:rPr>
                <w:sz w:val="20"/>
                <w:szCs w:val="20"/>
                <w:color w:val="auto"/>
              </w:rPr>
            </w:pPr>
            <w:r>
              <w:rPr>
                <w:rFonts w:ascii="Arial" w:cs="Arial" w:eastAsia="Arial" w:hAnsi="Arial"/>
                <w:sz w:val="14"/>
                <w:szCs w:val="14"/>
                <w:color w:val="auto"/>
              </w:rPr>
              <w:t>Interest rate products</w:t>
            </w: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580" w:type="dxa"/>
            <w:vAlign w:val="bottom"/>
          </w:tcPr>
          <w:p>
            <w:pPr>
              <w:ind w:left="4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28,041</w:t>
            </w:r>
          </w:p>
        </w:tc>
        <w:tc>
          <w:tcPr>
            <w:tcW w:w="3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Pr>
          <w:p>
            <w:pPr>
              <w:ind w:left="680"/>
              <w:spacing w:after="0"/>
              <w:rPr>
                <w:sz w:val="20"/>
                <w:szCs w:val="20"/>
                <w:color w:val="auto"/>
              </w:rPr>
            </w:pPr>
            <w:r>
              <w:rPr>
                <w:rFonts w:ascii="Arial" w:cs="Arial" w:eastAsia="Arial" w:hAnsi="Arial"/>
                <w:sz w:val="14"/>
                <w:szCs w:val="14"/>
                <w:color w:val="auto"/>
              </w:rPr>
              <w:t>9,838</w:t>
            </w:r>
          </w:p>
        </w:tc>
        <w:tc>
          <w:tcPr>
            <w:tcW w:w="80" w:type="dxa"/>
            <w:vAlign w:val="bottom"/>
          </w:tcPr>
          <w:p>
            <w:pPr>
              <w:spacing w:after="0"/>
              <w:rPr>
                <w:sz w:val="16"/>
                <w:szCs w:val="16"/>
                <w:color w:val="auto"/>
              </w:rPr>
            </w:pPr>
          </w:p>
        </w:tc>
        <w:tc>
          <w:tcPr>
            <w:tcW w:w="1440" w:type="dxa"/>
            <w:vAlign w:val="bottom"/>
            <w:gridSpan w:val="3"/>
          </w:tcPr>
          <w:p>
            <w:pPr>
              <w:jc w:val="right"/>
              <w:ind w:right="469"/>
              <w:spacing w:after="0"/>
              <w:rPr>
                <w:sz w:val="20"/>
                <w:szCs w:val="20"/>
                <w:color w:val="auto"/>
              </w:rPr>
            </w:pPr>
            <w:r>
              <w:rPr>
                <w:rFonts w:ascii="Arial" w:cs="Arial" w:eastAsia="Arial" w:hAnsi="Arial"/>
                <w:sz w:val="14"/>
                <w:szCs w:val="14"/>
                <w:color w:val="auto"/>
                <w:w w:val="95"/>
              </w:rPr>
              <w:t>Other liabilities</w:t>
            </w:r>
          </w:p>
        </w:tc>
        <w:tc>
          <w:tcPr>
            <w:tcW w:w="5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28,139</w:t>
            </w:r>
          </w:p>
        </w:tc>
        <w:tc>
          <w:tcPr>
            <w:tcW w:w="3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9,907</w:t>
            </w:r>
          </w:p>
        </w:tc>
      </w:tr>
    </w:tbl>
    <w:p>
      <w:pPr>
        <w:spacing w:after="0" w:line="138" w:lineRule="exact"/>
        <w:rPr>
          <w:sz w:val="20"/>
          <w:szCs w:val="20"/>
          <w:color w:val="auto"/>
        </w:rPr>
      </w:pPr>
    </w:p>
    <w:p>
      <w:pPr>
        <w:ind w:left="120" w:right="120" w:firstLine="382"/>
        <w:spacing w:after="0" w:line="281" w:lineRule="auto"/>
        <w:rPr>
          <w:sz w:val="20"/>
          <w:szCs w:val="20"/>
          <w:color w:val="auto"/>
        </w:rPr>
      </w:pPr>
      <w:r>
        <w:rPr>
          <w:rFonts w:ascii="Arial" w:cs="Arial" w:eastAsia="Arial" w:hAnsi="Arial"/>
          <w:sz w:val="14"/>
          <w:szCs w:val="14"/>
          <w:color w:val="auto"/>
        </w:rPr>
        <w:t>The effect of the Company’s derivative financial instruments that are not designated as hedging instruments are reported on the Statements of Income as swap fee income, net. The effect of the Company’s derivative financial instruments gain and loss are reported on the Statements of Cash Flows within other assets and other liabilities.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tables below show a gross presentation, the effects of offsetting, and a net presentation of the Company’s derivatives as of March 31, 2020 and December 31, 2019:</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28575</wp:posOffset>
            </wp:positionV>
            <wp:extent cx="708088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0885" cy="6985"/>
                    </a:xfrm>
                    <a:prstGeom prst="rect">
                      <a:avLst/>
                    </a:prstGeom>
                    <a:noFill/>
                  </pic:spPr>
                </pic:pic>
              </a:graphicData>
            </a:graphic>
          </wp:anchor>
        </w:drawing>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3"/>
          <w:szCs w:val="13"/>
          <w:i w:val="1"/>
          <w:iCs w:val="1"/>
          <w:color w:val="auto"/>
        </w:rPr>
        <w:t>(Dollars in thousands)</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7"/>
          </w:tcPr>
          <w:p>
            <w:pPr>
              <w:jc w:val="center"/>
              <w:ind w:right="9"/>
              <w:spacing w:after="0"/>
              <w:rPr>
                <w:sz w:val="20"/>
                <w:szCs w:val="20"/>
                <w:color w:val="auto"/>
              </w:rPr>
            </w:pPr>
            <w:r>
              <w:rPr>
                <w:rFonts w:ascii="Arial" w:cs="Arial" w:eastAsia="Arial" w:hAnsi="Arial"/>
                <w:sz w:val="14"/>
                <w:szCs w:val="14"/>
                <w:b w:val="1"/>
                <w:bCs w:val="1"/>
                <w:color w:val="auto"/>
                <w:w w:val="90"/>
              </w:rPr>
              <w:t>Gross Amounts Not Offset in the Statement of Financial Position</w:t>
            </w: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Gross Amounts of</w:t>
            </w:r>
          </w:p>
        </w:tc>
        <w:tc>
          <w:tcPr>
            <w:tcW w:w="17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9"/>
              </w:rPr>
              <w:t>Gross Amounts Offset in</w:t>
            </w:r>
          </w:p>
        </w:tc>
        <w:tc>
          <w:tcPr>
            <w:tcW w:w="1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Recognized Assets and</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the Statement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presented in the Statement</w:t>
            </w:r>
          </w:p>
        </w:tc>
        <w:tc>
          <w:tcPr>
            <w:tcW w:w="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Cash Collateral</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Financial Position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 Financial Position</w:t>
            </w:r>
          </w:p>
        </w:tc>
        <w:tc>
          <w:tcPr>
            <w:tcW w:w="80" w:type="dxa"/>
            <w:vAlign w:val="bottom"/>
          </w:tcPr>
          <w:p>
            <w:pPr>
              <w:spacing w:after="0"/>
              <w:rPr>
                <w:sz w:val="16"/>
                <w:szCs w:val="16"/>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Received</w:t>
            </w:r>
          </w:p>
        </w:tc>
        <w:tc>
          <w:tcPr>
            <w:tcW w:w="18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2"/>
        </w:trPr>
        <w:tc>
          <w:tcPr>
            <w:tcW w:w="1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5"/>
              </w:rPr>
              <w:t>Offsetting of derivative assets</w:t>
            </w:r>
          </w:p>
        </w:tc>
        <w:tc>
          <w:tcPr>
            <w:tcW w:w="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160"/>
              <w:spacing w:after="0"/>
              <w:rPr>
                <w:sz w:val="20"/>
                <w:szCs w:val="20"/>
                <w:color w:val="auto"/>
              </w:rPr>
            </w:pPr>
            <w:r>
              <w:rPr>
                <w:rFonts w:ascii="Arial" w:cs="Arial" w:eastAsia="Arial" w:hAnsi="Arial"/>
                <w:sz w:val="14"/>
                <w:szCs w:val="14"/>
                <w:color w:val="auto"/>
              </w:rPr>
              <w:t>Derivatives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28,041</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Pr>
          <w:p>
            <w:pPr>
              <w:ind w:left="1120"/>
              <w:spacing w:after="0"/>
              <w:rPr>
                <w:sz w:val="20"/>
                <w:szCs w:val="20"/>
                <w:color w:val="auto"/>
              </w:rPr>
            </w:pPr>
            <w:r>
              <w:rPr>
                <w:rFonts w:ascii="Arial" w:cs="Arial" w:eastAsia="Arial" w:hAnsi="Arial"/>
                <w:sz w:val="14"/>
                <w:szCs w:val="14"/>
                <w:color w:val="auto"/>
                <w:w w:val="85"/>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9"/>
              <w:spacing w:after="0"/>
              <w:rPr>
                <w:sz w:val="20"/>
                <w:szCs w:val="20"/>
                <w:color w:val="auto"/>
              </w:rPr>
            </w:pPr>
            <w:r>
              <w:rPr>
                <w:rFonts w:ascii="Arial" w:cs="Arial" w:eastAsia="Arial" w:hAnsi="Arial"/>
                <w:sz w:val="14"/>
                <w:szCs w:val="14"/>
                <w:color w:val="auto"/>
              </w:rPr>
              <w:t>28,041</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28,034</w:t>
            </w:r>
          </w:p>
        </w:tc>
        <w:tc>
          <w:tcPr>
            <w:tcW w:w="0" w:type="dxa"/>
            <w:vAlign w:val="bottom"/>
          </w:tcPr>
          <w:p>
            <w:pPr>
              <w:spacing w:after="0"/>
              <w:rPr>
                <w:sz w:val="1"/>
                <w:szCs w:val="1"/>
                <w:color w:val="auto"/>
              </w:rPr>
            </w:pPr>
          </w:p>
        </w:tc>
      </w:tr>
      <w:tr>
        <w:trPr>
          <w:trHeight w:val="22"/>
        </w:trPr>
        <w:tc>
          <w:tcPr>
            <w:tcW w:w="20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1"/>
              </w:rPr>
              <w:t>Offsetting of derivative liabilities</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160"/>
              <w:spacing w:after="0"/>
              <w:rPr>
                <w:sz w:val="20"/>
                <w:szCs w:val="20"/>
                <w:color w:val="auto"/>
              </w:rPr>
            </w:pPr>
            <w:r>
              <w:rPr>
                <w:rFonts w:ascii="Arial" w:cs="Arial" w:eastAsia="Arial" w:hAnsi="Arial"/>
                <w:sz w:val="14"/>
                <w:szCs w:val="14"/>
                <w:color w:val="auto"/>
              </w:rPr>
              <w:t>Derivatives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28,139</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Pr>
          <w:p>
            <w:pPr>
              <w:ind w:left="1120"/>
              <w:spacing w:after="0"/>
              <w:rPr>
                <w:sz w:val="20"/>
                <w:szCs w:val="20"/>
                <w:color w:val="auto"/>
              </w:rPr>
            </w:pPr>
            <w:r>
              <w:rPr>
                <w:rFonts w:ascii="Arial" w:cs="Arial" w:eastAsia="Arial" w:hAnsi="Arial"/>
                <w:sz w:val="14"/>
                <w:szCs w:val="14"/>
                <w:color w:val="auto"/>
                <w:w w:val="85"/>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9"/>
              <w:spacing w:after="0"/>
              <w:rPr>
                <w:sz w:val="20"/>
                <w:szCs w:val="20"/>
                <w:color w:val="auto"/>
              </w:rPr>
            </w:pPr>
            <w:r>
              <w:rPr>
                <w:rFonts w:ascii="Arial" w:cs="Arial" w:eastAsia="Arial" w:hAnsi="Arial"/>
                <w:sz w:val="14"/>
                <w:szCs w:val="14"/>
                <w:color w:val="auto"/>
              </w:rPr>
              <w:t>28,139</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28,132</w:t>
            </w:r>
          </w:p>
        </w:tc>
        <w:tc>
          <w:tcPr>
            <w:tcW w:w="0" w:type="dxa"/>
            <w:vAlign w:val="bottom"/>
          </w:tcPr>
          <w:p>
            <w:pPr>
              <w:spacing w:after="0"/>
              <w:rPr>
                <w:sz w:val="1"/>
                <w:szCs w:val="1"/>
                <w:color w:val="auto"/>
              </w:rPr>
            </w:pPr>
          </w:p>
        </w:tc>
      </w:tr>
      <w:tr>
        <w:trPr>
          <w:trHeight w:val="679"/>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gridSpan w:val="5"/>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gridSpan w:val="7"/>
          </w:tcPr>
          <w:p>
            <w:pPr>
              <w:jc w:val="center"/>
              <w:ind w:right="9"/>
              <w:spacing w:after="0"/>
              <w:rPr>
                <w:sz w:val="20"/>
                <w:szCs w:val="20"/>
                <w:color w:val="auto"/>
              </w:rPr>
            </w:pPr>
            <w:r>
              <w:rPr>
                <w:rFonts w:ascii="Arial" w:cs="Arial" w:eastAsia="Arial" w:hAnsi="Arial"/>
                <w:sz w:val="14"/>
                <w:szCs w:val="14"/>
                <w:b w:val="1"/>
                <w:bCs w:val="1"/>
                <w:color w:val="auto"/>
                <w:w w:val="90"/>
              </w:rPr>
              <w:t>Gross Amounts Not Offset in the Statement of Financial Position</w:t>
            </w: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Gross Amounts of</w:t>
            </w:r>
          </w:p>
        </w:tc>
        <w:tc>
          <w:tcPr>
            <w:tcW w:w="17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9"/>
              </w:rPr>
              <w:t>Gross Amounts Offset in</w:t>
            </w:r>
          </w:p>
        </w:tc>
        <w:tc>
          <w:tcPr>
            <w:tcW w:w="1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Recognized Assets and</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the Statement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presented in the Statement</w:t>
            </w:r>
          </w:p>
        </w:tc>
        <w:tc>
          <w:tcPr>
            <w:tcW w:w="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Cash Collateral</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Financial Position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 Financial Position</w:t>
            </w:r>
          </w:p>
        </w:tc>
        <w:tc>
          <w:tcPr>
            <w:tcW w:w="80" w:type="dxa"/>
            <w:vAlign w:val="bottom"/>
          </w:tcPr>
          <w:p>
            <w:pPr>
              <w:spacing w:after="0"/>
              <w:rPr>
                <w:sz w:val="16"/>
                <w:szCs w:val="16"/>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Received</w:t>
            </w:r>
          </w:p>
        </w:tc>
        <w:tc>
          <w:tcPr>
            <w:tcW w:w="18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2"/>
        </w:trPr>
        <w:tc>
          <w:tcPr>
            <w:tcW w:w="1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5"/>
              </w:rPr>
              <w:t>Offsetting of derivative assets</w:t>
            </w:r>
          </w:p>
        </w:tc>
        <w:tc>
          <w:tcPr>
            <w:tcW w:w="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160"/>
              <w:spacing w:after="0"/>
              <w:rPr>
                <w:sz w:val="20"/>
                <w:szCs w:val="20"/>
                <w:color w:val="auto"/>
              </w:rPr>
            </w:pPr>
            <w:r>
              <w:rPr>
                <w:rFonts w:ascii="Arial" w:cs="Arial" w:eastAsia="Arial" w:hAnsi="Arial"/>
                <w:sz w:val="14"/>
                <w:szCs w:val="14"/>
                <w:color w:val="auto"/>
              </w:rPr>
              <w:t>Derivatives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9,838</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Pr>
          <w:p>
            <w:pPr>
              <w:ind w:left="1120"/>
              <w:spacing w:after="0"/>
              <w:rPr>
                <w:sz w:val="20"/>
                <w:szCs w:val="20"/>
                <w:color w:val="auto"/>
              </w:rPr>
            </w:pPr>
            <w:r>
              <w:rPr>
                <w:rFonts w:ascii="Arial" w:cs="Arial" w:eastAsia="Arial" w:hAnsi="Arial"/>
                <w:sz w:val="14"/>
                <w:szCs w:val="14"/>
                <w:color w:val="auto"/>
                <w:w w:val="85"/>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9"/>
              <w:spacing w:after="0"/>
              <w:rPr>
                <w:sz w:val="20"/>
                <w:szCs w:val="20"/>
                <w:color w:val="auto"/>
              </w:rPr>
            </w:pPr>
            <w:r>
              <w:rPr>
                <w:rFonts w:ascii="Arial" w:cs="Arial" w:eastAsia="Arial" w:hAnsi="Arial"/>
                <w:sz w:val="14"/>
                <w:szCs w:val="14"/>
                <w:color w:val="auto"/>
              </w:rPr>
              <w:t>9,838</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22"/>
        </w:trPr>
        <w:tc>
          <w:tcPr>
            <w:tcW w:w="20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1"/>
              </w:rPr>
              <w:t>Offsetting of derivative liabilities</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160"/>
              <w:spacing w:after="0"/>
              <w:rPr>
                <w:sz w:val="20"/>
                <w:szCs w:val="20"/>
                <w:color w:val="auto"/>
              </w:rPr>
            </w:pPr>
            <w:r>
              <w:rPr>
                <w:rFonts w:ascii="Arial" w:cs="Arial" w:eastAsia="Arial" w:hAnsi="Arial"/>
                <w:sz w:val="14"/>
                <w:szCs w:val="14"/>
                <w:color w:val="auto"/>
              </w:rPr>
              <w:t>Derivatives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9,907</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Pr>
          <w:p>
            <w:pPr>
              <w:ind w:left="1120"/>
              <w:spacing w:after="0"/>
              <w:rPr>
                <w:sz w:val="20"/>
                <w:szCs w:val="20"/>
                <w:color w:val="auto"/>
              </w:rPr>
            </w:pPr>
            <w:r>
              <w:rPr>
                <w:rFonts w:ascii="Arial" w:cs="Arial" w:eastAsia="Arial" w:hAnsi="Arial"/>
                <w:sz w:val="14"/>
                <w:szCs w:val="14"/>
                <w:color w:val="auto"/>
                <w:w w:val="85"/>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9"/>
              <w:spacing w:after="0"/>
              <w:rPr>
                <w:sz w:val="20"/>
                <w:szCs w:val="20"/>
                <w:color w:val="auto"/>
              </w:rPr>
            </w:pPr>
            <w:r>
              <w:rPr>
                <w:rFonts w:ascii="Arial" w:cs="Arial" w:eastAsia="Arial" w:hAnsi="Arial"/>
                <w:sz w:val="14"/>
                <w:szCs w:val="14"/>
                <w:color w:val="auto"/>
              </w:rPr>
              <w:t>9,907</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9,810</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net presentation above can be reconciled to the tabular disclosure of fair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9" w:name="page30"/>
    <w:bookmarkEnd w:id="29"/>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140" w:right="240" w:firstLine="382"/>
        <w:spacing w:after="0" w:line="321" w:lineRule="auto"/>
        <w:rPr>
          <w:sz w:val="20"/>
          <w:szCs w:val="20"/>
          <w:color w:val="auto"/>
        </w:rPr>
      </w:pPr>
      <w:r>
        <w:rPr>
          <w:rFonts w:ascii="Arial" w:cs="Arial" w:eastAsia="Arial" w:hAnsi="Arial"/>
          <w:sz w:val="13"/>
          <w:szCs w:val="13"/>
          <w:color w:val="auto"/>
        </w:rPr>
        <w:t>As of March 31, 2020, the Company had minimum collateral posting thresholds with certain of its derivative counter-parties and had posted collateral of $30 million. If the Company had breached any of these provisions at March 31, 2020, it could have been required to settle its obligations under the agreements at their termination value of $28 million.</w:t>
      </w:r>
    </w:p>
    <w:p>
      <w:pPr>
        <w:spacing w:after="0" w:line="38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Time Deposits and Borrowings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scheduled maturities, excluding interest, of the Company’s borrowings at March 31, 2020 were as follows:</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Two to Three</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Three to Four</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Four to Five</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Within One Year</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One to Two Years</w:t>
            </w: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After Five Years</w:t>
            </w:r>
          </w:p>
        </w:tc>
        <w:tc>
          <w:tcPr>
            <w:tcW w:w="260" w:type="dxa"/>
            <w:vAlign w:val="bottom"/>
          </w:tcPr>
          <w:p>
            <w:pPr>
              <w:spacing w:after="0"/>
              <w:rPr>
                <w:sz w:val="16"/>
                <w:szCs w:val="16"/>
                <w:color w:val="auto"/>
              </w:rPr>
            </w:pPr>
          </w:p>
        </w:tc>
        <w:tc>
          <w:tcPr>
            <w:tcW w:w="900" w:type="dxa"/>
            <w:vAlign w:val="bottom"/>
          </w:tcPr>
          <w:p>
            <w:pPr>
              <w:jc w:val="right"/>
              <w:ind w:right="3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i w:val="1"/>
                <w:iCs w:val="1"/>
                <w:color w:val="auto"/>
                <w:w w:val="94"/>
              </w:rPr>
              <w:t>(Dollars in thousands)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Time deposits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830,347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119,398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105,246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39,557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8,394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120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1,103,062</w:t>
            </w:r>
          </w:p>
        </w:tc>
        <w:tc>
          <w:tcPr>
            <w:tcW w:w="0" w:type="dxa"/>
            <w:vAlign w:val="bottom"/>
          </w:tcPr>
          <w:p>
            <w:pPr>
              <w:spacing w:after="0"/>
              <w:rPr>
                <w:sz w:val="1"/>
                <w:szCs w:val="1"/>
                <w:color w:val="auto"/>
              </w:rPr>
            </w:pPr>
          </w:p>
        </w:tc>
      </w:tr>
      <w:tr>
        <w:trPr>
          <w:trHeight w:val="138"/>
        </w:trPr>
        <w:tc>
          <w:tcPr>
            <w:tcW w:w="2620" w:type="dxa"/>
            <w:vAlign w:val="bottom"/>
          </w:tcPr>
          <w:p>
            <w:pPr>
              <w:spacing w:after="0" w:line="138" w:lineRule="exact"/>
              <w:rPr>
                <w:sz w:val="20"/>
                <w:szCs w:val="20"/>
                <w:color w:val="auto"/>
              </w:rPr>
            </w:pPr>
            <w:r>
              <w:rPr>
                <w:rFonts w:ascii="Arial" w:cs="Arial" w:eastAsia="Arial" w:hAnsi="Arial"/>
                <w:sz w:val="14"/>
                <w:szCs w:val="14"/>
                <w:color w:val="auto"/>
              </w:rPr>
              <w:t>Fed funds purchased &amp; repurchase</w:t>
            </w:r>
          </w:p>
        </w:tc>
        <w:tc>
          <w:tcPr>
            <w:tcW w:w="300" w:type="dxa"/>
            <w:vAlign w:val="bottom"/>
          </w:tcPr>
          <w:p>
            <w:pPr>
              <w:spacing w:after="0"/>
              <w:rPr>
                <w:sz w:val="11"/>
                <w:szCs w:val="11"/>
                <w:color w:val="auto"/>
              </w:rPr>
            </w:pPr>
          </w:p>
        </w:tc>
        <w:tc>
          <w:tcPr>
            <w:tcW w:w="820" w:type="dxa"/>
            <w:vAlign w:val="bottom"/>
            <w:vMerge w:val="restart"/>
          </w:tcPr>
          <w:p>
            <w:pPr>
              <w:jc w:val="right"/>
              <w:ind w:right="69"/>
              <w:spacing w:after="0"/>
              <w:rPr>
                <w:sz w:val="20"/>
                <w:szCs w:val="20"/>
                <w:color w:val="auto"/>
              </w:rPr>
            </w:pPr>
            <w:r>
              <w:rPr>
                <w:rFonts w:ascii="Arial" w:cs="Arial" w:eastAsia="Arial" w:hAnsi="Arial"/>
                <w:sz w:val="14"/>
                <w:szCs w:val="14"/>
                <w:color w:val="auto"/>
              </w:rPr>
              <w:t>38,946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38,946</w:t>
            </w:r>
          </w:p>
        </w:tc>
        <w:tc>
          <w:tcPr>
            <w:tcW w:w="0" w:type="dxa"/>
            <w:vAlign w:val="bottom"/>
          </w:tcPr>
          <w:p>
            <w:pPr>
              <w:spacing w:after="0"/>
              <w:rPr>
                <w:sz w:val="1"/>
                <w:szCs w:val="1"/>
                <w:color w:val="auto"/>
              </w:rPr>
            </w:pPr>
          </w:p>
        </w:tc>
      </w:tr>
      <w:tr>
        <w:trPr>
          <w:trHeight w:val="180"/>
        </w:trPr>
        <w:tc>
          <w:tcPr>
            <w:tcW w:w="2620" w:type="dxa"/>
            <w:vAlign w:val="bottom"/>
          </w:tcPr>
          <w:p>
            <w:pPr>
              <w:ind w:left="140"/>
              <w:spacing w:after="0"/>
              <w:rPr>
                <w:sz w:val="20"/>
                <w:szCs w:val="20"/>
                <w:color w:val="auto"/>
              </w:rPr>
            </w:pPr>
            <w:r>
              <w:rPr>
                <w:rFonts w:ascii="Arial" w:cs="Arial" w:eastAsia="Arial" w:hAnsi="Arial"/>
                <w:sz w:val="14"/>
                <w:szCs w:val="14"/>
                <w:color w:val="auto"/>
              </w:rPr>
              <w:t>agreements</w:t>
            </w: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FHLB borrowings</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85,000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51,500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11,080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35,000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220,100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402,680</w:t>
            </w:r>
          </w:p>
        </w:tc>
        <w:tc>
          <w:tcPr>
            <w:tcW w:w="0" w:type="dxa"/>
            <w:vAlign w:val="bottom"/>
          </w:tcPr>
          <w:p>
            <w:pPr>
              <w:spacing w:after="0"/>
              <w:rPr>
                <w:sz w:val="1"/>
                <w:szCs w:val="1"/>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4"/>
                <w:szCs w:val="14"/>
                <w:color w:val="auto"/>
              </w:rPr>
              <w:t>Trust preferred securities</w:t>
            </w:r>
            <w:r>
              <w:rPr>
                <w:rFonts w:ascii="Arial" w:cs="Arial" w:eastAsia="Arial" w:hAnsi="Arial"/>
                <w:sz w:val="18"/>
                <w:szCs w:val="18"/>
                <w:color w:val="auto"/>
                <w:vertAlign w:val="superscript"/>
              </w:rPr>
              <w:t>(1)</w:t>
            </w:r>
          </w:p>
        </w:tc>
        <w:tc>
          <w:tcPr>
            <w:tcW w:w="3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931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28"/>
        </w:trPr>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954,293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170,898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116,326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74,557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8,394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221,151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1,545,619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hanging="108"/>
        <w:spacing w:after="0"/>
        <w:tabs>
          <w:tab w:leader="none" w:pos="240"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The contract value of the trust preferred securities is $2.5 million and is currently being accreted to the maturity date of 2035.</w:t>
      </w:r>
    </w:p>
    <w:p>
      <w:pPr>
        <w:spacing w:after="0" w:line="39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Change in Accumulated Other Comprehensive Income (“AOCI”)</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Amounts reclassified from AOCI and the affected line items in the consolidated Statements of Income during the three months ended March 31, 2020 and 2019, were as follows:</w:t>
      </w:r>
    </w:p>
    <w:p>
      <w:pPr>
        <w:spacing w:after="0" w:line="186"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Three Months Ended</w:t>
      </w:r>
    </w:p>
    <w:p>
      <w:pPr>
        <w:sectPr>
          <w:pgSz w:w="11900" w:h="16838" w:orient="portrait"/>
          <w:cols w:equalWidth="0" w:num="1">
            <w:col w:w="11280"/>
          </w:cols>
          <w:pgMar w:left="300" w:top="171" w:right="319" w:bottom="1440" w:gutter="0" w:footer="0" w:header="0"/>
        </w:sectPr>
      </w:pPr>
    </w:p>
    <w:p>
      <w:pPr>
        <w:spacing w:after="0" w:line="51" w:lineRule="exact"/>
        <w:rPr>
          <w:sz w:val="20"/>
          <w:szCs w:val="20"/>
          <w:color w:val="auto"/>
        </w:rPr>
      </w:pPr>
    </w:p>
    <w:p>
      <w:pPr>
        <w:jc w:val="center"/>
        <w:ind w:left="38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28575</wp:posOffset>
            </wp:positionV>
            <wp:extent cx="172466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42" w:lineRule="exact"/>
        <w:rPr>
          <w:sz w:val="20"/>
          <w:szCs w:val="20"/>
          <w:color w:val="auto"/>
        </w:rPr>
      </w:pPr>
    </w:p>
    <w:p>
      <w:pPr>
        <w:ind w:left="5000"/>
        <w:spacing w:after="0"/>
        <w:tabs>
          <w:tab w:leader="none" w:pos="638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35560</wp:posOffset>
            </wp:positionV>
            <wp:extent cx="172466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Affected Line Item in the</w:t>
      </w:r>
    </w:p>
    <w:p>
      <w:pPr>
        <w:spacing w:after="0" w:line="85"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28575</wp:posOffset>
            </wp:positionV>
            <wp:extent cx="253301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33015" cy="698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7820" w:space="720"/>
            <w:col w:w="2740"/>
          </w:cols>
          <w:pgMar w:left="300" w:top="171" w:right="319" w:bottom="1440" w:gutter="0" w:footer="0" w:header="0"/>
          <w:type w:val="continuous"/>
        </w:sectPr>
      </w:pPr>
    </w:p>
    <w:tbl>
      <w:tblPr>
        <w:tblLayout w:type="fixed"/>
        <w:tblInd w:w="1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189"/>
              <w:spacing w:after="0"/>
              <w:rPr>
                <w:sz w:val="20"/>
                <w:szCs w:val="20"/>
                <w:color w:val="auto"/>
              </w:rPr>
            </w:pPr>
            <w:r>
              <w:rPr>
                <w:rFonts w:ascii="Arial" w:cs="Arial" w:eastAsia="Arial" w:hAnsi="Arial"/>
                <w:sz w:val="13"/>
                <w:szCs w:val="13"/>
                <w:i w:val="1"/>
                <w:iCs w:val="1"/>
                <w:color w:val="auto"/>
              </w:rPr>
              <w:t>(Dollars in thousands)</w:t>
            </w:r>
          </w:p>
        </w:tc>
        <w:tc>
          <w:tcPr>
            <w:tcW w:w="52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26"/>
        </w:trPr>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12"/>
        </w:trPr>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gains on available-for-sale securities</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53</w:t>
            </w:r>
          </w:p>
        </w:tc>
        <w:tc>
          <w:tcPr>
            <w:tcW w:w="4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on sale of available-for-sale securities</w:t>
            </w:r>
          </w:p>
        </w:tc>
      </w:tr>
      <w:tr>
        <w:trPr>
          <w:trHeight w:val="181"/>
        </w:trPr>
        <w:tc>
          <w:tcPr>
            <w:tcW w:w="4360" w:type="dxa"/>
            <w:vAlign w:val="bottom"/>
          </w:tcPr>
          <w:p>
            <w:pPr>
              <w:spacing w:after="0"/>
              <w:rPr>
                <w:sz w:val="20"/>
                <w:szCs w:val="20"/>
                <w:color w:val="auto"/>
              </w:rPr>
            </w:pPr>
            <w:r>
              <w:rPr>
                <w:rFonts w:ascii="Arial" w:cs="Arial" w:eastAsia="Arial" w:hAnsi="Arial"/>
                <w:sz w:val="14"/>
                <w:szCs w:val="14"/>
                <w:color w:val="auto"/>
              </w:rPr>
              <w:t>Amount reclassified before tax</w:t>
            </w:r>
          </w:p>
        </w:tc>
        <w:tc>
          <w:tcPr>
            <w:tcW w:w="42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53</w:t>
            </w:r>
          </w:p>
        </w:tc>
        <w:tc>
          <w:tcPr>
            <w:tcW w:w="4080" w:type="dxa"/>
            <w:vAlign w:val="bottom"/>
          </w:tcPr>
          <w:p>
            <w:pPr>
              <w:spacing w:after="0"/>
              <w:rPr>
                <w:sz w:val="15"/>
                <w:szCs w:val="15"/>
                <w:color w:val="auto"/>
              </w:rPr>
            </w:pPr>
          </w:p>
        </w:tc>
      </w:tr>
      <w:tr>
        <w:trPr>
          <w:trHeight w:val="22"/>
        </w:trPr>
        <w:tc>
          <w:tcPr>
            <w:tcW w:w="4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12"/>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tax effect</w:t>
            </w:r>
          </w:p>
        </w:tc>
        <w:tc>
          <w:tcPr>
            <w:tcW w:w="4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w:t>
            </w:r>
          </w:p>
        </w:tc>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Income tax expense</w:t>
            </w:r>
          </w:p>
        </w:tc>
      </w:tr>
      <w:tr>
        <w:trPr>
          <w:trHeight w:val="203"/>
        </w:trPr>
        <w:tc>
          <w:tcPr>
            <w:tcW w:w="4360" w:type="dxa"/>
            <w:vAlign w:val="bottom"/>
          </w:tcPr>
          <w:p>
            <w:pPr>
              <w:ind w:left="80"/>
              <w:spacing w:after="0"/>
              <w:rPr>
                <w:sz w:val="20"/>
                <w:szCs w:val="20"/>
                <w:color w:val="auto"/>
              </w:rPr>
            </w:pPr>
            <w:r>
              <w:rPr>
                <w:rFonts w:ascii="Arial" w:cs="Arial" w:eastAsia="Arial" w:hAnsi="Arial"/>
                <w:sz w:val="14"/>
                <w:szCs w:val="14"/>
                <w:color w:val="auto"/>
              </w:rPr>
              <w:t>Net reclassified amount</w:t>
            </w: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40</w:t>
            </w:r>
          </w:p>
        </w:tc>
        <w:tc>
          <w:tcPr>
            <w:tcW w:w="408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Regulatory Matters</w:t>
      </w:r>
    </w:p>
    <w:p>
      <w:pPr>
        <w:spacing w:after="0" w:line="133" w:lineRule="exact"/>
        <w:rPr>
          <w:sz w:val="20"/>
          <w:szCs w:val="20"/>
          <w:color w:val="auto"/>
        </w:rPr>
      </w:pPr>
    </w:p>
    <w:p>
      <w:pPr>
        <w:ind w:left="140" w:right="180" w:firstLine="382"/>
        <w:spacing w:after="0" w:line="297" w:lineRule="auto"/>
        <w:rPr>
          <w:sz w:val="20"/>
          <w:szCs w:val="20"/>
          <w:color w:val="auto"/>
        </w:rPr>
      </w:pPr>
      <w:r>
        <w:rPr>
          <w:rFonts w:ascii="Arial" w:cs="Arial" w:eastAsia="Arial" w:hAnsi="Arial"/>
          <w:sz w:val="13"/>
          <w:szCs w:val="13"/>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March 31, 2020, the Company and the Bank met all capital adequacy requirements to which they are subject.</w:t>
      </w:r>
    </w:p>
    <w:p>
      <w:pPr>
        <w:spacing w:after="0" w:line="82" w:lineRule="exact"/>
        <w:rPr>
          <w:sz w:val="20"/>
          <w:szCs w:val="20"/>
          <w:color w:val="auto"/>
        </w:rPr>
      </w:pPr>
    </w:p>
    <w:p>
      <w:pPr>
        <w:ind w:left="140" w:right="60" w:firstLine="382"/>
        <w:spacing w:after="0" w:line="297" w:lineRule="auto"/>
        <w:rPr>
          <w:sz w:val="20"/>
          <w:szCs w:val="20"/>
          <w:color w:val="auto"/>
        </w:rPr>
      </w:pPr>
      <w:r>
        <w:rPr>
          <w:rFonts w:ascii="Arial" w:cs="Arial" w:eastAsia="Arial" w:hAnsi="Arial"/>
          <w:sz w:val="13"/>
          <w:szCs w:val="13"/>
          <w:color w:val="auto"/>
        </w:rPr>
        <w:t>The capital rules require us to maintain a 2.5% capital conservation buffer with respect to common equity tier I capital, tier I capital to risk-weighted assets, and total capital to risk-weighted assets, which is included in the column “Minimum Capital Required - Basel III Fully Phased-In” within the table below. A financial institution with a conservation buffer of less than the required amount is subject to limitations on capital distributions, including dividend payments and stock repurchases, as well as certain discretionary bonus payments to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type w:val="continuous"/>
        </w:sectPr>
      </w:pPr>
    </w:p>
    <w:bookmarkStart w:id="30" w:name="page31"/>
    <w:bookmarkEnd w:id="30"/>
    <w:p>
      <w:pPr>
        <w:spacing w:after="0"/>
        <w:tabs>
          <w:tab w:leader="none" w:pos="404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Company’s and the Bank’s actual capital amounts and ratios as of March 31, 2020 and December 31, 2019 are presented in the following table:</w:t>
      </w:r>
    </w:p>
    <w:p>
      <w:pPr>
        <w:spacing w:after="0" w:line="200" w:lineRule="exact"/>
        <w:rPr>
          <w:sz w:val="20"/>
          <w:szCs w:val="20"/>
          <w:color w:val="auto"/>
        </w:rPr>
      </w:pP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Minimum Capital Required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0"/>
              </w:rPr>
              <w:t>Required to be Considered Well</w:t>
            </w:r>
          </w:p>
        </w:tc>
      </w:tr>
      <w:tr>
        <w:trPr>
          <w:trHeight w:val="184"/>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b w:val="1"/>
                <w:bCs w:val="1"/>
                <w:color w:val="auto"/>
              </w:rPr>
              <w:t>Actual</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Basel III Fully Phased-In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Capitalized</w:t>
            </w:r>
          </w:p>
        </w:tc>
        <w:tc>
          <w:tcPr>
            <w:tcW w:w="680" w:type="dxa"/>
            <w:vAlign w:val="bottom"/>
          </w:tcPr>
          <w:p>
            <w:pPr>
              <w:spacing w:after="0"/>
              <w:rPr>
                <w:sz w:val="16"/>
                <w:szCs w:val="16"/>
                <w:color w:val="auto"/>
              </w:rPr>
            </w:pPr>
          </w:p>
        </w:tc>
      </w:tr>
      <w:tr>
        <w:trPr>
          <w:trHeight w:val="22"/>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1"/>
        </w:trPr>
        <w:tc>
          <w:tcPr>
            <w:tcW w:w="4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509"/>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609"/>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269"/>
              <w:spacing w:after="0"/>
              <w:rPr>
                <w:sz w:val="20"/>
                <w:szCs w:val="20"/>
                <w:color w:val="auto"/>
              </w:rPr>
            </w:pPr>
            <w:r>
              <w:rPr>
                <w:rFonts w:ascii="Arial" w:cs="Arial" w:eastAsia="Arial" w:hAnsi="Arial"/>
                <w:sz w:val="14"/>
                <w:szCs w:val="14"/>
                <w:b w:val="1"/>
                <w:bCs w:val="1"/>
                <w:color w:val="auto"/>
                <w:w w:val="91"/>
              </w:rPr>
              <w:t>Ratio</w:t>
            </w:r>
          </w:p>
        </w:tc>
      </w:tr>
      <w:tr>
        <w:trPr>
          <w:trHeight w:val="22"/>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7"/>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3"/>
                <w:szCs w:val="13"/>
                <w:i w:val="1"/>
                <w:iCs w:val="1"/>
                <w:color w:val="auto"/>
                <w:w w:val="90"/>
              </w:rPr>
              <w:t>(Dollars 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6"/>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2"/>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1"/>
        </w:trPr>
        <w:tc>
          <w:tcPr>
            <w:tcW w:w="4680" w:type="dxa"/>
            <w:vAlign w:val="bottom"/>
          </w:tcPr>
          <w:p>
            <w:pPr>
              <w:spacing w:after="0"/>
              <w:rPr>
                <w:sz w:val="20"/>
                <w:szCs w:val="20"/>
                <w:color w:val="auto"/>
              </w:rPr>
            </w:pPr>
            <w:r>
              <w:rPr>
                <w:rFonts w:ascii="Arial" w:cs="Arial" w:eastAsia="Arial" w:hAnsi="Arial"/>
                <w:sz w:val="14"/>
                <w:szCs w:val="14"/>
                <w:color w:val="auto"/>
              </w:rPr>
              <w:t>Total Capital to Risk-Weighted Assets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
        </w:trPr>
        <w:tc>
          <w:tcPr>
            <w:tcW w:w="4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rPr>
              <w:t>634,335</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5"/>
              </w:rPr>
              <w:t>13.2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505,786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rPr>
              <w:t>N/A</w:t>
            </w:r>
          </w:p>
        </w:tc>
        <w:tc>
          <w:tcPr>
            <w:tcW w:w="6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N/A</w:t>
            </w:r>
          </w:p>
        </w:tc>
      </w:tr>
      <w:tr>
        <w:trPr>
          <w:trHeight w:val="191"/>
        </w:trPr>
        <w:tc>
          <w:tcPr>
            <w:tcW w:w="4680" w:type="dxa"/>
            <w:vAlign w:val="bottom"/>
          </w:tcPr>
          <w:p>
            <w:pPr>
              <w:ind w:left="160"/>
              <w:spacing w:after="0"/>
              <w:rPr>
                <w:sz w:val="20"/>
                <w:szCs w:val="20"/>
                <w:color w:val="auto"/>
              </w:rPr>
            </w:pPr>
            <w:r>
              <w:rPr>
                <w:rFonts w:ascii="Arial" w:cs="Arial" w:eastAsia="Arial" w:hAnsi="Arial"/>
                <w:sz w:val="14"/>
                <w:szCs w:val="14"/>
                <w:color w:val="auto"/>
              </w:rPr>
              <w:t>Bank</w:t>
            </w:r>
          </w:p>
        </w:tc>
        <w:tc>
          <w:tcPr>
            <w:tcW w:w="160" w:type="dxa"/>
            <w:vAlign w:val="bottom"/>
          </w:tcPr>
          <w:p>
            <w:pPr>
              <w:spacing w:after="0"/>
              <w:rPr>
                <w:sz w:val="16"/>
                <w:szCs w:val="16"/>
                <w:color w:val="auto"/>
              </w:rPr>
            </w:pPr>
          </w:p>
        </w:tc>
        <w:tc>
          <w:tcPr>
            <w:tcW w:w="1160" w:type="dxa"/>
            <w:vAlign w:val="bottom"/>
          </w:tcPr>
          <w:p>
            <w:pPr>
              <w:jc w:val="right"/>
              <w:ind w:right="409"/>
              <w:spacing w:after="0"/>
              <w:rPr>
                <w:sz w:val="20"/>
                <w:szCs w:val="20"/>
                <w:color w:val="auto"/>
              </w:rPr>
            </w:pPr>
            <w:r>
              <w:rPr>
                <w:rFonts w:ascii="Arial" w:cs="Arial" w:eastAsia="Arial" w:hAnsi="Arial"/>
                <w:sz w:val="14"/>
                <w:szCs w:val="14"/>
                <w:color w:val="auto"/>
              </w:rPr>
              <w:t>580,631</w:t>
            </w:r>
          </w:p>
        </w:tc>
        <w:tc>
          <w:tcPr>
            <w:tcW w:w="620" w:type="dxa"/>
            <w:vAlign w:val="bottom"/>
          </w:tcPr>
          <w:p>
            <w:pPr>
              <w:ind w:left="340"/>
              <w:spacing w:after="0"/>
              <w:rPr>
                <w:sz w:val="20"/>
                <w:szCs w:val="20"/>
                <w:color w:val="auto"/>
              </w:rPr>
            </w:pPr>
            <w:r>
              <w:rPr>
                <w:rFonts w:ascii="Arial" w:cs="Arial" w:eastAsia="Arial" w:hAnsi="Arial"/>
                <w:sz w:val="14"/>
                <w:szCs w:val="14"/>
                <w:color w:val="auto"/>
                <w:w w:val="95"/>
              </w:rPr>
              <w:t>12.1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505,649</w:t>
            </w:r>
          </w:p>
        </w:tc>
        <w:tc>
          <w:tcPr>
            <w:tcW w:w="800" w:type="dxa"/>
            <w:vAlign w:val="bottom"/>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509"/>
              <w:spacing w:after="0"/>
              <w:rPr>
                <w:sz w:val="20"/>
                <w:szCs w:val="20"/>
                <w:color w:val="auto"/>
              </w:rPr>
            </w:pPr>
            <w:r>
              <w:rPr>
                <w:rFonts w:ascii="Arial" w:cs="Arial" w:eastAsia="Arial" w:hAnsi="Arial"/>
                <w:sz w:val="14"/>
                <w:szCs w:val="14"/>
                <w:color w:val="auto"/>
              </w:rPr>
              <w:t>481,571</w:t>
            </w:r>
          </w:p>
        </w:tc>
        <w:tc>
          <w:tcPr>
            <w:tcW w:w="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2"/>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Tier I Capital to Risk-Weighted Assets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181"/>
        </w:trPr>
        <w:tc>
          <w:tcPr>
            <w:tcW w:w="468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Consolidated</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color w:val="auto"/>
              </w:rPr>
              <w:t>582,877</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w w:val="95"/>
              </w:rPr>
              <w:t>12.1</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4"/>
                <w:szCs w:val="14"/>
                <w:color w:val="auto"/>
              </w:rPr>
              <w:t>409,446</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N/A</w:t>
            </w:r>
          </w:p>
        </w:tc>
        <w:tc>
          <w:tcPr>
            <w:tcW w:w="6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N/A</w:t>
            </w:r>
          </w:p>
        </w:tc>
      </w:tr>
      <w:tr>
        <w:trPr>
          <w:trHeight w:val="22"/>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Bank</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rPr>
              <w:t>529,172</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5"/>
              </w:rPr>
              <w:t>11.0</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409,335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509"/>
              <w:spacing w:after="0"/>
              <w:rPr>
                <w:sz w:val="20"/>
                <w:szCs w:val="20"/>
                <w:color w:val="auto"/>
              </w:rPr>
            </w:pPr>
            <w:r>
              <w:rPr>
                <w:rFonts w:ascii="Arial" w:cs="Arial" w:eastAsia="Arial" w:hAnsi="Arial"/>
                <w:sz w:val="14"/>
                <w:szCs w:val="14"/>
                <w:color w:val="auto"/>
              </w:rPr>
              <w:t>385,257</w:t>
            </w:r>
          </w:p>
        </w:tc>
        <w:tc>
          <w:tcPr>
            <w:tcW w:w="6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8.0</w:t>
            </w:r>
          </w:p>
        </w:tc>
      </w:tr>
      <w:tr>
        <w:trPr>
          <w:trHeight w:val="191"/>
        </w:trPr>
        <w:tc>
          <w:tcPr>
            <w:tcW w:w="4680" w:type="dxa"/>
            <w:vAlign w:val="bottom"/>
          </w:tcPr>
          <w:p>
            <w:pPr>
              <w:spacing w:after="0"/>
              <w:rPr>
                <w:sz w:val="20"/>
                <w:szCs w:val="20"/>
                <w:color w:val="auto"/>
              </w:rPr>
            </w:pPr>
            <w:r>
              <w:rPr>
                <w:rFonts w:ascii="Arial" w:cs="Arial" w:eastAsia="Arial" w:hAnsi="Arial"/>
                <w:sz w:val="14"/>
                <w:szCs w:val="14"/>
                <w:color w:val="auto"/>
              </w:rPr>
              <w:t>Common Equity Tier 1 to Risk-Weighted Assets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
        </w:trPr>
        <w:tc>
          <w:tcPr>
            <w:tcW w:w="4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rPr>
              <w:t>581,946</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5"/>
              </w:rPr>
              <w:t>12.1</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337,191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rPr>
              <w:t>N/A</w:t>
            </w:r>
          </w:p>
        </w:tc>
        <w:tc>
          <w:tcPr>
            <w:tcW w:w="6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N/A</w:t>
            </w:r>
          </w:p>
        </w:tc>
      </w:tr>
      <w:tr>
        <w:trPr>
          <w:trHeight w:val="191"/>
        </w:trPr>
        <w:tc>
          <w:tcPr>
            <w:tcW w:w="4680" w:type="dxa"/>
            <w:vAlign w:val="bottom"/>
          </w:tcPr>
          <w:p>
            <w:pPr>
              <w:ind w:left="160"/>
              <w:spacing w:after="0"/>
              <w:rPr>
                <w:sz w:val="20"/>
                <w:szCs w:val="20"/>
                <w:color w:val="auto"/>
              </w:rPr>
            </w:pPr>
            <w:r>
              <w:rPr>
                <w:rFonts w:ascii="Arial" w:cs="Arial" w:eastAsia="Arial" w:hAnsi="Arial"/>
                <w:sz w:val="14"/>
                <w:szCs w:val="14"/>
                <w:color w:val="auto"/>
              </w:rPr>
              <w:t>Bank</w:t>
            </w:r>
          </w:p>
        </w:tc>
        <w:tc>
          <w:tcPr>
            <w:tcW w:w="160" w:type="dxa"/>
            <w:vAlign w:val="bottom"/>
          </w:tcPr>
          <w:p>
            <w:pPr>
              <w:spacing w:after="0"/>
              <w:rPr>
                <w:sz w:val="16"/>
                <w:szCs w:val="16"/>
                <w:color w:val="auto"/>
              </w:rPr>
            </w:pPr>
          </w:p>
        </w:tc>
        <w:tc>
          <w:tcPr>
            <w:tcW w:w="1160" w:type="dxa"/>
            <w:vAlign w:val="bottom"/>
          </w:tcPr>
          <w:p>
            <w:pPr>
              <w:jc w:val="right"/>
              <w:ind w:right="409"/>
              <w:spacing w:after="0"/>
              <w:rPr>
                <w:sz w:val="20"/>
                <w:szCs w:val="20"/>
                <w:color w:val="auto"/>
              </w:rPr>
            </w:pPr>
            <w:r>
              <w:rPr>
                <w:rFonts w:ascii="Arial" w:cs="Arial" w:eastAsia="Arial" w:hAnsi="Arial"/>
                <w:sz w:val="14"/>
                <w:szCs w:val="14"/>
                <w:color w:val="auto"/>
              </w:rPr>
              <w:t>529,172</w:t>
            </w:r>
          </w:p>
        </w:tc>
        <w:tc>
          <w:tcPr>
            <w:tcW w:w="620" w:type="dxa"/>
            <w:vAlign w:val="bottom"/>
          </w:tcPr>
          <w:p>
            <w:pPr>
              <w:ind w:left="340"/>
              <w:spacing w:after="0"/>
              <w:rPr>
                <w:sz w:val="20"/>
                <w:szCs w:val="20"/>
                <w:color w:val="auto"/>
              </w:rPr>
            </w:pPr>
            <w:r>
              <w:rPr>
                <w:rFonts w:ascii="Arial" w:cs="Arial" w:eastAsia="Arial" w:hAnsi="Arial"/>
                <w:sz w:val="14"/>
                <w:szCs w:val="14"/>
                <w:color w:val="auto"/>
                <w:w w:val="95"/>
              </w:rPr>
              <w:t>11.0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337,100</w:t>
            </w:r>
          </w:p>
        </w:tc>
        <w:tc>
          <w:tcPr>
            <w:tcW w:w="800" w:type="dxa"/>
            <w:vAlign w:val="bottom"/>
          </w:tcPr>
          <w:p>
            <w:pPr>
              <w:jc w:val="right"/>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509"/>
              <w:spacing w:after="0"/>
              <w:rPr>
                <w:sz w:val="20"/>
                <w:szCs w:val="20"/>
                <w:color w:val="auto"/>
              </w:rPr>
            </w:pPr>
            <w:r>
              <w:rPr>
                <w:rFonts w:ascii="Arial" w:cs="Arial" w:eastAsia="Arial" w:hAnsi="Arial"/>
                <w:sz w:val="14"/>
                <w:szCs w:val="14"/>
                <w:color w:val="auto"/>
              </w:rPr>
              <w:t>313,021</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6.5</w:t>
            </w:r>
          </w:p>
        </w:tc>
      </w:tr>
      <w:tr>
        <w:trPr>
          <w:trHeight w:val="22"/>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Tier I Capital to Average Assets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181"/>
        </w:trPr>
        <w:tc>
          <w:tcPr>
            <w:tcW w:w="468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Consolidated</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color w:val="auto"/>
              </w:rPr>
              <w:t>582,877</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w w:val="95"/>
              </w:rPr>
              <w:t>11.8</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4"/>
                <w:szCs w:val="14"/>
                <w:color w:val="auto"/>
              </w:rPr>
              <w:t>197,473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N/A</w:t>
            </w:r>
          </w:p>
        </w:tc>
        <w:tc>
          <w:tcPr>
            <w:tcW w:w="6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N/A</w:t>
            </w:r>
          </w:p>
        </w:tc>
      </w:tr>
      <w:tr>
        <w:trPr>
          <w:trHeight w:val="22"/>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Bank</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rPr>
              <w:t>529,172</w:t>
            </w:r>
          </w:p>
        </w:tc>
        <w:tc>
          <w:tcPr>
            <w:tcW w:w="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w w:val="96"/>
              </w:rPr>
              <w:t>10.7 %</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197,437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509"/>
              <w:spacing w:after="0"/>
              <w:rPr>
                <w:sz w:val="20"/>
                <w:szCs w:val="20"/>
                <w:color w:val="auto"/>
              </w:rPr>
            </w:pPr>
            <w:r>
              <w:rPr>
                <w:rFonts w:ascii="Arial" w:cs="Arial" w:eastAsia="Arial" w:hAnsi="Arial"/>
                <w:sz w:val="14"/>
                <w:szCs w:val="14"/>
                <w:color w:val="auto"/>
              </w:rPr>
              <w:t>246,796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5.0 %</w:t>
            </w:r>
          </w:p>
        </w:tc>
      </w:tr>
      <w:tr>
        <w:trPr>
          <w:trHeight w:val="191"/>
        </w:trPr>
        <w:tc>
          <w:tcPr>
            <w:tcW w:w="4680" w:type="dxa"/>
            <w:vAlign w:val="bottom"/>
          </w:tcPr>
          <w:p>
            <w:pPr>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Capital to Risk-Weighted Assets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181"/>
        </w:trPr>
        <w:tc>
          <w:tcPr>
            <w:tcW w:w="468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Consolidated</w:t>
            </w: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color w:val="auto"/>
              </w:rPr>
              <w:t>633,228</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w w:val="95"/>
              </w:rPr>
              <w:t>13.4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4"/>
                <w:szCs w:val="14"/>
                <w:color w:val="auto"/>
              </w:rPr>
              <w:t>495,095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N/A</w:t>
            </w:r>
          </w:p>
        </w:tc>
        <w:tc>
          <w:tcPr>
            <w:tcW w:w="6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N/A</w:t>
            </w:r>
          </w:p>
        </w:tc>
      </w:tr>
      <w:tr>
        <w:trPr>
          <w:trHeight w:val="22"/>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Bank</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rPr>
              <w:t>581,600</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5"/>
              </w:rPr>
              <w:t>12.3</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494,954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509"/>
              <w:spacing w:after="0"/>
              <w:rPr>
                <w:sz w:val="20"/>
                <w:szCs w:val="20"/>
                <w:color w:val="auto"/>
              </w:rPr>
            </w:pPr>
            <w:r>
              <w:rPr>
                <w:rFonts w:ascii="Arial" w:cs="Arial" w:eastAsia="Arial" w:hAnsi="Arial"/>
                <w:sz w:val="14"/>
                <w:szCs w:val="14"/>
                <w:color w:val="auto"/>
              </w:rPr>
              <w:t>471,385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1"/>
        </w:trPr>
        <w:tc>
          <w:tcPr>
            <w:tcW w:w="4680" w:type="dxa"/>
            <w:vAlign w:val="bottom"/>
          </w:tcPr>
          <w:p>
            <w:pPr>
              <w:spacing w:after="0"/>
              <w:rPr>
                <w:sz w:val="20"/>
                <w:szCs w:val="20"/>
                <w:color w:val="auto"/>
              </w:rPr>
            </w:pPr>
            <w:r>
              <w:rPr>
                <w:rFonts w:ascii="Arial" w:cs="Arial" w:eastAsia="Arial" w:hAnsi="Arial"/>
                <w:sz w:val="14"/>
                <w:szCs w:val="14"/>
                <w:color w:val="auto"/>
              </w:rPr>
              <w:t>Tier I Capital to Risk-Weighted Assets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
        </w:trPr>
        <w:tc>
          <w:tcPr>
            <w:tcW w:w="4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rPr>
              <w:t>576,332</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5"/>
              </w:rPr>
              <w:t>12.2</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400,791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rPr>
              <w:t>N/A</w:t>
            </w:r>
          </w:p>
        </w:tc>
        <w:tc>
          <w:tcPr>
            <w:tcW w:w="6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N/A</w:t>
            </w:r>
          </w:p>
        </w:tc>
      </w:tr>
      <w:tr>
        <w:trPr>
          <w:trHeight w:val="191"/>
        </w:trPr>
        <w:tc>
          <w:tcPr>
            <w:tcW w:w="4680" w:type="dxa"/>
            <w:vAlign w:val="bottom"/>
          </w:tcPr>
          <w:p>
            <w:pPr>
              <w:ind w:left="160"/>
              <w:spacing w:after="0"/>
              <w:rPr>
                <w:sz w:val="20"/>
                <w:szCs w:val="20"/>
                <w:color w:val="auto"/>
              </w:rPr>
            </w:pPr>
            <w:r>
              <w:rPr>
                <w:rFonts w:ascii="Arial" w:cs="Arial" w:eastAsia="Arial" w:hAnsi="Arial"/>
                <w:sz w:val="14"/>
                <w:szCs w:val="14"/>
                <w:color w:val="auto"/>
              </w:rPr>
              <w:t>Bank</w:t>
            </w:r>
          </w:p>
        </w:tc>
        <w:tc>
          <w:tcPr>
            <w:tcW w:w="160" w:type="dxa"/>
            <w:vAlign w:val="bottom"/>
          </w:tcPr>
          <w:p>
            <w:pPr>
              <w:spacing w:after="0"/>
              <w:rPr>
                <w:sz w:val="16"/>
                <w:szCs w:val="16"/>
                <w:color w:val="auto"/>
              </w:rPr>
            </w:pPr>
          </w:p>
        </w:tc>
        <w:tc>
          <w:tcPr>
            <w:tcW w:w="1160" w:type="dxa"/>
            <w:vAlign w:val="bottom"/>
          </w:tcPr>
          <w:p>
            <w:pPr>
              <w:jc w:val="right"/>
              <w:ind w:right="409"/>
              <w:spacing w:after="0"/>
              <w:rPr>
                <w:sz w:val="20"/>
                <w:szCs w:val="20"/>
                <w:color w:val="auto"/>
              </w:rPr>
            </w:pPr>
            <w:r>
              <w:rPr>
                <w:rFonts w:ascii="Arial" w:cs="Arial" w:eastAsia="Arial" w:hAnsi="Arial"/>
                <w:sz w:val="14"/>
                <w:szCs w:val="14"/>
                <w:color w:val="auto"/>
              </w:rPr>
              <w:t>524,704</w:t>
            </w:r>
          </w:p>
        </w:tc>
        <w:tc>
          <w:tcPr>
            <w:tcW w:w="620" w:type="dxa"/>
            <w:vAlign w:val="bottom"/>
          </w:tcPr>
          <w:p>
            <w:pPr>
              <w:ind w:left="340"/>
              <w:spacing w:after="0"/>
              <w:rPr>
                <w:sz w:val="20"/>
                <w:szCs w:val="20"/>
                <w:color w:val="auto"/>
              </w:rPr>
            </w:pPr>
            <w:r>
              <w:rPr>
                <w:rFonts w:ascii="Arial" w:cs="Arial" w:eastAsia="Arial" w:hAnsi="Arial"/>
                <w:sz w:val="14"/>
                <w:szCs w:val="14"/>
                <w:color w:val="auto"/>
                <w:w w:val="95"/>
              </w:rPr>
              <w:t>11.1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400,677</w:t>
            </w:r>
          </w:p>
        </w:tc>
        <w:tc>
          <w:tcPr>
            <w:tcW w:w="800" w:type="dxa"/>
            <w:vAlign w:val="bottom"/>
          </w:tcPr>
          <w:p>
            <w:pPr>
              <w:jc w:val="right"/>
              <w:spacing w:after="0"/>
              <w:rPr>
                <w:sz w:val="20"/>
                <w:szCs w:val="20"/>
                <w:color w:val="auto"/>
              </w:rPr>
            </w:pPr>
            <w:r>
              <w:rPr>
                <w:rFonts w:ascii="Arial" w:cs="Arial" w:eastAsia="Arial" w:hAnsi="Arial"/>
                <w:sz w:val="14"/>
                <w:szCs w:val="14"/>
                <w:color w:val="auto"/>
              </w:rPr>
              <w:t>8.5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509"/>
              <w:spacing w:after="0"/>
              <w:rPr>
                <w:sz w:val="20"/>
                <w:szCs w:val="20"/>
                <w:color w:val="auto"/>
              </w:rPr>
            </w:pPr>
            <w:r>
              <w:rPr>
                <w:rFonts w:ascii="Arial" w:cs="Arial" w:eastAsia="Arial" w:hAnsi="Arial"/>
                <w:sz w:val="14"/>
                <w:szCs w:val="14"/>
                <w:color w:val="auto"/>
              </w:rPr>
              <w:t>377,108</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8.0</w:t>
            </w:r>
          </w:p>
        </w:tc>
      </w:tr>
      <w:tr>
        <w:trPr>
          <w:trHeight w:val="22"/>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Common Equity Tier 1 to Risk-Weighted Assets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181"/>
        </w:trPr>
        <w:tc>
          <w:tcPr>
            <w:tcW w:w="468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Consolidated</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color w:val="auto"/>
              </w:rPr>
              <w:t>575,411</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w w:val="95"/>
              </w:rPr>
              <w:t>12.2</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4"/>
                <w:szCs w:val="14"/>
                <w:color w:val="auto"/>
              </w:rPr>
              <w:t>330,063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N/A</w:t>
            </w:r>
          </w:p>
        </w:tc>
        <w:tc>
          <w:tcPr>
            <w:tcW w:w="6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N/A</w:t>
            </w:r>
          </w:p>
        </w:tc>
      </w:tr>
      <w:tr>
        <w:trPr>
          <w:trHeight w:val="22"/>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Bank</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rPr>
              <w:t>524,704</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5"/>
              </w:rPr>
              <w:t>11.1</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329,970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509"/>
              <w:spacing w:after="0"/>
              <w:rPr>
                <w:sz w:val="20"/>
                <w:szCs w:val="20"/>
                <w:color w:val="auto"/>
              </w:rPr>
            </w:pPr>
            <w:r>
              <w:rPr>
                <w:rFonts w:ascii="Arial" w:cs="Arial" w:eastAsia="Arial" w:hAnsi="Arial"/>
                <w:sz w:val="14"/>
                <w:szCs w:val="14"/>
                <w:color w:val="auto"/>
              </w:rPr>
              <w:t>306,400</w:t>
            </w:r>
          </w:p>
        </w:tc>
        <w:tc>
          <w:tcPr>
            <w:tcW w:w="6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6.5</w:t>
            </w:r>
          </w:p>
        </w:tc>
      </w:tr>
      <w:tr>
        <w:trPr>
          <w:trHeight w:val="191"/>
        </w:trPr>
        <w:tc>
          <w:tcPr>
            <w:tcW w:w="4680" w:type="dxa"/>
            <w:vAlign w:val="bottom"/>
          </w:tcPr>
          <w:p>
            <w:pPr>
              <w:spacing w:after="0"/>
              <w:rPr>
                <w:sz w:val="20"/>
                <w:szCs w:val="20"/>
                <w:color w:val="auto"/>
              </w:rPr>
            </w:pPr>
            <w:r>
              <w:rPr>
                <w:rFonts w:ascii="Arial" w:cs="Arial" w:eastAsia="Arial" w:hAnsi="Arial"/>
                <w:sz w:val="14"/>
                <w:szCs w:val="14"/>
                <w:color w:val="auto"/>
              </w:rPr>
              <w:t>Tier I Capital to Average Assets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
        </w:trPr>
        <w:tc>
          <w:tcPr>
            <w:tcW w:w="4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rPr>
              <w:t>576,332</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5"/>
              </w:rPr>
              <w:t>12.1</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191,099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rPr>
              <w:t>N/A</w:t>
            </w:r>
          </w:p>
        </w:tc>
        <w:tc>
          <w:tcPr>
            <w:tcW w:w="6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N/A</w:t>
            </w:r>
          </w:p>
        </w:tc>
      </w:tr>
      <w:tr>
        <w:trPr>
          <w:trHeight w:val="191"/>
        </w:trPr>
        <w:tc>
          <w:tcPr>
            <w:tcW w:w="4680" w:type="dxa"/>
            <w:vAlign w:val="bottom"/>
          </w:tcPr>
          <w:p>
            <w:pPr>
              <w:ind w:left="160"/>
              <w:spacing w:after="0"/>
              <w:rPr>
                <w:sz w:val="20"/>
                <w:szCs w:val="20"/>
                <w:color w:val="auto"/>
              </w:rPr>
            </w:pPr>
            <w:r>
              <w:rPr>
                <w:rFonts w:ascii="Arial" w:cs="Arial" w:eastAsia="Arial" w:hAnsi="Arial"/>
                <w:sz w:val="14"/>
                <w:szCs w:val="14"/>
                <w:color w:val="auto"/>
              </w:rPr>
              <w:t>Bank</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09"/>
              <w:spacing w:after="0"/>
              <w:rPr>
                <w:sz w:val="20"/>
                <w:szCs w:val="20"/>
                <w:color w:val="auto"/>
              </w:rPr>
            </w:pPr>
            <w:r>
              <w:rPr>
                <w:rFonts w:ascii="Arial" w:cs="Arial" w:eastAsia="Arial" w:hAnsi="Arial"/>
                <w:sz w:val="14"/>
                <w:szCs w:val="14"/>
                <w:color w:val="auto"/>
              </w:rPr>
              <w:t>524,704</w:t>
            </w:r>
          </w:p>
        </w:tc>
        <w:tc>
          <w:tcPr>
            <w:tcW w:w="620" w:type="dxa"/>
            <w:vAlign w:val="bottom"/>
          </w:tcPr>
          <w:p>
            <w:pPr>
              <w:ind w:left="340"/>
              <w:spacing w:after="0"/>
              <w:rPr>
                <w:sz w:val="20"/>
                <w:szCs w:val="20"/>
                <w:color w:val="auto"/>
              </w:rPr>
            </w:pPr>
            <w:r>
              <w:rPr>
                <w:rFonts w:ascii="Arial" w:cs="Arial" w:eastAsia="Arial" w:hAnsi="Arial"/>
                <w:sz w:val="14"/>
                <w:szCs w:val="14"/>
                <w:color w:val="auto"/>
                <w:w w:val="95"/>
              </w:rPr>
              <w:t>11.0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30"/>
              <w:spacing w:after="0"/>
              <w:rPr>
                <w:sz w:val="20"/>
                <w:szCs w:val="20"/>
                <w:color w:val="auto"/>
              </w:rPr>
            </w:pPr>
            <w:r>
              <w:rPr>
                <w:rFonts w:ascii="Arial" w:cs="Arial" w:eastAsia="Arial" w:hAnsi="Arial"/>
                <w:sz w:val="14"/>
                <w:szCs w:val="14"/>
                <w:color w:val="auto"/>
              </w:rPr>
              <w:t>191,170</w:t>
            </w: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509"/>
              <w:spacing w:after="0"/>
              <w:rPr>
                <w:sz w:val="20"/>
                <w:szCs w:val="20"/>
                <w:color w:val="auto"/>
              </w:rPr>
            </w:pPr>
            <w:r>
              <w:rPr>
                <w:rFonts w:ascii="Arial" w:cs="Arial" w:eastAsia="Arial" w:hAnsi="Arial"/>
                <w:sz w:val="14"/>
                <w:szCs w:val="14"/>
                <w:color w:val="auto"/>
              </w:rPr>
              <w:t>238,963</w:t>
            </w:r>
          </w:p>
        </w:tc>
        <w:tc>
          <w:tcPr>
            <w:tcW w:w="680" w:type="dxa"/>
            <w:vAlign w:val="bottom"/>
          </w:tcPr>
          <w:p>
            <w:pPr>
              <w:jc w:val="right"/>
              <w:spacing w:after="0"/>
              <w:rPr>
                <w:sz w:val="20"/>
                <w:szCs w:val="20"/>
                <w:color w:val="auto"/>
              </w:rPr>
            </w:pPr>
            <w:r>
              <w:rPr>
                <w:rFonts w:ascii="Arial" w:cs="Arial" w:eastAsia="Arial" w:hAnsi="Arial"/>
                <w:sz w:val="14"/>
                <w:szCs w:val="14"/>
                <w:color w:val="auto"/>
              </w:rPr>
              <w:t>5.0 %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1" w:name="page32"/>
    <w:bookmarkEnd w:id="31"/>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4"/>
          <w:szCs w:val="14"/>
          <w:b w:val="1"/>
          <w:bCs w:val="1"/>
          <w:color w:val="auto"/>
        </w:rPr>
        <w:t>Stock-Based Compensation</w:t>
      </w:r>
    </w:p>
    <w:p>
      <w:pPr>
        <w:spacing w:after="0" w:line="133" w:lineRule="exact"/>
        <w:rPr>
          <w:sz w:val="20"/>
          <w:szCs w:val="20"/>
          <w:color w:val="auto"/>
        </w:rPr>
      </w:pPr>
    </w:p>
    <w:p>
      <w:pPr>
        <w:jc w:val="both"/>
        <w:ind w:left="140" w:right="20" w:firstLine="382"/>
        <w:spacing w:after="0" w:line="267" w:lineRule="auto"/>
        <w:rPr>
          <w:sz w:val="20"/>
          <w:szCs w:val="20"/>
          <w:color w:val="auto"/>
        </w:rPr>
      </w:pPr>
      <w:r>
        <w:rPr>
          <w:rFonts w:ascii="Arial" w:cs="Arial" w:eastAsia="Arial" w:hAnsi="Arial"/>
          <w:sz w:val="14"/>
          <w:szCs w:val="14"/>
          <w:color w:val="auto"/>
        </w:rPr>
        <w:t>The Company issues stock-based compensation in the form of nonvested restricted stock and stock appreciation rights under the 2018 Omnibus Equity Incentive Plan (“Omnibus Plan”). The Omnibus Plan will expire on the tenth anniversary of its effective date. In addition, the Company has an Employee Stock Purchase Plan that was indefinitely suspended effective April 1, 2019. The aggregate number of shares authorized for future issuance under the Omnibus Plan is 2,073,345 shares as of March 31, 2020.</w:t>
      </w:r>
    </w:p>
    <w:p>
      <w:pPr>
        <w:spacing w:after="0" w:line="99"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8100" w:type="dxa"/>
            <w:vAlign w:val="bottom"/>
          </w:tcPr>
          <w:p>
            <w:pPr>
              <w:ind w:left="380"/>
              <w:spacing w:after="0"/>
              <w:rPr>
                <w:sz w:val="20"/>
                <w:szCs w:val="20"/>
                <w:color w:val="auto"/>
              </w:rPr>
            </w:pPr>
            <w:r>
              <w:rPr>
                <w:rFonts w:ascii="Arial" w:cs="Arial" w:eastAsia="Arial" w:hAnsi="Arial"/>
                <w:sz w:val="14"/>
                <w:szCs w:val="14"/>
                <w:color w:val="auto"/>
              </w:rPr>
              <w:t>The table below summarizes the stock-based compensation for the three months ended March 31, 2020 and 2019:</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40"/>
        </w:trPr>
        <w:tc>
          <w:tcPr>
            <w:tcW w:w="8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gridSpan w:val="3"/>
          </w:tcPr>
          <w:p>
            <w:pPr>
              <w:jc w:val="center"/>
              <w:ind w:right="269"/>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Pr>
          <w:p>
            <w:pPr>
              <w:spacing w:after="0"/>
              <w:rPr>
                <w:sz w:val="24"/>
                <w:szCs w:val="24"/>
                <w:color w:val="auto"/>
              </w:rPr>
            </w:pPr>
          </w:p>
        </w:tc>
      </w:tr>
      <w:tr>
        <w:trPr>
          <w:trHeight w:val="212"/>
        </w:trPr>
        <w:tc>
          <w:tcPr>
            <w:tcW w:w="8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3"/>
          </w:tcPr>
          <w:p>
            <w:pPr>
              <w:jc w:val="center"/>
              <w:ind w:right="249"/>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8"/>
                <w:szCs w:val="18"/>
                <w:color w:val="auto"/>
              </w:rPr>
            </w:pPr>
          </w:p>
        </w:tc>
      </w:tr>
      <w:tr>
        <w:trPr>
          <w:trHeight w:val="22"/>
        </w:trPr>
        <w:tc>
          <w:tcPr>
            <w:tcW w:w="8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1"/>
        </w:trPr>
        <w:tc>
          <w:tcPr>
            <w:tcW w:w="8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5"/>
                <w:szCs w:val="15"/>
                <w:color w:val="auto"/>
              </w:rPr>
            </w:pPr>
          </w:p>
        </w:tc>
      </w:tr>
      <w:tr>
        <w:trPr>
          <w:trHeight w:val="22"/>
        </w:trPr>
        <w:tc>
          <w:tcPr>
            <w:tcW w:w="8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67"/>
        </w:trPr>
        <w:tc>
          <w:tcPr>
            <w:tcW w:w="8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3"/>
          </w:tcPr>
          <w:p>
            <w:pPr>
              <w:jc w:val="center"/>
              <w:ind w:right="269"/>
              <w:spacing w:after="0"/>
              <w:rPr>
                <w:sz w:val="20"/>
                <w:szCs w:val="20"/>
                <w:color w:val="auto"/>
              </w:rPr>
            </w:pPr>
            <w:r>
              <w:rPr>
                <w:rFonts w:ascii="Arial" w:cs="Arial" w:eastAsia="Arial" w:hAnsi="Arial"/>
                <w:sz w:val="13"/>
                <w:szCs w:val="13"/>
                <w:i w:val="1"/>
                <w:iCs w:val="1"/>
                <w:color w:val="auto"/>
                <w:w w:val="91"/>
              </w:rPr>
              <w:t>(Dollars in thousands)</w:t>
            </w:r>
          </w:p>
        </w:tc>
        <w:tc>
          <w:tcPr>
            <w:tcW w:w="540" w:type="dxa"/>
            <w:vAlign w:val="bottom"/>
          </w:tcPr>
          <w:p>
            <w:pPr>
              <w:spacing w:after="0"/>
              <w:rPr>
                <w:sz w:val="14"/>
                <w:szCs w:val="14"/>
                <w:color w:val="auto"/>
              </w:rPr>
            </w:pPr>
          </w:p>
        </w:tc>
      </w:tr>
      <w:tr>
        <w:trPr>
          <w:trHeight w:val="26"/>
        </w:trPr>
        <w:tc>
          <w:tcPr>
            <w:tcW w:w="8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2"/>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appreciation rights</w:t>
            </w:r>
          </w:p>
        </w:tc>
        <w:tc>
          <w:tcPr>
            <w:tcW w:w="880" w:type="dxa"/>
            <w:vAlign w:val="bottom"/>
            <w:tcBorders>
              <w:bottom w:val="single" w:sz="8" w:color="CCEEFF"/>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256</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259</w:t>
            </w:r>
          </w:p>
        </w:tc>
      </w:tr>
      <w:tr>
        <w:trPr>
          <w:trHeight w:val="191"/>
        </w:trPr>
        <w:tc>
          <w:tcPr>
            <w:tcW w:w="8100" w:type="dxa"/>
            <w:vAlign w:val="bottom"/>
          </w:tcPr>
          <w:p>
            <w:pPr>
              <w:spacing w:after="0"/>
              <w:rPr>
                <w:sz w:val="20"/>
                <w:szCs w:val="20"/>
                <w:color w:val="auto"/>
              </w:rPr>
            </w:pPr>
            <w:r>
              <w:rPr>
                <w:rFonts w:ascii="Arial" w:cs="Arial" w:eastAsia="Arial" w:hAnsi="Arial"/>
                <w:sz w:val="14"/>
                <w:szCs w:val="14"/>
                <w:color w:val="auto"/>
              </w:rPr>
              <w:t>Performance based stock awards</w:t>
            </w:r>
          </w:p>
        </w:tc>
        <w:tc>
          <w:tcPr>
            <w:tcW w:w="88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95</w:t>
            </w:r>
          </w:p>
        </w:tc>
      </w:tr>
      <w:tr>
        <w:trPr>
          <w:trHeight w:val="22"/>
        </w:trPr>
        <w:tc>
          <w:tcPr>
            <w:tcW w:w="8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2"/>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Restricted stock units and awards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604</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744</w:t>
            </w:r>
          </w:p>
        </w:tc>
      </w:tr>
      <w:tr>
        <w:trPr>
          <w:trHeight w:val="191"/>
        </w:trPr>
        <w:tc>
          <w:tcPr>
            <w:tcW w:w="81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8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37</w:t>
            </w:r>
          </w:p>
        </w:tc>
      </w:tr>
      <w:tr>
        <w:trPr>
          <w:trHeight w:val="22"/>
        </w:trPr>
        <w:tc>
          <w:tcPr>
            <w:tcW w:w="8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8"/>
        </w:trPr>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stock-based compensation</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934</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1,135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Based Stock Awards (“PBSAs”)</w:t>
      </w:r>
    </w:p>
    <w:p>
      <w:pPr>
        <w:spacing w:after="0" w:line="126" w:lineRule="exact"/>
        <w:rPr>
          <w:sz w:val="20"/>
          <w:szCs w:val="20"/>
          <w:color w:val="auto"/>
        </w:rPr>
      </w:pPr>
    </w:p>
    <w:p>
      <w:pPr>
        <w:ind w:left="140" w:right="220" w:firstLine="382"/>
        <w:spacing w:after="0" w:line="262" w:lineRule="auto"/>
        <w:rPr>
          <w:sz w:val="20"/>
          <w:szCs w:val="20"/>
          <w:color w:val="auto"/>
        </w:rPr>
      </w:pPr>
      <w:r>
        <w:rPr>
          <w:rFonts w:ascii="Arial" w:cs="Arial" w:eastAsia="Arial" w:hAnsi="Arial"/>
          <w:sz w:val="14"/>
          <w:szCs w:val="14"/>
          <w:color w:val="auto"/>
        </w:rPr>
        <w:t>The Company awards PBSAs to key officers of the Company. The stock settled awards are typically granted annually as determined by the Compensation Committee. The performance based shares typically cliff-vest at the end of three years based on attainment of certain performance metrics developed by the Compensation Committee. The ultimate number of shares issuable under each performance award is the product of the award target and the award payout percentage given the level of achievement. The award payout percentages by level of achievement range between 0% of target and 150% of target.</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2020, the Company granted 41,283 PBSAs. The performance metrics include three year cumulative net income and return on average assets.</w:t>
      </w:r>
    </w:p>
    <w:p>
      <w:pPr>
        <w:spacing w:after="0" w:line="136"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6660" w:type="dxa"/>
            <w:vAlign w:val="bottom"/>
          </w:tcPr>
          <w:p>
            <w:pPr>
              <w:ind w:left="380"/>
              <w:spacing w:after="0"/>
              <w:rPr>
                <w:sz w:val="20"/>
                <w:szCs w:val="20"/>
                <w:color w:val="auto"/>
              </w:rPr>
            </w:pPr>
            <w:r>
              <w:rPr>
                <w:rFonts w:ascii="Arial" w:cs="Arial" w:eastAsia="Arial" w:hAnsi="Arial"/>
                <w:sz w:val="14"/>
                <w:szCs w:val="14"/>
                <w:color w:val="auto"/>
              </w:rPr>
              <w:t>The following table summarizes the status of and changes in the performance-based awards:</w:t>
            </w: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40"/>
        </w:trPr>
        <w:tc>
          <w:tcPr>
            <w:tcW w:w="6660" w:type="dxa"/>
            <w:vAlign w:val="bottom"/>
          </w:tcPr>
          <w:p>
            <w:pPr>
              <w:spacing w:after="0"/>
              <w:rPr>
                <w:sz w:val="24"/>
                <w:szCs w:val="24"/>
                <w:color w:val="auto"/>
              </w:rPr>
            </w:pPr>
          </w:p>
        </w:tc>
        <w:tc>
          <w:tcPr>
            <w:tcW w:w="4480" w:type="dxa"/>
            <w:vAlign w:val="bottom"/>
            <w:gridSpan w:val="3"/>
          </w:tcPr>
          <w:p>
            <w:pPr>
              <w:ind w:left="1220"/>
              <w:spacing w:after="0"/>
              <w:rPr>
                <w:sz w:val="20"/>
                <w:szCs w:val="20"/>
                <w:color w:val="auto"/>
              </w:rPr>
            </w:pPr>
            <w:r>
              <w:rPr>
                <w:rFonts w:ascii="Arial" w:cs="Arial" w:eastAsia="Arial" w:hAnsi="Arial"/>
                <w:sz w:val="14"/>
                <w:szCs w:val="14"/>
                <w:b w:val="1"/>
                <w:bCs w:val="1"/>
                <w:color w:val="auto"/>
              </w:rPr>
              <w:t>Performance Based Stock Awards</w:t>
            </w:r>
          </w:p>
        </w:tc>
      </w:tr>
      <w:tr>
        <w:trPr>
          <w:trHeight w:val="22"/>
        </w:trPr>
        <w:tc>
          <w:tcPr>
            <w:tcW w:w="66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67"/>
        </w:trPr>
        <w:tc>
          <w:tcPr>
            <w:tcW w:w="6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 Grant Date Fair</w:t>
            </w:r>
          </w:p>
        </w:tc>
      </w:tr>
      <w:tr>
        <w:trPr>
          <w:trHeight w:val="184"/>
        </w:trPr>
        <w:tc>
          <w:tcPr>
            <w:tcW w:w="6660" w:type="dxa"/>
            <w:vAlign w:val="bottom"/>
          </w:tcPr>
          <w:p>
            <w:pPr>
              <w:spacing w:after="0"/>
              <w:rPr>
                <w:sz w:val="16"/>
                <w:szCs w:val="16"/>
                <w:color w:val="auto"/>
              </w:rPr>
            </w:pPr>
          </w:p>
        </w:tc>
        <w:tc>
          <w:tcPr>
            <w:tcW w:w="2280" w:type="dxa"/>
            <w:vAlign w:val="bottom"/>
            <w:gridSpan w:val="2"/>
          </w:tcPr>
          <w:p>
            <w:pPr>
              <w:ind w:left="560"/>
              <w:spacing w:after="0"/>
              <w:rPr>
                <w:sz w:val="20"/>
                <w:szCs w:val="20"/>
                <w:color w:val="auto"/>
              </w:rPr>
            </w:pPr>
            <w:r>
              <w:rPr>
                <w:rFonts w:ascii="Arial" w:cs="Arial" w:eastAsia="Arial" w:hAnsi="Arial"/>
                <w:sz w:val="14"/>
                <w:szCs w:val="14"/>
                <w:b w:val="1"/>
                <w:bCs w:val="1"/>
                <w:color w:val="auto"/>
              </w:rPr>
              <w:t>Number of Shares</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Nonvested, January 1, 2020</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192,248</w:t>
            </w:r>
          </w:p>
        </w:tc>
        <w:tc>
          <w:tcPr>
            <w:tcW w:w="8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$9.88</w:t>
            </w:r>
          </w:p>
        </w:tc>
      </w:tr>
      <w:tr>
        <w:trPr>
          <w:trHeight w:val="191"/>
        </w:trPr>
        <w:tc>
          <w:tcPr>
            <w:tcW w:w="6660" w:type="dxa"/>
            <w:vAlign w:val="bottom"/>
          </w:tcPr>
          <w:p>
            <w:pPr>
              <w:ind w:left="80"/>
              <w:spacing w:after="0"/>
              <w:rPr>
                <w:sz w:val="20"/>
                <w:szCs w:val="20"/>
                <w:color w:val="auto"/>
              </w:rPr>
            </w:pPr>
            <w:r>
              <w:rPr>
                <w:rFonts w:ascii="Arial" w:cs="Arial" w:eastAsia="Arial" w:hAnsi="Arial"/>
                <w:sz w:val="14"/>
                <w:szCs w:val="14"/>
                <w:color w:val="auto"/>
              </w:rPr>
              <w:t>Granted</w:t>
            </w:r>
          </w:p>
        </w:tc>
        <w:tc>
          <w:tcPr>
            <w:tcW w:w="2200" w:type="dxa"/>
            <w:vAlign w:val="bottom"/>
          </w:tcPr>
          <w:p>
            <w:pPr>
              <w:jc w:val="center"/>
              <w:spacing w:after="0"/>
              <w:rPr>
                <w:sz w:val="20"/>
                <w:szCs w:val="20"/>
                <w:color w:val="auto"/>
              </w:rPr>
            </w:pPr>
            <w:r>
              <w:rPr>
                <w:rFonts w:ascii="Arial" w:cs="Arial" w:eastAsia="Arial" w:hAnsi="Arial"/>
                <w:sz w:val="14"/>
                <w:szCs w:val="14"/>
                <w:color w:val="auto"/>
                <w:w w:val="93"/>
              </w:rPr>
              <w:t>41,283</w:t>
            </w:r>
          </w:p>
        </w:tc>
        <w:tc>
          <w:tcPr>
            <w:tcW w:w="8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1"/>
              </w:rPr>
              <w:t>13.55</w:t>
            </w:r>
          </w:p>
        </w:tc>
      </w:tr>
      <w:tr>
        <w:trPr>
          <w:trHeight w:val="22"/>
        </w:trPr>
        <w:tc>
          <w:tcPr>
            <w:tcW w:w="6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Vested</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rPr>
              <w:t>0.00</w:t>
            </w:r>
          </w:p>
        </w:tc>
      </w:tr>
      <w:tr>
        <w:trPr>
          <w:trHeight w:val="191"/>
        </w:trPr>
        <w:tc>
          <w:tcPr>
            <w:tcW w:w="6660" w:type="dxa"/>
            <w:vAlign w:val="bottom"/>
          </w:tcPr>
          <w:p>
            <w:pPr>
              <w:ind w:left="80"/>
              <w:spacing w:after="0"/>
              <w:rPr>
                <w:sz w:val="20"/>
                <w:szCs w:val="20"/>
                <w:color w:val="auto"/>
              </w:rPr>
            </w:pPr>
            <w:r>
              <w:rPr>
                <w:rFonts w:ascii="Arial" w:cs="Arial" w:eastAsia="Arial" w:hAnsi="Arial"/>
                <w:sz w:val="14"/>
                <w:szCs w:val="14"/>
                <w:color w:val="auto"/>
              </w:rPr>
              <w:t>Forfeited</w:t>
            </w:r>
          </w:p>
        </w:tc>
        <w:tc>
          <w:tcPr>
            <w:tcW w:w="220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87"/>
              </w:rPr>
              <w:t>0.00</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Nonvested, March 31, 2020</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233,531</w:t>
            </w:r>
          </w:p>
        </w:tc>
        <w:tc>
          <w:tcPr>
            <w:tcW w:w="8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$10.53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Unrecognized stock-based compensation related to the performance awards issued through March 31, 2020 was $808 thousand and is expected to be recognized over 2.5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2" w:name="page33"/>
    <w:bookmarkEnd w:id="32"/>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Stock Units (“RSUs”) and Restricted Stock Awards (“RSAs”)</w:t>
      </w:r>
    </w:p>
    <w:p>
      <w:pPr>
        <w:spacing w:after="0" w:line="126" w:lineRule="exact"/>
        <w:rPr>
          <w:sz w:val="20"/>
          <w:szCs w:val="20"/>
          <w:color w:val="auto"/>
        </w:rPr>
      </w:pPr>
    </w:p>
    <w:p>
      <w:pPr>
        <w:ind w:left="140" w:right="160" w:firstLine="382"/>
        <w:spacing w:after="0" w:line="267" w:lineRule="auto"/>
        <w:rPr>
          <w:sz w:val="20"/>
          <w:szCs w:val="20"/>
          <w:color w:val="auto"/>
        </w:rPr>
      </w:pPr>
      <w:r>
        <w:rPr>
          <w:rFonts w:ascii="Arial" w:cs="Arial" w:eastAsia="Arial" w:hAnsi="Arial"/>
          <w:sz w:val="14"/>
          <w:szCs w:val="14"/>
          <w:color w:val="auto"/>
        </w:rPr>
        <w:t>The Company issues RSUs and RSAs to provide additional incentives to key officers, employees, and nonemployee directors. Awards are typically granted annually as determined by the Compensation Committee. The service based RSUs typically cliff-vest at the end of three years for awards issued prior to 2019 and vest in equal amounts over three years for all other RSUs. The service based RSAs typically cliff-vest after one year.</w:t>
      </w:r>
    </w:p>
    <w:p>
      <w:pPr>
        <w:spacing w:after="0" w:line="99"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6660" w:type="dxa"/>
            <w:vAlign w:val="bottom"/>
          </w:tcPr>
          <w:p>
            <w:pPr>
              <w:ind w:left="380"/>
              <w:spacing w:after="0"/>
              <w:rPr>
                <w:sz w:val="20"/>
                <w:szCs w:val="20"/>
                <w:color w:val="auto"/>
              </w:rPr>
            </w:pPr>
            <w:r>
              <w:rPr>
                <w:rFonts w:ascii="Arial" w:cs="Arial" w:eastAsia="Arial" w:hAnsi="Arial"/>
                <w:sz w:val="14"/>
                <w:szCs w:val="14"/>
                <w:color w:val="auto"/>
              </w:rPr>
              <w:t>The following table summarizes the status of and changes in the RSUs and RSAs:</w:t>
            </w: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40"/>
        </w:trPr>
        <w:tc>
          <w:tcPr>
            <w:tcW w:w="6660" w:type="dxa"/>
            <w:vAlign w:val="bottom"/>
          </w:tcPr>
          <w:p>
            <w:pPr>
              <w:spacing w:after="0"/>
              <w:rPr>
                <w:sz w:val="24"/>
                <w:szCs w:val="24"/>
                <w:color w:val="auto"/>
              </w:rPr>
            </w:pPr>
          </w:p>
        </w:tc>
        <w:tc>
          <w:tcPr>
            <w:tcW w:w="4480" w:type="dxa"/>
            <w:vAlign w:val="bottom"/>
            <w:gridSpan w:val="3"/>
          </w:tcPr>
          <w:p>
            <w:pPr>
              <w:ind w:left="1180"/>
              <w:spacing w:after="0"/>
              <w:rPr>
                <w:sz w:val="20"/>
                <w:szCs w:val="20"/>
                <w:color w:val="auto"/>
              </w:rPr>
            </w:pPr>
            <w:r>
              <w:rPr>
                <w:rFonts w:ascii="Arial" w:cs="Arial" w:eastAsia="Arial" w:hAnsi="Arial"/>
                <w:sz w:val="14"/>
                <w:szCs w:val="14"/>
                <w:b w:val="1"/>
                <w:bCs w:val="1"/>
                <w:color w:val="auto"/>
              </w:rPr>
              <w:t>Restricted Stock Units and Awards</w:t>
            </w:r>
          </w:p>
        </w:tc>
      </w:tr>
      <w:tr>
        <w:trPr>
          <w:trHeight w:val="22"/>
        </w:trPr>
        <w:tc>
          <w:tcPr>
            <w:tcW w:w="66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67"/>
        </w:trPr>
        <w:tc>
          <w:tcPr>
            <w:tcW w:w="6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 Grant Date Fair</w:t>
            </w:r>
          </w:p>
        </w:tc>
      </w:tr>
      <w:tr>
        <w:trPr>
          <w:trHeight w:val="184"/>
        </w:trPr>
        <w:tc>
          <w:tcPr>
            <w:tcW w:w="6660" w:type="dxa"/>
            <w:vAlign w:val="bottom"/>
          </w:tcPr>
          <w:p>
            <w:pPr>
              <w:spacing w:after="0"/>
              <w:rPr>
                <w:sz w:val="16"/>
                <w:szCs w:val="16"/>
                <w:color w:val="auto"/>
              </w:rPr>
            </w:pPr>
          </w:p>
        </w:tc>
        <w:tc>
          <w:tcPr>
            <w:tcW w:w="2280" w:type="dxa"/>
            <w:vAlign w:val="bottom"/>
            <w:gridSpan w:val="2"/>
          </w:tcPr>
          <w:p>
            <w:pPr>
              <w:ind w:left="560"/>
              <w:spacing w:after="0"/>
              <w:rPr>
                <w:sz w:val="20"/>
                <w:szCs w:val="20"/>
                <w:color w:val="auto"/>
              </w:rPr>
            </w:pPr>
            <w:r>
              <w:rPr>
                <w:rFonts w:ascii="Arial" w:cs="Arial" w:eastAsia="Arial" w:hAnsi="Arial"/>
                <w:sz w:val="14"/>
                <w:szCs w:val="14"/>
                <w:b w:val="1"/>
                <w:bCs w:val="1"/>
                <w:color w:val="auto"/>
              </w:rPr>
              <w:t>Number of Shares</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Nonvested, January 1, 2020</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340,780</w:t>
            </w:r>
          </w:p>
        </w:tc>
        <w:tc>
          <w:tcPr>
            <w:tcW w:w="8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$15.35</w:t>
            </w:r>
          </w:p>
        </w:tc>
      </w:tr>
      <w:tr>
        <w:trPr>
          <w:trHeight w:val="191"/>
        </w:trPr>
        <w:tc>
          <w:tcPr>
            <w:tcW w:w="6660" w:type="dxa"/>
            <w:vAlign w:val="bottom"/>
          </w:tcPr>
          <w:p>
            <w:pPr>
              <w:ind w:left="80"/>
              <w:spacing w:after="0"/>
              <w:rPr>
                <w:sz w:val="20"/>
                <w:szCs w:val="20"/>
                <w:color w:val="auto"/>
              </w:rPr>
            </w:pPr>
            <w:r>
              <w:rPr>
                <w:rFonts w:ascii="Arial" w:cs="Arial" w:eastAsia="Arial" w:hAnsi="Arial"/>
                <w:sz w:val="14"/>
                <w:szCs w:val="14"/>
                <w:color w:val="auto"/>
              </w:rPr>
              <w:t>Granted</w:t>
            </w:r>
          </w:p>
        </w:tc>
        <w:tc>
          <w:tcPr>
            <w:tcW w:w="2200" w:type="dxa"/>
            <w:vAlign w:val="bottom"/>
          </w:tcPr>
          <w:p>
            <w:pPr>
              <w:jc w:val="center"/>
              <w:spacing w:after="0"/>
              <w:rPr>
                <w:sz w:val="20"/>
                <w:szCs w:val="20"/>
                <w:color w:val="auto"/>
              </w:rPr>
            </w:pPr>
            <w:r>
              <w:rPr>
                <w:rFonts w:ascii="Arial" w:cs="Arial" w:eastAsia="Arial" w:hAnsi="Arial"/>
                <w:sz w:val="14"/>
                <w:szCs w:val="14"/>
                <w:color w:val="auto"/>
                <w:w w:val="90"/>
              </w:rPr>
              <w:t>195,051</w:t>
            </w:r>
          </w:p>
        </w:tc>
        <w:tc>
          <w:tcPr>
            <w:tcW w:w="8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1"/>
              </w:rPr>
              <w:t>13.63</w:t>
            </w:r>
          </w:p>
        </w:tc>
      </w:tr>
      <w:tr>
        <w:trPr>
          <w:trHeight w:val="22"/>
        </w:trPr>
        <w:tc>
          <w:tcPr>
            <w:tcW w:w="6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Vested</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(86,146)</w:t>
            </w:r>
          </w:p>
        </w:tc>
        <w:tc>
          <w:tcPr>
            <w:tcW w:w="8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15.50</w:t>
            </w:r>
          </w:p>
        </w:tc>
      </w:tr>
      <w:tr>
        <w:trPr>
          <w:trHeight w:val="191"/>
        </w:trPr>
        <w:tc>
          <w:tcPr>
            <w:tcW w:w="6660" w:type="dxa"/>
            <w:vAlign w:val="bottom"/>
          </w:tcPr>
          <w:p>
            <w:pPr>
              <w:ind w:left="80"/>
              <w:spacing w:after="0"/>
              <w:rPr>
                <w:sz w:val="20"/>
                <w:szCs w:val="20"/>
                <w:color w:val="auto"/>
              </w:rPr>
            </w:pPr>
            <w:r>
              <w:rPr>
                <w:rFonts w:ascii="Arial" w:cs="Arial" w:eastAsia="Arial" w:hAnsi="Arial"/>
                <w:sz w:val="14"/>
                <w:szCs w:val="14"/>
                <w:color w:val="auto"/>
              </w:rPr>
              <w:t>Forfeited</w:t>
            </w:r>
          </w:p>
        </w:tc>
        <w:tc>
          <w:tcPr>
            <w:tcW w:w="2200" w:type="dxa"/>
            <w:vAlign w:val="bottom"/>
          </w:tcPr>
          <w:p>
            <w:pPr>
              <w:jc w:val="center"/>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87"/>
              </w:rPr>
              <w:t>0.00</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Nonvested, March 31, 2020</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449,685</w:t>
            </w:r>
          </w:p>
        </w:tc>
        <w:tc>
          <w:tcPr>
            <w:tcW w:w="8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$14.58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Unrecognized stock-based compensation related to the RSUs and RSAs issued through March 31, 2020 was $5 million and is expected to be recognized over 2.1 years.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20" w:type="dxa"/>
            <w:vAlign w:val="bottom"/>
            <w:gridSpan w:val="2"/>
          </w:tcPr>
          <w:p>
            <w:pPr>
              <w:spacing w:after="0"/>
              <w:rPr>
                <w:sz w:val="20"/>
                <w:szCs w:val="20"/>
                <w:color w:val="auto"/>
              </w:rPr>
            </w:pPr>
            <w:r>
              <w:rPr>
                <w:rFonts w:ascii="Arial" w:cs="Arial" w:eastAsia="Arial" w:hAnsi="Arial"/>
                <w:sz w:val="17"/>
                <w:szCs w:val="17"/>
                <w:b w:val="1"/>
                <w:bCs w:val="1"/>
                <w:color w:val="auto"/>
              </w:rPr>
              <w:t>Note 10:</w:t>
            </w:r>
          </w:p>
        </w:tc>
        <w:tc>
          <w:tcPr>
            <w:tcW w:w="7240" w:type="dxa"/>
            <w:vAlign w:val="bottom"/>
          </w:tcPr>
          <w:p>
            <w:pPr>
              <w:ind w:left="200"/>
              <w:spacing w:after="0"/>
              <w:rPr>
                <w:sz w:val="20"/>
                <w:szCs w:val="20"/>
                <w:color w:val="auto"/>
              </w:rPr>
            </w:pPr>
            <w:r>
              <w:rPr>
                <w:rFonts w:ascii="Arial" w:cs="Arial" w:eastAsia="Arial" w:hAnsi="Arial"/>
                <w:sz w:val="17"/>
                <w:szCs w:val="17"/>
                <w:b w:val="1"/>
                <w:bCs w:val="1"/>
                <w:color w:val="auto"/>
              </w:rPr>
              <w:t>Income Tax</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9"/>
        </w:trPr>
        <w:tc>
          <w:tcPr>
            <w:tcW w:w="140" w:type="dxa"/>
            <w:vAlign w:val="bottom"/>
          </w:tcPr>
          <w:p>
            <w:pPr>
              <w:spacing w:after="0"/>
              <w:rPr>
                <w:sz w:val="24"/>
                <w:szCs w:val="24"/>
                <w:color w:val="auto"/>
              </w:rPr>
            </w:pPr>
          </w:p>
        </w:tc>
        <w:tc>
          <w:tcPr>
            <w:tcW w:w="7920" w:type="dxa"/>
            <w:vAlign w:val="bottom"/>
            <w:gridSpan w:val="2"/>
          </w:tcPr>
          <w:p>
            <w:pPr>
              <w:ind w:left="380"/>
              <w:spacing w:after="0"/>
              <w:rPr>
                <w:sz w:val="20"/>
                <w:szCs w:val="20"/>
                <w:color w:val="auto"/>
              </w:rPr>
            </w:pPr>
            <w:r>
              <w:rPr>
                <w:rFonts w:ascii="Arial" w:cs="Arial" w:eastAsia="Arial" w:hAnsi="Arial"/>
                <w:sz w:val="14"/>
                <w:szCs w:val="14"/>
                <w:color w:val="auto"/>
                <w:w w:val="97"/>
              </w:rPr>
              <w:t>A reconciliation of the income tax expense at the statutory rate to the Company’s actual income tax expense is shown below:</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0"/>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960" w:type="dxa"/>
            <w:vAlign w:val="bottom"/>
          </w:tcPr>
          <w:p>
            <w:pPr>
              <w:spacing w:after="0"/>
              <w:rPr>
                <w:sz w:val="24"/>
                <w:szCs w:val="24"/>
                <w:color w:val="auto"/>
              </w:rPr>
            </w:pPr>
          </w:p>
        </w:tc>
      </w:tr>
      <w:tr>
        <w:trPr>
          <w:trHeight w:val="212"/>
        </w:trPr>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Pr>
          <w:p>
            <w:pPr>
              <w:spacing w:after="0"/>
              <w:rPr>
                <w:sz w:val="18"/>
                <w:szCs w:val="18"/>
                <w:color w:val="auto"/>
              </w:rPr>
            </w:pPr>
          </w:p>
        </w:tc>
      </w:tr>
      <w:tr>
        <w:trPr>
          <w:trHeight w:val="22"/>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9"/>
              <w:spacing w:after="0"/>
              <w:rPr>
                <w:sz w:val="20"/>
                <w:szCs w:val="20"/>
                <w:color w:val="auto"/>
              </w:rPr>
            </w:pPr>
            <w:r>
              <w:rPr>
                <w:rFonts w:ascii="Arial" w:cs="Arial" w:eastAsia="Arial" w:hAnsi="Arial"/>
                <w:sz w:val="14"/>
                <w:szCs w:val="14"/>
                <w:b w:val="1"/>
                <w:bCs w:val="1"/>
                <w:color w:val="auto"/>
                <w:w w:val="96"/>
              </w:rPr>
              <w:t>2019</w:t>
            </w:r>
          </w:p>
        </w:tc>
      </w:tr>
      <w:tr>
        <w:trPr>
          <w:trHeight w:val="22"/>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7"/>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960" w:type="dxa"/>
            <w:vAlign w:val="bottom"/>
          </w:tcPr>
          <w:p>
            <w:pPr>
              <w:spacing w:after="0"/>
              <w:rPr>
                <w:sz w:val="14"/>
                <w:szCs w:val="14"/>
                <w:color w:val="auto"/>
              </w:rPr>
            </w:pPr>
          </w:p>
        </w:tc>
      </w:tr>
      <w:tr>
        <w:trPr>
          <w:trHeight w:val="26"/>
        </w:trPr>
        <w:tc>
          <w:tcPr>
            <w:tcW w:w="140" w:type="dxa"/>
            <w:vAlign w:val="bottom"/>
          </w:tcPr>
          <w:p>
            <w:pPr>
              <w:spacing w:after="0"/>
              <w:rPr>
                <w:sz w:val="2"/>
                <w:szCs w:val="2"/>
                <w:color w:val="auto"/>
              </w:rPr>
            </w:pPr>
          </w:p>
        </w:tc>
        <w:tc>
          <w:tcPr>
            <w:tcW w:w="79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2"/>
        </w:trPr>
        <w:tc>
          <w:tcPr>
            <w:tcW w:w="140" w:type="dxa"/>
            <w:vAlign w:val="bottom"/>
          </w:tcPr>
          <w:p>
            <w:pPr>
              <w:spacing w:after="0"/>
              <w:rPr>
                <w:sz w:val="16"/>
                <w:szCs w:val="16"/>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Computed at the statutory rate (21%)</w:t>
            </w: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2,051</w:t>
            </w:r>
          </w:p>
        </w:tc>
      </w:tr>
      <w:tr>
        <w:trPr>
          <w:trHeight w:val="191"/>
        </w:trPr>
        <w:tc>
          <w:tcPr>
            <w:tcW w:w="140" w:type="dxa"/>
            <w:vAlign w:val="bottom"/>
          </w:tcPr>
          <w:p>
            <w:pPr>
              <w:spacing w:after="0"/>
              <w:rPr>
                <w:sz w:val="16"/>
                <w:szCs w:val="16"/>
                <w:color w:val="auto"/>
              </w:rPr>
            </w:pPr>
          </w:p>
        </w:tc>
        <w:tc>
          <w:tcPr>
            <w:tcW w:w="7920" w:type="dxa"/>
            <w:vAlign w:val="bottom"/>
            <w:gridSpan w:val="2"/>
          </w:tcPr>
          <w:p>
            <w:pPr>
              <w:spacing w:after="0"/>
              <w:rPr>
                <w:sz w:val="20"/>
                <w:szCs w:val="20"/>
                <w:color w:val="auto"/>
              </w:rPr>
            </w:pPr>
            <w:r>
              <w:rPr>
                <w:rFonts w:ascii="Arial" w:cs="Arial" w:eastAsia="Arial" w:hAnsi="Arial"/>
                <w:sz w:val="14"/>
                <w:szCs w:val="14"/>
                <w:color w:val="auto"/>
              </w:rPr>
              <w:t>Increase (decrease) resulting from</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9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Tax-exempt income</w:t>
            </w: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(790)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(713)</w:t>
            </w:r>
          </w:p>
        </w:tc>
      </w:tr>
      <w:tr>
        <w:trPr>
          <w:trHeight w:val="191"/>
        </w:trPr>
        <w:tc>
          <w:tcPr>
            <w:tcW w:w="140" w:type="dxa"/>
            <w:vAlign w:val="bottom"/>
          </w:tcPr>
          <w:p>
            <w:pPr>
              <w:spacing w:after="0"/>
              <w:rPr>
                <w:sz w:val="16"/>
                <w:szCs w:val="16"/>
                <w:color w:val="auto"/>
              </w:rPr>
            </w:pPr>
          </w:p>
        </w:tc>
        <w:tc>
          <w:tcPr>
            <w:tcW w:w="7920" w:type="dxa"/>
            <w:vAlign w:val="bottom"/>
            <w:gridSpan w:val="2"/>
          </w:tcPr>
          <w:p>
            <w:pPr>
              <w:ind w:left="80"/>
              <w:spacing w:after="0"/>
              <w:rPr>
                <w:sz w:val="20"/>
                <w:szCs w:val="20"/>
                <w:color w:val="auto"/>
              </w:rPr>
            </w:pPr>
            <w:r>
              <w:rPr>
                <w:rFonts w:ascii="Arial" w:cs="Arial" w:eastAsia="Arial" w:hAnsi="Arial"/>
                <w:sz w:val="14"/>
                <w:szCs w:val="14"/>
                <w:color w:val="auto"/>
              </w:rPr>
              <w:t>Nondeductible expenses</w:t>
            </w:r>
          </w:p>
        </w:tc>
        <w:tc>
          <w:tcPr>
            <w:tcW w:w="96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73</w:t>
            </w:r>
          </w:p>
        </w:tc>
      </w:tr>
      <w:tr>
        <w:trPr>
          <w:trHeight w:val="22"/>
        </w:trPr>
        <w:tc>
          <w:tcPr>
            <w:tcW w:w="140" w:type="dxa"/>
            <w:vAlign w:val="bottom"/>
          </w:tcPr>
          <w:p>
            <w:pPr>
              <w:spacing w:after="0" w:line="20" w:lineRule="exact"/>
              <w:rPr>
                <w:sz w:val="1"/>
                <w:szCs w:val="1"/>
                <w:color w:val="auto"/>
              </w:rPr>
            </w:pPr>
          </w:p>
        </w:tc>
        <w:tc>
          <w:tcPr>
            <w:tcW w:w="7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9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State tax credit</w:t>
            </w: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(1,361)</w:t>
            </w:r>
          </w:p>
        </w:tc>
      </w:tr>
      <w:tr>
        <w:trPr>
          <w:trHeight w:val="191"/>
        </w:trPr>
        <w:tc>
          <w:tcPr>
            <w:tcW w:w="140" w:type="dxa"/>
            <w:vAlign w:val="bottom"/>
          </w:tcPr>
          <w:p>
            <w:pPr>
              <w:spacing w:after="0"/>
              <w:rPr>
                <w:sz w:val="16"/>
                <w:szCs w:val="16"/>
                <w:color w:val="auto"/>
              </w:rPr>
            </w:pPr>
          </w:p>
        </w:tc>
        <w:tc>
          <w:tcPr>
            <w:tcW w:w="7920" w:type="dxa"/>
            <w:vAlign w:val="bottom"/>
            <w:gridSpan w:val="2"/>
          </w:tcPr>
          <w:p>
            <w:pPr>
              <w:ind w:left="80"/>
              <w:spacing w:after="0"/>
              <w:rPr>
                <w:sz w:val="20"/>
                <w:szCs w:val="20"/>
                <w:color w:val="auto"/>
              </w:rPr>
            </w:pPr>
            <w:r>
              <w:rPr>
                <w:rFonts w:ascii="Arial" w:cs="Arial" w:eastAsia="Arial" w:hAnsi="Arial"/>
                <w:sz w:val="14"/>
                <w:szCs w:val="14"/>
                <w:color w:val="auto"/>
              </w:rPr>
              <w:t>State income taxes</w:t>
            </w:r>
          </w:p>
        </w:tc>
        <w:tc>
          <w:tcPr>
            <w:tcW w:w="96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441</w:t>
            </w:r>
          </w:p>
        </w:tc>
      </w:tr>
      <w:tr>
        <w:trPr>
          <w:trHeight w:val="22"/>
        </w:trPr>
        <w:tc>
          <w:tcPr>
            <w:tcW w:w="140" w:type="dxa"/>
            <w:vAlign w:val="bottom"/>
          </w:tcPr>
          <w:p>
            <w:pPr>
              <w:spacing w:after="0" w:line="20" w:lineRule="exact"/>
              <w:rPr>
                <w:sz w:val="1"/>
                <w:szCs w:val="1"/>
                <w:color w:val="auto"/>
              </w:rPr>
            </w:pPr>
          </w:p>
        </w:tc>
        <w:tc>
          <w:tcPr>
            <w:tcW w:w="79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9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Equity based compensation</w:t>
            </w: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(55)</w:t>
            </w:r>
          </w:p>
        </w:tc>
      </w:tr>
      <w:tr>
        <w:trPr>
          <w:trHeight w:val="191"/>
        </w:trPr>
        <w:tc>
          <w:tcPr>
            <w:tcW w:w="140" w:type="dxa"/>
            <w:vAlign w:val="bottom"/>
          </w:tcPr>
          <w:p>
            <w:pPr>
              <w:spacing w:after="0"/>
              <w:rPr>
                <w:sz w:val="16"/>
                <w:szCs w:val="16"/>
                <w:color w:val="auto"/>
              </w:rPr>
            </w:pPr>
          </w:p>
        </w:tc>
        <w:tc>
          <w:tcPr>
            <w:tcW w:w="7920" w:type="dxa"/>
            <w:vAlign w:val="bottom"/>
            <w:gridSpan w:val="2"/>
          </w:tcPr>
          <w:p>
            <w:pPr>
              <w:ind w:left="80"/>
              <w:spacing w:after="0"/>
              <w:rPr>
                <w:sz w:val="20"/>
                <w:szCs w:val="20"/>
                <w:color w:val="auto"/>
              </w:rPr>
            </w:pPr>
            <w:r>
              <w:rPr>
                <w:rFonts w:ascii="Arial" w:cs="Arial" w:eastAsia="Arial" w:hAnsi="Arial"/>
                <w:sz w:val="14"/>
                <w:szCs w:val="14"/>
                <w:color w:val="auto"/>
              </w:rPr>
              <w:t>Other adjustments</w:t>
            </w:r>
          </w:p>
        </w:tc>
        <w:tc>
          <w:tcPr>
            <w:tcW w:w="960" w:type="dxa"/>
            <w:vAlign w:val="bottom"/>
          </w:tcPr>
          <w:p>
            <w:pPr>
              <w:spacing w:after="0"/>
              <w:rPr>
                <w:sz w:val="16"/>
                <w:szCs w:val="16"/>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(17)</w:t>
            </w:r>
          </w:p>
        </w:tc>
      </w:tr>
      <w:tr>
        <w:trPr>
          <w:trHeight w:val="22"/>
        </w:trPr>
        <w:tc>
          <w:tcPr>
            <w:tcW w:w="140" w:type="dxa"/>
            <w:vAlign w:val="bottom"/>
          </w:tcPr>
          <w:p>
            <w:pPr>
              <w:spacing w:after="0" w:line="20" w:lineRule="exact"/>
              <w:rPr>
                <w:sz w:val="1"/>
                <w:szCs w:val="1"/>
                <w:color w:val="auto"/>
              </w:rPr>
            </w:pPr>
          </w:p>
        </w:tc>
        <w:tc>
          <w:tcPr>
            <w:tcW w:w="792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8"/>
        </w:trPr>
        <w:tc>
          <w:tcPr>
            <w:tcW w:w="140" w:type="dxa"/>
            <w:vAlign w:val="bottom"/>
          </w:tcPr>
          <w:p>
            <w:pPr>
              <w:spacing w:after="0"/>
              <w:rPr>
                <w:sz w:val="19"/>
                <w:szCs w:val="19"/>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Actual tax expense</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419</w:t>
            </w:r>
          </w:p>
        </w:tc>
      </w:tr>
      <w:tr>
        <w:trPr>
          <w:trHeight w:val="20"/>
        </w:trPr>
        <w:tc>
          <w:tcPr>
            <w:tcW w:w="14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3" w:name="page34"/>
    <w:bookmarkEnd w:id="33"/>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tax effects of temporary differences related to deferred taxes shown on the consolidated Balance Sheets are presented below:</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1880" w:type="dxa"/>
            <w:vAlign w:val="bottom"/>
          </w:tcPr>
          <w:p>
            <w:pPr>
              <w:jc w:val="right"/>
              <w:ind w:right="49"/>
              <w:spacing w:after="0"/>
              <w:rPr>
                <w:sz w:val="20"/>
                <w:szCs w:val="20"/>
                <w:color w:val="auto"/>
              </w:rPr>
            </w:pPr>
            <w:r>
              <w:rPr>
                <w:rFonts w:ascii="Arial" w:cs="Arial" w:eastAsia="Arial" w:hAnsi="Arial"/>
                <w:sz w:val="14"/>
                <w:szCs w:val="14"/>
                <w:b w:val="1"/>
                <w:bCs w:val="1"/>
                <w:color w:val="auto"/>
              </w:rPr>
              <w:t>March 31, 2020</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jc w:val="right"/>
              <w:ind w:right="649"/>
              <w:spacing w:after="0"/>
              <w:rPr>
                <w:sz w:val="20"/>
                <w:szCs w:val="20"/>
                <w:color w:val="auto"/>
              </w:rPr>
            </w:pPr>
            <w:r>
              <w:rPr>
                <w:rFonts w:ascii="Arial" w:cs="Arial" w:eastAsia="Arial" w:hAnsi="Arial"/>
                <w:sz w:val="14"/>
                <w:szCs w:val="14"/>
                <w:b w:val="1"/>
                <w:bCs w:val="1"/>
                <w:color w:val="auto"/>
                <w:w w:val="96"/>
              </w:rPr>
              <w:t>December 31, 2019</w:t>
            </w:r>
          </w:p>
        </w:tc>
      </w:tr>
      <w:tr>
        <w:trPr>
          <w:trHeight w:val="22"/>
        </w:trPr>
        <w:tc>
          <w:tcPr>
            <w:tcW w:w="58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67"/>
        </w:trPr>
        <w:tc>
          <w:tcPr>
            <w:tcW w:w="5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gridSpan w:val="3"/>
          </w:tcPr>
          <w:p>
            <w:pPr>
              <w:jc w:val="right"/>
              <w:ind w:right="29"/>
              <w:spacing w:after="0"/>
              <w:rPr>
                <w:sz w:val="20"/>
                <w:szCs w:val="20"/>
                <w:color w:val="auto"/>
              </w:rPr>
            </w:pPr>
            <w:r>
              <w:rPr>
                <w:rFonts w:ascii="Arial" w:cs="Arial" w:eastAsia="Arial" w:hAnsi="Arial"/>
                <w:sz w:val="13"/>
                <w:szCs w:val="13"/>
                <w:i w:val="1"/>
                <w:iCs w:val="1"/>
                <w:color w:val="auto"/>
              </w:rPr>
              <w:t>(Dollars in thousands)</w:t>
            </w:r>
          </w:p>
        </w:tc>
        <w:tc>
          <w:tcPr>
            <w:tcW w:w="1960" w:type="dxa"/>
            <w:vAlign w:val="bottom"/>
          </w:tcPr>
          <w:p>
            <w:pPr>
              <w:spacing w:after="0"/>
              <w:rPr>
                <w:sz w:val="14"/>
                <w:szCs w:val="14"/>
                <w:color w:val="auto"/>
              </w:rPr>
            </w:pPr>
          </w:p>
        </w:tc>
      </w:tr>
      <w:tr>
        <w:trPr>
          <w:trHeight w:val="26"/>
        </w:trPr>
        <w:tc>
          <w:tcPr>
            <w:tcW w:w="5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92"/>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r>
      <w:tr>
        <w:trPr>
          <w:trHeight w:val="191"/>
        </w:trPr>
        <w:tc>
          <w:tcPr>
            <w:tcW w:w="5880" w:type="dxa"/>
            <w:vAlign w:val="bottom"/>
          </w:tcPr>
          <w:p>
            <w:pPr>
              <w:ind w:left="160"/>
              <w:spacing w:after="0"/>
              <w:rPr>
                <w:sz w:val="20"/>
                <w:szCs w:val="20"/>
                <w:color w:val="auto"/>
              </w:rPr>
            </w:pPr>
            <w:r>
              <w:rPr>
                <w:rFonts w:ascii="Arial" w:cs="Arial" w:eastAsia="Arial" w:hAnsi="Arial"/>
                <w:sz w:val="14"/>
                <w:szCs w:val="14"/>
                <w:color w:val="auto"/>
              </w:rPr>
              <w:t>Allowance for loan losses</w:t>
            </w:r>
          </w:p>
        </w:tc>
        <w:tc>
          <w:tcPr>
            <w:tcW w:w="1880" w:type="dxa"/>
            <w:vAlign w:val="bottom"/>
          </w:tcPr>
          <w:p>
            <w:pPr>
              <w:jc w:val="right"/>
              <w:ind w:right="172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12,597</w:t>
            </w:r>
          </w:p>
        </w:tc>
        <w:tc>
          <w:tcPr>
            <w:tcW w:w="80" w:type="dxa"/>
            <w:vAlign w:val="bottom"/>
          </w:tcPr>
          <w:p>
            <w:pPr>
              <w:spacing w:after="0"/>
              <w:rPr>
                <w:sz w:val="16"/>
                <w:szCs w:val="16"/>
                <w:color w:val="auto"/>
              </w:rPr>
            </w:pPr>
          </w:p>
        </w:tc>
        <w:tc>
          <w:tcPr>
            <w:tcW w:w="640" w:type="dxa"/>
            <w:vAlign w:val="bottom"/>
          </w:tcPr>
          <w:p>
            <w:pPr>
              <w:jc w:val="right"/>
              <w:ind w:right="489"/>
              <w:spacing w:after="0"/>
              <w:rPr>
                <w:sz w:val="20"/>
                <w:szCs w:val="20"/>
                <w:color w:val="auto"/>
              </w:rPr>
            </w:pPr>
            <w:r>
              <w:rPr>
                <w:rFonts w:ascii="Arial" w:cs="Arial" w:eastAsia="Arial" w:hAnsi="Arial"/>
                <w:sz w:val="14"/>
                <w:szCs w:val="14"/>
                <w:color w:val="auto"/>
                <w:w w:val="76"/>
              </w:rPr>
              <w:t>$</w:t>
            </w:r>
          </w:p>
        </w:tc>
        <w:tc>
          <w:tcPr>
            <w:tcW w:w="1960" w:type="dxa"/>
            <w:vAlign w:val="bottom"/>
          </w:tcPr>
          <w:p>
            <w:pPr>
              <w:jc w:val="right"/>
              <w:ind w:right="69"/>
              <w:spacing w:after="0"/>
              <w:rPr>
                <w:sz w:val="20"/>
                <w:szCs w:val="20"/>
                <w:color w:val="auto"/>
              </w:rPr>
            </w:pPr>
            <w:r>
              <w:rPr>
                <w:rFonts w:ascii="Arial" w:cs="Arial" w:eastAsia="Arial" w:hAnsi="Arial"/>
                <w:sz w:val="14"/>
                <w:szCs w:val="14"/>
                <w:color w:val="auto"/>
              </w:rPr>
              <w:t>13,928</w:t>
            </w:r>
          </w:p>
        </w:tc>
      </w:tr>
      <w:tr>
        <w:trPr>
          <w:trHeight w:val="22"/>
        </w:trPr>
        <w:tc>
          <w:tcPr>
            <w:tcW w:w="5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Lease incentive</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287</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294</w:t>
            </w:r>
          </w:p>
        </w:tc>
      </w:tr>
      <w:tr>
        <w:trPr>
          <w:trHeight w:val="191"/>
        </w:trPr>
        <w:tc>
          <w:tcPr>
            <w:tcW w:w="5880" w:type="dxa"/>
            <w:vAlign w:val="bottom"/>
          </w:tcPr>
          <w:p>
            <w:pPr>
              <w:ind w:left="160"/>
              <w:spacing w:after="0"/>
              <w:rPr>
                <w:sz w:val="20"/>
                <w:szCs w:val="20"/>
                <w:color w:val="auto"/>
              </w:rPr>
            </w:pPr>
            <w:r>
              <w:rPr>
                <w:rFonts w:ascii="Arial" w:cs="Arial" w:eastAsia="Arial" w:hAnsi="Arial"/>
                <w:sz w:val="14"/>
                <w:szCs w:val="14"/>
                <w:color w:val="auto"/>
              </w:rPr>
              <w:t>Impairment of available-for-sale securities</w:t>
            </w:r>
          </w:p>
        </w:tc>
        <w:tc>
          <w:tcPr>
            <w:tcW w:w="18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1960" w:type="dxa"/>
            <w:vAlign w:val="bottom"/>
          </w:tcPr>
          <w:p>
            <w:pPr>
              <w:jc w:val="right"/>
              <w:ind w:right="69"/>
              <w:spacing w:after="0"/>
              <w:rPr>
                <w:sz w:val="20"/>
                <w:szCs w:val="20"/>
                <w:color w:val="auto"/>
              </w:rPr>
            </w:pPr>
            <w:r>
              <w:rPr>
                <w:rFonts w:ascii="Arial" w:cs="Arial" w:eastAsia="Arial" w:hAnsi="Arial"/>
                <w:sz w:val="14"/>
                <w:szCs w:val="14"/>
                <w:color w:val="auto"/>
              </w:rPr>
              <w:t>493</w:t>
            </w:r>
          </w:p>
        </w:tc>
      </w:tr>
      <w:tr>
        <w:trPr>
          <w:trHeight w:val="22"/>
        </w:trPr>
        <w:tc>
          <w:tcPr>
            <w:tcW w:w="5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Loan fees</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2,134</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2,317</w:t>
            </w:r>
          </w:p>
        </w:tc>
      </w:tr>
      <w:tr>
        <w:trPr>
          <w:trHeight w:val="191"/>
        </w:trPr>
        <w:tc>
          <w:tcPr>
            <w:tcW w:w="5880" w:type="dxa"/>
            <w:vAlign w:val="bottom"/>
          </w:tcPr>
          <w:p>
            <w:pPr>
              <w:ind w:left="160"/>
              <w:spacing w:after="0"/>
              <w:rPr>
                <w:sz w:val="20"/>
                <w:szCs w:val="20"/>
                <w:color w:val="auto"/>
              </w:rPr>
            </w:pPr>
            <w:r>
              <w:rPr>
                <w:rFonts w:ascii="Arial" w:cs="Arial" w:eastAsia="Arial" w:hAnsi="Arial"/>
                <w:sz w:val="14"/>
                <w:szCs w:val="14"/>
                <w:color w:val="auto"/>
              </w:rPr>
              <w:t>Net operating loss carryover</w:t>
            </w:r>
          </w:p>
        </w:tc>
        <w:tc>
          <w:tcPr>
            <w:tcW w:w="1880" w:type="dxa"/>
            <w:vAlign w:val="bottom"/>
          </w:tcPr>
          <w:p>
            <w:pPr>
              <w:spacing w:after="0"/>
              <w:rPr>
                <w:sz w:val="16"/>
                <w:szCs w:val="16"/>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650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jc w:val="right"/>
              <w:ind w:right="69"/>
              <w:spacing w:after="0"/>
              <w:rPr>
                <w:sz w:val="20"/>
                <w:szCs w:val="20"/>
                <w:color w:val="auto"/>
              </w:rPr>
            </w:pPr>
            <w:r>
              <w:rPr>
                <w:rFonts w:ascii="Arial" w:cs="Arial" w:eastAsia="Arial" w:hAnsi="Arial"/>
                <w:sz w:val="14"/>
                <w:szCs w:val="14"/>
                <w:color w:val="auto"/>
              </w:rPr>
              <w:t>339</w:t>
            </w:r>
          </w:p>
        </w:tc>
      </w:tr>
      <w:tr>
        <w:trPr>
          <w:trHeight w:val="22"/>
        </w:trPr>
        <w:tc>
          <w:tcPr>
            <w:tcW w:w="5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Accrued expenses</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801</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2,131</w:t>
            </w:r>
          </w:p>
        </w:tc>
      </w:tr>
      <w:tr>
        <w:trPr>
          <w:trHeight w:val="191"/>
        </w:trPr>
        <w:tc>
          <w:tcPr>
            <w:tcW w:w="5880" w:type="dxa"/>
            <w:vAlign w:val="bottom"/>
          </w:tcPr>
          <w:p>
            <w:pPr>
              <w:ind w:left="160"/>
              <w:spacing w:after="0"/>
              <w:rPr>
                <w:sz w:val="20"/>
                <w:szCs w:val="20"/>
                <w:color w:val="auto"/>
              </w:rPr>
            </w:pPr>
            <w:r>
              <w:rPr>
                <w:rFonts w:ascii="Arial" w:cs="Arial" w:eastAsia="Arial" w:hAnsi="Arial"/>
                <w:sz w:val="14"/>
                <w:szCs w:val="14"/>
                <w:color w:val="auto"/>
              </w:rPr>
              <w:t>Deferred compensation</w:t>
            </w:r>
          </w:p>
        </w:tc>
        <w:tc>
          <w:tcPr>
            <w:tcW w:w="1880" w:type="dxa"/>
            <w:vAlign w:val="bottom"/>
          </w:tcPr>
          <w:p>
            <w:pPr>
              <w:spacing w:after="0"/>
              <w:rPr>
                <w:sz w:val="16"/>
                <w:szCs w:val="16"/>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2,088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jc w:val="right"/>
              <w:ind w:right="69"/>
              <w:spacing w:after="0"/>
              <w:rPr>
                <w:sz w:val="20"/>
                <w:szCs w:val="20"/>
                <w:color w:val="auto"/>
              </w:rPr>
            </w:pPr>
            <w:r>
              <w:rPr>
                <w:rFonts w:ascii="Arial" w:cs="Arial" w:eastAsia="Arial" w:hAnsi="Arial"/>
                <w:sz w:val="14"/>
                <w:szCs w:val="14"/>
                <w:color w:val="auto"/>
              </w:rPr>
              <w:t>2,444</w:t>
            </w:r>
          </w:p>
        </w:tc>
      </w:tr>
      <w:tr>
        <w:trPr>
          <w:trHeight w:val="22"/>
        </w:trPr>
        <w:tc>
          <w:tcPr>
            <w:tcW w:w="5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State tax credit</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3,288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3,287</w:t>
            </w:r>
          </w:p>
        </w:tc>
      </w:tr>
      <w:tr>
        <w:trPr>
          <w:trHeight w:val="191"/>
        </w:trPr>
        <w:tc>
          <w:tcPr>
            <w:tcW w:w="5880" w:type="dxa"/>
            <w:vAlign w:val="bottom"/>
          </w:tcPr>
          <w:p>
            <w:pPr>
              <w:ind w:left="160"/>
              <w:spacing w:after="0"/>
              <w:rPr>
                <w:sz w:val="20"/>
                <w:szCs w:val="20"/>
                <w:color w:val="auto"/>
              </w:rPr>
            </w:pPr>
            <w:r>
              <w:rPr>
                <w:rFonts w:ascii="Arial" w:cs="Arial" w:eastAsia="Arial" w:hAnsi="Arial"/>
                <w:sz w:val="14"/>
                <w:szCs w:val="14"/>
                <w:color w:val="auto"/>
              </w:rPr>
              <w:t>Other</w:t>
            </w:r>
          </w:p>
        </w:tc>
        <w:tc>
          <w:tcPr>
            <w:tcW w:w="1880" w:type="dxa"/>
            <w:vAlign w:val="bottom"/>
          </w:tcPr>
          <w:p>
            <w:pPr>
              <w:spacing w:after="0"/>
              <w:rPr>
                <w:sz w:val="16"/>
                <w:szCs w:val="16"/>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jc w:val="right"/>
              <w:ind w:right="69"/>
              <w:spacing w:after="0"/>
              <w:rPr>
                <w:sz w:val="20"/>
                <w:szCs w:val="20"/>
                <w:color w:val="auto"/>
              </w:rPr>
            </w:pPr>
            <w:r>
              <w:rPr>
                <w:rFonts w:ascii="Arial" w:cs="Arial" w:eastAsia="Arial" w:hAnsi="Arial"/>
                <w:sz w:val="14"/>
                <w:szCs w:val="14"/>
                <w:color w:val="auto"/>
              </w:rPr>
              <w:t>81</w:t>
            </w:r>
          </w:p>
        </w:tc>
      </w:tr>
      <w:tr>
        <w:trPr>
          <w:trHeight w:val="22"/>
        </w:trPr>
        <w:tc>
          <w:tcPr>
            <w:tcW w:w="58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83"/>
        </w:trPr>
        <w:tc>
          <w:tcPr>
            <w:tcW w:w="5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deferred tax asset</w:t>
            </w:r>
          </w:p>
        </w:tc>
        <w:tc>
          <w:tcPr>
            <w:tcW w:w="18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22,265</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25,314</w:t>
            </w:r>
          </w:p>
        </w:tc>
      </w:tr>
      <w:tr>
        <w:trPr>
          <w:trHeight w:val="191"/>
        </w:trPr>
        <w:tc>
          <w:tcPr>
            <w:tcW w:w="5880" w:type="dxa"/>
            <w:vAlign w:val="bottom"/>
          </w:tcPr>
          <w:p>
            <w:pPr>
              <w:spacing w:after="0"/>
              <w:rPr>
                <w:sz w:val="20"/>
                <w:szCs w:val="20"/>
                <w:color w:val="auto"/>
              </w:rPr>
            </w:pPr>
            <w:r>
              <w:rPr>
                <w:rFonts w:ascii="Arial" w:cs="Arial" w:eastAsia="Arial" w:hAnsi="Arial"/>
                <w:sz w:val="14"/>
                <w:szCs w:val="14"/>
                <w:b w:val="1"/>
                <w:bCs w:val="1"/>
                <w:color w:val="auto"/>
              </w:rPr>
              <w:t>Deferred tax liability</w:t>
            </w:r>
          </w:p>
        </w:tc>
        <w:tc>
          <w:tcPr>
            <w:tcW w:w="1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2"/>
        </w:trPr>
        <w:tc>
          <w:tcPr>
            <w:tcW w:w="5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Fair market value adjustments - trust preferred securities</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(346)</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(348)</w:t>
            </w:r>
          </w:p>
        </w:tc>
      </w:tr>
      <w:tr>
        <w:trPr>
          <w:trHeight w:val="191"/>
        </w:trPr>
        <w:tc>
          <w:tcPr>
            <w:tcW w:w="5880" w:type="dxa"/>
            <w:vAlign w:val="bottom"/>
          </w:tcPr>
          <w:p>
            <w:pPr>
              <w:ind w:left="160"/>
              <w:spacing w:after="0"/>
              <w:rPr>
                <w:sz w:val="20"/>
                <w:szCs w:val="20"/>
                <w:color w:val="auto"/>
              </w:rPr>
            </w:pPr>
            <w:r>
              <w:rPr>
                <w:rFonts w:ascii="Arial" w:cs="Arial" w:eastAsia="Arial" w:hAnsi="Arial"/>
                <w:sz w:val="14"/>
                <w:szCs w:val="14"/>
                <w:color w:val="auto"/>
              </w:rPr>
              <w:t>Net unrealized gain on securities available-for-sale</w:t>
            </w:r>
          </w:p>
        </w:tc>
        <w:tc>
          <w:tcPr>
            <w:tcW w:w="1880" w:type="dxa"/>
            <w:vAlign w:val="bottom"/>
          </w:tcPr>
          <w:p>
            <w:pPr>
              <w:spacing w:after="0"/>
              <w:rPr>
                <w:sz w:val="16"/>
                <w:szCs w:val="16"/>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(7,327)</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jc w:val="right"/>
              <w:ind w:right="49"/>
              <w:spacing w:after="0"/>
              <w:rPr>
                <w:sz w:val="20"/>
                <w:szCs w:val="20"/>
                <w:color w:val="auto"/>
              </w:rPr>
            </w:pPr>
            <w:r>
              <w:rPr>
                <w:rFonts w:ascii="Arial" w:cs="Arial" w:eastAsia="Arial" w:hAnsi="Arial"/>
                <w:sz w:val="14"/>
                <w:szCs w:val="14"/>
                <w:color w:val="auto"/>
              </w:rPr>
              <w:t>(5,339)</w:t>
            </w:r>
          </w:p>
        </w:tc>
      </w:tr>
      <w:tr>
        <w:trPr>
          <w:trHeight w:val="22"/>
        </w:trPr>
        <w:tc>
          <w:tcPr>
            <w:tcW w:w="5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FHLB stock basis</w:t>
            </w:r>
          </w:p>
        </w:tc>
        <w:tc>
          <w:tcPr>
            <w:tcW w:w="18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(1,068)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(996)</w:t>
            </w:r>
          </w:p>
        </w:tc>
      </w:tr>
      <w:tr>
        <w:trPr>
          <w:trHeight w:val="191"/>
        </w:trPr>
        <w:tc>
          <w:tcPr>
            <w:tcW w:w="5880" w:type="dxa"/>
            <w:vAlign w:val="bottom"/>
          </w:tcPr>
          <w:p>
            <w:pPr>
              <w:ind w:left="160"/>
              <w:spacing w:after="0"/>
              <w:rPr>
                <w:sz w:val="20"/>
                <w:szCs w:val="20"/>
                <w:color w:val="auto"/>
              </w:rPr>
            </w:pPr>
            <w:r>
              <w:rPr>
                <w:rFonts w:ascii="Arial" w:cs="Arial" w:eastAsia="Arial" w:hAnsi="Arial"/>
                <w:sz w:val="14"/>
                <w:szCs w:val="14"/>
                <w:color w:val="auto"/>
              </w:rPr>
              <w:t>Premises and equipment</w:t>
            </w:r>
          </w:p>
        </w:tc>
        <w:tc>
          <w:tcPr>
            <w:tcW w:w="1880" w:type="dxa"/>
            <w:vAlign w:val="bottom"/>
          </w:tcPr>
          <w:p>
            <w:pPr>
              <w:spacing w:after="0"/>
              <w:rPr>
                <w:sz w:val="16"/>
                <w:szCs w:val="16"/>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(3,462)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tcPr>
          <w:p>
            <w:pPr>
              <w:jc w:val="right"/>
              <w:ind w:right="49"/>
              <w:spacing w:after="0"/>
              <w:rPr>
                <w:sz w:val="20"/>
                <w:szCs w:val="20"/>
                <w:color w:val="auto"/>
              </w:rPr>
            </w:pPr>
            <w:r>
              <w:rPr>
                <w:rFonts w:ascii="Arial" w:cs="Arial" w:eastAsia="Arial" w:hAnsi="Arial"/>
                <w:sz w:val="14"/>
                <w:szCs w:val="14"/>
                <w:color w:val="auto"/>
              </w:rPr>
              <w:t>(3,620)</w:t>
            </w:r>
          </w:p>
        </w:tc>
      </w:tr>
      <w:tr>
        <w:trPr>
          <w:trHeight w:val="22"/>
        </w:trPr>
        <w:tc>
          <w:tcPr>
            <w:tcW w:w="5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2"/>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(1,148)</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(1,229)</w:t>
            </w:r>
          </w:p>
        </w:tc>
      </w:tr>
      <w:tr>
        <w:trPr>
          <w:trHeight w:val="181"/>
        </w:trPr>
        <w:tc>
          <w:tcPr>
            <w:tcW w:w="5880" w:type="dxa"/>
            <w:vAlign w:val="bottom"/>
          </w:tcPr>
          <w:p>
            <w:pPr>
              <w:ind w:left="240"/>
              <w:spacing w:after="0"/>
              <w:rPr>
                <w:sz w:val="20"/>
                <w:szCs w:val="20"/>
                <w:color w:val="auto"/>
              </w:rPr>
            </w:pPr>
            <w:r>
              <w:rPr>
                <w:rFonts w:ascii="Arial" w:cs="Arial" w:eastAsia="Arial" w:hAnsi="Arial"/>
                <w:sz w:val="14"/>
                <w:szCs w:val="14"/>
                <w:color w:val="auto"/>
              </w:rPr>
              <w:t>Total deferred tax liability</w:t>
            </w:r>
          </w:p>
        </w:tc>
        <w:tc>
          <w:tcPr>
            <w:tcW w:w="18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(13,351)</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(11,532)</w:t>
            </w:r>
          </w:p>
        </w:tc>
      </w:tr>
      <w:tr>
        <w:trPr>
          <w:trHeight w:val="22"/>
        </w:trPr>
        <w:tc>
          <w:tcPr>
            <w:tcW w:w="58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8"/>
        </w:trPr>
        <w:tc>
          <w:tcPr>
            <w:tcW w:w="58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deferred tax asset</w:t>
            </w:r>
          </w:p>
        </w:tc>
        <w:tc>
          <w:tcPr>
            <w:tcW w:w="1880" w:type="dxa"/>
            <w:vAlign w:val="bottom"/>
            <w:tcBorders>
              <w:bottom w:val="single" w:sz="8" w:color="auto"/>
            </w:tcBorders>
            <w:shd w:val="clear" w:color="auto" w:fill="CCEEFF"/>
          </w:tcPr>
          <w:p>
            <w:pPr>
              <w:jc w:val="right"/>
              <w:ind w:right="17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8,914</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13,782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CARES Act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CARES Act, which was enacted on March 27, 2020 in the U.S., includes many measures to assist companies, including temporary changes to income and non-income-based tax laws.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Some of the key tax-related provisions of the bill include:</w:t>
      </w:r>
    </w:p>
    <w:p>
      <w:pPr>
        <w:spacing w:after="0" w:line="126" w:lineRule="exact"/>
        <w:rPr>
          <w:sz w:val="20"/>
          <w:szCs w:val="20"/>
          <w:color w:val="auto"/>
        </w:rPr>
      </w:pPr>
    </w:p>
    <w:p>
      <w:pPr>
        <w:ind w:left="1020" w:hanging="506"/>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Allowing NOLs originating in 2018, 2019 or 2020 to be carried back five years; and</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Increasing the net interest expense deduction limit to 50% of adjusted taxable income from 30% for tax years beginning January 1, 2019 and 2020.</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plans to carry back a portion of any net operating loss incurred during 2020 to offset income during the prior year.</w:t>
      </w:r>
    </w:p>
    <w:p>
      <w:pPr>
        <w:spacing w:after="0" w:line="200" w:lineRule="exact"/>
        <w:rPr>
          <w:sz w:val="20"/>
          <w:szCs w:val="20"/>
          <w:color w:val="auto"/>
        </w:rPr>
      </w:pP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Disclosures about Fair Value of Financial Instruments</w:t>
      </w:r>
    </w:p>
    <w:p>
      <w:pPr>
        <w:spacing w:after="0" w:line="133" w:lineRule="exact"/>
        <w:rPr>
          <w:sz w:val="20"/>
          <w:szCs w:val="20"/>
          <w:color w:val="auto"/>
        </w:rPr>
      </w:pPr>
    </w:p>
    <w:p>
      <w:pPr>
        <w:ind w:left="140" w:right="160" w:firstLine="382"/>
        <w:spacing w:after="0" w:line="321" w:lineRule="auto"/>
        <w:rPr>
          <w:sz w:val="20"/>
          <w:szCs w:val="20"/>
          <w:color w:val="auto"/>
        </w:rPr>
      </w:pPr>
      <w:r>
        <w:rPr>
          <w:rFonts w:ascii="Arial" w:cs="Arial" w:eastAsia="Arial" w:hAnsi="Arial"/>
          <w:sz w:val="13"/>
          <w:szCs w:val="13"/>
          <w:color w:val="auto"/>
        </w:rPr>
        <w:t>Fair value is the price that would be received to sell an asset or paid to transfer a liability in an orderly transaction between market participants at the measurement date. Fair measurements must maximize the use of observable inputs and minimize the use of unobservable inputs. There is a hierarchy of three levels of inputs that may be used to measure fair value: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Quoted prices in active markets for identical assets or liabilities.</w:t>
      </w:r>
    </w:p>
    <w:p>
      <w:pPr>
        <w:spacing w:after="0" w:line="94" w:lineRule="exact"/>
        <w:rPr>
          <w:sz w:val="20"/>
          <w:szCs w:val="20"/>
          <w:color w:val="auto"/>
        </w:rPr>
      </w:pPr>
    </w:p>
    <w:p>
      <w:pPr>
        <w:ind w:left="1020" w:right="180" w:hanging="508"/>
        <w:spacing w:after="0" w:line="28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Observable inputs other than Level 1 prices, such as quoted prices for similar assets or liabilities; quoted prices in markets that are not active; or other inputs that are observable or</w:t>
      </w:r>
      <w:r>
        <w:rPr>
          <w:rFonts w:ascii="Arial" w:cs="Arial" w:eastAsia="Arial" w:hAnsi="Arial"/>
          <w:sz w:val="14"/>
          <w:szCs w:val="14"/>
          <w:b w:val="1"/>
          <w:bCs w:val="1"/>
          <w:color w:val="auto"/>
        </w:rPr>
        <w:t xml:space="preserve"> </w:t>
      </w:r>
      <w:r>
        <w:rPr>
          <w:rFonts w:ascii="Arial" w:cs="Arial" w:eastAsia="Arial" w:hAnsi="Arial"/>
          <w:sz w:val="14"/>
          <w:szCs w:val="14"/>
          <w:color w:val="auto"/>
        </w:rPr>
        <w:t>can be corroborated by observable market data for substantially the full term of the assets or liabilities.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Unobservable inputs supported by little or no market activity and significant to the fair value of the assets or liabilities.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4" w:name="page35"/>
    <w:bookmarkEnd w:id="34"/>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Measurements</w:t>
      </w:r>
    </w:p>
    <w:p>
      <w:pPr>
        <w:spacing w:after="0" w:line="126" w:lineRule="exact"/>
        <w:rPr>
          <w:sz w:val="20"/>
          <w:szCs w:val="20"/>
          <w:color w:val="auto"/>
        </w:rPr>
      </w:pPr>
    </w:p>
    <w:p>
      <w:pPr>
        <w:ind w:left="140" w:right="20" w:firstLine="382"/>
        <w:spacing w:after="0" w:line="281" w:lineRule="auto"/>
        <w:rPr>
          <w:sz w:val="20"/>
          <w:szCs w:val="20"/>
          <w:color w:val="auto"/>
        </w:rPr>
      </w:pPr>
      <w:r>
        <w:rPr>
          <w:rFonts w:ascii="Arial" w:cs="Arial" w:eastAsia="Arial" w:hAnsi="Arial"/>
          <w:sz w:val="14"/>
          <w:szCs w:val="14"/>
          <w:color w:val="auto"/>
        </w:rPr>
        <w:t>The following tables present the fair value measurements of assets and liabilities recognized in the accompanying consolidated Balance Sheets measured at fair value on a recurring basis and the level within the fair value hierarchy in which the fair value measurements fall at March 31, 2020 and December 31, 2019:</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center"/>
              <w:ind w:right="89"/>
              <w:spacing w:after="0"/>
              <w:rPr>
                <w:sz w:val="20"/>
                <w:szCs w:val="20"/>
                <w:color w:val="auto"/>
              </w:rPr>
            </w:pPr>
            <w:r>
              <w:rPr>
                <w:rFonts w:ascii="Arial" w:cs="Arial" w:eastAsia="Arial" w:hAnsi="Arial"/>
                <w:sz w:val="14"/>
                <w:szCs w:val="14"/>
                <w:b w:val="1"/>
                <w:bCs w:val="1"/>
                <w:color w:val="auto"/>
                <w:w w:val="94"/>
              </w:rPr>
              <w:t>March 31, 2020</w:t>
            </w: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2"/>
        </w:trPr>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Fair Value Measurements Using</w:t>
            </w:r>
          </w:p>
        </w:tc>
        <w:tc>
          <w:tcPr>
            <w:tcW w:w="1580" w:type="dxa"/>
            <w:vAlign w:val="bottom"/>
          </w:tcPr>
          <w:p>
            <w:pPr>
              <w:spacing w:after="0"/>
              <w:rPr>
                <w:sz w:val="18"/>
                <w:szCs w:val="18"/>
                <w:color w:val="auto"/>
              </w:rPr>
            </w:pPr>
          </w:p>
        </w:tc>
      </w:tr>
      <w:tr>
        <w:trPr>
          <w:trHeight w:val="22"/>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7"/>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91"/>
              </w:rPr>
              <w:t>Quoted Prices in Active</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Markets for Identical</w:t>
            </w:r>
          </w:p>
        </w:tc>
        <w:tc>
          <w:tcPr>
            <w:tcW w:w="360" w:type="dxa"/>
            <w:vAlign w:val="bottom"/>
          </w:tcPr>
          <w:p>
            <w:pPr>
              <w:spacing w:after="0"/>
              <w:rPr>
                <w:sz w:val="14"/>
                <w:szCs w:val="14"/>
                <w:color w:val="auto"/>
              </w:rPr>
            </w:pPr>
          </w:p>
        </w:tc>
        <w:tc>
          <w:tcPr>
            <w:tcW w:w="150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360" w:type="dxa"/>
            <w:vAlign w:val="bottom"/>
          </w:tcPr>
          <w:p>
            <w:pPr>
              <w:spacing w:after="0"/>
              <w:rPr>
                <w:sz w:val="14"/>
                <w:szCs w:val="14"/>
                <w:color w:val="auto"/>
              </w:rPr>
            </w:pPr>
          </w:p>
        </w:tc>
        <w:tc>
          <w:tcPr>
            <w:tcW w:w="1500" w:type="dxa"/>
            <w:vAlign w:val="bottom"/>
          </w:tcPr>
          <w:p>
            <w:pPr>
              <w:jc w:val="right"/>
              <w:ind w:right="209"/>
              <w:spacing w:after="0"/>
              <w:rPr>
                <w:sz w:val="20"/>
                <w:szCs w:val="20"/>
                <w:color w:val="auto"/>
              </w:rPr>
            </w:pPr>
            <w:r>
              <w:rPr>
                <w:rFonts w:ascii="Arial" w:cs="Arial" w:eastAsia="Arial" w:hAnsi="Arial"/>
                <w:sz w:val="14"/>
                <w:szCs w:val="14"/>
                <w:b w:val="1"/>
                <w:bCs w:val="1"/>
                <w:color w:val="auto"/>
                <w:w w:val="98"/>
              </w:rPr>
              <w:t>Observable Inputs</w:t>
            </w:r>
          </w:p>
        </w:tc>
        <w:tc>
          <w:tcPr>
            <w:tcW w:w="260" w:type="dxa"/>
            <w:vAlign w:val="bottom"/>
          </w:tcPr>
          <w:p>
            <w:pPr>
              <w:spacing w:after="0"/>
              <w:rPr>
                <w:sz w:val="14"/>
                <w:szCs w:val="14"/>
                <w:color w:val="auto"/>
              </w:rPr>
            </w:pPr>
          </w:p>
        </w:tc>
        <w:tc>
          <w:tcPr>
            <w:tcW w:w="158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Unobservable Inputs</w:t>
            </w:r>
          </w:p>
        </w:tc>
      </w:tr>
      <w:tr>
        <w:trPr>
          <w:trHeight w:val="184"/>
        </w:trPr>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54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360" w:type="dxa"/>
            <w:vAlign w:val="bottom"/>
          </w:tcPr>
          <w:p>
            <w:pPr>
              <w:spacing w:after="0"/>
              <w:rPr>
                <w:sz w:val="16"/>
                <w:szCs w:val="16"/>
                <w:color w:val="auto"/>
              </w:rPr>
            </w:pPr>
          </w:p>
        </w:tc>
        <w:tc>
          <w:tcPr>
            <w:tcW w:w="1500" w:type="dxa"/>
            <w:vAlign w:val="bottom"/>
          </w:tcPr>
          <w:p>
            <w:pPr>
              <w:jc w:val="center"/>
              <w:ind w:right="89"/>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58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(Level 3)</w:t>
            </w:r>
          </w:p>
        </w:tc>
      </w:tr>
      <w:tr>
        <w:trPr>
          <w:trHeight w:val="22"/>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7"/>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3"/>
          </w:tcPr>
          <w:p>
            <w:pPr>
              <w:jc w:val="right"/>
              <w:ind w:right="1069"/>
              <w:spacing w:after="0"/>
              <w:rPr>
                <w:sz w:val="20"/>
                <w:szCs w:val="20"/>
                <w:color w:val="auto"/>
              </w:rPr>
            </w:pPr>
            <w:r>
              <w:rPr>
                <w:rFonts w:ascii="Arial" w:cs="Arial" w:eastAsia="Arial" w:hAnsi="Arial"/>
                <w:sz w:val="13"/>
                <w:szCs w:val="13"/>
                <w:i w:val="1"/>
                <w:iCs w:val="1"/>
                <w:color w:val="auto"/>
              </w:rPr>
              <w:t>(Dollars in thousands)</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6"/>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2"/>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Available-for-sale securities</w:t>
            </w: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r>
      <w:tr>
        <w:trPr>
          <w:trHeight w:val="191"/>
        </w:trPr>
        <w:tc>
          <w:tcPr>
            <w:tcW w:w="4020" w:type="dxa"/>
            <w:vAlign w:val="bottom"/>
          </w:tcPr>
          <w:p>
            <w:pPr>
              <w:ind w:left="80"/>
              <w:spacing w:after="0"/>
              <w:rPr>
                <w:sz w:val="20"/>
                <w:szCs w:val="20"/>
                <w:color w:val="auto"/>
              </w:rPr>
            </w:pPr>
            <w:r>
              <w:rPr>
                <w:rFonts w:ascii="Arial" w:cs="Arial" w:eastAsia="Arial" w:hAnsi="Arial"/>
                <w:sz w:val="14"/>
                <w:szCs w:val="14"/>
                <w:color w:val="auto"/>
              </w:rPr>
              <w:t>Mortgage-backed - GSE residential</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149"/>
              <w:spacing w:after="0"/>
              <w:rPr>
                <w:sz w:val="20"/>
                <w:szCs w:val="20"/>
                <w:color w:val="auto"/>
              </w:rPr>
            </w:pPr>
            <w:r>
              <w:rPr>
                <w:rFonts w:ascii="Arial" w:cs="Arial" w:eastAsia="Arial" w:hAnsi="Arial"/>
                <w:sz w:val="14"/>
                <w:szCs w:val="14"/>
                <w:color w:val="auto"/>
              </w:rPr>
              <w:t>149,821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149,821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22"/>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2"/>
        </w:trPr>
        <w:tc>
          <w:tcPr>
            <w:tcW w:w="4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Collateralized mortgage obligations - GSE residential</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118,938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118,938</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w:t>
            </w:r>
          </w:p>
        </w:tc>
      </w:tr>
      <w:tr>
        <w:trPr>
          <w:trHeight w:val="191"/>
        </w:trPr>
        <w:tc>
          <w:tcPr>
            <w:tcW w:w="4020" w:type="dxa"/>
            <w:vAlign w:val="bottom"/>
          </w:tcPr>
          <w:p>
            <w:pPr>
              <w:ind w:left="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tcPr>
          <w:p>
            <w:pPr>
              <w:spacing w:after="0"/>
              <w:rPr>
                <w:sz w:val="16"/>
                <w:szCs w:val="16"/>
                <w:color w:val="auto"/>
              </w:rPr>
            </w:pPr>
          </w:p>
        </w:tc>
        <w:tc>
          <w:tcPr>
            <w:tcW w:w="1480" w:type="dxa"/>
            <w:vAlign w:val="bottom"/>
          </w:tcPr>
          <w:p>
            <w:pPr>
              <w:jc w:val="right"/>
              <w:ind w:right="149"/>
              <w:spacing w:after="0"/>
              <w:rPr>
                <w:sz w:val="20"/>
                <w:szCs w:val="20"/>
                <w:color w:val="auto"/>
              </w:rPr>
            </w:pPr>
            <w:r>
              <w:rPr>
                <w:rFonts w:ascii="Arial" w:cs="Arial" w:eastAsia="Arial" w:hAnsi="Arial"/>
                <w:sz w:val="14"/>
                <w:szCs w:val="14"/>
                <w:color w:val="auto"/>
              </w:rPr>
              <w:t>462,850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462,850</w:t>
            </w:r>
          </w:p>
        </w:tc>
        <w:tc>
          <w:tcPr>
            <w:tcW w:w="260" w:type="dxa"/>
            <w:vAlign w:val="bottom"/>
          </w:tcPr>
          <w:p>
            <w:pPr>
              <w:spacing w:after="0"/>
              <w:rPr>
                <w:sz w:val="16"/>
                <w:szCs w:val="16"/>
                <w:color w:val="auto"/>
              </w:rPr>
            </w:pPr>
          </w:p>
        </w:tc>
        <w:tc>
          <w:tcPr>
            <w:tcW w:w="158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22"/>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4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Corporate bonds</w:t>
            </w: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1,415</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1,415</w:t>
            </w:r>
          </w:p>
        </w:tc>
        <w:tc>
          <w:tcPr>
            <w:tcW w:w="2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4"/>
                <w:szCs w:val="14"/>
                <w:color w:val="auto"/>
              </w:rPr>
              <w:t>—</w:t>
            </w:r>
          </w:p>
        </w:tc>
      </w:tr>
      <w:tr>
        <w:trPr>
          <w:trHeight w:val="191"/>
        </w:trPr>
        <w:tc>
          <w:tcPr>
            <w:tcW w:w="4020" w:type="dxa"/>
            <w:vAlign w:val="bottom"/>
          </w:tcPr>
          <w:p>
            <w:pPr>
              <w:ind w:left="80"/>
              <w:spacing w:after="0"/>
              <w:rPr>
                <w:sz w:val="20"/>
                <w:szCs w:val="20"/>
                <w:color w:val="auto"/>
              </w:rPr>
            </w:pPr>
            <w:r>
              <w:rPr>
                <w:rFonts w:ascii="Arial" w:cs="Arial" w:eastAsia="Arial" w:hAnsi="Arial"/>
                <w:sz w:val="14"/>
                <w:szCs w:val="14"/>
                <w:color w:val="auto"/>
              </w:rPr>
              <w:t>Mutual funds</w:t>
            </w:r>
          </w:p>
        </w:tc>
        <w:tc>
          <w:tcPr>
            <w:tcW w:w="300" w:type="dxa"/>
            <w:vAlign w:val="bottom"/>
          </w:tcPr>
          <w:p>
            <w:pPr>
              <w:spacing w:after="0"/>
              <w:rPr>
                <w:sz w:val="16"/>
                <w:szCs w:val="16"/>
                <w:color w:val="auto"/>
              </w:rPr>
            </w:pPr>
          </w:p>
        </w:tc>
        <w:tc>
          <w:tcPr>
            <w:tcW w:w="1480" w:type="dxa"/>
            <w:vAlign w:val="bottom"/>
          </w:tcPr>
          <w:p>
            <w:pPr>
              <w:jc w:val="right"/>
              <w:ind w:right="149"/>
              <w:spacing w:after="0"/>
              <w:rPr>
                <w:sz w:val="20"/>
                <w:szCs w:val="20"/>
                <w:color w:val="auto"/>
              </w:rPr>
            </w:pPr>
            <w:r>
              <w:rPr>
                <w:rFonts w:ascii="Arial" w:cs="Arial" w:eastAsia="Arial" w:hAnsi="Arial"/>
                <w:sz w:val="14"/>
                <w:szCs w:val="14"/>
                <w:color w:val="auto"/>
              </w:rPr>
              <w:t>2,207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2,207</w:t>
            </w:r>
          </w:p>
        </w:tc>
        <w:tc>
          <w:tcPr>
            <w:tcW w:w="260" w:type="dxa"/>
            <w:vAlign w:val="bottom"/>
          </w:tcPr>
          <w:p>
            <w:pPr>
              <w:spacing w:after="0"/>
              <w:rPr>
                <w:sz w:val="16"/>
                <w:szCs w:val="16"/>
                <w:color w:val="auto"/>
              </w:rPr>
            </w:pPr>
          </w:p>
        </w:tc>
        <w:tc>
          <w:tcPr>
            <w:tcW w:w="158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22"/>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28,041</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28,041</w:t>
            </w:r>
          </w:p>
        </w:tc>
        <w:tc>
          <w:tcPr>
            <w:tcW w:w="2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4"/>
                <w:szCs w:val="14"/>
                <w:color w:val="auto"/>
              </w:rPr>
              <w:t>—</w:t>
            </w:r>
          </w:p>
        </w:tc>
      </w:tr>
      <w:tr>
        <w:trPr>
          <w:trHeight w:val="191"/>
        </w:trPr>
        <w:tc>
          <w:tcPr>
            <w:tcW w:w="4020" w:type="dxa"/>
            <w:vAlign w:val="bottom"/>
          </w:tcPr>
          <w:p>
            <w:pPr>
              <w:spacing w:after="0"/>
              <w:rPr>
                <w:sz w:val="20"/>
                <w:szCs w:val="20"/>
                <w:color w:val="auto"/>
              </w:rPr>
            </w:pPr>
            <w:r>
              <w:rPr>
                <w:rFonts w:ascii="Arial" w:cs="Arial" w:eastAsia="Arial" w:hAnsi="Arial"/>
                <w:sz w:val="14"/>
                <w:szCs w:val="14"/>
                <w:color w:val="auto"/>
              </w:rPr>
              <w:t>Derivative liabilities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149"/>
              <w:spacing w:after="0"/>
              <w:rPr>
                <w:sz w:val="20"/>
                <w:szCs w:val="20"/>
                <w:color w:val="auto"/>
              </w:rPr>
            </w:pPr>
            <w:r>
              <w:rPr>
                <w:rFonts w:ascii="Arial" w:cs="Arial" w:eastAsia="Arial" w:hAnsi="Arial"/>
                <w:sz w:val="14"/>
                <w:szCs w:val="14"/>
                <w:color w:val="auto"/>
              </w:rPr>
              <w:t>28,139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28,139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679"/>
        </w:trPr>
        <w:tc>
          <w:tcPr>
            <w:tcW w:w="4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December 31, 2019</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2"/>
        </w:trPr>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Fair Value Measurements Using</w:t>
            </w:r>
          </w:p>
        </w:tc>
        <w:tc>
          <w:tcPr>
            <w:tcW w:w="1580" w:type="dxa"/>
            <w:vAlign w:val="bottom"/>
          </w:tcPr>
          <w:p>
            <w:pPr>
              <w:spacing w:after="0"/>
              <w:rPr>
                <w:sz w:val="18"/>
                <w:szCs w:val="18"/>
                <w:color w:val="auto"/>
              </w:rPr>
            </w:pPr>
          </w:p>
        </w:tc>
      </w:tr>
      <w:tr>
        <w:trPr>
          <w:trHeight w:val="22"/>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7"/>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91"/>
              </w:rPr>
              <w:t>Quoted Prices in Active</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Markets for Identical</w:t>
            </w:r>
          </w:p>
        </w:tc>
        <w:tc>
          <w:tcPr>
            <w:tcW w:w="360" w:type="dxa"/>
            <w:vAlign w:val="bottom"/>
          </w:tcPr>
          <w:p>
            <w:pPr>
              <w:spacing w:after="0"/>
              <w:rPr>
                <w:sz w:val="14"/>
                <w:szCs w:val="14"/>
                <w:color w:val="auto"/>
              </w:rPr>
            </w:pPr>
          </w:p>
        </w:tc>
        <w:tc>
          <w:tcPr>
            <w:tcW w:w="150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360" w:type="dxa"/>
            <w:vAlign w:val="bottom"/>
          </w:tcPr>
          <w:p>
            <w:pPr>
              <w:spacing w:after="0"/>
              <w:rPr>
                <w:sz w:val="14"/>
                <w:szCs w:val="14"/>
                <w:color w:val="auto"/>
              </w:rPr>
            </w:pPr>
          </w:p>
        </w:tc>
        <w:tc>
          <w:tcPr>
            <w:tcW w:w="1500" w:type="dxa"/>
            <w:vAlign w:val="bottom"/>
          </w:tcPr>
          <w:p>
            <w:pPr>
              <w:jc w:val="right"/>
              <w:ind w:right="209"/>
              <w:spacing w:after="0"/>
              <w:rPr>
                <w:sz w:val="20"/>
                <w:szCs w:val="20"/>
                <w:color w:val="auto"/>
              </w:rPr>
            </w:pPr>
            <w:r>
              <w:rPr>
                <w:rFonts w:ascii="Arial" w:cs="Arial" w:eastAsia="Arial" w:hAnsi="Arial"/>
                <w:sz w:val="14"/>
                <w:szCs w:val="14"/>
                <w:b w:val="1"/>
                <w:bCs w:val="1"/>
                <w:color w:val="auto"/>
                <w:w w:val="98"/>
              </w:rPr>
              <w:t>Observable Inputs</w:t>
            </w:r>
          </w:p>
        </w:tc>
        <w:tc>
          <w:tcPr>
            <w:tcW w:w="260" w:type="dxa"/>
            <w:vAlign w:val="bottom"/>
          </w:tcPr>
          <w:p>
            <w:pPr>
              <w:spacing w:after="0"/>
              <w:rPr>
                <w:sz w:val="14"/>
                <w:szCs w:val="14"/>
                <w:color w:val="auto"/>
              </w:rPr>
            </w:pPr>
          </w:p>
        </w:tc>
        <w:tc>
          <w:tcPr>
            <w:tcW w:w="158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Unobservable Inputs</w:t>
            </w:r>
          </w:p>
        </w:tc>
      </w:tr>
      <w:tr>
        <w:trPr>
          <w:trHeight w:val="184"/>
        </w:trPr>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ind w:right="54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360" w:type="dxa"/>
            <w:vAlign w:val="bottom"/>
          </w:tcPr>
          <w:p>
            <w:pPr>
              <w:spacing w:after="0"/>
              <w:rPr>
                <w:sz w:val="16"/>
                <w:szCs w:val="16"/>
                <w:color w:val="auto"/>
              </w:rPr>
            </w:pPr>
          </w:p>
        </w:tc>
        <w:tc>
          <w:tcPr>
            <w:tcW w:w="1500" w:type="dxa"/>
            <w:vAlign w:val="bottom"/>
          </w:tcPr>
          <w:p>
            <w:pPr>
              <w:jc w:val="center"/>
              <w:ind w:right="89"/>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58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(Level 3)</w:t>
            </w:r>
          </w:p>
        </w:tc>
      </w:tr>
      <w:tr>
        <w:trPr>
          <w:trHeight w:val="22"/>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7"/>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3"/>
          </w:tcPr>
          <w:p>
            <w:pPr>
              <w:jc w:val="right"/>
              <w:ind w:right="1069"/>
              <w:spacing w:after="0"/>
              <w:rPr>
                <w:sz w:val="20"/>
                <w:szCs w:val="20"/>
                <w:color w:val="auto"/>
              </w:rPr>
            </w:pPr>
            <w:r>
              <w:rPr>
                <w:rFonts w:ascii="Arial" w:cs="Arial" w:eastAsia="Arial" w:hAnsi="Arial"/>
                <w:sz w:val="13"/>
                <w:szCs w:val="13"/>
                <w:i w:val="1"/>
                <w:iCs w:val="1"/>
                <w:color w:val="auto"/>
              </w:rPr>
              <w:t>(Dollars in thousands)</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6"/>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2"/>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Available-for-sale securities</w:t>
            </w: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r>
      <w:tr>
        <w:trPr>
          <w:trHeight w:val="191"/>
        </w:trPr>
        <w:tc>
          <w:tcPr>
            <w:tcW w:w="4020" w:type="dxa"/>
            <w:vAlign w:val="bottom"/>
          </w:tcPr>
          <w:p>
            <w:pPr>
              <w:ind w:left="80"/>
              <w:spacing w:after="0"/>
              <w:rPr>
                <w:sz w:val="20"/>
                <w:szCs w:val="20"/>
                <w:color w:val="auto"/>
              </w:rPr>
            </w:pPr>
            <w:r>
              <w:rPr>
                <w:rFonts w:ascii="Arial" w:cs="Arial" w:eastAsia="Arial" w:hAnsi="Arial"/>
                <w:sz w:val="14"/>
                <w:szCs w:val="14"/>
                <w:color w:val="auto"/>
              </w:rPr>
              <w:t>Mortgage-backed - GSE residential</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149"/>
              <w:spacing w:after="0"/>
              <w:rPr>
                <w:sz w:val="20"/>
                <w:szCs w:val="20"/>
                <w:color w:val="auto"/>
              </w:rPr>
            </w:pPr>
            <w:r>
              <w:rPr>
                <w:rFonts w:ascii="Arial" w:cs="Arial" w:eastAsia="Arial" w:hAnsi="Arial"/>
                <w:sz w:val="14"/>
                <w:szCs w:val="14"/>
                <w:color w:val="auto"/>
              </w:rPr>
              <w:t>152,512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152,512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22"/>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2"/>
        </w:trPr>
        <w:tc>
          <w:tcPr>
            <w:tcW w:w="4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Collateralized mortgage obligations - GSE residential</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129,212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129,212</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w:t>
            </w:r>
          </w:p>
        </w:tc>
      </w:tr>
      <w:tr>
        <w:trPr>
          <w:trHeight w:val="191"/>
        </w:trPr>
        <w:tc>
          <w:tcPr>
            <w:tcW w:w="4020" w:type="dxa"/>
            <w:vAlign w:val="bottom"/>
          </w:tcPr>
          <w:p>
            <w:pPr>
              <w:ind w:left="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tcPr>
          <w:p>
            <w:pPr>
              <w:spacing w:after="0"/>
              <w:rPr>
                <w:sz w:val="16"/>
                <w:szCs w:val="16"/>
                <w:color w:val="auto"/>
              </w:rPr>
            </w:pPr>
          </w:p>
        </w:tc>
        <w:tc>
          <w:tcPr>
            <w:tcW w:w="1480" w:type="dxa"/>
            <w:vAlign w:val="bottom"/>
          </w:tcPr>
          <w:p>
            <w:pPr>
              <w:jc w:val="right"/>
              <w:ind w:right="149"/>
              <w:spacing w:after="0"/>
              <w:rPr>
                <w:sz w:val="20"/>
                <w:szCs w:val="20"/>
                <w:color w:val="auto"/>
              </w:rPr>
            </w:pPr>
            <w:r>
              <w:rPr>
                <w:rFonts w:ascii="Arial" w:cs="Arial" w:eastAsia="Arial" w:hAnsi="Arial"/>
                <w:sz w:val="14"/>
                <w:szCs w:val="14"/>
                <w:color w:val="auto"/>
              </w:rPr>
              <w:t>456,340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456,340</w:t>
            </w:r>
          </w:p>
        </w:tc>
        <w:tc>
          <w:tcPr>
            <w:tcW w:w="260" w:type="dxa"/>
            <w:vAlign w:val="bottom"/>
          </w:tcPr>
          <w:p>
            <w:pPr>
              <w:spacing w:after="0"/>
              <w:rPr>
                <w:sz w:val="16"/>
                <w:szCs w:val="16"/>
                <w:color w:val="auto"/>
              </w:rPr>
            </w:pPr>
          </w:p>
        </w:tc>
        <w:tc>
          <w:tcPr>
            <w:tcW w:w="158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22"/>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4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Corporate bonds</w:t>
            </w: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1,409</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1,409</w:t>
            </w:r>
          </w:p>
        </w:tc>
        <w:tc>
          <w:tcPr>
            <w:tcW w:w="2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4"/>
                <w:szCs w:val="14"/>
                <w:color w:val="auto"/>
              </w:rPr>
              <w:t>—</w:t>
            </w:r>
          </w:p>
        </w:tc>
      </w:tr>
      <w:tr>
        <w:trPr>
          <w:trHeight w:val="191"/>
        </w:trPr>
        <w:tc>
          <w:tcPr>
            <w:tcW w:w="4020" w:type="dxa"/>
            <w:vAlign w:val="bottom"/>
          </w:tcPr>
          <w:p>
            <w:pPr>
              <w:ind w:left="80"/>
              <w:spacing w:after="0"/>
              <w:rPr>
                <w:sz w:val="20"/>
                <w:szCs w:val="20"/>
                <w:color w:val="auto"/>
              </w:rPr>
            </w:pPr>
            <w:r>
              <w:rPr>
                <w:rFonts w:ascii="Arial" w:cs="Arial" w:eastAsia="Arial" w:hAnsi="Arial"/>
                <w:sz w:val="14"/>
                <w:szCs w:val="14"/>
                <w:color w:val="auto"/>
              </w:rPr>
              <w:t>Mutual funds</w:t>
            </w:r>
          </w:p>
        </w:tc>
        <w:tc>
          <w:tcPr>
            <w:tcW w:w="300" w:type="dxa"/>
            <w:vAlign w:val="bottom"/>
          </w:tcPr>
          <w:p>
            <w:pPr>
              <w:spacing w:after="0"/>
              <w:rPr>
                <w:sz w:val="16"/>
                <w:szCs w:val="16"/>
                <w:color w:val="auto"/>
              </w:rPr>
            </w:pPr>
          </w:p>
        </w:tc>
        <w:tc>
          <w:tcPr>
            <w:tcW w:w="1480" w:type="dxa"/>
            <w:vAlign w:val="bottom"/>
          </w:tcPr>
          <w:p>
            <w:pPr>
              <w:jc w:val="right"/>
              <w:ind w:right="149"/>
              <w:spacing w:after="0"/>
              <w:rPr>
                <w:sz w:val="20"/>
                <w:szCs w:val="20"/>
                <w:color w:val="auto"/>
              </w:rPr>
            </w:pPr>
            <w:r>
              <w:rPr>
                <w:rFonts w:ascii="Arial" w:cs="Arial" w:eastAsia="Arial" w:hAnsi="Arial"/>
                <w:sz w:val="14"/>
                <w:szCs w:val="14"/>
                <w:color w:val="auto"/>
              </w:rPr>
              <w:t>2,161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2,161</w:t>
            </w:r>
          </w:p>
        </w:tc>
        <w:tc>
          <w:tcPr>
            <w:tcW w:w="260" w:type="dxa"/>
            <w:vAlign w:val="bottom"/>
          </w:tcPr>
          <w:p>
            <w:pPr>
              <w:spacing w:after="0"/>
              <w:rPr>
                <w:sz w:val="16"/>
                <w:szCs w:val="16"/>
                <w:color w:val="auto"/>
              </w:rPr>
            </w:pPr>
          </w:p>
        </w:tc>
        <w:tc>
          <w:tcPr>
            <w:tcW w:w="1580" w:type="dxa"/>
            <w:vAlign w:val="bottom"/>
          </w:tcPr>
          <w:p>
            <w:pPr>
              <w:ind w:left="1280"/>
              <w:spacing w:after="0"/>
              <w:rPr>
                <w:sz w:val="20"/>
                <w:szCs w:val="20"/>
                <w:color w:val="auto"/>
              </w:rPr>
            </w:pPr>
            <w:r>
              <w:rPr>
                <w:rFonts w:ascii="Arial" w:cs="Arial" w:eastAsia="Arial" w:hAnsi="Arial"/>
                <w:sz w:val="14"/>
                <w:szCs w:val="14"/>
                <w:color w:val="auto"/>
              </w:rPr>
              <w:t>—</w:t>
            </w:r>
          </w:p>
        </w:tc>
      </w:tr>
      <w:tr>
        <w:trPr>
          <w:trHeight w:val="22"/>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3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9,838</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9,838</w:t>
            </w:r>
          </w:p>
        </w:tc>
        <w:tc>
          <w:tcPr>
            <w:tcW w:w="2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4"/>
                <w:szCs w:val="14"/>
                <w:color w:val="auto"/>
              </w:rPr>
              <w:t>—</w:t>
            </w:r>
          </w:p>
        </w:tc>
      </w:tr>
      <w:tr>
        <w:trPr>
          <w:trHeight w:val="191"/>
        </w:trPr>
        <w:tc>
          <w:tcPr>
            <w:tcW w:w="4020" w:type="dxa"/>
            <w:vAlign w:val="bottom"/>
          </w:tcPr>
          <w:p>
            <w:pPr>
              <w:spacing w:after="0"/>
              <w:rPr>
                <w:sz w:val="20"/>
                <w:szCs w:val="20"/>
                <w:color w:val="auto"/>
              </w:rPr>
            </w:pPr>
            <w:r>
              <w:rPr>
                <w:rFonts w:ascii="Arial" w:cs="Arial" w:eastAsia="Arial" w:hAnsi="Arial"/>
                <w:sz w:val="14"/>
                <w:szCs w:val="14"/>
                <w:color w:val="auto"/>
              </w:rPr>
              <w:t>Derivative liabilities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149"/>
              <w:spacing w:after="0"/>
              <w:rPr>
                <w:sz w:val="20"/>
                <w:szCs w:val="20"/>
                <w:color w:val="auto"/>
              </w:rPr>
            </w:pPr>
            <w:r>
              <w:rPr>
                <w:rFonts w:ascii="Arial" w:cs="Arial" w:eastAsia="Arial" w:hAnsi="Arial"/>
                <w:sz w:val="14"/>
                <w:szCs w:val="14"/>
                <w:color w:val="auto"/>
              </w:rPr>
              <w:t>9,907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9,907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ind w:left="1280"/>
              <w:spacing w:after="0"/>
              <w:rPr>
                <w:sz w:val="20"/>
                <w:szCs w:val="20"/>
                <w:color w:val="auto"/>
              </w:rPr>
            </w:pPr>
            <w:r>
              <w:rPr>
                <w:rFonts w:ascii="Arial" w:cs="Arial" w:eastAsia="Arial" w:hAnsi="Arial"/>
                <w:sz w:val="14"/>
                <w:szCs w:val="14"/>
                <w:color w:val="auto"/>
              </w:rPr>
              <w:t>—</w:t>
            </w:r>
          </w:p>
        </w:tc>
      </w:tr>
    </w:tbl>
    <w:p>
      <w:pPr>
        <w:spacing w:after="0" w:line="138" w:lineRule="exact"/>
        <w:rPr>
          <w:sz w:val="20"/>
          <w:szCs w:val="20"/>
          <w:color w:val="auto"/>
        </w:rPr>
      </w:pPr>
    </w:p>
    <w:p>
      <w:pPr>
        <w:jc w:val="both"/>
        <w:ind w:left="140" w:firstLine="382"/>
        <w:spacing w:after="0" w:line="281" w:lineRule="auto"/>
        <w:rPr>
          <w:sz w:val="20"/>
          <w:szCs w:val="20"/>
          <w:color w:val="auto"/>
        </w:rPr>
      </w:pPr>
      <w:r>
        <w:rPr>
          <w:rFonts w:ascii="Arial" w:cs="Arial" w:eastAsia="Arial" w:hAnsi="Arial"/>
          <w:sz w:val="14"/>
          <w:szCs w:val="14"/>
          <w:color w:val="auto"/>
        </w:rPr>
        <w:t>Following is a description of the valuation methodologies and inputs used for assets and liabilities measured at fair value on a recurring basis and recognized in the Company’s accompanying consolidated Balance Sheets.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Available-for-Sale Securities</w:t>
      </w:r>
    </w:p>
    <w:p>
      <w:pPr>
        <w:spacing w:after="0" w:line="136" w:lineRule="exact"/>
        <w:rPr>
          <w:sz w:val="20"/>
          <w:szCs w:val="20"/>
          <w:color w:val="auto"/>
        </w:rPr>
      </w:pPr>
    </w:p>
    <w:p>
      <w:pPr>
        <w:ind w:left="140" w:right="60" w:firstLine="382"/>
        <w:spacing w:after="0" w:line="262" w:lineRule="auto"/>
        <w:rPr>
          <w:sz w:val="20"/>
          <w:szCs w:val="20"/>
          <w:color w:val="auto"/>
        </w:rPr>
      </w:pPr>
      <w:r>
        <w:rPr>
          <w:rFonts w:ascii="Arial" w:cs="Arial" w:eastAsia="Arial" w:hAnsi="Arial"/>
          <w:sz w:val="14"/>
          <w:szCs w:val="14"/>
          <w:color w:val="auto"/>
        </w:rPr>
        <w:t>Where quoted market prices are available in an active market, securities are classified within Level 1 of the valuation hierarchy. If quoted market prices are not available, then fair values are estimated by using quoted prices of securities with similar characteristics or independent asset pricing services and pricing models, the inputs of which are market-based or independently sourced market parameters, including, but not limited to, yield curves, interest rates, volatilities, prepayments, defaults, cumulative loss projections and cash flows. Such securities are classified in Level 2 of the valuation hierarchy.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5" w:name="page36"/>
    <w:bookmarkEnd w:id="35"/>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Derivatives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Fair value of the interest rate swaps is obtained from independent pricing services based on quoted market prices for similar derivative contracts.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Nonrecurring Measurements</w:t>
      </w:r>
    </w:p>
    <w:p>
      <w:pPr>
        <w:spacing w:after="0" w:line="126" w:lineRule="exact"/>
        <w:rPr>
          <w:sz w:val="20"/>
          <w:szCs w:val="20"/>
          <w:color w:val="auto"/>
        </w:rPr>
      </w:pPr>
    </w:p>
    <w:p>
      <w:pPr>
        <w:ind w:left="140" w:right="180" w:firstLine="382"/>
        <w:spacing w:after="0" w:line="281" w:lineRule="auto"/>
        <w:rPr>
          <w:sz w:val="20"/>
          <w:szCs w:val="20"/>
          <w:color w:val="auto"/>
        </w:rPr>
      </w:pPr>
      <w:r>
        <w:rPr>
          <w:rFonts w:ascii="Arial" w:cs="Arial" w:eastAsia="Arial" w:hAnsi="Arial"/>
          <w:sz w:val="14"/>
          <w:szCs w:val="14"/>
          <w:color w:val="auto"/>
        </w:rPr>
        <w:t>The following tables present assets measured at fair value on a nonrecurring basis and the level within the fair value hierarchy in which the fair value measurements fall at March 31, 2020 and December 31, 2019:</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jc w:val="center"/>
              <w:ind w:left="349"/>
              <w:spacing w:after="0"/>
              <w:rPr>
                <w:sz w:val="20"/>
                <w:szCs w:val="20"/>
                <w:color w:val="auto"/>
              </w:rPr>
            </w:pPr>
            <w:r>
              <w:rPr>
                <w:rFonts w:ascii="Arial" w:cs="Arial" w:eastAsia="Arial" w:hAnsi="Arial"/>
                <w:sz w:val="14"/>
                <w:szCs w:val="14"/>
                <w:b w:val="1"/>
                <w:bCs w:val="1"/>
                <w:color w:val="auto"/>
                <w:w w:val="94"/>
              </w:rPr>
              <w:t>March 31, 2020</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2"/>
        </w:trPr>
        <w:tc>
          <w:tcPr>
            <w:tcW w:w="3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Fair Value Measurements Using</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
        </w:trPr>
        <w:tc>
          <w:tcPr>
            <w:tcW w:w="3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7"/>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1"/>
              <w:spacing w:after="0"/>
              <w:rPr>
                <w:sz w:val="20"/>
                <w:szCs w:val="20"/>
                <w:color w:val="auto"/>
              </w:rPr>
            </w:pPr>
            <w:r>
              <w:rPr>
                <w:rFonts w:ascii="Arial" w:cs="Arial" w:eastAsia="Arial" w:hAnsi="Arial"/>
                <w:sz w:val="14"/>
                <w:szCs w:val="14"/>
                <w:b w:val="1"/>
                <w:bCs w:val="1"/>
                <w:color w:val="auto"/>
                <w:w w:val="90"/>
              </w:rPr>
              <w:t>Quoted Prices in Active</w:t>
            </w: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 Other Observable</w:t>
            </w: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Markets for Identical Assets</w:t>
            </w:r>
          </w:p>
        </w:tc>
        <w:tc>
          <w:tcPr>
            <w:tcW w:w="1640" w:type="dxa"/>
            <w:vAlign w:val="bottom"/>
          </w:tcPr>
          <w:p>
            <w:pPr>
              <w:jc w:val="right"/>
              <w:ind w:right="369"/>
              <w:spacing w:after="0"/>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jc w:val="center"/>
              <w:ind w:right="149"/>
              <w:spacing w:after="0"/>
              <w:rPr>
                <w:sz w:val="20"/>
                <w:szCs w:val="20"/>
                <w:color w:val="auto"/>
              </w:rPr>
            </w:pPr>
            <w:r>
              <w:rPr>
                <w:rFonts w:ascii="Arial" w:cs="Arial" w:eastAsia="Arial" w:hAnsi="Arial"/>
                <w:sz w:val="14"/>
                <w:szCs w:val="14"/>
                <w:b w:val="1"/>
                <w:bCs w:val="1"/>
                <w:color w:val="auto"/>
                <w:w w:val="90"/>
              </w:rPr>
              <w:t>Unobservable Inputs</w:t>
            </w:r>
          </w:p>
        </w:tc>
      </w:tr>
      <w:tr>
        <w:trPr>
          <w:trHeight w:val="184"/>
        </w:trPr>
        <w:tc>
          <w:tcPr>
            <w:tcW w:w="3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1"/>
              <w:spacing w:after="0"/>
              <w:rPr>
                <w:sz w:val="20"/>
                <w:szCs w:val="20"/>
                <w:color w:val="auto"/>
              </w:rPr>
            </w:pPr>
            <w:r>
              <w:rPr>
                <w:rFonts w:ascii="Arial" w:cs="Arial" w:eastAsia="Arial" w:hAnsi="Arial"/>
                <w:sz w:val="14"/>
                <w:szCs w:val="14"/>
                <w:b w:val="1"/>
                <w:bCs w:val="1"/>
                <w:color w:val="auto"/>
                <w:w w:val="94"/>
              </w:rPr>
              <w:t>(Level 1)</w:t>
            </w:r>
          </w:p>
        </w:tc>
        <w:tc>
          <w:tcPr>
            <w:tcW w:w="1640" w:type="dxa"/>
            <w:vAlign w:val="bottom"/>
          </w:tcPr>
          <w:p>
            <w:pPr>
              <w:jc w:val="center"/>
              <w:ind w:left="329"/>
              <w:spacing w:after="0"/>
              <w:rPr>
                <w:sz w:val="20"/>
                <w:szCs w:val="20"/>
                <w:color w:val="auto"/>
              </w:rPr>
            </w:pPr>
            <w:r>
              <w:rPr>
                <w:rFonts w:ascii="Arial" w:cs="Arial" w:eastAsia="Arial" w:hAnsi="Arial"/>
                <w:sz w:val="14"/>
                <w:szCs w:val="14"/>
                <w:b w:val="1"/>
                <w:bCs w:val="1"/>
                <w:color w:val="auto"/>
                <w:w w:val="91"/>
              </w:rPr>
              <w:t>(Level 2)</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center"/>
              <w:ind w:right="109"/>
              <w:spacing w:after="0"/>
              <w:rPr>
                <w:sz w:val="20"/>
                <w:szCs w:val="20"/>
                <w:color w:val="auto"/>
              </w:rPr>
            </w:pPr>
            <w:r>
              <w:rPr>
                <w:rFonts w:ascii="Arial" w:cs="Arial" w:eastAsia="Arial" w:hAnsi="Arial"/>
                <w:sz w:val="14"/>
                <w:szCs w:val="14"/>
                <w:b w:val="1"/>
                <w:bCs w:val="1"/>
                <w:color w:val="auto"/>
                <w:w w:val="94"/>
              </w:rPr>
              <w:t>(Level 3)</w:t>
            </w:r>
          </w:p>
        </w:tc>
      </w:tr>
      <w:tr>
        <w:trPr>
          <w:trHeight w:val="22"/>
        </w:trPr>
        <w:tc>
          <w:tcPr>
            <w:tcW w:w="3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7"/>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2"/>
          </w:tcPr>
          <w:p>
            <w:pPr>
              <w:jc w:val="right"/>
              <w:ind w:right="929"/>
              <w:spacing w:after="0"/>
              <w:rPr>
                <w:sz w:val="20"/>
                <w:szCs w:val="20"/>
                <w:color w:val="auto"/>
              </w:rPr>
            </w:pPr>
            <w:r>
              <w:rPr>
                <w:rFonts w:ascii="Arial" w:cs="Arial" w:eastAsia="Arial" w:hAnsi="Arial"/>
                <w:sz w:val="13"/>
                <w:szCs w:val="13"/>
                <w:i w:val="1"/>
                <w:iCs w:val="1"/>
                <w:color w:val="auto"/>
              </w:rPr>
              <w:t>(Dollars in thousands)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6"/>
        </w:trPr>
        <w:tc>
          <w:tcPr>
            <w:tcW w:w="3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92"/>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Collateral-dependent impaired loans</w:t>
            </w:r>
          </w:p>
        </w:tc>
        <w:tc>
          <w:tcPr>
            <w:tcW w:w="1280" w:type="dxa"/>
            <w:vAlign w:val="bottom"/>
            <w:tcBorders>
              <w:bottom w:val="single" w:sz="8" w:color="CCEEFF"/>
            </w:tcBorders>
            <w:shd w:val="clear" w:color="auto" w:fill="CCEEFF"/>
          </w:tcPr>
          <w:p>
            <w:pPr>
              <w:jc w:val="right"/>
              <w:ind w:right="112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93"/>
              </w:rPr>
              <w:t>24,679</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24,679</w:t>
            </w:r>
          </w:p>
        </w:tc>
      </w:tr>
      <w:tr>
        <w:trPr>
          <w:trHeight w:val="657"/>
        </w:trPr>
        <w:tc>
          <w:tcPr>
            <w:tcW w:w="3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jc w:val="center"/>
              <w:ind w:left="349"/>
              <w:spacing w:after="0"/>
              <w:rPr>
                <w:sz w:val="20"/>
                <w:szCs w:val="20"/>
                <w:color w:val="auto"/>
              </w:rPr>
            </w:pPr>
            <w:r>
              <w:rPr>
                <w:rFonts w:ascii="Arial" w:cs="Arial" w:eastAsia="Arial" w:hAnsi="Arial"/>
                <w:sz w:val="14"/>
                <w:szCs w:val="14"/>
                <w:b w:val="1"/>
                <w:bCs w:val="1"/>
                <w:color w:val="auto"/>
                <w:w w:val="90"/>
              </w:rPr>
              <w:t>December 31, 2019</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2"/>
        </w:trPr>
        <w:tc>
          <w:tcPr>
            <w:tcW w:w="3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Fair Value Measurements Using</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
        </w:trPr>
        <w:tc>
          <w:tcPr>
            <w:tcW w:w="3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7"/>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1"/>
              <w:spacing w:after="0"/>
              <w:rPr>
                <w:sz w:val="20"/>
                <w:szCs w:val="20"/>
                <w:color w:val="auto"/>
              </w:rPr>
            </w:pPr>
            <w:r>
              <w:rPr>
                <w:rFonts w:ascii="Arial" w:cs="Arial" w:eastAsia="Arial" w:hAnsi="Arial"/>
                <w:sz w:val="14"/>
                <w:szCs w:val="14"/>
                <w:b w:val="1"/>
                <w:bCs w:val="1"/>
                <w:color w:val="auto"/>
                <w:w w:val="90"/>
              </w:rPr>
              <w:t>Quoted Prices in Active</w:t>
            </w: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 Other Observable</w:t>
            </w: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Markets for Identical Assets</w:t>
            </w:r>
          </w:p>
        </w:tc>
        <w:tc>
          <w:tcPr>
            <w:tcW w:w="1640" w:type="dxa"/>
            <w:vAlign w:val="bottom"/>
          </w:tcPr>
          <w:p>
            <w:pPr>
              <w:jc w:val="right"/>
              <w:ind w:right="369"/>
              <w:spacing w:after="0"/>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jc w:val="center"/>
              <w:ind w:right="149"/>
              <w:spacing w:after="0"/>
              <w:rPr>
                <w:sz w:val="20"/>
                <w:szCs w:val="20"/>
                <w:color w:val="auto"/>
              </w:rPr>
            </w:pPr>
            <w:r>
              <w:rPr>
                <w:rFonts w:ascii="Arial" w:cs="Arial" w:eastAsia="Arial" w:hAnsi="Arial"/>
                <w:sz w:val="14"/>
                <w:szCs w:val="14"/>
                <w:b w:val="1"/>
                <w:bCs w:val="1"/>
                <w:color w:val="auto"/>
                <w:w w:val="90"/>
              </w:rPr>
              <w:t>Unobservable Inputs</w:t>
            </w:r>
          </w:p>
        </w:tc>
      </w:tr>
      <w:tr>
        <w:trPr>
          <w:trHeight w:val="184"/>
        </w:trPr>
        <w:tc>
          <w:tcPr>
            <w:tcW w:w="3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1"/>
              <w:spacing w:after="0"/>
              <w:rPr>
                <w:sz w:val="20"/>
                <w:szCs w:val="20"/>
                <w:color w:val="auto"/>
              </w:rPr>
            </w:pPr>
            <w:r>
              <w:rPr>
                <w:rFonts w:ascii="Arial" w:cs="Arial" w:eastAsia="Arial" w:hAnsi="Arial"/>
                <w:sz w:val="14"/>
                <w:szCs w:val="14"/>
                <w:b w:val="1"/>
                <w:bCs w:val="1"/>
                <w:color w:val="auto"/>
                <w:w w:val="94"/>
              </w:rPr>
              <w:t>(Level 1)</w:t>
            </w:r>
          </w:p>
        </w:tc>
        <w:tc>
          <w:tcPr>
            <w:tcW w:w="1640" w:type="dxa"/>
            <w:vAlign w:val="bottom"/>
          </w:tcPr>
          <w:p>
            <w:pPr>
              <w:jc w:val="center"/>
              <w:ind w:left="329"/>
              <w:spacing w:after="0"/>
              <w:rPr>
                <w:sz w:val="20"/>
                <w:szCs w:val="20"/>
                <w:color w:val="auto"/>
              </w:rPr>
            </w:pPr>
            <w:r>
              <w:rPr>
                <w:rFonts w:ascii="Arial" w:cs="Arial" w:eastAsia="Arial" w:hAnsi="Arial"/>
                <w:sz w:val="14"/>
                <w:szCs w:val="14"/>
                <w:b w:val="1"/>
                <w:bCs w:val="1"/>
                <w:color w:val="auto"/>
                <w:w w:val="91"/>
              </w:rPr>
              <w:t>(Level 2)</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center"/>
              <w:ind w:right="109"/>
              <w:spacing w:after="0"/>
              <w:rPr>
                <w:sz w:val="20"/>
                <w:szCs w:val="20"/>
                <w:color w:val="auto"/>
              </w:rPr>
            </w:pPr>
            <w:r>
              <w:rPr>
                <w:rFonts w:ascii="Arial" w:cs="Arial" w:eastAsia="Arial" w:hAnsi="Arial"/>
                <w:sz w:val="14"/>
                <w:szCs w:val="14"/>
                <w:b w:val="1"/>
                <w:bCs w:val="1"/>
                <w:color w:val="auto"/>
                <w:w w:val="94"/>
              </w:rPr>
              <w:t>(Level 3)</w:t>
            </w:r>
          </w:p>
        </w:tc>
      </w:tr>
      <w:tr>
        <w:trPr>
          <w:trHeight w:val="22"/>
        </w:trPr>
        <w:tc>
          <w:tcPr>
            <w:tcW w:w="3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7"/>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2"/>
          </w:tcPr>
          <w:p>
            <w:pPr>
              <w:jc w:val="right"/>
              <w:ind w:right="929"/>
              <w:spacing w:after="0"/>
              <w:rPr>
                <w:sz w:val="20"/>
                <w:szCs w:val="20"/>
                <w:color w:val="auto"/>
              </w:rPr>
            </w:pPr>
            <w:r>
              <w:rPr>
                <w:rFonts w:ascii="Arial" w:cs="Arial" w:eastAsia="Arial" w:hAnsi="Arial"/>
                <w:sz w:val="13"/>
                <w:szCs w:val="13"/>
                <w:i w:val="1"/>
                <w:iCs w:val="1"/>
                <w:color w:val="auto"/>
              </w:rPr>
              <w:t>(Dollars in thousands)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6"/>
        </w:trPr>
        <w:tc>
          <w:tcPr>
            <w:tcW w:w="3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91"/>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Collateral-dependent impaired loans</w:t>
            </w:r>
          </w:p>
        </w:tc>
        <w:tc>
          <w:tcPr>
            <w:tcW w:w="1280" w:type="dxa"/>
            <w:vAlign w:val="bottom"/>
            <w:shd w:val="clear" w:color="auto" w:fill="CCEEFF"/>
          </w:tcPr>
          <w:p>
            <w:pPr>
              <w:jc w:val="right"/>
              <w:ind w:right="112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93"/>
              </w:rPr>
              <w:t>20,889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ind w:left="140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20,889</w:t>
            </w:r>
          </w:p>
        </w:tc>
      </w:tr>
      <w:tr>
        <w:trPr>
          <w:trHeight w:val="22"/>
        </w:trPr>
        <w:tc>
          <w:tcPr>
            <w:tcW w:w="34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bl>
    <w:p>
      <w:pPr>
        <w:spacing w:after="0" w:line="117" w:lineRule="exact"/>
        <w:rPr>
          <w:sz w:val="20"/>
          <w:szCs w:val="20"/>
          <w:color w:val="auto"/>
        </w:rPr>
      </w:pPr>
    </w:p>
    <w:p>
      <w:pPr>
        <w:jc w:val="both"/>
        <w:ind w:left="140" w:right="20" w:firstLine="382"/>
        <w:spacing w:after="0" w:line="281" w:lineRule="auto"/>
        <w:rPr>
          <w:sz w:val="20"/>
          <w:szCs w:val="20"/>
          <w:color w:val="auto"/>
        </w:rPr>
      </w:pPr>
      <w:r>
        <w:rPr>
          <w:rFonts w:ascii="Arial" w:cs="Arial" w:eastAsia="Arial" w:hAnsi="Arial"/>
          <w:sz w:val="14"/>
          <w:szCs w:val="14"/>
          <w:color w:val="auto"/>
        </w:rPr>
        <w:t>Following is a description of the valuation methodologies and inputs used for assets measured at fair value on a nonrecurring basis and recognized in the accompanying consolidated Balance Sheets.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Collateral-dependent Impaired Loans, Net of ALLL</w:t>
      </w:r>
    </w:p>
    <w:p>
      <w:pPr>
        <w:spacing w:after="0" w:line="136" w:lineRule="exact"/>
        <w:rPr>
          <w:sz w:val="20"/>
          <w:szCs w:val="20"/>
          <w:color w:val="auto"/>
        </w:rPr>
      </w:pPr>
    </w:p>
    <w:p>
      <w:pPr>
        <w:ind w:left="140" w:right="400" w:firstLine="382"/>
        <w:spacing w:after="0" w:line="281" w:lineRule="auto"/>
        <w:rPr>
          <w:sz w:val="20"/>
          <w:szCs w:val="20"/>
          <w:color w:val="auto"/>
        </w:rPr>
      </w:pPr>
      <w:r>
        <w:rPr>
          <w:rFonts w:ascii="Arial" w:cs="Arial" w:eastAsia="Arial" w:hAnsi="Arial"/>
          <w:sz w:val="14"/>
          <w:szCs w:val="14"/>
          <w:color w:val="auto"/>
        </w:rPr>
        <w:t>The estimated fair value of collateral-dependent impaired loans is based on the appraised fair value of the collateral, less estimated cost to sell. Collateral-dependent impaired loans are classified within Level 3 of the fair value hierarchy.</w:t>
      </w:r>
    </w:p>
    <w:p>
      <w:pPr>
        <w:spacing w:after="0" w:line="90" w:lineRule="exact"/>
        <w:rPr>
          <w:sz w:val="20"/>
          <w:szCs w:val="20"/>
          <w:color w:val="auto"/>
        </w:rPr>
      </w:pPr>
    </w:p>
    <w:p>
      <w:pPr>
        <w:ind w:left="140" w:right="40" w:firstLine="382"/>
        <w:spacing w:after="0" w:line="267" w:lineRule="auto"/>
        <w:rPr>
          <w:sz w:val="20"/>
          <w:szCs w:val="20"/>
          <w:color w:val="auto"/>
        </w:rPr>
      </w:pPr>
      <w:r>
        <w:rPr>
          <w:rFonts w:ascii="Arial" w:cs="Arial" w:eastAsia="Arial" w:hAnsi="Arial"/>
          <w:sz w:val="14"/>
          <w:szCs w:val="14"/>
          <w:color w:val="auto"/>
        </w:rPr>
        <w:t>The Company considers the appraisal or evaluation as the starting point for determining fair value and then considers other factors and events in the environment that may affect the fair value. Appraisals of the collateral underlying collateral-dependent loans are obtained when the loan is determined to be collateral-dependent and subsequently as deemed necessary by the Office of the Chief Credit Officer.</w:t>
      </w:r>
    </w:p>
    <w:p>
      <w:pPr>
        <w:spacing w:after="0" w:line="99" w:lineRule="exact"/>
        <w:rPr>
          <w:sz w:val="20"/>
          <w:szCs w:val="20"/>
          <w:color w:val="auto"/>
        </w:rPr>
      </w:pPr>
    </w:p>
    <w:p>
      <w:pPr>
        <w:ind w:left="140" w:right="100" w:firstLine="382"/>
        <w:spacing w:after="0" w:line="267" w:lineRule="auto"/>
        <w:rPr>
          <w:sz w:val="20"/>
          <w:szCs w:val="20"/>
          <w:color w:val="auto"/>
        </w:rPr>
      </w:pPr>
      <w:r>
        <w:rPr>
          <w:rFonts w:ascii="Arial" w:cs="Arial" w:eastAsia="Arial" w:hAnsi="Arial"/>
          <w:sz w:val="14"/>
          <w:szCs w:val="14"/>
          <w:color w:val="auto"/>
        </w:rPr>
        <w:t>Appraisals are reviewed for accuracy and consistency by the Office of the Chief Credit Officer. Appraisers are selected from the list of approved appraisers maintained by management. The appraised values are reduced by discounts to consider lack of marketability and estimated cost to sell if repayment or satisfaction of the loan is dependent on the sale of the collateral. These discounts and estimates are developed by the Office of the Chief Credit Officer by comparison to historical results.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6" w:name="page37"/>
    <w:bookmarkEnd w:id="36"/>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Unobservable (Level 3) Inputs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tables present quantitative information about unobservable inputs used in nonrecurring Level 3 fair value measurements at March 31, 2020 and December 31, 2019:</w:t>
      </w:r>
    </w:p>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March 31, 2020</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429"/>
              <w:spacing w:after="0"/>
              <w:rPr>
                <w:sz w:val="20"/>
                <w:szCs w:val="20"/>
                <w:color w:val="auto"/>
              </w:rPr>
            </w:pPr>
            <w:r>
              <w:rPr>
                <w:rFonts w:ascii="Arial" w:cs="Arial" w:eastAsia="Arial" w:hAnsi="Arial"/>
                <w:sz w:val="14"/>
                <w:szCs w:val="14"/>
                <w:b w:val="1"/>
                <w:bCs w:val="1"/>
                <w:color w:val="auto"/>
              </w:rPr>
              <w:t>Fair Value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Valuation Techniques</w:t>
            </w:r>
          </w:p>
        </w:tc>
        <w:tc>
          <w:tcPr>
            <w:tcW w:w="1820" w:type="dxa"/>
            <w:vAlign w:val="bottom"/>
          </w:tcPr>
          <w:p>
            <w:pPr>
              <w:ind w:left="280"/>
              <w:spacing w:after="0"/>
              <w:rPr>
                <w:sz w:val="20"/>
                <w:szCs w:val="20"/>
                <w:color w:val="auto"/>
              </w:rPr>
            </w:pPr>
            <w:r>
              <w:rPr>
                <w:rFonts w:ascii="Arial" w:cs="Arial" w:eastAsia="Arial" w:hAnsi="Arial"/>
                <w:sz w:val="14"/>
                <w:szCs w:val="14"/>
                <w:b w:val="1"/>
                <w:bCs w:val="1"/>
                <w:color w:val="auto"/>
              </w:rPr>
              <w:t>Unobservable Inputs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0" w:type="dxa"/>
            <w:vAlign w:val="bottom"/>
            <w:gridSpan w:val="2"/>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40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Collateral-dependent impaired loans</w:t>
            </w: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24,679</w:t>
            </w: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Market comparable properties</w:t>
            </w:r>
          </w:p>
        </w:tc>
        <w:tc>
          <w:tcPr>
            <w:tcW w:w="182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rPr>
              <w:t>Marketability discount</w:t>
            </w:r>
          </w:p>
        </w:tc>
        <w:tc>
          <w:tcPr>
            <w:tcW w:w="1560" w:type="dxa"/>
            <w:vAlign w:val="bottom"/>
            <w:shd w:val="clear" w:color="auto" w:fill="CCEEFF"/>
          </w:tcPr>
          <w:p>
            <w:pPr>
              <w:jc w:val="right"/>
              <w:ind w:right="369"/>
              <w:spacing w:after="0" w:line="138" w:lineRule="exact"/>
              <w:rPr>
                <w:sz w:val="20"/>
                <w:szCs w:val="20"/>
                <w:color w:val="auto"/>
              </w:rPr>
            </w:pPr>
            <w:r>
              <w:rPr>
                <w:rFonts w:ascii="Arial" w:cs="Arial" w:eastAsia="Arial" w:hAnsi="Arial"/>
                <w:sz w:val="14"/>
                <w:szCs w:val="14"/>
                <w:color w:val="auto"/>
              </w:rPr>
              <w:t>10% - 15%</w:t>
            </w:r>
          </w:p>
        </w:tc>
        <w:tc>
          <w:tcPr>
            <w:tcW w:w="0" w:type="dxa"/>
            <w:vAlign w:val="bottom"/>
          </w:tcPr>
          <w:p>
            <w:pPr>
              <w:spacing w:after="0"/>
              <w:rPr>
                <w:sz w:val="1"/>
                <w:szCs w:val="1"/>
                <w:color w:val="auto"/>
              </w:rPr>
            </w:pPr>
          </w:p>
        </w:tc>
      </w:tr>
      <w:tr>
        <w:trPr>
          <w:trHeight w:val="180"/>
        </w:trPr>
        <w:tc>
          <w:tcPr>
            <w:tcW w:w="402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2180" w:type="dxa"/>
            <w:vAlign w:val="bottom"/>
            <w:vMerge w:val="continue"/>
            <w:shd w:val="clear" w:color="auto" w:fill="CCEEFF"/>
          </w:tcPr>
          <w:p>
            <w:pPr>
              <w:spacing w:after="0"/>
              <w:rPr>
                <w:sz w:val="15"/>
                <w:szCs w:val="15"/>
                <w:color w:val="auto"/>
              </w:rPr>
            </w:pPr>
          </w:p>
        </w:tc>
        <w:tc>
          <w:tcPr>
            <w:tcW w:w="1820" w:type="dxa"/>
            <w:vAlign w:val="bottom"/>
            <w:vMerge w:val="continue"/>
            <w:shd w:val="clear" w:color="auto" w:fill="CCEEFF"/>
          </w:tcPr>
          <w:p>
            <w:pPr>
              <w:spacing w:after="0"/>
              <w:rPr>
                <w:sz w:val="15"/>
                <w:szCs w:val="15"/>
                <w:color w:val="auto"/>
              </w:rPr>
            </w:pPr>
          </w:p>
        </w:tc>
        <w:tc>
          <w:tcPr>
            <w:tcW w:w="156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0" w:type="dxa"/>
            <w:vAlign w:val="bottom"/>
            <w:gridSpan w:val="2"/>
          </w:tcPr>
          <w:p>
            <w:pPr>
              <w:ind w:left="1420"/>
              <w:spacing w:after="0"/>
              <w:rPr>
                <w:sz w:val="20"/>
                <w:szCs w:val="20"/>
                <w:color w:val="auto"/>
              </w:rPr>
            </w:pPr>
            <w:r>
              <w:rPr>
                <w:rFonts w:ascii="Arial" w:cs="Arial" w:eastAsia="Arial" w:hAnsi="Arial"/>
                <w:sz w:val="14"/>
                <w:szCs w:val="14"/>
                <w:b w:val="1"/>
                <w:bCs w:val="1"/>
                <w:color w:val="auto"/>
              </w:rPr>
              <w:t>December 31, 2019</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429"/>
              <w:spacing w:after="0"/>
              <w:rPr>
                <w:sz w:val="20"/>
                <w:szCs w:val="20"/>
                <w:color w:val="auto"/>
              </w:rPr>
            </w:pPr>
            <w:r>
              <w:rPr>
                <w:rFonts w:ascii="Arial" w:cs="Arial" w:eastAsia="Arial" w:hAnsi="Arial"/>
                <w:sz w:val="14"/>
                <w:szCs w:val="14"/>
                <w:b w:val="1"/>
                <w:bCs w:val="1"/>
                <w:color w:val="auto"/>
              </w:rPr>
              <w:t>Fair Value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Valuation Techniques</w:t>
            </w:r>
          </w:p>
        </w:tc>
        <w:tc>
          <w:tcPr>
            <w:tcW w:w="1820" w:type="dxa"/>
            <w:vAlign w:val="bottom"/>
          </w:tcPr>
          <w:p>
            <w:pPr>
              <w:ind w:left="280"/>
              <w:spacing w:after="0"/>
              <w:rPr>
                <w:sz w:val="20"/>
                <w:szCs w:val="20"/>
                <w:color w:val="auto"/>
              </w:rPr>
            </w:pPr>
            <w:r>
              <w:rPr>
                <w:rFonts w:ascii="Arial" w:cs="Arial" w:eastAsia="Arial" w:hAnsi="Arial"/>
                <w:sz w:val="14"/>
                <w:szCs w:val="14"/>
                <w:b w:val="1"/>
                <w:bCs w:val="1"/>
                <w:color w:val="auto"/>
              </w:rPr>
              <w:t>Unobservable Inputs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0" w:type="dxa"/>
            <w:vAlign w:val="bottom"/>
            <w:gridSpan w:val="2"/>
          </w:tcPr>
          <w:p>
            <w:pPr>
              <w:ind w:left="1420"/>
              <w:spacing w:after="0"/>
              <w:rPr>
                <w:sz w:val="20"/>
                <w:szCs w:val="20"/>
                <w:color w:val="auto"/>
              </w:rPr>
            </w:pPr>
            <w:r>
              <w:rPr>
                <w:rFonts w:ascii="Arial" w:cs="Arial" w:eastAsia="Arial" w:hAnsi="Arial"/>
                <w:sz w:val="13"/>
                <w:szCs w:val="13"/>
                <w:i w:val="1"/>
                <w:iCs w:val="1"/>
                <w:color w:val="auto"/>
              </w:rPr>
              <w:t>(Dollars in thousands)</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40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Collateral-dependent impaired loans</w:t>
            </w: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20,889</w:t>
            </w: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Market comparable properties</w:t>
            </w:r>
          </w:p>
        </w:tc>
        <w:tc>
          <w:tcPr>
            <w:tcW w:w="182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rPr>
              <w:t>Marketability discount</w:t>
            </w:r>
          </w:p>
        </w:tc>
        <w:tc>
          <w:tcPr>
            <w:tcW w:w="1560" w:type="dxa"/>
            <w:vAlign w:val="bottom"/>
            <w:shd w:val="clear" w:color="auto" w:fill="CCEEFF"/>
          </w:tcPr>
          <w:p>
            <w:pPr>
              <w:jc w:val="right"/>
              <w:ind w:right="369"/>
              <w:spacing w:after="0" w:line="138" w:lineRule="exact"/>
              <w:rPr>
                <w:sz w:val="20"/>
                <w:szCs w:val="20"/>
                <w:color w:val="auto"/>
              </w:rPr>
            </w:pPr>
            <w:r>
              <w:rPr>
                <w:rFonts w:ascii="Arial" w:cs="Arial" w:eastAsia="Arial" w:hAnsi="Arial"/>
                <w:sz w:val="14"/>
                <w:szCs w:val="14"/>
                <w:color w:val="auto"/>
              </w:rPr>
              <w:t>10% - 15%</w:t>
            </w:r>
          </w:p>
        </w:tc>
        <w:tc>
          <w:tcPr>
            <w:tcW w:w="0" w:type="dxa"/>
            <w:vAlign w:val="bottom"/>
          </w:tcPr>
          <w:p>
            <w:pPr>
              <w:spacing w:after="0"/>
              <w:rPr>
                <w:sz w:val="1"/>
                <w:szCs w:val="1"/>
                <w:color w:val="auto"/>
              </w:rPr>
            </w:pPr>
          </w:p>
        </w:tc>
      </w:tr>
      <w:tr>
        <w:trPr>
          <w:trHeight w:val="180"/>
        </w:trPr>
        <w:tc>
          <w:tcPr>
            <w:tcW w:w="402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2180" w:type="dxa"/>
            <w:vAlign w:val="bottom"/>
            <w:vMerge w:val="continue"/>
            <w:shd w:val="clear" w:color="auto" w:fill="CCEEFF"/>
          </w:tcPr>
          <w:p>
            <w:pPr>
              <w:spacing w:after="0"/>
              <w:rPr>
                <w:sz w:val="15"/>
                <w:szCs w:val="15"/>
                <w:color w:val="auto"/>
              </w:rPr>
            </w:pPr>
          </w:p>
        </w:tc>
        <w:tc>
          <w:tcPr>
            <w:tcW w:w="1820" w:type="dxa"/>
            <w:vAlign w:val="bottom"/>
            <w:vMerge w:val="continue"/>
            <w:shd w:val="clear" w:color="auto" w:fill="CCEEFF"/>
          </w:tcPr>
          <w:p>
            <w:pPr>
              <w:spacing w:after="0"/>
              <w:rPr>
                <w:sz w:val="15"/>
                <w:szCs w:val="15"/>
                <w:color w:val="auto"/>
              </w:rPr>
            </w:pPr>
          </w:p>
        </w:tc>
        <w:tc>
          <w:tcPr>
            <w:tcW w:w="156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97"/>
        </w:trPr>
        <w:tc>
          <w:tcPr>
            <w:tcW w:w="9580" w:type="dxa"/>
            <w:vAlign w:val="bottom"/>
            <w:gridSpan w:val="5"/>
          </w:tcPr>
          <w:p>
            <w:pPr>
              <w:ind w:left="380"/>
              <w:spacing w:after="0"/>
              <w:rPr>
                <w:sz w:val="20"/>
                <w:szCs w:val="20"/>
                <w:color w:val="auto"/>
              </w:rPr>
            </w:pPr>
            <w:r>
              <w:rPr>
                <w:rFonts w:ascii="Arial" w:cs="Arial" w:eastAsia="Arial" w:hAnsi="Arial"/>
                <w:sz w:val="14"/>
                <w:szCs w:val="14"/>
                <w:color w:val="auto"/>
              </w:rPr>
              <w:t>The following tables present the estimated fair values of the Company’s financial instruments at March 31, 2020 and December 31, 2019:</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March 31, 2020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5"/>
          </w:tcPr>
          <w:p>
            <w:pPr>
              <w:ind w:left="500"/>
              <w:spacing w:after="0"/>
              <w:rPr>
                <w:sz w:val="20"/>
                <w:szCs w:val="20"/>
                <w:color w:val="auto"/>
              </w:rPr>
            </w:pPr>
            <w:r>
              <w:rPr>
                <w:rFonts w:ascii="Arial" w:cs="Arial" w:eastAsia="Arial" w:hAnsi="Arial"/>
                <w:sz w:val="14"/>
                <w:szCs w:val="14"/>
                <w:b w:val="1"/>
                <w:bCs w:val="1"/>
                <w:color w:val="auto"/>
              </w:rPr>
              <w:t>Fair Value Measurements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5"/>
                <w:szCs w:val="15"/>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22"/>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i w:val="1"/>
                <w:iCs w:val="1"/>
                <w:color w:val="auto"/>
                <w:w w:val="91"/>
              </w:rPr>
              <w:t>(Dollars in thousands)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6"/>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Financial Assets</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158,987</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158,987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158,987</w:t>
            </w:r>
          </w:p>
        </w:tc>
      </w:tr>
      <w:tr>
        <w:trPr>
          <w:trHeight w:val="22"/>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Available-for-sale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735,231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735,231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735,231</w:t>
            </w: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Loans, net of allowance for loan losses</w:t>
            </w:r>
          </w:p>
        </w:tc>
        <w:tc>
          <w:tcPr>
            <w:tcW w:w="2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3,950,993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3,946,203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3,946,203</w:t>
            </w:r>
          </w:p>
        </w:tc>
      </w:tr>
      <w:tr>
        <w:trPr>
          <w:trHeight w:val="22"/>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Restricted equity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18,539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18,539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18,539</w:t>
            </w: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Interest receivable</w:t>
            </w:r>
          </w:p>
        </w:tc>
        <w:tc>
          <w:tcPr>
            <w:tcW w:w="2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16,958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16,958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16,958</w:t>
            </w:r>
          </w:p>
        </w:tc>
      </w:tr>
      <w:tr>
        <w:trPr>
          <w:trHeight w:val="22"/>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Derivative assets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28,041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28,041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28,041</w:t>
            </w:r>
          </w:p>
        </w:tc>
      </w:tr>
      <w:tr>
        <w:trPr>
          <w:trHeight w:val="181"/>
        </w:trPr>
        <w:tc>
          <w:tcPr>
            <w:tcW w:w="41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4,908,749</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158,987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780,230</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3,964,742</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4,903,959</w:t>
            </w:r>
          </w:p>
        </w:tc>
      </w:tr>
      <w:tr>
        <w:trPr>
          <w:trHeight w:val="22"/>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3"/>
        </w:trPr>
        <w:tc>
          <w:tcPr>
            <w:tcW w:w="418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Financial Liabilities</w:t>
            </w:r>
          </w:p>
        </w:tc>
        <w:tc>
          <w:tcPr>
            <w:tcW w:w="2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Deposits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3,972,822</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567,215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3,428,178</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3,995,393</w:t>
            </w:r>
          </w:p>
        </w:tc>
      </w:tr>
      <w:tr>
        <w:trPr>
          <w:trHeight w:val="22"/>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Federal funds purchased and repurchase agreements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38,946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38,946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38,946</w:t>
            </w: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Federal Home Loan Bank advances</w:t>
            </w:r>
          </w:p>
        </w:tc>
        <w:tc>
          <w:tcPr>
            <w:tcW w:w="2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402,680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423,799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423,799</w:t>
            </w:r>
          </w:p>
        </w:tc>
      </w:tr>
      <w:tr>
        <w:trPr>
          <w:trHeight w:val="22"/>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Other borrowings</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931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1,576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1,576</w:t>
            </w: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Interest payable</w:t>
            </w:r>
          </w:p>
        </w:tc>
        <w:tc>
          <w:tcPr>
            <w:tcW w:w="2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3,365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3,365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3,365</w:t>
            </w:r>
          </w:p>
        </w:tc>
      </w:tr>
      <w:tr>
        <w:trPr>
          <w:trHeight w:val="22"/>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Derivative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28,139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28,139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28,139</w:t>
            </w:r>
          </w:p>
        </w:tc>
      </w:tr>
      <w:tr>
        <w:trPr>
          <w:trHeight w:val="181"/>
        </w:trPr>
        <w:tc>
          <w:tcPr>
            <w:tcW w:w="41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4,446,883</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567,215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495,825</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3,428,178</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4,491,218</w:t>
            </w:r>
          </w:p>
        </w:tc>
      </w:tr>
      <w:tr>
        <w:trPr>
          <w:trHeight w:val="22"/>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180"/>
        </w:trPr>
        <w:tc>
          <w:tcPr>
            <w:tcW w:w="3620" w:type="dxa"/>
            <w:vAlign w:val="bottom"/>
            <w:gridSpan w:val="2"/>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4900" w:type="dxa"/>
            <w:vAlign w:val="bottom"/>
            <w:gridSpan w:val="10"/>
          </w:tcPr>
          <w:p>
            <w:pPr>
              <w:ind w:left="440"/>
              <w:spacing w:after="0"/>
              <w:rPr>
                <w:sz w:val="20"/>
                <w:szCs w:val="20"/>
                <w:color w:val="auto"/>
              </w:rPr>
            </w:pPr>
            <w:r>
              <w:rPr>
                <w:rFonts w:ascii="Arial" w:cs="Arial" w:eastAsia="Arial" w:hAnsi="Arial"/>
                <w:sz w:val="14"/>
                <w:szCs w:val="14"/>
                <w:color w:val="auto"/>
              </w:rPr>
              <w:t>Notes to Consolidated Financial Statements (unaudited)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637"/>
        </w:trPr>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 2019</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1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5"/>
          </w:tcPr>
          <w:p>
            <w:pPr>
              <w:ind w:left="500"/>
              <w:spacing w:after="0"/>
              <w:rPr>
                <w:sz w:val="20"/>
                <w:szCs w:val="20"/>
                <w:color w:val="auto"/>
              </w:rPr>
            </w:pPr>
            <w:r>
              <w:rPr>
                <w:rFonts w:ascii="Arial" w:cs="Arial" w:eastAsia="Arial" w:hAnsi="Arial"/>
                <w:sz w:val="14"/>
                <w:szCs w:val="14"/>
                <w:b w:val="1"/>
                <w:bCs w:val="1"/>
                <w:color w:val="auto"/>
              </w:rPr>
              <w:t>Fair Value Measurements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1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5"/>
                <w:szCs w:val="15"/>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i w:val="1"/>
                <w:iCs w:val="1"/>
                <w:color w:val="auto"/>
                <w:w w:val="91"/>
              </w:rPr>
              <w:t>(Dollars in thousands)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6"/>
        </w:trPr>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120" w:type="dxa"/>
            <w:vAlign w:val="bottom"/>
          </w:tcPr>
          <w:p>
            <w:pPr>
              <w:spacing w:after="0"/>
              <w:rPr>
                <w:sz w:val="16"/>
                <w:szCs w:val="16"/>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Financial Assets</w:t>
            </w:r>
          </w:p>
        </w:tc>
        <w:tc>
          <w:tcPr>
            <w:tcW w:w="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1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9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187,320</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187,320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187,320</w:t>
            </w: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Available-for-sale securities</w:t>
            </w:r>
          </w:p>
        </w:tc>
        <w:tc>
          <w:tcPr>
            <w:tcW w:w="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741,634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741,634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741,634</w:t>
            </w:r>
          </w:p>
        </w:tc>
      </w:tr>
      <w:tr>
        <w:trPr>
          <w:trHeight w:val="191"/>
        </w:trPr>
        <w:tc>
          <w:tcPr>
            <w:tcW w:w="1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Loans, net of allowance for loan losses</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3,795,348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3,810,818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3,810,818</w:t>
            </w: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Restricted equity securities</w:t>
            </w:r>
          </w:p>
        </w:tc>
        <w:tc>
          <w:tcPr>
            <w:tcW w:w="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17,278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17,278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17,278</w:t>
            </w:r>
          </w:p>
        </w:tc>
      </w:tr>
      <w:tr>
        <w:trPr>
          <w:trHeight w:val="191"/>
        </w:trPr>
        <w:tc>
          <w:tcPr>
            <w:tcW w:w="1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Interest receivable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15,716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15,716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15,716</w:t>
            </w: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12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Derivative assets</w:t>
            </w: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9,838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9,838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9,838</w:t>
            </w:r>
          </w:p>
        </w:tc>
      </w:tr>
      <w:tr>
        <w:trPr>
          <w:trHeight w:val="181"/>
        </w:trPr>
        <w:tc>
          <w:tcPr>
            <w:tcW w:w="1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4,767,134</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187,320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767,188</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3,828,096</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4,782,604</w:t>
            </w: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35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Financial Liabilities</w:t>
            </w:r>
          </w:p>
        </w:tc>
        <w:tc>
          <w:tcPr>
            <w:tcW w:w="6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r>
      <w:tr>
        <w:trPr>
          <w:trHeight w:val="191"/>
        </w:trPr>
        <w:tc>
          <w:tcPr>
            <w:tcW w:w="1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Deposits</w:t>
            </w:r>
          </w:p>
        </w:tc>
        <w:tc>
          <w:tcPr>
            <w:tcW w:w="9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3,923,759</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521,826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3,407,012</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3,928,838</w:t>
            </w: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1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Federal funds purchased and repurchase agreements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14,921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14,921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14,921</w:t>
            </w:r>
          </w:p>
        </w:tc>
      </w:tr>
      <w:tr>
        <w:trPr>
          <w:trHeight w:val="191"/>
        </w:trPr>
        <w:tc>
          <w:tcPr>
            <w:tcW w:w="1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Federal Home Loan Bank advances</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358,743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357,859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357,859</w:t>
            </w: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Other borrowings</w:t>
            </w:r>
          </w:p>
        </w:tc>
        <w:tc>
          <w:tcPr>
            <w:tcW w:w="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921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2,147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2,147</w:t>
            </w:r>
          </w:p>
        </w:tc>
      </w:tr>
      <w:tr>
        <w:trPr>
          <w:trHeight w:val="191"/>
        </w:trPr>
        <w:tc>
          <w:tcPr>
            <w:tcW w:w="1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Interest payable</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4,584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ind w:right="90"/>
              <w:spacing w:after="0"/>
              <w:rPr>
                <w:sz w:val="20"/>
                <w:szCs w:val="20"/>
                <w:color w:val="auto"/>
              </w:rPr>
            </w:pPr>
            <w:r>
              <w:rPr>
                <w:rFonts w:ascii="Arial" w:cs="Arial" w:eastAsia="Arial" w:hAnsi="Arial"/>
                <w:sz w:val="14"/>
                <w:szCs w:val="14"/>
                <w:color w:val="auto"/>
              </w:rPr>
              <w:t>4,584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4,584</w:t>
            </w: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12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Derivative liabilities</w:t>
            </w: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9,907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9,907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9,907</w:t>
            </w:r>
          </w:p>
        </w:tc>
      </w:tr>
      <w:tr>
        <w:trPr>
          <w:trHeight w:val="181"/>
        </w:trPr>
        <w:tc>
          <w:tcPr>
            <w:tcW w:w="1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4,312,835</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521,826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389,418</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3,407,012</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4,318,256</w:t>
            </w:r>
          </w:p>
        </w:tc>
      </w:tr>
      <w:tr>
        <w:trPr>
          <w:trHeight w:val="22"/>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00" w:type="dxa"/>
            <w:vAlign w:val="bottom"/>
            <w:gridSpan w:val="3"/>
          </w:tcPr>
          <w:p>
            <w:pPr>
              <w:spacing w:after="0"/>
              <w:rPr>
                <w:sz w:val="20"/>
                <w:szCs w:val="20"/>
                <w:color w:val="auto"/>
              </w:rPr>
            </w:pPr>
            <w:r>
              <w:rPr>
                <w:rFonts w:ascii="Arial" w:cs="Arial" w:eastAsia="Arial" w:hAnsi="Arial"/>
                <w:sz w:val="17"/>
                <w:szCs w:val="17"/>
                <w:b w:val="1"/>
                <w:bCs w:val="1"/>
                <w:color w:val="auto"/>
              </w:rPr>
              <w:t>Note 12:</w:t>
            </w:r>
          </w:p>
        </w:tc>
        <w:tc>
          <w:tcPr>
            <w:tcW w:w="5300" w:type="dxa"/>
            <w:vAlign w:val="bottom"/>
          </w:tcPr>
          <w:p>
            <w:pPr>
              <w:ind w:left="20"/>
              <w:spacing w:after="0"/>
              <w:rPr>
                <w:sz w:val="20"/>
                <w:szCs w:val="20"/>
                <w:color w:val="auto"/>
              </w:rPr>
            </w:pPr>
            <w:r>
              <w:rPr>
                <w:rFonts w:ascii="Arial" w:cs="Arial" w:eastAsia="Arial" w:hAnsi="Arial"/>
                <w:sz w:val="17"/>
                <w:szCs w:val="17"/>
                <w:b w:val="1"/>
                <w:bCs w:val="1"/>
                <w:color w:val="auto"/>
              </w:rPr>
              <w:t>Commitments and Credit Risk</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68"/>
        </w:trPr>
        <w:tc>
          <w:tcPr>
            <w:tcW w:w="1000" w:type="dxa"/>
            <w:vAlign w:val="bottom"/>
            <w:gridSpan w:val="3"/>
          </w:tcPr>
          <w:p>
            <w:pPr>
              <w:spacing w:after="0"/>
              <w:rPr>
                <w:sz w:val="20"/>
                <w:szCs w:val="20"/>
                <w:color w:val="auto"/>
              </w:rPr>
            </w:pPr>
            <w:r>
              <w:rPr>
                <w:rFonts w:ascii="Arial" w:cs="Arial" w:eastAsia="Arial" w:hAnsi="Arial"/>
                <w:sz w:val="16"/>
                <w:szCs w:val="16"/>
                <w:color w:val="auto"/>
                <w:w w:val="99"/>
              </w:rPr>
              <w:t>Commitments</w:t>
            </w:r>
          </w:p>
        </w:tc>
        <w:tc>
          <w:tcPr>
            <w:tcW w:w="53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8"/>
        </w:trPr>
        <w:tc>
          <w:tcPr>
            <w:tcW w:w="140" w:type="dxa"/>
            <w:vAlign w:val="bottom"/>
          </w:tcPr>
          <w:p>
            <w:pPr>
              <w:spacing w:after="0"/>
              <w:rPr>
                <w:sz w:val="24"/>
                <w:szCs w:val="24"/>
                <w:color w:val="auto"/>
              </w:rPr>
            </w:pPr>
          </w:p>
        </w:tc>
        <w:tc>
          <w:tcPr>
            <w:tcW w:w="6160" w:type="dxa"/>
            <w:vAlign w:val="bottom"/>
            <w:gridSpan w:val="3"/>
          </w:tcPr>
          <w:p>
            <w:pPr>
              <w:ind w:left="380"/>
              <w:spacing w:after="0"/>
              <w:rPr>
                <w:sz w:val="20"/>
                <w:szCs w:val="20"/>
                <w:color w:val="auto"/>
              </w:rPr>
            </w:pPr>
            <w:r>
              <w:rPr>
                <w:rFonts w:ascii="Arial" w:cs="Arial" w:eastAsia="Arial" w:hAnsi="Arial"/>
                <w:sz w:val="14"/>
                <w:szCs w:val="14"/>
                <w:color w:val="auto"/>
              </w:rPr>
              <w:t>The Company had the following commitments at March 31, 2020 and December 31, 2019:</w:t>
            </w: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40"/>
        </w:trPr>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March 31, 2020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jc w:val="right"/>
              <w:ind w:right="589"/>
              <w:spacing w:after="0"/>
              <w:rPr>
                <w:sz w:val="20"/>
                <w:szCs w:val="20"/>
                <w:color w:val="auto"/>
              </w:rPr>
            </w:pPr>
            <w:r>
              <w:rPr>
                <w:rFonts w:ascii="Arial" w:cs="Arial" w:eastAsia="Arial" w:hAnsi="Arial"/>
                <w:sz w:val="14"/>
                <w:szCs w:val="14"/>
                <w:b w:val="1"/>
                <w:bCs w:val="1"/>
                <w:color w:val="auto"/>
                <w:w w:val="93"/>
              </w:rPr>
              <w:t>December 31, 2019</w:t>
            </w:r>
          </w:p>
        </w:tc>
      </w:tr>
      <w:tr>
        <w:trPr>
          <w:trHeight w:val="22"/>
        </w:trPr>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67"/>
        </w:trPr>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1860" w:type="dxa"/>
            <w:vAlign w:val="bottom"/>
          </w:tcPr>
          <w:p>
            <w:pPr>
              <w:spacing w:after="0"/>
              <w:rPr>
                <w:sz w:val="14"/>
                <w:szCs w:val="14"/>
                <w:color w:val="auto"/>
              </w:rPr>
            </w:pPr>
          </w:p>
        </w:tc>
      </w:tr>
      <w:tr>
        <w:trPr>
          <w:trHeight w:val="26"/>
        </w:trPr>
        <w:tc>
          <w:tcPr>
            <w:tcW w:w="140" w:type="dxa"/>
            <w:vAlign w:val="bottom"/>
          </w:tcPr>
          <w:p>
            <w:pPr>
              <w:spacing w:after="0"/>
              <w:rPr>
                <w:sz w:val="2"/>
                <w:szCs w:val="2"/>
                <w:color w:val="auto"/>
              </w:rPr>
            </w:pPr>
          </w:p>
        </w:tc>
        <w:tc>
          <w:tcPr>
            <w:tcW w:w="6160" w:type="dxa"/>
            <w:vAlign w:val="bottom"/>
            <w:gridSpan w:val="3"/>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192"/>
        </w:trPr>
        <w:tc>
          <w:tcPr>
            <w:tcW w:w="140" w:type="dxa"/>
            <w:vAlign w:val="bottom"/>
          </w:tcPr>
          <w:p>
            <w:pPr>
              <w:spacing w:after="0"/>
              <w:rPr>
                <w:sz w:val="16"/>
                <w:szCs w:val="16"/>
                <w:color w:val="auto"/>
              </w:rPr>
            </w:pPr>
          </w:p>
        </w:tc>
        <w:tc>
          <w:tcPr>
            <w:tcW w:w="6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Commitments to originate loans</w:t>
            </w:r>
          </w:p>
        </w:tc>
        <w:tc>
          <w:tcPr>
            <w:tcW w:w="1700" w:type="dxa"/>
            <w:vAlign w:val="bottom"/>
            <w:tcBorders>
              <w:bottom w:val="single" w:sz="8" w:color="CCEEFF"/>
            </w:tcBorders>
            <w:shd w:val="clear" w:color="auto" w:fill="CCEEFF"/>
          </w:tcPr>
          <w:p>
            <w:pPr>
              <w:jc w:val="right"/>
              <w:ind w:right="154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182,941</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134,652</w:t>
            </w:r>
          </w:p>
        </w:tc>
      </w:tr>
      <w:tr>
        <w:trPr>
          <w:trHeight w:val="191"/>
        </w:trPr>
        <w:tc>
          <w:tcPr>
            <w:tcW w:w="140" w:type="dxa"/>
            <w:vAlign w:val="bottom"/>
          </w:tcPr>
          <w:p>
            <w:pPr>
              <w:spacing w:after="0"/>
              <w:rPr>
                <w:sz w:val="16"/>
                <w:szCs w:val="16"/>
                <w:color w:val="auto"/>
              </w:rPr>
            </w:pPr>
          </w:p>
        </w:tc>
        <w:tc>
          <w:tcPr>
            <w:tcW w:w="6160" w:type="dxa"/>
            <w:vAlign w:val="bottom"/>
            <w:gridSpan w:val="3"/>
          </w:tcPr>
          <w:p>
            <w:pPr>
              <w:spacing w:after="0"/>
              <w:rPr>
                <w:sz w:val="20"/>
                <w:szCs w:val="20"/>
                <w:color w:val="auto"/>
              </w:rPr>
            </w:pPr>
            <w:r>
              <w:rPr>
                <w:rFonts w:ascii="Arial" w:cs="Arial" w:eastAsia="Arial" w:hAnsi="Arial"/>
                <w:sz w:val="14"/>
                <w:szCs w:val="14"/>
                <w:color w:val="auto"/>
              </w:rPr>
              <w:t>Standby letters of credit</w:t>
            </w:r>
          </w:p>
        </w:tc>
        <w:tc>
          <w:tcPr>
            <w:tcW w:w="1700" w:type="dxa"/>
            <w:vAlign w:val="bottom"/>
          </w:tcPr>
          <w:p>
            <w:pPr>
              <w:spacing w:after="0"/>
              <w:rPr>
                <w:sz w:val="16"/>
                <w:szCs w:val="16"/>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34,828</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39,035</w:t>
            </w:r>
          </w:p>
        </w:tc>
      </w:tr>
      <w:tr>
        <w:trPr>
          <w:trHeight w:val="22"/>
        </w:trPr>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6"/>
              </w:rPr>
              <w:t>Lines of credit</w:t>
            </w:r>
          </w:p>
        </w:tc>
        <w:tc>
          <w:tcPr>
            <w:tcW w:w="53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93"/>
              </w:rPr>
              <w:t>1,204,712</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1,351,873</w:t>
            </w:r>
          </w:p>
        </w:tc>
      </w:tr>
      <w:tr>
        <w:trPr>
          <w:trHeight w:val="191"/>
        </w:trPr>
        <w:tc>
          <w:tcPr>
            <w:tcW w:w="140" w:type="dxa"/>
            <w:vAlign w:val="bottom"/>
          </w:tcPr>
          <w:p>
            <w:pPr>
              <w:spacing w:after="0"/>
              <w:rPr>
                <w:sz w:val="16"/>
                <w:szCs w:val="16"/>
                <w:color w:val="auto"/>
              </w:rPr>
            </w:pPr>
          </w:p>
        </w:tc>
        <w:tc>
          <w:tcPr>
            <w:tcW w:w="6160" w:type="dxa"/>
            <w:vAlign w:val="bottom"/>
            <w:gridSpan w:val="3"/>
          </w:tcPr>
          <w:p>
            <w:pPr>
              <w:spacing w:after="0"/>
              <w:rPr>
                <w:sz w:val="20"/>
                <w:szCs w:val="20"/>
                <w:color w:val="auto"/>
              </w:rPr>
            </w:pPr>
            <w:r>
              <w:rPr>
                <w:rFonts w:ascii="Arial" w:cs="Arial" w:eastAsia="Arial" w:hAnsi="Arial"/>
                <w:sz w:val="14"/>
                <w:szCs w:val="14"/>
                <w:color w:val="auto"/>
              </w:rPr>
              <w:t>Future lease commitments</w:t>
            </w:r>
          </w:p>
        </w:tc>
        <w:tc>
          <w:tcPr>
            <w:tcW w:w="1700" w:type="dxa"/>
            <w:vAlign w:val="bottom"/>
          </w:tcPr>
          <w:p>
            <w:pPr>
              <w:spacing w:after="0"/>
              <w:rPr>
                <w:sz w:val="16"/>
                <w:szCs w:val="16"/>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22,394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20,935</w:t>
            </w:r>
          </w:p>
        </w:tc>
      </w:tr>
      <w:tr>
        <w:trPr>
          <w:trHeight w:val="22"/>
        </w:trPr>
        <w:tc>
          <w:tcPr>
            <w:tcW w:w="140" w:type="dxa"/>
            <w:vAlign w:val="bottom"/>
          </w:tcPr>
          <w:p>
            <w:pPr>
              <w:spacing w:after="0" w:line="20" w:lineRule="exact"/>
              <w:rPr>
                <w:sz w:val="1"/>
                <w:szCs w:val="1"/>
                <w:color w:val="auto"/>
              </w:rPr>
            </w:pPr>
          </w:p>
        </w:tc>
        <w:tc>
          <w:tcPr>
            <w:tcW w:w="860" w:type="dxa"/>
            <w:vAlign w:val="bottom"/>
            <w:tcBorders>
              <w:bottom w:val="single" w:sz="8" w:color="CCEEFF"/>
            </w:tcBorders>
            <w:gridSpan w:val="2"/>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8"/>
        </w:trPr>
        <w:tc>
          <w:tcPr>
            <w:tcW w:w="140" w:type="dxa"/>
            <w:vAlign w:val="bottom"/>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53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4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93"/>
              </w:rPr>
              <w:t>1,444,875</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1,546,495</w:t>
            </w:r>
          </w:p>
        </w:tc>
      </w:tr>
      <w:tr>
        <w:trPr>
          <w:trHeight w:val="20"/>
        </w:trPr>
        <w:tc>
          <w:tcPr>
            <w:tcW w:w="140" w:type="dxa"/>
            <w:vAlign w:val="bottom"/>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Concentrations of Credit Risk</w:t>
      </w:r>
    </w:p>
    <w:p>
      <w:pPr>
        <w:spacing w:after="0" w:line="126" w:lineRule="exact"/>
        <w:rPr>
          <w:sz w:val="20"/>
          <w:szCs w:val="20"/>
          <w:color w:val="auto"/>
        </w:rPr>
      </w:pPr>
    </w:p>
    <w:p>
      <w:pPr>
        <w:ind w:left="140" w:right="20" w:firstLine="382"/>
        <w:spacing w:after="0" w:line="284" w:lineRule="auto"/>
        <w:rPr>
          <w:sz w:val="20"/>
          <w:szCs w:val="20"/>
          <w:color w:val="auto"/>
        </w:rPr>
      </w:pPr>
      <w:r>
        <w:rPr>
          <w:rFonts w:ascii="Arial" w:cs="Arial" w:eastAsia="Arial" w:hAnsi="Arial"/>
          <w:sz w:val="13"/>
          <w:szCs w:val="13"/>
          <w:color w:val="auto"/>
        </w:rPr>
        <w:t xml:space="preserve">As of March 31, 2020, the Company’s energy portfolio represented 10% of gross loans. The energy portfolio is subdivided into exploration and production for oil and natural gas, which represented approximately 65% and 35%, respectively of the energy portfolio at March 31, 2020. The dramatic decrease in demand for oil and natural gas created by the COVID-19 pandemic put considerable pricing volatility and uncertainty in the market. Depressed prices may strain our customer’s cash flows, lower their liquidity, and decrease property values that could create negative grade migration over the next several quarters. The length of the COVID-19 pandemic disruption and the pace of economic recovery will determine the severity of the grade migration and potential loss impact within the energy portfolio. Information pertaining to the energy portfolio may be found within </w:t>
      </w:r>
      <w:r>
        <w:rPr>
          <w:rFonts w:ascii="Arial" w:cs="Arial" w:eastAsia="Arial" w:hAnsi="Arial"/>
          <w:sz w:val="13"/>
          <w:szCs w:val="13"/>
          <w:i w:val="1"/>
          <w:iCs w:val="1"/>
          <w:color w:val="auto"/>
        </w:rPr>
        <w:t>Note 4: Loans and Allowance for Loan Losses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8" w:name="page39"/>
    <w:bookmarkEnd w:id="38"/>
    <w:p>
      <w:pPr>
        <w:ind w:left="20"/>
        <w:spacing w:after="0"/>
        <w:tabs>
          <w:tab w:leader="none" w:pos="4060" w:val="left"/>
        </w:tabs>
        <w:rPr>
          <w:rFonts w:ascii="Arial" w:cs="Arial" w:eastAsia="Arial" w:hAnsi="Arial"/>
          <w:sz w:val="14"/>
          <w:szCs w:val="14"/>
          <w:color w:val="0000FF"/>
        </w:rPr>
      </w:pPr>
      <w:hyperlink w:anchor="page1">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Legal and Regulatory Proceedings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General Litigation</w:t>
      </w:r>
    </w:p>
    <w:p>
      <w:pPr>
        <w:spacing w:after="0" w:line="126" w:lineRule="exact"/>
        <w:rPr>
          <w:sz w:val="20"/>
          <w:szCs w:val="20"/>
          <w:color w:val="auto"/>
        </w:rPr>
      </w:pPr>
    </w:p>
    <w:p>
      <w:pPr>
        <w:ind w:left="140" w:right="140" w:firstLine="382"/>
        <w:spacing w:after="0" w:line="281" w:lineRule="auto"/>
        <w:rPr>
          <w:sz w:val="20"/>
          <w:szCs w:val="20"/>
          <w:color w:val="auto"/>
        </w:rPr>
      </w:pPr>
      <w:r>
        <w:rPr>
          <w:rFonts w:ascii="Arial" w:cs="Arial" w:eastAsia="Arial" w:hAnsi="Arial"/>
          <w:sz w:val="14"/>
          <w:szCs w:val="14"/>
          <w:color w:val="auto"/>
        </w:rPr>
        <w:t>The Company is subject to claims and lawsuits that arise primarily in the ordinary course of business. It is the opinion of management the disposition or ultimate resolution of such claims and lawsuits will not have a material adverse effect on the consolidated financial position, result of operations and cash flows of the Company.</w:t>
      </w:r>
    </w:p>
    <w:p>
      <w:pPr>
        <w:spacing w:after="0" w:line="200" w:lineRule="exact"/>
        <w:rPr>
          <w:sz w:val="20"/>
          <w:szCs w:val="20"/>
          <w:color w:val="auto"/>
        </w:rPr>
      </w:pPr>
    </w:p>
    <w:p>
      <w:pPr>
        <w:spacing w:after="0" w:line="20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4"/>
          <w:szCs w:val="14"/>
          <w:b w:val="1"/>
          <w:bCs w:val="1"/>
          <w:color w:val="auto"/>
        </w:rPr>
        <w:t>Subsequent Events</w:t>
      </w:r>
    </w:p>
    <w:p>
      <w:pPr>
        <w:spacing w:after="0" w:line="133" w:lineRule="exact"/>
        <w:rPr>
          <w:sz w:val="20"/>
          <w:szCs w:val="20"/>
          <w:color w:val="auto"/>
        </w:rPr>
      </w:pPr>
    </w:p>
    <w:p>
      <w:pPr>
        <w:ind w:left="140" w:firstLine="382"/>
        <w:spacing w:after="0" w:line="262" w:lineRule="auto"/>
        <w:rPr>
          <w:sz w:val="20"/>
          <w:szCs w:val="20"/>
          <w:color w:val="auto"/>
        </w:rPr>
      </w:pPr>
      <w:r>
        <w:rPr>
          <w:rFonts w:ascii="Arial" w:cs="Arial" w:eastAsia="Arial" w:hAnsi="Arial"/>
          <w:sz w:val="14"/>
          <w:szCs w:val="14"/>
          <w:color w:val="auto"/>
        </w:rPr>
        <w:t>Subsequent to March 31, 2020, the Coronavirus (“COVID-19”) pandemic continued to impact our customers. Most industries and individuals have been and are expected to continue to be impacted as a result of the COVID-19 pandemic and measures taken in response thereto. A large number of Americans were furloughed or lost their jobs as many businesses closed or saw a reduction in business activity. The COVID-19 pandemic has caused, and is expected to continue to cause, economic uncertainty and a disruption to the financial markets, the duration and extent of which is not currently known.</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71" w:right="39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p>
      <w:pPr>
        <w:spacing w:after="0" w:line="129" w:lineRule="exact"/>
        <w:rPr>
          <w:sz w:val="20"/>
          <w:szCs w:val="20"/>
          <w:color w:val="auto"/>
        </w:rPr>
      </w:pPr>
    </w:p>
    <w:p>
      <w:pPr>
        <w:ind w:left="140" w:right="80" w:firstLine="382"/>
        <w:spacing w:after="0" w:line="282" w:lineRule="auto"/>
        <w:rPr>
          <w:sz w:val="20"/>
          <w:szCs w:val="20"/>
          <w:color w:val="auto"/>
        </w:rPr>
      </w:pPr>
      <w:r>
        <w:rPr>
          <w:rFonts w:ascii="Arial" w:cs="Arial" w:eastAsia="Arial" w:hAnsi="Arial"/>
          <w:sz w:val="13"/>
          <w:szCs w:val="13"/>
          <w:color w:val="auto"/>
        </w:rPr>
        <w:t>The following discussion and analysis should be read in conjunction with the consolidated financial statements and related notes and with the statistical information and financial data appearing in this report as well as in the Company’s Annual Report on Form 10-K for the fiscal year ended December 31, 2019 filed with the SEC on March 10, 2020 (the “2019 Form 10-K”). Results of operations for the three month period ended March 31, 2020 are not necessarily indicative of results to be attained for any other period. Certain statements in this report contain forward-looking statements regarding our future plans, objectives, beliefs, expectations, representations and projections. See "Forward-Looking Information" which is incorporated herein by reference. Actual results could differ materially from the anticipated results and other expectations expressed in our forward-looking statements as a result of a number of factors, including but not limited to those discussed in Item 1A – "Risk Factors" in the 2019 Form 10-K, as supplemented by Item 1A – "Risk Factors" in this report.</w:t>
      </w:r>
    </w:p>
    <w:p>
      <w:pPr>
        <w:spacing w:after="0" w:line="92" w:lineRule="exact"/>
        <w:rPr>
          <w:sz w:val="20"/>
          <w:szCs w:val="20"/>
          <w:color w:val="auto"/>
        </w:rPr>
      </w:pPr>
    </w:p>
    <w:p>
      <w:pPr>
        <w:ind w:left="140" w:right="200" w:firstLine="382"/>
        <w:spacing w:after="0" w:line="267" w:lineRule="auto"/>
        <w:rPr>
          <w:sz w:val="20"/>
          <w:szCs w:val="20"/>
          <w:color w:val="auto"/>
        </w:rPr>
      </w:pPr>
      <w:r>
        <w:rPr>
          <w:rFonts w:ascii="Arial" w:cs="Arial" w:eastAsia="Arial" w:hAnsi="Arial"/>
          <w:sz w:val="14"/>
          <w:szCs w:val="14"/>
          <w:color w:val="auto"/>
        </w:rPr>
        <w:t>Unless we state otherwise or the context otherwise requires, references in the below section to “we,” “our,” “us,” “ourselves,” “our company,” and the “Company” refer to CrossFirst Bankshares, Inc., a Kansas corporation, its predecessors and its consolidated subsidiaries. References to “CrossFirst Bank” and the “Bank” refer to CrossFirst Bank, a Kansas chartered bank and our wholly-owned consolidated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2020 Highlights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first quarter ended March 31, 2020, we accomplished the following:</w:t>
      </w:r>
    </w:p>
    <w:p>
      <w:pPr>
        <w:spacing w:after="0" w:line="136" w:lineRule="exact"/>
        <w:rPr>
          <w:sz w:val="20"/>
          <w:szCs w:val="20"/>
          <w:color w:val="auto"/>
        </w:rPr>
      </w:pPr>
    </w:p>
    <w:p>
      <w:pPr>
        <w:ind w:left="1020" w:hanging="506"/>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Increased total assets $136 million or 3% during the quarter to $5.1 billion, driven by a $149 million or 4% increase in gross loans.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Quarterly net income of $3.9 million, compared to net income of $9.4 million for the first quarter of 2019.</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Achieved an efficiency ratio of 55% during the first quarter of 2020 compared to 64% during the first quarter of 2019.</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Diluted earnings per share (“EPS”) was $0.07 for the first quarter of 2020 compared to $0.20 for the first quarter of 2019.</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Book value per share of $11.75 at March 31, 2020 compared to $11.58 at December 31, 2019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Coronavirus 2019 (“COVID-19”) Impact</w:t>
      </w:r>
    </w:p>
    <w:p>
      <w:pPr>
        <w:spacing w:after="0" w:line="133" w:lineRule="exact"/>
        <w:rPr>
          <w:sz w:val="20"/>
          <w:szCs w:val="20"/>
          <w:color w:val="auto"/>
        </w:rPr>
      </w:pPr>
    </w:p>
    <w:p>
      <w:pPr>
        <w:ind w:left="140" w:firstLine="382"/>
        <w:spacing w:after="0" w:line="258" w:lineRule="auto"/>
        <w:rPr>
          <w:sz w:val="20"/>
          <w:szCs w:val="20"/>
          <w:color w:val="auto"/>
        </w:rPr>
      </w:pPr>
      <w:r>
        <w:rPr>
          <w:rFonts w:ascii="Arial" w:cs="Arial" w:eastAsia="Arial" w:hAnsi="Arial"/>
          <w:sz w:val="14"/>
          <w:szCs w:val="14"/>
          <w:color w:val="auto"/>
        </w:rPr>
        <w:t>On March 11, 2020, the World Health Organization declared a global pandemic related to the COVID-19 outbreak and, on March 13, 2020, the U.S. government declared a national emergency with respect to the outbreak. Governmental authorities, including those in states in which we operate, responded to the outbreak by issuing stay at home orders, enacting travel restrictions, closing businesses and schools, and undertaking additional measures to contain the outbreak. Most industries and individuals have been and are expected to continue to be impacted as a result of the COVID-19 pandemic and measures taken in response thereto. A large number of Americans were furloughed or lost their jobs as many businesses closed or saw a reduction in business activity. The COVID-19 pandemic has caused, and is expected to continue to cause, economic uncertainty and a disruption to the financial markets, the duration and extent of which is not currently known.</w:t>
      </w:r>
    </w:p>
    <w:p>
      <w:pPr>
        <w:spacing w:after="0" w:line="107" w:lineRule="exact"/>
        <w:rPr>
          <w:sz w:val="20"/>
          <w:szCs w:val="20"/>
          <w:color w:val="auto"/>
        </w:rPr>
      </w:pPr>
    </w:p>
    <w:p>
      <w:pPr>
        <w:ind w:left="140" w:right="20" w:firstLine="382"/>
        <w:spacing w:after="0" w:line="284" w:lineRule="auto"/>
        <w:rPr>
          <w:sz w:val="20"/>
          <w:szCs w:val="20"/>
          <w:color w:val="auto"/>
        </w:rPr>
      </w:pPr>
      <w:r>
        <w:rPr>
          <w:rFonts w:ascii="Arial" w:cs="Arial" w:eastAsia="Arial" w:hAnsi="Arial"/>
          <w:sz w:val="13"/>
          <w:szCs w:val="13"/>
          <w:color w:val="auto"/>
        </w:rPr>
        <w:t>The U.S. government enacted several new pieces of legislation to assist businesses and individuals negatively impacted by the pandemic. The Families First Coronavirus Response Act was signed into law on March 18, 2020 and provides for, among other things, emergency paid sick leave and family medical leave to employees, expanded unemployment benefits, and tax credits to businesses to offset the costs of providing the leave benefits under the act. The Coronavirus Aid, Relief and Economic Security Act (the "CARES Act") was signed into law on March 27, 2020 and was the largest-ever economic stimulus package in U.S. history. The CARES Act provides for, among other things, expanded unemployment insurance payments, the establishment of the Paycheck Protection Program ("PPP"), the establishment of the Main Street Lending Program and recovery rebates for individual taxpayers.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discussion of the impact of the COVID-19 on the Company and its operations and measures undertaken by the Company in response thereto is provided below.</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Bank Operations</w:t>
      </w:r>
    </w:p>
    <w:p>
      <w:pPr>
        <w:spacing w:after="0" w:line="126" w:lineRule="exact"/>
        <w:rPr>
          <w:sz w:val="20"/>
          <w:szCs w:val="20"/>
          <w:color w:val="auto"/>
        </w:rPr>
      </w:pPr>
    </w:p>
    <w:p>
      <w:pPr>
        <w:ind w:left="140" w:right="220" w:firstLine="382"/>
        <w:spacing w:after="0" w:line="267" w:lineRule="auto"/>
        <w:rPr>
          <w:sz w:val="20"/>
          <w:szCs w:val="20"/>
          <w:color w:val="auto"/>
        </w:rPr>
      </w:pPr>
      <w:r>
        <w:rPr>
          <w:rFonts w:ascii="Arial" w:cs="Arial" w:eastAsia="Arial" w:hAnsi="Arial"/>
          <w:sz w:val="14"/>
          <w:szCs w:val="14"/>
          <w:color w:val="auto"/>
        </w:rPr>
        <w:t>The Company implemented its business continuity procedures in March 2020 as a result of COVID-19. Approximately 70% or more of our employees are working from home with the majority of service and support team members performing their duties away from our headquarters. As a result, no interruptions to our business occurred. Loan and deposit services continued to function as normal using alternative procedures. No significant changes to underlying processes were identified during the transition process.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140" w:right="60" w:firstLine="382"/>
        <w:spacing w:after="0" w:line="267" w:lineRule="auto"/>
        <w:rPr>
          <w:sz w:val="20"/>
          <w:szCs w:val="20"/>
          <w:color w:val="auto"/>
        </w:rPr>
      </w:pPr>
      <w:r>
        <w:rPr>
          <w:rFonts w:ascii="Arial" w:cs="Arial" w:eastAsia="Arial" w:hAnsi="Arial"/>
          <w:sz w:val="14"/>
          <w:szCs w:val="14"/>
          <w:color w:val="auto"/>
        </w:rPr>
        <w:t>We continue to meet with customers by appointment and our drive-thru locations continue operating during normal hours. We are committed to minimizing physical contact to protect our team members, our customers, and our communities. Our lenders and branch network continue to provide extraordinary service to our customers through use of our technologies, including mobile, online, and over the phone.</w:t>
      </w:r>
    </w:p>
    <w:p>
      <w:pPr>
        <w:spacing w:after="0" w:line="99" w:lineRule="exact"/>
        <w:rPr>
          <w:sz w:val="20"/>
          <w:szCs w:val="20"/>
          <w:color w:val="auto"/>
        </w:rPr>
      </w:pPr>
    </w:p>
    <w:p>
      <w:pPr>
        <w:ind w:left="140" w:right="140" w:firstLine="382"/>
        <w:spacing w:after="0" w:line="267" w:lineRule="auto"/>
        <w:rPr>
          <w:sz w:val="20"/>
          <w:szCs w:val="20"/>
          <w:color w:val="auto"/>
        </w:rPr>
      </w:pPr>
      <w:r>
        <w:rPr>
          <w:rFonts w:ascii="Arial" w:cs="Arial" w:eastAsia="Arial" w:hAnsi="Arial"/>
          <w:sz w:val="14"/>
          <w:szCs w:val="14"/>
          <w:color w:val="auto"/>
        </w:rPr>
        <w:t>The Company continues to support its employees through electronic communication. In addition, the Company decided to continue to pay all employees, including those unable to perform their duties, while the communities remain on lockdown and provided additional employee assistance programs. We suspended the majority of hiring until the impact of COVID-19 on the Company is known.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Paycheck Protection Program (“PPP”) Lending Facility and Loans</w:t>
      </w:r>
    </w:p>
    <w:p>
      <w:pPr>
        <w:spacing w:after="0" w:line="126" w:lineRule="exact"/>
        <w:rPr>
          <w:sz w:val="20"/>
          <w:szCs w:val="20"/>
          <w:color w:val="auto"/>
        </w:rPr>
      </w:pPr>
    </w:p>
    <w:p>
      <w:pPr>
        <w:ind w:left="140" w:right="80" w:firstLine="382"/>
        <w:spacing w:after="0" w:line="262" w:lineRule="auto"/>
        <w:rPr>
          <w:sz w:val="20"/>
          <w:szCs w:val="20"/>
          <w:color w:val="auto"/>
        </w:rPr>
      </w:pPr>
      <w:r>
        <w:rPr>
          <w:rFonts w:ascii="Arial" w:cs="Arial" w:eastAsia="Arial" w:hAnsi="Arial"/>
          <w:sz w:val="14"/>
          <w:szCs w:val="14"/>
          <w:color w:val="auto"/>
        </w:rPr>
        <w:t>The PPP was established by the CARES Act and authorized up to $659 billion in forgivable loans to small businesses to pay their employees during the COVID-19 crisis. The program requires all loan terms to be the same for everyone. The Bank, an existing, preferred Small Business Administration (“SBA”) lender, provided approximately $412 million to 1,179 borrowers as of May 11, 2020 to support our current customers within our markets and foster relationships with new customers in the process. The Bank utilized existing systems and services to establish a PPP Task Force to support our operations.</w:t>
      </w:r>
    </w:p>
    <w:p>
      <w:pPr>
        <w:spacing w:after="0" w:line="103" w:lineRule="exact"/>
        <w:rPr>
          <w:sz w:val="20"/>
          <w:szCs w:val="20"/>
          <w:color w:val="auto"/>
        </w:rPr>
      </w:pPr>
    </w:p>
    <w:p>
      <w:pPr>
        <w:ind w:left="140" w:right="100" w:firstLine="382"/>
        <w:spacing w:after="0" w:line="267" w:lineRule="auto"/>
        <w:rPr>
          <w:sz w:val="20"/>
          <w:szCs w:val="20"/>
          <w:color w:val="auto"/>
        </w:rPr>
      </w:pPr>
      <w:r>
        <w:rPr>
          <w:rFonts w:ascii="Arial" w:cs="Arial" w:eastAsia="Arial" w:hAnsi="Arial"/>
          <w:sz w:val="14"/>
          <w:szCs w:val="14"/>
          <w:color w:val="auto"/>
        </w:rPr>
        <w:t>The loans earn interest at 1% and include fees between 1% and 5% depending on the size of the loan. The increase in loan requests increased demand on our service and support operations, including our loan origination and funding, customer service, lender, underwriting and information technology teams. The Company’s organizational structure was able to absorb the increase in demand with limited need for additional team members.</w:t>
      </w:r>
    </w:p>
    <w:p>
      <w:pPr>
        <w:spacing w:after="0" w:line="99" w:lineRule="exact"/>
        <w:rPr>
          <w:sz w:val="20"/>
          <w:szCs w:val="20"/>
          <w:color w:val="auto"/>
        </w:rPr>
      </w:pPr>
    </w:p>
    <w:p>
      <w:pPr>
        <w:ind w:left="140" w:right="100" w:firstLine="382"/>
        <w:spacing w:after="0" w:line="281" w:lineRule="auto"/>
        <w:rPr>
          <w:sz w:val="20"/>
          <w:szCs w:val="20"/>
          <w:color w:val="auto"/>
        </w:rPr>
      </w:pPr>
      <w:r>
        <w:rPr>
          <w:rFonts w:ascii="Arial" w:cs="Arial" w:eastAsia="Arial" w:hAnsi="Arial"/>
          <w:sz w:val="14"/>
          <w:szCs w:val="14"/>
          <w:color w:val="auto"/>
        </w:rPr>
        <w:t>On April 24, 2020, the SBA established a safe harbor period for borrowers that decided to return PPP funds received. The period ends May 14, 2020. A few of the Bank’s customers elected to return the funds received. A summary of loans funded through the PPP is provided below:</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SBA/PPP Applications as of May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22860</wp:posOffset>
            </wp:positionV>
            <wp:extent cx="708088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0885" cy="6985"/>
                    </a:xfrm>
                    <a:prstGeom prst="rect">
                      <a:avLst/>
                    </a:prstGeom>
                    <a:noFill/>
                  </pic:spPr>
                </pic:pic>
              </a:graphicData>
            </a:graphic>
          </wp:anchor>
        </w:drawing>
      </w:r>
    </w:p>
    <w:p>
      <w:pPr>
        <w:spacing w:after="0" w:line="3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b w:val="1"/>
                <w:bCs w:val="1"/>
                <w:color w:val="auto"/>
              </w:rPr>
              <w:t>Approved</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jc w:val="right"/>
              <w:ind w:right="351"/>
              <w:spacing w:after="0"/>
              <w:rPr>
                <w:sz w:val="20"/>
                <w:szCs w:val="20"/>
                <w:color w:val="auto"/>
              </w:rPr>
            </w:pPr>
            <w:r>
              <w:rPr>
                <w:rFonts w:ascii="Arial" w:cs="Arial" w:eastAsia="Arial" w:hAnsi="Arial"/>
                <w:sz w:val="14"/>
                <w:szCs w:val="14"/>
                <w:b w:val="1"/>
                <w:bCs w:val="1"/>
                <w:color w:val="auto"/>
              </w:rPr>
              <w:t>Existing Customers</w:t>
            </w:r>
          </w:p>
        </w:tc>
        <w:tc>
          <w:tcPr>
            <w:tcW w:w="420" w:type="dxa"/>
            <w:vAlign w:val="bottom"/>
          </w:tcPr>
          <w:p>
            <w:pPr>
              <w:spacing w:after="0"/>
              <w:rPr>
                <w:sz w:val="16"/>
                <w:szCs w:val="16"/>
                <w:color w:val="auto"/>
              </w:rPr>
            </w:pPr>
          </w:p>
        </w:tc>
        <w:tc>
          <w:tcPr>
            <w:tcW w:w="1740" w:type="dxa"/>
            <w:vAlign w:val="bottom"/>
          </w:tcPr>
          <w:p>
            <w:pPr>
              <w:jc w:val="right"/>
              <w:ind w:right="489"/>
              <w:spacing w:after="0"/>
              <w:rPr>
                <w:sz w:val="20"/>
                <w:szCs w:val="20"/>
                <w:color w:val="auto"/>
              </w:rPr>
            </w:pPr>
            <w:r>
              <w:rPr>
                <w:rFonts w:ascii="Arial" w:cs="Arial" w:eastAsia="Arial" w:hAnsi="Arial"/>
                <w:sz w:val="14"/>
                <w:szCs w:val="14"/>
                <w:b w:val="1"/>
                <w:bCs w:val="1"/>
                <w:color w:val="auto"/>
              </w:rPr>
              <w:t>New Customers</w:t>
            </w:r>
          </w:p>
        </w:tc>
      </w:tr>
      <w:tr>
        <w:trPr>
          <w:trHeight w:val="22"/>
        </w:trPr>
        <w:tc>
          <w:tcPr>
            <w:tcW w:w="4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67"/>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jc w:val="right"/>
              <w:ind w:right="371"/>
              <w:spacing w:after="0"/>
              <w:rPr>
                <w:sz w:val="20"/>
                <w:szCs w:val="20"/>
                <w:color w:val="auto"/>
              </w:rPr>
            </w:pPr>
            <w:r>
              <w:rPr>
                <w:rFonts w:ascii="Arial" w:cs="Arial" w:eastAsia="Arial" w:hAnsi="Arial"/>
                <w:sz w:val="13"/>
                <w:szCs w:val="13"/>
                <w:i w:val="1"/>
                <w:iCs w:val="1"/>
                <w:color w:val="auto"/>
              </w:rPr>
              <w:t>(Dollars in thousands)</w:t>
            </w: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6"/>
        </w:trPr>
        <w:tc>
          <w:tcPr>
            <w:tcW w:w="4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2"/>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Number of Applications</w:t>
            </w:r>
          </w:p>
        </w:tc>
        <w:tc>
          <w:tcPr>
            <w:tcW w:w="14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1,179</w:t>
            </w:r>
          </w:p>
        </w:tc>
        <w:tc>
          <w:tcPr>
            <w:tcW w:w="3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888</w:t>
            </w:r>
          </w:p>
        </w:tc>
        <w:tc>
          <w:tcPr>
            <w:tcW w:w="4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291</w:t>
            </w:r>
          </w:p>
        </w:tc>
      </w:tr>
      <w:tr>
        <w:trPr>
          <w:trHeight w:val="191"/>
        </w:trPr>
        <w:tc>
          <w:tcPr>
            <w:tcW w:w="4780" w:type="dxa"/>
            <w:vAlign w:val="bottom"/>
          </w:tcPr>
          <w:p>
            <w:pPr>
              <w:spacing w:after="0"/>
              <w:rPr>
                <w:sz w:val="20"/>
                <w:szCs w:val="20"/>
                <w:color w:val="auto"/>
              </w:rPr>
            </w:pPr>
            <w:r>
              <w:rPr>
                <w:rFonts w:ascii="Arial" w:cs="Arial" w:eastAsia="Arial" w:hAnsi="Arial"/>
                <w:sz w:val="14"/>
                <w:szCs w:val="14"/>
                <w:color w:val="auto"/>
              </w:rPr>
              <w:t>Loans Funded</w:t>
            </w:r>
          </w:p>
        </w:tc>
        <w:tc>
          <w:tcPr>
            <w:tcW w:w="1420" w:type="dxa"/>
            <w:vAlign w:val="bottom"/>
          </w:tcPr>
          <w:p>
            <w:pPr>
              <w:jc w:val="right"/>
              <w:ind w:right="124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w w:val="98"/>
              </w:rPr>
              <w:t>411,750</w:t>
            </w:r>
          </w:p>
        </w:tc>
        <w:tc>
          <w:tcPr>
            <w:tcW w:w="3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51"/>
              <w:spacing w:after="0"/>
              <w:rPr>
                <w:sz w:val="20"/>
                <w:szCs w:val="20"/>
                <w:color w:val="auto"/>
              </w:rPr>
            </w:pPr>
            <w:r>
              <w:rPr>
                <w:rFonts w:ascii="Arial" w:cs="Arial" w:eastAsia="Arial" w:hAnsi="Arial"/>
                <w:sz w:val="14"/>
                <w:szCs w:val="14"/>
                <w:color w:val="auto"/>
              </w:rPr>
              <w:t>312,740</w:t>
            </w:r>
          </w:p>
        </w:tc>
        <w:tc>
          <w:tcPr>
            <w:tcW w:w="4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99,010</w:t>
            </w:r>
          </w:p>
        </w:tc>
      </w:tr>
    </w:tbl>
    <w:p>
      <w:pPr>
        <w:spacing w:after="0" w:line="138" w:lineRule="exact"/>
        <w:rPr>
          <w:sz w:val="20"/>
          <w:szCs w:val="20"/>
          <w:color w:val="auto"/>
        </w:rPr>
      </w:pPr>
    </w:p>
    <w:p>
      <w:pPr>
        <w:ind w:left="140" w:right="20" w:firstLine="382"/>
        <w:spacing w:after="0" w:line="262" w:lineRule="auto"/>
        <w:rPr>
          <w:sz w:val="20"/>
          <w:szCs w:val="20"/>
          <w:color w:val="auto"/>
        </w:rPr>
      </w:pPr>
      <w:r>
        <w:rPr>
          <w:rFonts w:ascii="Arial" w:cs="Arial" w:eastAsia="Arial" w:hAnsi="Arial"/>
          <w:sz w:val="14"/>
          <w:szCs w:val="14"/>
          <w:color w:val="auto"/>
        </w:rPr>
        <w:t>In response to the PPP, the Board of Governors of the Federal Reserve System authorized the Federal Reserve Banks to participate in the Paycheck Protection Program Lending Facility (“PPPL Facility”). The PPPL Facility allows the Federal Reserve Banks to extend non-recourse loans to eligible financial institutions to fund loans guaranteed by the SBA under the PPP. This will allow banking organizations to neutralize the regulatory capital effects of participating in the facility. In addition, the loans originated under the PPP will receive a zero percent risk weight under the regulatory capital rules.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Review for Impairment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a result of current economic conditions in our markets, the Company reviewed the following areas for potential impairment:</w:t>
      </w:r>
    </w:p>
    <w:p>
      <w:pPr>
        <w:spacing w:after="0" w:line="136" w:lineRule="exact"/>
        <w:rPr>
          <w:sz w:val="20"/>
          <w:szCs w:val="20"/>
          <w:color w:val="auto"/>
        </w:rPr>
      </w:pPr>
    </w:p>
    <w:p>
      <w:pPr>
        <w:ind w:left="1020" w:right="160" w:hanging="506"/>
        <w:spacing w:after="0" w:line="260" w:lineRule="auto"/>
        <w:tabs>
          <w:tab w:leader="none" w:pos="10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Goodwill - The Company determined that an interim review for goodwill impairment was warranted due to the current economic environment. In accordance with GAAP and our internal policy, the Company performed a qualitative review, also called Step 0, to determine if a quantitative analysis of goodwill, also called Step 1, was required. The Company reviewed various qualitative factors, including, but not limited to, the short-term decline of our stock price and macroeconomic conditions. Based on a review of the qualitative factors, the Company determined that a quantitative impairment test was unwarranted as of March 31, 2020. The Company will continue to monitor the qualitative factors and if warranted, perform a quantitative goodwill impairment analysis during the second quarter.</w:t>
      </w:r>
    </w:p>
    <w:p>
      <w:pPr>
        <w:spacing w:after="0" w:line="61" w:lineRule="exact"/>
        <w:rPr>
          <w:rFonts w:ascii="Arial" w:cs="Arial" w:eastAsia="Arial" w:hAnsi="Arial"/>
          <w:sz w:val="14"/>
          <w:szCs w:val="14"/>
          <w:color w:val="auto"/>
        </w:rPr>
      </w:pPr>
    </w:p>
    <w:p>
      <w:pPr>
        <w:ind w:left="1020" w:right="120" w:hanging="506"/>
        <w:spacing w:after="0" w:line="281" w:lineRule="auto"/>
        <w:tabs>
          <w:tab w:leader="none" w:pos="10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Available-for-Sale Investment Securities - The Company reviewed the securities portfolio for indications of impairment. Management did not identify any impaired securities as of March 31, 2020. A select few securities were sold in April 2020 that resulted in realized gains.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 Modifications, Credit Quality, and Allowance for Loan Losses (“ALLL”)</w:t>
      </w:r>
    </w:p>
    <w:p>
      <w:pPr>
        <w:spacing w:after="0" w:line="126" w:lineRule="exact"/>
        <w:rPr>
          <w:sz w:val="20"/>
          <w:szCs w:val="20"/>
          <w:color w:val="auto"/>
        </w:rPr>
      </w:pPr>
    </w:p>
    <w:p>
      <w:pPr>
        <w:ind w:left="140" w:right="340" w:firstLine="382"/>
        <w:spacing w:after="0" w:line="321" w:lineRule="auto"/>
        <w:rPr>
          <w:sz w:val="20"/>
          <w:szCs w:val="20"/>
          <w:color w:val="auto"/>
        </w:rPr>
      </w:pPr>
      <w:r>
        <w:rPr>
          <w:rFonts w:ascii="Arial" w:cs="Arial" w:eastAsia="Arial" w:hAnsi="Arial"/>
          <w:sz w:val="13"/>
          <w:szCs w:val="13"/>
          <w:color w:val="auto"/>
        </w:rPr>
        <w:t>The CARES Act allowed financial institutions to elect to suspend GAAP principles and regulatory determinations for loan modifications relating to COVID-19 that would otherwise be categorized as troubled debt restructurings (“TDRs”) from March 1, 2020 to the earlier of December 31, 2020 or 60 days after the national emergency related to COVID-19 ends.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140" w:right="40" w:firstLine="382"/>
        <w:spacing w:after="0" w:line="262" w:lineRule="auto"/>
        <w:rPr>
          <w:sz w:val="20"/>
          <w:szCs w:val="20"/>
          <w:color w:val="auto"/>
        </w:rPr>
      </w:pPr>
      <w:r>
        <w:rPr>
          <w:rFonts w:ascii="Arial" w:cs="Arial" w:eastAsia="Arial" w:hAnsi="Arial"/>
          <w:sz w:val="14"/>
          <w:szCs w:val="14"/>
          <w:color w:val="auto"/>
        </w:rPr>
        <w:t>The Company elected to use the above guidance for accounting and regulatory purposes. During the first quarter, the Company established a process, headed by the Chief Credit Officer, to evaluate loan modifications related to COVID-19. The modified loans typically received a 3 to 6-month payment deferral or modified principal and interest payments to interest-only payments. After the payment deferral period the modified loan terms either request all accrued interest be paid or the interest is capitalized and amortized over the original loan term. During the first quarter, a limited number of deferrals were made.</w:t>
      </w:r>
    </w:p>
    <w:p>
      <w:pPr>
        <w:spacing w:after="0" w:line="103" w:lineRule="exact"/>
        <w:rPr>
          <w:sz w:val="20"/>
          <w:szCs w:val="20"/>
          <w:color w:val="auto"/>
        </w:rPr>
      </w:pPr>
    </w:p>
    <w:p>
      <w:pPr>
        <w:ind w:left="140" w:right="40" w:firstLine="382"/>
        <w:spacing w:after="0" w:line="281" w:lineRule="auto"/>
        <w:rPr>
          <w:sz w:val="20"/>
          <w:szCs w:val="20"/>
          <w:color w:val="auto"/>
        </w:rPr>
      </w:pPr>
      <w:r>
        <w:rPr>
          <w:rFonts w:ascii="Arial" w:cs="Arial" w:eastAsia="Arial" w:hAnsi="Arial"/>
          <w:sz w:val="14"/>
          <w:szCs w:val="14"/>
          <w:color w:val="auto"/>
        </w:rPr>
        <w:t>The Company believes the deferral program will benefit our customers and the local markets we serve. All deferred loan payment interest will continue to accrue until we determine that it is more likely than not that we will be unable to collect the accrued interest balance, which is in accordance with our accounting policy.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Loan Modifications Impacted by COVID-19 as of May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22860</wp:posOffset>
            </wp:positionV>
            <wp:extent cx="708088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0885" cy="6985"/>
                    </a:xfrm>
                    <a:prstGeom prst="rect">
                      <a:avLst/>
                    </a:prstGeom>
                    <a:noFill/>
                  </pic:spPr>
                </pic:pic>
              </a:graphicData>
            </a:graphic>
          </wp:anchor>
        </w:drawing>
      </w:r>
    </w:p>
    <w:p>
      <w:pPr>
        <w:spacing w:after="0" w:line="3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200" w:type="dxa"/>
            <w:vAlign w:val="bottom"/>
          </w:tcPr>
          <w:p>
            <w:pPr>
              <w:ind w:left="900"/>
              <w:spacing w:after="0"/>
              <w:rPr>
                <w:sz w:val="20"/>
                <w:szCs w:val="20"/>
                <w:color w:val="auto"/>
              </w:rPr>
            </w:pPr>
            <w:r>
              <w:rPr>
                <w:rFonts w:ascii="Arial" w:cs="Arial" w:eastAsia="Arial" w:hAnsi="Arial"/>
                <w:sz w:val="14"/>
                <w:szCs w:val="14"/>
                <w:b w:val="1"/>
                <w:bCs w:val="1"/>
                <w:color w:val="auto"/>
              </w:rPr>
              <w:t>Number of Loans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tcPr>
          <w:p>
            <w:pPr>
              <w:jc w:val="right"/>
              <w:ind w:right="889"/>
              <w:spacing w:after="0"/>
              <w:rPr>
                <w:sz w:val="20"/>
                <w:szCs w:val="20"/>
                <w:color w:val="auto"/>
              </w:rPr>
            </w:pPr>
            <w:r>
              <w:rPr>
                <w:rFonts w:ascii="Arial" w:cs="Arial" w:eastAsia="Arial" w:hAnsi="Arial"/>
                <w:sz w:val="14"/>
                <w:szCs w:val="14"/>
                <w:b w:val="1"/>
                <w:bCs w:val="1"/>
                <w:color w:val="auto"/>
              </w:rPr>
              <w:t>Value of Loans</w:t>
            </w:r>
          </w:p>
        </w:tc>
      </w:tr>
      <w:tr>
        <w:trPr>
          <w:trHeight w:val="22"/>
        </w:trPr>
        <w:tc>
          <w:tcPr>
            <w:tcW w:w="51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67"/>
        </w:trPr>
        <w:tc>
          <w:tcPr>
            <w:tcW w:w="5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60" w:type="dxa"/>
            <w:vAlign w:val="bottom"/>
            <w:gridSpan w:val="3"/>
          </w:tcPr>
          <w:p>
            <w:pPr>
              <w:jc w:val="right"/>
              <w:ind w:right="209"/>
              <w:spacing w:after="0"/>
              <w:rPr>
                <w:sz w:val="20"/>
                <w:szCs w:val="20"/>
                <w:color w:val="auto"/>
              </w:rPr>
            </w:pPr>
            <w:r>
              <w:rPr>
                <w:rFonts w:ascii="Arial" w:cs="Arial" w:eastAsia="Arial" w:hAnsi="Arial"/>
                <w:sz w:val="13"/>
                <w:szCs w:val="13"/>
                <w:i w:val="1"/>
                <w:iCs w:val="1"/>
                <w:color w:val="auto"/>
              </w:rPr>
              <w:t>(Dollars in thousands)</w:t>
            </w:r>
          </w:p>
        </w:tc>
        <w:tc>
          <w:tcPr>
            <w:tcW w:w="214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2"/>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213</w:t>
            </w: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388,295</w:t>
            </w:r>
          </w:p>
        </w:tc>
      </w:tr>
      <w:tr>
        <w:trPr>
          <w:trHeight w:val="191"/>
        </w:trPr>
        <w:tc>
          <w:tcPr>
            <w:tcW w:w="7340" w:type="dxa"/>
            <w:vAlign w:val="bottom"/>
            <w:gridSpan w:val="2"/>
          </w:tcPr>
          <w:p>
            <w:pPr>
              <w:spacing w:after="0"/>
              <w:rPr>
                <w:sz w:val="20"/>
                <w:szCs w:val="20"/>
                <w:color w:val="auto"/>
              </w:rPr>
            </w:pPr>
            <w:r>
              <w:rPr>
                <w:rFonts w:ascii="Arial" w:cs="Arial" w:eastAsia="Arial" w:hAnsi="Arial"/>
                <w:sz w:val="14"/>
                <w:szCs w:val="14"/>
                <w:color w:val="auto"/>
              </w:rPr>
              <w:t>Energy</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tcPr>
          <w:p>
            <w:pPr>
              <w:jc w:val="right"/>
              <w:ind w:right="69"/>
              <w:spacing w:after="0"/>
              <w:rPr>
                <w:sz w:val="20"/>
                <w:szCs w:val="20"/>
                <w:color w:val="auto"/>
              </w:rPr>
            </w:pPr>
            <w:r>
              <w:rPr>
                <w:rFonts w:ascii="Arial" w:cs="Arial" w:eastAsia="Arial" w:hAnsi="Arial"/>
                <w:sz w:val="14"/>
                <w:szCs w:val="14"/>
                <w:color w:val="auto"/>
              </w:rPr>
              <w:t>648</w:t>
            </w:r>
          </w:p>
        </w:tc>
      </w:tr>
      <w:tr>
        <w:trPr>
          <w:trHeight w:val="22"/>
        </w:trPr>
        <w:tc>
          <w:tcPr>
            <w:tcW w:w="5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123</w:t>
            </w: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396,867</w:t>
            </w:r>
          </w:p>
        </w:tc>
      </w:tr>
      <w:tr>
        <w:trPr>
          <w:trHeight w:val="191"/>
        </w:trPr>
        <w:tc>
          <w:tcPr>
            <w:tcW w:w="7340" w:type="dxa"/>
            <w:vAlign w:val="bottom"/>
            <w:gridSpan w:val="2"/>
          </w:tcPr>
          <w:p>
            <w:pPr>
              <w:spacing w:after="0"/>
              <w:rPr>
                <w:sz w:val="20"/>
                <w:szCs w:val="20"/>
                <w:color w:val="auto"/>
              </w:rPr>
            </w:pPr>
            <w:r>
              <w:rPr>
                <w:rFonts w:ascii="Arial" w:cs="Arial" w:eastAsia="Arial" w:hAnsi="Arial"/>
                <w:sz w:val="14"/>
                <w:szCs w:val="14"/>
                <w:color w:val="auto"/>
              </w:rPr>
              <w:t>Construction and land development</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tcPr>
          <w:p>
            <w:pPr>
              <w:jc w:val="right"/>
              <w:ind w:right="69"/>
              <w:spacing w:after="0"/>
              <w:rPr>
                <w:sz w:val="20"/>
                <w:szCs w:val="20"/>
                <w:color w:val="auto"/>
              </w:rPr>
            </w:pPr>
            <w:r>
              <w:rPr>
                <w:rFonts w:ascii="Arial" w:cs="Arial" w:eastAsia="Arial" w:hAnsi="Arial"/>
                <w:sz w:val="14"/>
                <w:szCs w:val="14"/>
                <w:color w:val="auto"/>
              </w:rPr>
              <w:t>32,088</w:t>
            </w:r>
          </w:p>
        </w:tc>
      </w:tr>
      <w:tr>
        <w:trPr>
          <w:trHeight w:val="22"/>
        </w:trPr>
        <w:tc>
          <w:tcPr>
            <w:tcW w:w="5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29,695</w:t>
            </w:r>
          </w:p>
        </w:tc>
      </w:tr>
      <w:tr>
        <w:trPr>
          <w:trHeight w:val="191"/>
        </w:trPr>
        <w:tc>
          <w:tcPr>
            <w:tcW w:w="734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10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214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51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365</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2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847,593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40" w:right="80" w:firstLine="382"/>
        <w:spacing w:after="0" w:line="262" w:lineRule="auto"/>
        <w:rPr>
          <w:sz w:val="20"/>
          <w:szCs w:val="20"/>
          <w:color w:val="auto"/>
        </w:rPr>
      </w:pPr>
      <w:r>
        <w:rPr>
          <w:rFonts w:ascii="Arial" w:cs="Arial" w:eastAsia="Arial" w:hAnsi="Arial"/>
          <w:sz w:val="14"/>
          <w:szCs w:val="14"/>
          <w:color w:val="auto"/>
        </w:rPr>
        <w:t>The Company’s first quarter 2020 credit quality metrics provided in the selected financial data and discussed in detail within the allowance for loan loss and nonperforming assets sections below were primarily driven by the economic environment prior to the COVID-19 impact. The Company is working with all its borrowers to understand the long term effects of COVID-19 and its impact to future credit quality metrics. At this time, the extent and duration of the impact of COVID-19 are unknown and therefore the Company is unable to quantify the ultimate impact at this time.</w:t>
      </w:r>
    </w:p>
    <w:p>
      <w:pPr>
        <w:spacing w:after="0" w:line="103" w:lineRule="exact"/>
        <w:rPr>
          <w:sz w:val="20"/>
          <w:szCs w:val="20"/>
          <w:color w:val="auto"/>
        </w:rPr>
      </w:pPr>
    </w:p>
    <w:p>
      <w:pPr>
        <w:ind w:left="140" w:right="100" w:firstLine="382"/>
        <w:spacing w:after="0" w:line="267" w:lineRule="auto"/>
        <w:rPr>
          <w:sz w:val="20"/>
          <w:szCs w:val="20"/>
          <w:color w:val="auto"/>
        </w:rPr>
      </w:pPr>
      <w:r>
        <w:rPr>
          <w:rFonts w:ascii="Arial" w:cs="Arial" w:eastAsia="Arial" w:hAnsi="Arial"/>
          <w:sz w:val="14"/>
          <w:szCs w:val="14"/>
          <w:color w:val="auto"/>
        </w:rPr>
        <w:t>As of March 31, 2020, the Company did not identify any specific borrowers that were directly impacted by COVID-19. As a result, the Company used qualitative factor adjustments to the ALLL model to account for the unknown impact of COVID-19 on the loan portfolio. Additional discussion regarding changes during the quarter to the ALLL is provided in the allowance for loan loss section below. A waterfall graph showing the changes in our ALLL between December 31, 2019 and March 31, 2020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69850</wp:posOffset>
            </wp:positionV>
            <wp:extent cx="4998720" cy="2459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8720" cy="245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2019 and March 31, 2020, the Company allocated the ALLL to our loan portfolio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93345</wp:posOffset>
            </wp:positionV>
            <wp:extent cx="4998720" cy="24930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8720" cy="249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 Portfolio</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a result of COVID-19, the Company plans to do the following:</w:t>
      </w:r>
    </w:p>
    <w:p>
      <w:pPr>
        <w:spacing w:after="0" w:line="136" w:lineRule="exact"/>
        <w:rPr>
          <w:sz w:val="20"/>
          <w:szCs w:val="20"/>
          <w:color w:val="auto"/>
        </w:rPr>
      </w:pPr>
    </w:p>
    <w:p>
      <w:pPr>
        <w:ind w:left="1020" w:hanging="506"/>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Slow overall loan growth to focus on current customers;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Implement floors on loans; and</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Monitor unfunded credit lines.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Energy Portfolio</w:t>
      </w:r>
    </w:p>
    <w:p>
      <w:pPr>
        <w:spacing w:after="0" w:line="136" w:lineRule="exact"/>
        <w:rPr>
          <w:sz w:val="20"/>
          <w:szCs w:val="20"/>
          <w:color w:val="auto"/>
        </w:rPr>
      </w:pPr>
    </w:p>
    <w:p>
      <w:pPr>
        <w:ind w:left="140" w:right="20" w:firstLine="382"/>
        <w:spacing w:after="0" w:line="267" w:lineRule="auto"/>
        <w:rPr>
          <w:sz w:val="20"/>
          <w:szCs w:val="20"/>
          <w:color w:val="auto"/>
        </w:rPr>
      </w:pPr>
      <w:r>
        <w:rPr>
          <w:rFonts w:ascii="Arial" w:cs="Arial" w:eastAsia="Arial" w:hAnsi="Arial"/>
          <w:sz w:val="14"/>
          <w:szCs w:val="14"/>
          <w:color w:val="auto"/>
        </w:rPr>
        <w:t>As of March 31, 2020, the Company’s energy portfolio was $399 million, representing 10% of our loan portfolio. The portfolio is comprised of approximately 65% predominately oil backed loans and 35% predominately natural gas backed loans. Our customer base has significant experience in the energy sector and the Company has an experienced group of energy lenders and credit officers that are proactively monitoring the portfolio.</w:t>
      </w:r>
    </w:p>
    <w:p>
      <w:pPr>
        <w:spacing w:after="0" w:line="99" w:lineRule="exact"/>
        <w:rPr>
          <w:sz w:val="20"/>
          <w:szCs w:val="20"/>
          <w:color w:val="auto"/>
        </w:rPr>
      </w:pPr>
    </w:p>
    <w:p>
      <w:pPr>
        <w:ind w:left="140" w:right="280" w:firstLine="382"/>
        <w:spacing w:after="0" w:line="281" w:lineRule="auto"/>
        <w:rPr>
          <w:sz w:val="20"/>
          <w:szCs w:val="20"/>
          <w:color w:val="auto"/>
        </w:rPr>
      </w:pPr>
      <w:r>
        <w:rPr>
          <w:rFonts w:ascii="Arial" w:cs="Arial" w:eastAsia="Arial" w:hAnsi="Arial"/>
          <w:sz w:val="14"/>
          <w:szCs w:val="14"/>
          <w:color w:val="auto"/>
        </w:rPr>
        <w:t>The Company increased the ALLL as a percentage of gross loans by 30 basis points between December 31, 2019 and March 31, 2020. The Company believes a 1.9% reserve against the energy portfolio is reasonable as of March 31, 2020 based on the following factors:</w:t>
      </w:r>
    </w:p>
    <w:p>
      <w:pPr>
        <w:spacing w:after="0" w:line="90" w:lineRule="exact"/>
        <w:rPr>
          <w:sz w:val="20"/>
          <w:szCs w:val="20"/>
          <w:color w:val="auto"/>
        </w:rPr>
      </w:pPr>
    </w:p>
    <w:p>
      <w:pPr>
        <w:ind w:left="1020" w:hanging="506"/>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Portfolio mix between oil and natural gas;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Advance rates on loans are based on proven, developed producing collateral only;</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oil or natural gas field service exposure;</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Hedges in place for a significant amount of anticipated production;</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Energy portfolio’s credit grade distribution as of March 31, 2020; and</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Favorable historical loss rates in the energy portfolio.</w:t>
      </w:r>
    </w:p>
    <w:p>
      <w:pPr>
        <w:spacing w:after="0" w:line="136" w:lineRule="exact"/>
        <w:rPr>
          <w:sz w:val="20"/>
          <w:szCs w:val="20"/>
          <w:color w:val="auto"/>
        </w:rPr>
      </w:pPr>
    </w:p>
    <w:p>
      <w:pPr>
        <w:ind w:left="140" w:firstLine="382"/>
        <w:spacing w:after="0" w:line="262" w:lineRule="auto"/>
        <w:rPr>
          <w:sz w:val="20"/>
          <w:szCs w:val="20"/>
          <w:color w:val="auto"/>
        </w:rPr>
      </w:pPr>
      <w:r>
        <w:rPr>
          <w:rFonts w:ascii="Arial" w:cs="Arial" w:eastAsia="Arial" w:hAnsi="Arial"/>
          <w:sz w:val="14"/>
          <w:szCs w:val="14"/>
          <w:color w:val="auto"/>
        </w:rPr>
        <w:t>While we believe our reserve against the energy portfolio is reasonable, at March 31, 2020, the dramatic decrease in demand for oil and natural gas created by the COVID-19 pandemic put considerable pricing volatility and uncertainty in the market. Depressed prices may strain our customer’s cash flows, lower their liquidity, and decrease property values that could create negative grade migration over the next several quarters. The length of the COVID-19 pandemic disruption and the pace of economic recovery will determine the severity of the grade migration and potential loss impact within the energy portfolio.</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Real Estate Portfolio</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real estate portfolio is comprised of construction and development loans, 1-4 family loans and commercial real estate loans. There is significant uncertainty regarding the impact</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COVID-19 will have on our real estate portfolio, but we identified the following industries that received an increase in monitoring:</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Real Estate Industries with Increased Monitoring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22860</wp:posOffset>
            </wp:positionV>
            <wp:extent cx="708088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0885" cy="6985"/>
                    </a:xfrm>
                    <a:prstGeom prst="rect">
                      <a:avLst/>
                    </a:prstGeom>
                    <a:noFill/>
                  </pic:spPr>
                </pic:pic>
              </a:graphicData>
            </a:graphic>
          </wp:anchor>
        </w:drawing>
      </w:r>
    </w:p>
    <w:p>
      <w:pPr>
        <w:spacing w:after="0" w:line="3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Arial" w:cs="Arial" w:eastAsia="Arial" w:hAnsi="Arial"/>
                <w:sz w:val="14"/>
                <w:szCs w:val="14"/>
                <w:b w:val="1"/>
                <w:bCs w:val="1"/>
                <w:color w:val="auto"/>
              </w:rPr>
              <w:t>Industry</w:t>
            </w:r>
          </w:p>
        </w:tc>
        <w:tc>
          <w:tcPr>
            <w:tcW w:w="4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Pr>
          <w:p>
            <w:pPr>
              <w:jc w:val="right"/>
              <w:ind w:right="1390"/>
              <w:spacing w:after="0"/>
              <w:rPr>
                <w:sz w:val="20"/>
                <w:szCs w:val="20"/>
                <w:color w:val="auto"/>
              </w:rPr>
            </w:pPr>
            <w:r>
              <w:rPr>
                <w:rFonts w:ascii="Arial" w:cs="Arial" w:eastAsia="Arial" w:hAnsi="Arial"/>
                <w:sz w:val="14"/>
                <w:szCs w:val="14"/>
                <w:b w:val="1"/>
                <w:bCs w:val="1"/>
                <w:color w:val="auto"/>
              </w:rPr>
              <w:t>Outstanding Balance</w:t>
            </w:r>
          </w:p>
        </w:tc>
        <w:tc>
          <w:tcPr>
            <w:tcW w:w="2040" w:type="dxa"/>
            <w:vAlign w:val="bottom"/>
          </w:tcPr>
          <w:p>
            <w:pPr>
              <w:jc w:val="right"/>
              <w:ind w:right="489"/>
              <w:spacing w:after="0"/>
              <w:rPr>
                <w:sz w:val="20"/>
                <w:szCs w:val="20"/>
                <w:color w:val="auto"/>
              </w:rPr>
            </w:pPr>
            <w:r>
              <w:rPr>
                <w:rFonts w:ascii="Arial" w:cs="Arial" w:eastAsia="Arial" w:hAnsi="Arial"/>
                <w:sz w:val="14"/>
                <w:szCs w:val="14"/>
                <w:b w:val="1"/>
                <w:bCs w:val="1"/>
                <w:color w:val="auto"/>
                <w:w w:val="92"/>
              </w:rPr>
              <w:t>Percent of Gross Loans</w:t>
            </w:r>
          </w:p>
        </w:tc>
        <w:tc>
          <w:tcPr>
            <w:tcW w:w="160" w:type="dxa"/>
            <w:vAlign w:val="bottom"/>
          </w:tcPr>
          <w:p>
            <w:pPr>
              <w:spacing w:after="0"/>
              <w:rPr>
                <w:sz w:val="16"/>
                <w:szCs w:val="16"/>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7"/>
        </w:trPr>
        <w:tc>
          <w:tcPr>
            <w:tcW w:w="8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8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Retail</w:t>
            </w:r>
          </w:p>
        </w:tc>
        <w:tc>
          <w:tcPr>
            <w:tcW w:w="5020" w:type="dxa"/>
            <w:vAlign w:val="bottom"/>
            <w:tcBorders>
              <w:bottom w:val="single" w:sz="8" w:color="CCEEFF"/>
            </w:tcBorders>
            <w:gridSpan w:val="3"/>
            <w:shd w:val="clear" w:color="auto" w:fill="CCEEFF"/>
          </w:tcPr>
          <w:p>
            <w:pPr>
              <w:ind w:left="4620"/>
              <w:spacing w:after="0"/>
              <w:rPr>
                <w:sz w:val="20"/>
                <w:szCs w:val="20"/>
                <w:color w:val="auto"/>
              </w:rPr>
            </w:pPr>
            <w:r>
              <w:rPr>
                <w:rFonts w:ascii="Arial" w:cs="Arial" w:eastAsia="Arial" w:hAnsi="Arial"/>
                <w:sz w:val="14"/>
                <w:szCs w:val="14"/>
                <w:color w:val="auto"/>
              </w:rPr>
              <w:t>$</w:t>
            </w:r>
          </w:p>
        </w:tc>
        <w:tc>
          <w:tcPr>
            <w:tcW w:w="30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4"/>
                <w:szCs w:val="14"/>
                <w:color w:val="auto"/>
              </w:rPr>
              <w:t>204,561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1"/>
        </w:trPr>
        <w:tc>
          <w:tcPr>
            <w:tcW w:w="5860" w:type="dxa"/>
            <w:vAlign w:val="bottom"/>
            <w:gridSpan w:val="4"/>
          </w:tcPr>
          <w:p>
            <w:pPr>
              <w:spacing w:after="0"/>
              <w:rPr>
                <w:sz w:val="20"/>
                <w:szCs w:val="20"/>
                <w:color w:val="auto"/>
              </w:rPr>
            </w:pPr>
            <w:r>
              <w:rPr>
                <w:rFonts w:ascii="Arial" w:cs="Arial" w:eastAsia="Arial" w:hAnsi="Arial"/>
                <w:sz w:val="14"/>
                <w:szCs w:val="14"/>
                <w:color w:val="auto"/>
              </w:rPr>
              <w:t>Hotel and Lodging</w:t>
            </w:r>
          </w:p>
        </w:tc>
        <w:tc>
          <w:tcPr>
            <w:tcW w:w="3080" w:type="dxa"/>
            <w:vAlign w:val="bottom"/>
          </w:tcPr>
          <w:p>
            <w:pPr>
              <w:jc w:val="right"/>
              <w:ind w:right="770"/>
              <w:spacing w:after="0"/>
              <w:rPr>
                <w:sz w:val="20"/>
                <w:szCs w:val="20"/>
                <w:color w:val="auto"/>
              </w:rPr>
            </w:pPr>
            <w:r>
              <w:rPr>
                <w:rFonts w:ascii="Arial" w:cs="Arial" w:eastAsia="Arial" w:hAnsi="Arial"/>
                <w:sz w:val="14"/>
                <w:szCs w:val="14"/>
                <w:color w:val="auto"/>
              </w:rPr>
              <w:t>163,947</w:t>
            </w:r>
          </w:p>
        </w:tc>
        <w:tc>
          <w:tcPr>
            <w:tcW w:w="2040" w:type="dxa"/>
            <w:vAlign w:val="bottom"/>
          </w:tcPr>
          <w:p>
            <w:pPr>
              <w:jc w:val="right"/>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6"/>
                <w:szCs w:val="16"/>
                <w:color w:val="auto"/>
              </w:rPr>
            </w:pPr>
          </w:p>
        </w:tc>
      </w:tr>
      <w:tr>
        <w:trPr>
          <w:trHeight w:val="22"/>
        </w:trPr>
        <w:tc>
          <w:tcPr>
            <w:tcW w:w="8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Medical</w:t>
            </w:r>
          </w:p>
        </w:tc>
        <w:tc>
          <w:tcPr>
            <w:tcW w:w="4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0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4"/>
                <w:szCs w:val="14"/>
                <w:color w:val="auto"/>
              </w:rPr>
              <w:t>51,131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840" w:type="dxa"/>
            <w:vAlign w:val="bottom"/>
          </w:tcPr>
          <w:p>
            <w:pPr>
              <w:spacing w:after="0"/>
              <w:rPr>
                <w:sz w:val="20"/>
                <w:szCs w:val="20"/>
                <w:color w:val="auto"/>
              </w:rPr>
            </w:pPr>
            <w:r>
              <w:rPr>
                <w:rFonts w:ascii="Arial" w:cs="Arial" w:eastAsia="Arial" w:hAnsi="Arial"/>
                <w:sz w:val="14"/>
                <w:szCs w:val="14"/>
                <w:color w:val="auto"/>
              </w:rPr>
              <w:t>Senior Living</w:t>
            </w:r>
          </w:p>
        </w:tc>
        <w:tc>
          <w:tcPr>
            <w:tcW w:w="4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Pr>
          <w:p>
            <w:pPr>
              <w:jc w:val="right"/>
              <w:ind w:right="770"/>
              <w:spacing w:after="0"/>
              <w:rPr>
                <w:sz w:val="20"/>
                <w:szCs w:val="20"/>
                <w:color w:val="auto"/>
              </w:rPr>
            </w:pPr>
            <w:r>
              <w:rPr>
                <w:rFonts w:ascii="Arial" w:cs="Arial" w:eastAsia="Arial" w:hAnsi="Arial"/>
                <w:sz w:val="14"/>
                <w:szCs w:val="14"/>
                <w:color w:val="auto"/>
              </w:rPr>
              <w:t>81,879</w:t>
            </w:r>
          </w:p>
        </w:tc>
        <w:tc>
          <w:tcPr>
            <w:tcW w:w="204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6"/>
                <w:szCs w:val="16"/>
                <w:color w:val="auto"/>
              </w:rPr>
            </w:pPr>
          </w:p>
        </w:tc>
      </w:tr>
      <w:tr>
        <w:trPr>
          <w:trHeight w:val="22"/>
        </w:trPr>
        <w:tc>
          <w:tcPr>
            <w:tcW w:w="8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Restaurants</w:t>
            </w:r>
          </w:p>
        </w:tc>
        <w:tc>
          <w:tcPr>
            <w:tcW w:w="5020" w:type="dxa"/>
            <w:vAlign w:val="bottom"/>
            <w:tcBorders>
              <w:bottom w:val="single" w:sz="8" w:color="CCEEFF"/>
            </w:tcBorders>
            <w:gridSpan w:val="3"/>
            <w:shd w:val="clear" w:color="auto" w:fill="CCEEFF"/>
          </w:tcPr>
          <w:p>
            <w:pPr>
              <w:ind w:left="4620"/>
              <w:spacing w:after="0"/>
              <w:rPr>
                <w:sz w:val="20"/>
                <w:szCs w:val="20"/>
                <w:color w:val="auto"/>
              </w:rPr>
            </w:pPr>
            <w:r>
              <w:rPr>
                <w:rFonts w:ascii="Arial" w:cs="Arial" w:eastAsia="Arial" w:hAnsi="Arial"/>
                <w:sz w:val="14"/>
                <w:szCs w:val="14"/>
                <w:color w:val="auto"/>
              </w:rPr>
              <w:t>$</w:t>
            </w:r>
          </w:p>
        </w:tc>
        <w:tc>
          <w:tcPr>
            <w:tcW w:w="30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4"/>
                <w:szCs w:val="14"/>
                <w:color w:val="auto"/>
              </w:rPr>
              <w:t>15,047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97"/>
        </w:trPr>
        <w:tc>
          <w:tcPr>
            <w:tcW w:w="5860" w:type="dxa"/>
            <w:vAlign w:val="bottom"/>
            <w:gridSpan w:val="4"/>
          </w:tcPr>
          <w:p>
            <w:pPr>
              <w:ind w:left="380"/>
              <w:spacing w:after="0"/>
              <w:rPr>
                <w:sz w:val="20"/>
                <w:szCs w:val="20"/>
                <w:color w:val="auto"/>
              </w:rPr>
            </w:pPr>
            <w:r>
              <w:rPr>
                <w:rFonts w:ascii="Arial" w:cs="Arial" w:eastAsia="Arial" w:hAnsi="Arial"/>
                <w:sz w:val="14"/>
                <w:szCs w:val="14"/>
                <w:color w:val="auto"/>
              </w:rPr>
              <w:t>These industries were identified based on the following changed economic conditions:</w:t>
            </w:r>
          </w:p>
        </w:tc>
        <w:tc>
          <w:tcPr>
            <w:tcW w:w="3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7"/>
        </w:trPr>
        <w:tc>
          <w:tcPr>
            <w:tcW w:w="840" w:type="dxa"/>
            <w:vAlign w:val="bottom"/>
          </w:tcPr>
          <w:p>
            <w:pPr>
              <w:ind w:left="380"/>
              <w:spacing w:after="0"/>
              <w:rPr>
                <w:sz w:val="20"/>
                <w:szCs w:val="20"/>
                <w:color w:val="auto"/>
              </w:rPr>
            </w:pPr>
            <w:r>
              <w:rPr>
                <w:rFonts w:ascii="Arial" w:cs="Arial" w:eastAsia="Arial" w:hAnsi="Arial"/>
                <w:sz w:val="14"/>
                <w:szCs w:val="14"/>
                <w:color w:val="auto"/>
              </w:rPr>
              <w:t>•</w:t>
            </w:r>
          </w:p>
        </w:tc>
        <w:tc>
          <w:tcPr>
            <w:tcW w:w="5020" w:type="dxa"/>
            <w:vAlign w:val="bottom"/>
            <w:gridSpan w:val="3"/>
          </w:tcPr>
          <w:p>
            <w:pPr>
              <w:ind w:left="40"/>
              <w:spacing w:after="0"/>
              <w:rPr>
                <w:sz w:val="20"/>
                <w:szCs w:val="20"/>
                <w:color w:val="auto"/>
              </w:rPr>
            </w:pPr>
            <w:r>
              <w:rPr>
                <w:rFonts w:ascii="Arial" w:cs="Arial" w:eastAsia="Arial" w:hAnsi="Arial"/>
                <w:sz w:val="14"/>
                <w:szCs w:val="14"/>
                <w:color w:val="auto"/>
              </w:rPr>
              <w:t>Implementation of travel restrictions;</w:t>
            </w:r>
          </w:p>
        </w:tc>
        <w:tc>
          <w:tcPr>
            <w:tcW w:w="3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5"/>
        </w:trPr>
        <w:tc>
          <w:tcPr>
            <w:tcW w:w="840" w:type="dxa"/>
            <w:vAlign w:val="bottom"/>
          </w:tcPr>
          <w:p>
            <w:pPr>
              <w:ind w:left="380"/>
              <w:spacing w:after="0"/>
              <w:rPr>
                <w:sz w:val="20"/>
                <w:szCs w:val="20"/>
                <w:color w:val="auto"/>
              </w:rPr>
            </w:pPr>
            <w:r>
              <w:rPr>
                <w:rFonts w:ascii="Arial" w:cs="Arial" w:eastAsia="Arial" w:hAnsi="Arial"/>
                <w:sz w:val="14"/>
                <w:szCs w:val="14"/>
                <w:color w:val="auto"/>
              </w:rPr>
              <w:t>•</w:t>
            </w:r>
          </w:p>
        </w:tc>
        <w:tc>
          <w:tcPr>
            <w:tcW w:w="5020" w:type="dxa"/>
            <w:vAlign w:val="bottom"/>
            <w:gridSpan w:val="3"/>
          </w:tcPr>
          <w:p>
            <w:pPr>
              <w:ind w:left="40"/>
              <w:spacing w:after="0"/>
              <w:rPr>
                <w:sz w:val="20"/>
                <w:szCs w:val="20"/>
                <w:color w:val="auto"/>
              </w:rPr>
            </w:pPr>
            <w:r>
              <w:rPr>
                <w:rFonts w:ascii="Arial" w:cs="Arial" w:eastAsia="Arial" w:hAnsi="Arial"/>
                <w:sz w:val="14"/>
                <w:szCs w:val="14"/>
                <w:color w:val="auto"/>
              </w:rPr>
              <w:t>Cancellation of events and large gatherings;</w:t>
            </w:r>
          </w:p>
        </w:tc>
        <w:tc>
          <w:tcPr>
            <w:tcW w:w="30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5"/>
        </w:trPr>
        <w:tc>
          <w:tcPr>
            <w:tcW w:w="840" w:type="dxa"/>
            <w:vAlign w:val="bottom"/>
          </w:tcPr>
          <w:p>
            <w:pPr>
              <w:ind w:left="380"/>
              <w:spacing w:after="0"/>
              <w:rPr>
                <w:sz w:val="20"/>
                <w:szCs w:val="20"/>
                <w:color w:val="auto"/>
              </w:rPr>
            </w:pPr>
            <w:r>
              <w:rPr>
                <w:rFonts w:ascii="Arial" w:cs="Arial" w:eastAsia="Arial" w:hAnsi="Arial"/>
                <w:sz w:val="14"/>
                <w:szCs w:val="14"/>
                <w:color w:val="auto"/>
              </w:rPr>
              <w:t>•</w:t>
            </w:r>
          </w:p>
        </w:tc>
        <w:tc>
          <w:tcPr>
            <w:tcW w:w="5020" w:type="dxa"/>
            <w:vAlign w:val="bottom"/>
            <w:gridSpan w:val="3"/>
          </w:tcPr>
          <w:p>
            <w:pPr>
              <w:ind w:left="40"/>
              <w:spacing w:after="0"/>
              <w:rPr>
                <w:sz w:val="20"/>
                <w:szCs w:val="20"/>
                <w:color w:val="auto"/>
              </w:rPr>
            </w:pPr>
            <w:r>
              <w:rPr>
                <w:rFonts w:ascii="Arial" w:cs="Arial" w:eastAsia="Arial" w:hAnsi="Arial"/>
                <w:sz w:val="14"/>
                <w:szCs w:val="14"/>
                <w:color w:val="auto"/>
              </w:rPr>
              <w:t>Reduction in demand for senior living housing; and</w:t>
            </w:r>
          </w:p>
        </w:tc>
        <w:tc>
          <w:tcPr>
            <w:tcW w:w="30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5"/>
        </w:trPr>
        <w:tc>
          <w:tcPr>
            <w:tcW w:w="840" w:type="dxa"/>
            <w:vAlign w:val="bottom"/>
          </w:tcPr>
          <w:p>
            <w:pPr>
              <w:ind w:left="380"/>
              <w:spacing w:after="0"/>
              <w:rPr>
                <w:sz w:val="20"/>
                <w:szCs w:val="20"/>
                <w:color w:val="auto"/>
              </w:rPr>
            </w:pPr>
            <w:r>
              <w:rPr>
                <w:rFonts w:ascii="Arial" w:cs="Arial" w:eastAsia="Arial" w:hAnsi="Arial"/>
                <w:sz w:val="14"/>
                <w:szCs w:val="14"/>
                <w:color w:val="auto"/>
              </w:rPr>
              <w:t>•</w:t>
            </w:r>
          </w:p>
        </w:tc>
        <w:tc>
          <w:tcPr>
            <w:tcW w:w="5020" w:type="dxa"/>
            <w:vAlign w:val="bottom"/>
            <w:gridSpan w:val="3"/>
          </w:tcPr>
          <w:p>
            <w:pPr>
              <w:ind w:left="40"/>
              <w:spacing w:after="0"/>
              <w:rPr>
                <w:sz w:val="20"/>
                <w:szCs w:val="20"/>
                <w:color w:val="auto"/>
              </w:rPr>
            </w:pPr>
            <w:r>
              <w:rPr>
                <w:rFonts w:ascii="Arial" w:cs="Arial" w:eastAsia="Arial" w:hAnsi="Arial"/>
                <w:sz w:val="14"/>
                <w:szCs w:val="14"/>
                <w:color w:val="auto"/>
              </w:rPr>
              <w:t>Furlough of workers and increase in unemployment numbers.</w:t>
            </w:r>
          </w:p>
        </w:tc>
        <w:tc>
          <w:tcPr>
            <w:tcW w:w="30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117" w:lineRule="exact"/>
        <w:rPr>
          <w:sz w:val="20"/>
          <w:szCs w:val="20"/>
          <w:color w:val="auto"/>
        </w:rPr>
      </w:pPr>
    </w:p>
    <w:p>
      <w:pPr>
        <w:ind w:left="140" w:right="520" w:firstLine="382"/>
        <w:spacing w:after="0" w:line="281" w:lineRule="auto"/>
        <w:rPr>
          <w:sz w:val="20"/>
          <w:szCs w:val="20"/>
          <w:color w:val="auto"/>
        </w:rPr>
      </w:pPr>
      <w:r>
        <w:rPr>
          <w:rFonts w:ascii="Arial" w:cs="Arial" w:eastAsia="Arial" w:hAnsi="Arial"/>
          <w:sz w:val="14"/>
          <w:szCs w:val="14"/>
          <w:color w:val="auto"/>
        </w:rPr>
        <w:t>The Bank is working with business owners in these industries by deferring loan payments and providing funding through the PPP. The Company anticipates grade migration in these industries during the second quarter of 2020 that may increase the second quarter provision for loan losses.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Commercial Portfolio</w:t>
      </w:r>
    </w:p>
    <w:p>
      <w:pPr>
        <w:spacing w:after="0" w:line="136" w:lineRule="exact"/>
        <w:rPr>
          <w:sz w:val="20"/>
          <w:szCs w:val="20"/>
          <w:color w:val="auto"/>
        </w:rPr>
      </w:pPr>
    </w:p>
    <w:p>
      <w:pPr>
        <w:ind w:left="140" w:right="40" w:firstLine="382"/>
        <w:spacing w:after="0" w:line="321" w:lineRule="auto"/>
        <w:rPr>
          <w:sz w:val="20"/>
          <w:szCs w:val="20"/>
          <w:color w:val="auto"/>
        </w:rPr>
      </w:pPr>
      <w:r>
        <w:rPr>
          <w:rFonts w:ascii="Arial" w:cs="Arial" w:eastAsia="Arial" w:hAnsi="Arial"/>
          <w:sz w:val="13"/>
          <w:szCs w:val="13"/>
          <w:color w:val="auto"/>
        </w:rPr>
        <w:t>The Company provides a mix of variable-rate and fixed-rate commercial loans across various industries. We extend commercial loans on an unsecured and secured basis. There is significant uncertainty regarding the impact COVID-19 will have on our commercial portfolio as well, but we identified the following industries that received an increase in monitoring:</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Commercial Industries with Increased Monitoring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22860</wp:posOffset>
            </wp:positionV>
            <wp:extent cx="708088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0885" cy="6985"/>
                    </a:xfrm>
                    <a:prstGeom prst="rect">
                      <a:avLst/>
                    </a:prstGeom>
                    <a:noFill/>
                  </pic:spPr>
                </pic:pic>
              </a:graphicData>
            </a:graphic>
          </wp:anchor>
        </w:drawing>
      </w:r>
    </w:p>
    <w:p>
      <w:pPr>
        <w:spacing w:after="0" w:line="3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Arial" w:cs="Arial" w:eastAsia="Arial" w:hAnsi="Arial"/>
                <w:sz w:val="14"/>
                <w:szCs w:val="14"/>
                <w:b w:val="1"/>
                <w:bCs w:val="1"/>
                <w:color w:val="auto"/>
              </w:rPr>
              <w:t>Industry</w:t>
            </w:r>
          </w:p>
        </w:tc>
        <w:tc>
          <w:tcPr>
            <w:tcW w:w="4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tcPr>
          <w:p>
            <w:pPr>
              <w:ind w:left="340"/>
              <w:spacing w:after="0"/>
              <w:rPr>
                <w:sz w:val="20"/>
                <w:szCs w:val="20"/>
                <w:color w:val="auto"/>
              </w:rPr>
            </w:pPr>
            <w:r>
              <w:rPr>
                <w:rFonts w:ascii="Arial" w:cs="Arial" w:eastAsia="Arial" w:hAnsi="Arial"/>
                <w:sz w:val="14"/>
                <w:szCs w:val="14"/>
                <w:b w:val="1"/>
                <w:bCs w:val="1"/>
                <w:color w:val="auto"/>
              </w:rPr>
              <w:t>Outstanding Balance</w:t>
            </w:r>
          </w:p>
        </w:tc>
        <w:tc>
          <w:tcPr>
            <w:tcW w:w="2020" w:type="dxa"/>
            <w:vAlign w:val="bottom"/>
          </w:tcPr>
          <w:p>
            <w:pPr>
              <w:ind w:left="80"/>
              <w:spacing w:after="0"/>
              <w:rPr>
                <w:sz w:val="20"/>
                <w:szCs w:val="20"/>
                <w:color w:val="auto"/>
              </w:rPr>
            </w:pPr>
            <w:r>
              <w:rPr>
                <w:rFonts w:ascii="Arial" w:cs="Arial" w:eastAsia="Arial" w:hAnsi="Arial"/>
                <w:sz w:val="14"/>
                <w:szCs w:val="14"/>
                <w:b w:val="1"/>
                <w:bCs w:val="1"/>
                <w:color w:val="auto"/>
              </w:rPr>
              <w:t>Percent of Gross Loans</w:t>
            </w:r>
          </w:p>
        </w:tc>
        <w:tc>
          <w:tcPr>
            <w:tcW w:w="160" w:type="dxa"/>
            <w:vAlign w:val="bottom"/>
          </w:tcPr>
          <w:p>
            <w:pPr>
              <w:spacing w:after="0"/>
              <w:rPr>
                <w:sz w:val="16"/>
                <w:szCs w:val="16"/>
                <w:color w:val="auto"/>
              </w:rPr>
            </w:pPr>
          </w:p>
        </w:tc>
      </w:tr>
      <w:tr>
        <w:trPr>
          <w:trHeight w:val="22"/>
        </w:trPr>
        <w:tc>
          <w:tcPr>
            <w:tcW w:w="78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7"/>
        </w:trPr>
        <w:tc>
          <w:tcPr>
            <w:tcW w:w="7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60" w:type="dxa"/>
            <w:vAlign w:val="bottom"/>
          </w:tcPr>
          <w:p>
            <w:pPr>
              <w:ind w:left="1840"/>
              <w:spacing w:after="0"/>
              <w:rPr>
                <w:sz w:val="20"/>
                <w:szCs w:val="20"/>
                <w:color w:val="auto"/>
              </w:rPr>
            </w:pPr>
            <w:r>
              <w:rPr>
                <w:rFonts w:ascii="Arial" w:cs="Arial" w:eastAsia="Arial" w:hAnsi="Arial"/>
                <w:sz w:val="13"/>
                <w:szCs w:val="13"/>
                <w:i w:val="1"/>
                <w:iCs w:val="1"/>
                <w:color w:val="auto"/>
                <w:w w:val="94"/>
              </w:rPr>
              <w:t>(Dollars in thousands)</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7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Recreation</w:t>
            </w:r>
          </w:p>
        </w:tc>
        <w:tc>
          <w:tcPr>
            <w:tcW w:w="5120" w:type="dxa"/>
            <w:vAlign w:val="bottom"/>
            <w:tcBorders>
              <w:bottom w:val="single" w:sz="8" w:color="CCEEFF"/>
            </w:tcBorders>
            <w:gridSpan w:val="3"/>
            <w:shd w:val="clear" w:color="auto" w:fill="CCEEFF"/>
          </w:tcPr>
          <w:p>
            <w:pPr>
              <w:ind w:left="4720"/>
              <w:spacing w:after="0"/>
              <w:rPr>
                <w:sz w:val="20"/>
                <w:szCs w:val="20"/>
                <w:color w:val="auto"/>
              </w:rPr>
            </w:pPr>
            <w:r>
              <w:rPr>
                <w:rFonts w:ascii="Arial" w:cs="Arial" w:eastAsia="Arial" w:hAnsi="Arial"/>
                <w:sz w:val="14"/>
                <w:szCs w:val="14"/>
                <w:color w:val="auto"/>
              </w:rPr>
              <w:t>$</w:t>
            </w:r>
          </w:p>
        </w:tc>
        <w:tc>
          <w:tcPr>
            <w:tcW w:w="306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4"/>
                <w:szCs w:val="14"/>
                <w:color w:val="auto"/>
              </w:rPr>
              <w:t>86,474</w:t>
            </w:r>
          </w:p>
        </w:tc>
        <w:tc>
          <w:tcPr>
            <w:tcW w:w="202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4"/>
                <w:szCs w:val="14"/>
                <w:color w:val="auto"/>
                <w:w w:val="92"/>
              </w:rPr>
              <w:t>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1"/>
        </w:trPr>
        <w:tc>
          <w:tcPr>
            <w:tcW w:w="780" w:type="dxa"/>
            <w:vAlign w:val="bottom"/>
          </w:tcPr>
          <w:p>
            <w:pPr>
              <w:spacing w:after="0"/>
              <w:rPr>
                <w:sz w:val="20"/>
                <w:szCs w:val="20"/>
                <w:color w:val="auto"/>
              </w:rPr>
            </w:pPr>
            <w:r>
              <w:rPr>
                <w:rFonts w:ascii="Arial" w:cs="Arial" w:eastAsia="Arial" w:hAnsi="Arial"/>
                <w:sz w:val="14"/>
                <w:szCs w:val="14"/>
                <w:color w:val="auto"/>
              </w:rPr>
              <w:t>Restaurants</w:t>
            </w:r>
          </w:p>
        </w:tc>
        <w:tc>
          <w:tcPr>
            <w:tcW w:w="4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60" w:type="dxa"/>
            <w:vAlign w:val="bottom"/>
          </w:tcPr>
          <w:p>
            <w:pPr>
              <w:ind w:left="1820"/>
              <w:spacing w:after="0"/>
              <w:rPr>
                <w:sz w:val="20"/>
                <w:szCs w:val="20"/>
                <w:color w:val="auto"/>
              </w:rPr>
            </w:pPr>
            <w:r>
              <w:rPr>
                <w:rFonts w:ascii="Arial" w:cs="Arial" w:eastAsia="Arial" w:hAnsi="Arial"/>
                <w:sz w:val="14"/>
                <w:szCs w:val="14"/>
                <w:color w:val="auto"/>
              </w:rPr>
              <w:t>83,357</w:t>
            </w:r>
          </w:p>
        </w:tc>
        <w:tc>
          <w:tcPr>
            <w:tcW w:w="2020" w:type="dxa"/>
            <w:vAlign w:val="bottom"/>
          </w:tcPr>
          <w:p>
            <w:pPr>
              <w:ind w:left="1820"/>
              <w:spacing w:after="0"/>
              <w:rPr>
                <w:sz w:val="20"/>
                <w:szCs w:val="20"/>
                <w:color w:val="auto"/>
              </w:rPr>
            </w:pPr>
            <w:r>
              <w:rPr>
                <w:rFonts w:ascii="Arial" w:cs="Arial" w:eastAsia="Arial" w:hAnsi="Arial"/>
                <w:sz w:val="14"/>
                <w:szCs w:val="14"/>
                <w:color w:val="auto"/>
                <w:w w:val="92"/>
              </w:rPr>
              <w:t>2.1</w:t>
            </w:r>
          </w:p>
        </w:tc>
        <w:tc>
          <w:tcPr>
            <w:tcW w:w="160" w:type="dxa"/>
            <w:vAlign w:val="bottom"/>
          </w:tcPr>
          <w:p>
            <w:pPr>
              <w:spacing w:after="0"/>
              <w:rPr>
                <w:sz w:val="16"/>
                <w:szCs w:val="16"/>
                <w:color w:val="auto"/>
              </w:rPr>
            </w:pPr>
          </w:p>
        </w:tc>
      </w:tr>
      <w:tr>
        <w:trPr>
          <w:trHeight w:val="22"/>
        </w:trPr>
        <w:tc>
          <w:tcPr>
            <w:tcW w:w="5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Aircraft and Aviation</w:t>
            </w:r>
          </w:p>
        </w:tc>
        <w:tc>
          <w:tcPr>
            <w:tcW w:w="306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4"/>
                <w:szCs w:val="14"/>
                <w:color w:val="auto"/>
              </w:rPr>
              <w:t>56,998</w:t>
            </w:r>
          </w:p>
        </w:tc>
        <w:tc>
          <w:tcPr>
            <w:tcW w:w="202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4"/>
                <w:szCs w:val="14"/>
                <w:color w:val="auto"/>
                <w:w w:val="92"/>
              </w:rPr>
              <w:t>1.4</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780" w:type="dxa"/>
            <w:vAlign w:val="bottom"/>
          </w:tcPr>
          <w:p>
            <w:pPr>
              <w:spacing w:after="0"/>
              <w:rPr>
                <w:sz w:val="20"/>
                <w:szCs w:val="20"/>
                <w:color w:val="auto"/>
              </w:rPr>
            </w:pPr>
            <w:r>
              <w:rPr>
                <w:rFonts w:ascii="Arial" w:cs="Arial" w:eastAsia="Arial" w:hAnsi="Arial"/>
                <w:sz w:val="14"/>
                <w:szCs w:val="14"/>
                <w:color w:val="auto"/>
              </w:rPr>
              <w:t>Consumer</w:t>
            </w:r>
          </w:p>
        </w:tc>
        <w:tc>
          <w:tcPr>
            <w:tcW w:w="5120" w:type="dxa"/>
            <w:vAlign w:val="bottom"/>
            <w:gridSpan w:val="3"/>
          </w:tcPr>
          <w:p>
            <w:pPr>
              <w:ind w:left="4720"/>
              <w:spacing w:after="0"/>
              <w:rPr>
                <w:sz w:val="20"/>
                <w:szCs w:val="20"/>
                <w:color w:val="auto"/>
              </w:rPr>
            </w:pPr>
            <w:r>
              <w:rPr>
                <w:rFonts w:ascii="Arial" w:cs="Arial" w:eastAsia="Arial" w:hAnsi="Arial"/>
                <w:sz w:val="14"/>
                <w:szCs w:val="14"/>
                <w:color w:val="auto"/>
              </w:rPr>
              <w:t>$</w:t>
            </w:r>
          </w:p>
        </w:tc>
        <w:tc>
          <w:tcPr>
            <w:tcW w:w="3060" w:type="dxa"/>
            <w:vAlign w:val="bottom"/>
          </w:tcPr>
          <w:p>
            <w:pPr>
              <w:ind w:left="1840"/>
              <w:spacing w:after="0"/>
              <w:rPr>
                <w:sz w:val="20"/>
                <w:szCs w:val="20"/>
                <w:color w:val="auto"/>
              </w:rPr>
            </w:pPr>
            <w:r>
              <w:rPr>
                <w:rFonts w:ascii="Arial" w:cs="Arial" w:eastAsia="Arial" w:hAnsi="Arial"/>
                <w:sz w:val="14"/>
                <w:szCs w:val="14"/>
                <w:color w:val="auto"/>
              </w:rPr>
              <w:t>43,118</w:t>
            </w:r>
          </w:p>
        </w:tc>
        <w:tc>
          <w:tcPr>
            <w:tcW w:w="2180" w:type="dxa"/>
            <w:vAlign w:val="bottom"/>
            <w:gridSpan w:val="2"/>
          </w:tcPr>
          <w:p>
            <w:pPr>
              <w:ind w:left="1820"/>
              <w:spacing w:after="0"/>
              <w:rPr>
                <w:sz w:val="20"/>
                <w:szCs w:val="20"/>
                <w:color w:val="auto"/>
              </w:rPr>
            </w:pPr>
            <w:r>
              <w:rPr>
                <w:rFonts w:ascii="Arial" w:cs="Arial" w:eastAsia="Arial" w:hAnsi="Arial"/>
                <w:sz w:val="14"/>
                <w:szCs w:val="14"/>
                <w:color w:val="auto"/>
                <w:w w:val="94"/>
              </w:rPr>
              <w:t>1.1 %</w:t>
            </w:r>
          </w:p>
        </w:tc>
      </w:tr>
      <w:tr>
        <w:trPr>
          <w:trHeight w:val="318"/>
        </w:trPr>
        <w:tc>
          <w:tcPr>
            <w:tcW w:w="5900" w:type="dxa"/>
            <w:vAlign w:val="bottom"/>
            <w:gridSpan w:val="4"/>
          </w:tcPr>
          <w:p>
            <w:pPr>
              <w:ind w:left="380"/>
              <w:spacing w:after="0"/>
              <w:rPr>
                <w:sz w:val="20"/>
                <w:szCs w:val="20"/>
                <w:color w:val="auto"/>
              </w:rPr>
            </w:pPr>
            <w:r>
              <w:rPr>
                <w:rFonts w:ascii="Arial" w:cs="Arial" w:eastAsia="Arial" w:hAnsi="Arial"/>
                <w:sz w:val="14"/>
                <w:szCs w:val="14"/>
                <w:color w:val="auto"/>
              </w:rPr>
              <w:t>These industries were identified based on the following changed economic conditions:</w:t>
            </w:r>
          </w:p>
        </w:tc>
        <w:tc>
          <w:tcPr>
            <w:tcW w:w="3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7"/>
        </w:trPr>
        <w:tc>
          <w:tcPr>
            <w:tcW w:w="780" w:type="dxa"/>
            <w:vAlign w:val="bottom"/>
          </w:tcPr>
          <w:p>
            <w:pPr>
              <w:ind w:left="380"/>
              <w:spacing w:after="0"/>
              <w:rPr>
                <w:sz w:val="20"/>
                <w:szCs w:val="20"/>
                <w:color w:val="auto"/>
              </w:rPr>
            </w:pPr>
            <w:r>
              <w:rPr>
                <w:rFonts w:ascii="Arial" w:cs="Arial" w:eastAsia="Arial" w:hAnsi="Arial"/>
                <w:sz w:val="14"/>
                <w:szCs w:val="14"/>
                <w:color w:val="auto"/>
              </w:rPr>
              <w:t>•</w:t>
            </w:r>
          </w:p>
        </w:tc>
        <w:tc>
          <w:tcPr>
            <w:tcW w:w="5120" w:type="dxa"/>
            <w:vAlign w:val="bottom"/>
            <w:gridSpan w:val="3"/>
          </w:tcPr>
          <w:p>
            <w:pPr>
              <w:ind w:left="100"/>
              <w:spacing w:after="0"/>
              <w:rPr>
                <w:sz w:val="20"/>
                <w:szCs w:val="20"/>
                <w:color w:val="auto"/>
              </w:rPr>
            </w:pPr>
            <w:r>
              <w:rPr>
                <w:rFonts w:ascii="Arial" w:cs="Arial" w:eastAsia="Arial" w:hAnsi="Arial"/>
                <w:sz w:val="14"/>
                <w:szCs w:val="14"/>
                <w:color w:val="auto"/>
              </w:rPr>
              <w:t>Implementation of travel, entertainment, and restaurant restrictions;</w:t>
            </w:r>
          </w:p>
        </w:tc>
        <w:tc>
          <w:tcPr>
            <w:tcW w:w="3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5"/>
        </w:trPr>
        <w:tc>
          <w:tcPr>
            <w:tcW w:w="780" w:type="dxa"/>
            <w:vAlign w:val="bottom"/>
          </w:tcPr>
          <w:p>
            <w:pPr>
              <w:ind w:left="380"/>
              <w:spacing w:after="0"/>
              <w:rPr>
                <w:sz w:val="20"/>
                <w:szCs w:val="20"/>
                <w:color w:val="auto"/>
              </w:rPr>
            </w:pPr>
            <w:r>
              <w:rPr>
                <w:rFonts w:ascii="Arial" w:cs="Arial" w:eastAsia="Arial" w:hAnsi="Arial"/>
                <w:sz w:val="14"/>
                <w:szCs w:val="14"/>
                <w:color w:val="auto"/>
              </w:rPr>
              <w:t>•</w:t>
            </w:r>
          </w:p>
        </w:tc>
        <w:tc>
          <w:tcPr>
            <w:tcW w:w="5120" w:type="dxa"/>
            <w:vAlign w:val="bottom"/>
            <w:gridSpan w:val="3"/>
          </w:tcPr>
          <w:p>
            <w:pPr>
              <w:ind w:left="100"/>
              <w:spacing w:after="0"/>
              <w:rPr>
                <w:sz w:val="20"/>
                <w:szCs w:val="20"/>
                <w:color w:val="auto"/>
              </w:rPr>
            </w:pPr>
            <w:r>
              <w:rPr>
                <w:rFonts w:ascii="Arial" w:cs="Arial" w:eastAsia="Arial" w:hAnsi="Arial"/>
                <w:sz w:val="14"/>
                <w:szCs w:val="14"/>
                <w:color w:val="auto"/>
              </w:rPr>
              <w:t>Cancellation of events and large gatherings;</w:t>
            </w:r>
          </w:p>
        </w:tc>
        <w:tc>
          <w:tcPr>
            <w:tcW w:w="30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5"/>
        </w:trPr>
        <w:tc>
          <w:tcPr>
            <w:tcW w:w="780" w:type="dxa"/>
            <w:vAlign w:val="bottom"/>
          </w:tcPr>
          <w:p>
            <w:pPr>
              <w:ind w:left="380"/>
              <w:spacing w:after="0"/>
              <w:rPr>
                <w:sz w:val="20"/>
                <w:szCs w:val="20"/>
                <w:color w:val="auto"/>
              </w:rPr>
            </w:pPr>
            <w:r>
              <w:rPr>
                <w:rFonts w:ascii="Arial" w:cs="Arial" w:eastAsia="Arial" w:hAnsi="Arial"/>
                <w:sz w:val="14"/>
                <w:szCs w:val="14"/>
                <w:color w:val="auto"/>
              </w:rPr>
              <w:t>•</w:t>
            </w:r>
          </w:p>
        </w:tc>
        <w:tc>
          <w:tcPr>
            <w:tcW w:w="5120" w:type="dxa"/>
            <w:vAlign w:val="bottom"/>
            <w:gridSpan w:val="3"/>
          </w:tcPr>
          <w:p>
            <w:pPr>
              <w:ind w:left="100"/>
              <w:spacing w:after="0"/>
              <w:rPr>
                <w:sz w:val="20"/>
                <w:szCs w:val="20"/>
                <w:color w:val="auto"/>
              </w:rPr>
            </w:pPr>
            <w:r>
              <w:rPr>
                <w:rFonts w:ascii="Arial" w:cs="Arial" w:eastAsia="Arial" w:hAnsi="Arial"/>
                <w:sz w:val="14"/>
                <w:szCs w:val="14"/>
                <w:color w:val="auto"/>
              </w:rPr>
              <w:t>Business closures for those deemed “nonessential” by the government; and</w:t>
            </w:r>
          </w:p>
        </w:tc>
        <w:tc>
          <w:tcPr>
            <w:tcW w:w="30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5"/>
        </w:trPr>
        <w:tc>
          <w:tcPr>
            <w:tcW w:w="780" w:type="dxa"/>
            <w:vAlign w:val="bottom"/>
          </w:tcPr>
          <w:p>
            <w:pPr>
              <w:ind w:left="380"/>
              <w:spacing w:after="0"/>
              <w:rPr>
                <w:sz w:val="20"/>
                <w:szCs w:val="20"/>
                <w:color w:val="auto"/>
              </w:rPr>
            </w:pPr>
            <w:r>
              <w:rPr>
                <w:rFonts w:ascii="Arial" w:cs="Arial" w:eastAsia="Arial" w:hAnsi="Arial"/>
                <w:sz w:val="14"/>
                <w:szCs w:val="14"/>
                <w:color w:val="auto"/>
              </w:rPr>
              <w:t>•</w:t>
            </w:r>
          </w:p>
        </w:tc>
        <w:tc>
          <w:tcPr>
            <w:tcW w:w="5120" w:type="dxa"/>
            <w:vAlign w:val="bottom"/>
            <w:gridSpan w:val="3"/>
          </w:tcPr>
          <w:p>
            <w:pPr>
              <w:ind w:left="100"/>
              <w:spacing w:after="0"/>
              <w:rPr>
                <w:sz w:val="20"/>
                <w:szCs w:val="20"/>
                <w:color w:val="auto"/>
              </w:rPr>
            </w:pPr>
            <w:r>
              <w:rPr>
                <w:rFonts w:ascii="Arial" w:cs="Arial" w:eastAsia="Arial" w:hAnsi="Arial"/>
                <w:sz w:val="14"/>
                <w:szCs w:val="14"/>
                <w:color w:val="auto"/>
              </w:rPr>
              <w:t>Furlough of workers and increase in unemployment numbers</w:t>
            </w:r>
          </w:p>
        </w:tc>
        <w:tc>
          <w:tcPr>
            <w:tcW w:w="30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117" w:lineRule="exact"/>
        <w:rPr>
          <w:sz w:val="20"/>
          <w:szCs w:val="20"/>
          <w:color w:val="auto"/>
        </w:rPr>
      </w:pPr>
    </w:p>
    <w:p>
      <w:pPr>
        <w:ind w:left="140" w:right="520" w:firstLine="382"/>
        <w:spacing w:after="0" w:line="281" w:lineRule="auto"/>
        <w:rPr>
          <w:sz w:val="20"/>
          <w:szCs w:val="20"/>
          <w:color w:val="auto"/>
        </w:rPr>
      </w:pPr>
      <w:r>
        <w:rPr>
          <w:rFonts w:ascii="Arial" w:cs="Arial" w:eastAsia="Arial" w:hAnsi="Arial"/>
          <w:sz w:val="14"/>
          <w:szCs w:val="14"/>
          <w:color w:val="auto"/>
        </w:rPr>
        <w:t>The Bank is working with business owners in these industries by deferring loan payments and providing funding through the PPP. The Company anticipates grade migration in these industries during the second quarter of 2020 that may increase the second quarter provision for loan losses.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 Implications Related to the CARES Act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does not anticipate significant changes in its tax position as a result of the CARES 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Financial Data (unaudited)</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Selected financial data for and as of our previous five quarters is presented below:</w:t>
      </w:r>
    </w:p>
    <w:p>
      <w:pPr>
        <w:spacing w:after="0" w:line="175" w:lineRule="exact"/>
        <w:rPr>
          <w:sz w:val="20"/>
          <w:szCs w:val="20"/>
          <w:color w:val="auto"/>
        </w:rPr>
      </w:pPr>
    </w:p>
    <w:p>
      <w:pPr>
        <w:jc w:val="right"/>
        <w:ind w:right="1740"/>
        <w:spacing w:after="0"/>
        <w:rPr>
          <w:sz w:val="20"/>
          <w:szCs w:val="20"/>
          <w:color w:val="auto"/>
        </w:rPr>
      </w:pPr>
      <w:r>
        <w:rPr>
          <w:rFonts w:ascii="Arial" w:cs="Arial" w:eastAsia="Arial" w:hAnsi="Arial"/>
          <w:sz w:val="14"/>
          <w:szCs w:val="14"/>
          <w:b w:val="1"/>
          <w:bCs w:val="1"/>
          <w:color w:val="auto"/>
        </w:rPr>
        <w:t>As of or 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28575</wp:posOffset>
            </wp:positionV>
            <wp:extent cx="366522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65220" cy="698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Per Common Share Data</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Basic earnings (loss) per share</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Diluted earnings (loss) per share</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Book value per share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Tangible book value per share</w:t>
      </w:r>
      <w:r>
        <w:rPr>
          <w:rFonts w:ascii="Arial" w:cs="Arial" w:eastAsia="Arial" w:hAnsi="Arial"/>
          <w:sz w:val="18"/>
          <w:szCs w:val="18"/>
          <w:color w:val="auto"/>
          <w:vertAlign w:val="superscript"/>
        </w:rPr>
        <w:t>(1)</w:t>
      </w:r>
    </w:p>
    <w:p>
      <w:pPr>
        <w:ind w:left="140"/>
        <w:spacing w:after="0"/>
        <w:rPr>
          <w:sz w:val="20"/>
          <w:szCs w:val="20"/>
          <w:color w:val="auto"/>
        </w:rPr>
      </w:pPr>
      <w:r>
        <w:rPr>
          <w:rFonts w:ascii="Arial" w:cs="Arial" w:eastAsia="Arial" w:hAnsi="Arial"/>
          <w:sz w:val="14"/>
          <w:szCs w:val="14"/>
          <w:b w:val="1"/>
          <w:bCs w:val="1"/>
          <w:color w:val="auto"/>
        </w:rPr>
        <w:t>Selected Operating Ratios</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Yield on securities - tax equivalent</w:t>
      </w:r>
      <w:r>
        <w:rPr>
          <w:rFonts w:ascii="Arial" w:cs="Arial" w:eastAsia="Arial" w:hAnsi="Arial"/>
          <w:sz w:val="18"/>
          <w:szCs w:val="18"/>
          <w:color w:val="auto"/>
          <w:vertAlign w:val="superscript"/>
        </w:rPr>
        <w:t>(2)</w:t>
      </w:r>
    </w:p>
    <w:p>
      <w:pPr>
        <w:ind w:left="220"/>
        <w:spacing w:after="0"/>
        <w:rPr>
          <w:sz w:val="20"/>
          <w:szCs w:val="20"/>
          <w:color w:val="auto"/>
        </w:rPr>
      </w:pPr>
      <w:r>
        <w:rPr>
          <w:rFonts w:ascii="Arial" w:cs="Arial" w:eastAsia="Arial" w:hAnsi="Arial"/>
          <w:sz w:val="14"/>
          <w:szCs w:val="14"/>
          <w:color w:val="auto"/>
        </w:rPr>
        <w:t>Yield on loans</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Yield on interest-earning assets</w:t>
      </w:r>
      <w:r>
        <w:rPr>
          <w:rFonts w:ascii="Arial" w:cs="Arial" w:eastAsia="Arial" w:hAnsi="Arial"/>
          <w:sz w:val="18"/>
          <w:szCs w:val="18"/>
          <w:color w:val="auto"/>
          <w:vertAlign w:val="superscript"/>
        </w:rPr>
        <w:t>(2)</w:t>
      </w:r>
    </w:p>
    <w:p>
      <w:pPr>
        <w:ind w:left="220"/>
        <w:spacing w:after="0"/>
        <w:rPr>
          <w:sz w:val="20"/>
          <w:szCs w:val="20"/>
          <w:color w:val="auto"/>
        </w:rPr>
      </w:pPr>
      <w:r>
        <w:rPr>
          <w:rFonts w:ascii="Arial" w:cs="Arial" w:eastAsia="Arial" w:hAnsi="Arial"/>
          <w:sz w:val="14"/>
          <w:szCs w:val="14"/>
          <w:color w:val="auto"/>
        </w:rPr>
        <w:t>Cost of interest-bearing deposits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Cost of total deposits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Cost of funds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(2)</w:t>
      </w:r>
    </w:p>
    <w:p>
      <w:pPr>
        <w:ind w:left="220"/>
        <w:spacing w:after="0"/>
        <w:rPr>
          <w:sz w:val="20"/>
          <w:szCs w:val="20"/>
          <w:color w:val="auto"/>
        </w:rPr>
      </w:pPr>
      <w:r>
        <w:rPr>
          <w:rFonts w:ascii="Arial" w:cs="Arial" w:eastAsia="Arial" w:hAnsi="Arial"/>
          <w:sz w:val="14"/>
          <w:szCs w:val="14"/>
          <w:color w:val="auto"/>
        </w:rPr>
        <w:t>Return on average assets</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Non-GAAP core operating return on average assets</w:t>
      </w:r>
      <w:r>
        <w:rPr>
          <w:rFonts w:ascii="Arial" w:cs="Arial" w:eastAsia="Arial" w:hAnsi="Arial"/>
          <w:sz w:val="18"/>
          <w:szCs w:val="18"/>
          <w:color w:val="auto"/>
          <w:vertAlign w:val="superscript"/>
        </w:rPr>
        <w:t>(3)</w:t>
      </w:r>
    </w:p>
    <w:p>
      <w:pPr>
        <w:ind w:left="220"/>
        <w:spacing w:after="0"/>
        <w:rPr>
          <w:sz w:val="20"/>
          <w:szCs w:val="20"/>
          <w:color w:val="auto"/>
        </w:rPr>
      </w:pPr>
      <w:r>
        <w:rPr>
          <w:rFonts w:ascii="Arial" w:cs="Arial" w:eastAsia="Arial" w:hAnsi="Arial"/>
          <w:sz w:val="14"/>
          <w:szCs w:val="14"/>
          <w:color w:val="auto"/>
        </w:rPr>
        <w:t>Return on average equity</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Non-GAAP core operating return on average equity</w:t>
      </w:r>
      <w:r>
        <w:rPr>
          <w:rFonts w:ascii="Arial" w:cs="Arial" w:eastAsia="Arial" w:hAnsi="Arial"/>
          <w:sz w:val="18"/>
          <w:szCs w:val="18"/>
          <w:color w:val="auto"/>
          <w:vertAlign w:val="superscript"/>
        </w:rPr>
        <w:t>(4)</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Non-interest expense to average assets</w:t>
      </w:r>
      <w:r>
        <w:rPr>
          <w:rFonts w:ascii="Arial" w:cs="Arial" w:eastAsia="Arial" w:hAnsi="Arial"/>
          <w:sz w:val="18"/>
          <w:szCs w:val="18"/>
          <w:color w:val="auto"/>
          <w:vertAlign w:val="superscript"/>
        </w:rPr>
        <w:t>(5)</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Efficiency ratio</w:t>
      </w:r>
      <w:r>
        <w:rPr>
          <w:rFonts w:ascii="Arial" w:cs="Arial" w:eastAsia="Arial" w:hAnsi="Arial"/>
          <w:sz w:val="18"/>
          <w:szCs w:val="18"/>
          <w:color w:val="auto"/>
          <w:vertAlign w:val="superscript"/>
        </w:rPr>
        <w:t>(6)</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Non-GAAP core operating efficiency ratio - tax equivalent</w:t>
      </w:r>
      <w:r>
        <w:rPr>
          <w:rFonts w:ascii="Arial" w:cs="Arial" w:eastAsia="Arial" w:hAnsi="Arial"/>
          <w:sz w:val="15"/>
          <w:szCs w:val="15"/>
          <w:color w:val="auto"/>
          <w:vertAlign w:val="superscript"/>
        </w:rPr>
        <w:t>(2)(7)</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Non-interest-bearing deposits to total deposits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Loans to deposits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Credit Quality Ratios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Allowance for loan losses to total loans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Nonperforming assets to total assets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Nonperforming loans to total loans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Allowance for loan losses to nonperforming loans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charge-offs (recoveries) to average loans</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w:t>
            </w: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w:t>
            </w:r>
          </w:p>
        </w:tc>
        <w:tc>
          <w:tcPr>
            <w:tcW w:w="14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w:t>
            </w: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w:t>
            </w:r>
          </w:p>
        </w:tc>
        <w:tc>
          <w:tcPr>
            <w:tcW w:w="220" w:type="dxa"/>
            <w:vAlign w:val="bottom"/>
          </w:tcPr>
          <w:p>
            <w:pPr>
              <w:spacing w:after="0"/>
              <w:rPr>
                <w:sz w:val="16"/>
                <w:szCs w:val="16"/>
                <w:color w:val="auto"/>
              </w:rPr>
            </w:pPr>
          </w:p>
        </w:tc>
        <w:tc>
          <w:tcPr>
            <w:tcW w:w="860" w:type="dxa"/>
            <w:vAlign w:val="bottom"/>
          </w:tcPr>
          <w:p>
            <w:pPr>
              <w:jc w:val="right"/>
              <w:ind w:right="269"/>
              <w:spacing w:after="0"/>
              <w:rPr>
                <w:sz w:val="20"/>
                <w:szCs w:val="20"/>
                <w:color w:val="auto"/>
              </w:rPr>
            </w:pPr>
            <w:r>
              <w:rPr>
                <w:rFonts w:ascii="Arial" w:cs="Arial" w:eastAsia="Arial" w:hAnsi="Arial"/>
                <w:sz w:val="14"/>
                <w:szCs w:val="14"/>
                <w:b w:val="1"/>
                <w:bCs w:val="1"/>
                <w:color w:val="auto"/>
              </w:rPr>
              <w:t>March</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38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8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69"/>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8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69"/>
              <w:spacing w:after="0"/>
              <w:rPr>
                <w:sz w:val="20"/>
                <w:szCs w:val="20"/>
                <w:color w:val="auto"/>
              </w:rPr>
            </w:pPr>
            <w:r>
              <w:rPr>
                <w:rFonts w:ascii="Arial" w:cs="Arial" w:eastAsia="Arial" w:hAnsi="Arial"/>
                <w:sz w:val="14"/>
                <w:szCs w:val="14"/>
                <w:b w:val="1"/>
                <w:bCs w:val="1"/>
                <w:color w:val="auto"/>
              </w:rPr>
              <w:t>31,</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32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83"/>
        </w:trPr>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0.07</w:t>
            </w:r>
          </w:p>
        </w:tc>
        <w:tc>
          <w:tcPr>
            <w:tcW w:w="8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4"/>
                <w:szCs w:val="24"/>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0.21</w:t>
            </w:r>
          </w:p>
        </w:tc>
        <w:tc>
          <w:tcPr>
            <w:tcW w:w="8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0.20</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0.07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0.20</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11.58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10.63</w:t>
            </w:r>
          </w:p>
        </w:tc>
      </w:tr>
      <w:tr>
        <w:trPr>
          <w:trHeight w:val="212"/>
        </w:trPr>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11.60</w:t>
            </w:r>
          </w:p>
        </w:tc>
        <w:tc>
          <w:tcPr>
            <w:tcW w:w="8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11.43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8"/>
                <w:szCs w:val="18"/>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18"/>
                <w:szCs w:val="18"/>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10.46</w:t>
            </w:r>
          </w:p>
        </w:tc>
      </w:tr>
      <w:tr>
        <w:trPr>
          <w:trHeight w:val="424"/>
        </w:trPr>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3.22 %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3.42 %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3.59 %</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5.21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5.75</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4.76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5.25</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2.30</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1.96</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1.96</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3.46</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0.31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0.86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0.91</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0.31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0.89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0.78</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7.78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7.98</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8.04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6.79</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2.20</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55.11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55.60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54.29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60.09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64.20</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54.18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54.66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53.43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58.43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63.10</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14.28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13.30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14.28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14.36</w:t>
            </w:r>
          </w:p>
        </w:tc>
      </w:tr>
      <w:tr>
        <w:trPr>
          <w:trHeight w:val="212"/>
        </w:trPr>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100.75 %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98.18 %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99.23 %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96.74 %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96.40 %</w:t>
            </w:r>
          </w:p>
        </w:tc>
      </w:tr>
      <w:tr>
        <w:trPr>
          <w:trHeight w:val="424"/>
        </w:trPr>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1.22 %</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0.59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0.97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0.36</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0.40</w:t>
            </w:r>
          </w:p>
        </w:tc>
      </w:tr>
      <w:tr>
        <w:trPr>
          <w:trHeight w:val="212"/>
        </w:trPr>
        <w:tc>
          <w:tcPr>
            <w:tcW w:w="200" w:type="dxa"/>
            <w:vAlign w:val="bottom"/>
          </w:tcPr>
          <w:p>
            <w:pPr>
              <w:spacing w:after="0"/>
              <w:rPr>
                <w:sz w:val="18"/>
                <w:szCs w:val="18"/>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195.99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128.54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97.12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85.20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307.27</w:t>
            </w:r>
          </w:p>
        </w:tc>
      </w:tr>
      <w:tr>
        <w:trPr>
          <w:trHeight w:val="212"/>
        </w:trPr>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0.58 %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0.53 %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-3758565</wp:posOffset>
            </wp:positionV>
            <wp:extent cx="7080885" cy="134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-3488690</wp:posOffset>
            </wp:positionV>
            <wp:extent cx="7080885" cy="134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-3219450</wp:posOffset>
            </wp:positionV>
            <wp:extent cx="7080885"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-2950210</wp:posOffset>
            </wp:positionV>
            <wp:extent cx="7080885"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-2680335</wp:posOffset>
            </wp:positionV>
            <wp:extent cx="7080885" cy="134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-2411095</wp:posOffset>
            </wp:positionV>
            <wp:extent cx="7080885" cy="134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-2141220</wp:posOffset>
            </wp:positionV>
            <wp:extent cx="7080885"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-1871980</wp:posOffset>
            </wp:positionV>
            <wp:extent cx="7080885" cy="134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-1602740</wp:posOffset>
            </wp:positionV>
            <wp:extent cx="7080885" cy="134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-1332865</wp:posOffset>
            </wp:positionV>
            <wp:extent cx="7080885" cy="134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-1063625</wp:posOffset>
            </wp:positionV>
            <wp:extent cx="7080885"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-794385</wp:posOffset>
            </wp:positionV>
            <wp:extent cx="7080885" cy="134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-524510</wp:posOffset>
            </wp:positionV>
            <wp:extent cx="7080885" cy="134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0885" cy="134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-255270</wp:posOffset>
            </wp:positionV>
            <wp:extent cx="7080885" cy="134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0885" cy="13462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800" w:space="720"/>
            <w:col w:w="5760"/>
          </w:cols>
          <w:pgMar w:left="300" w:top="129" w:right="319" w:bottom="1440" w:gutter="0" w:footer="0" w:header="0"/>
          <w:type w:val="continuous"/>
        </w:sect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80"/>
        </w:trPr>
        <w:tc>
          <w:tcPr>
            <w:tcW w:w="5520" w:type="dxa"/>
            <w:vAlign w:val="bottom"/>
            <w:gridSpan w:val="2"/>
          </w:tcPr>
          <w:p>
            <w:pPr>
              <w:jc w:val="right"/>
              <w:ind w:right="4449"/>
              <w:spacing w:after="0"/>
              <w:rPr>
                <w:rFonts w:ascii="Arial" w:cs="Arial" w:eastAsia="Arial" w:hAnsi="Arial"/>
                <w:sz w:val="14"/>
                <w:szCs w:val="14"/>
                <w:u w:val="single" w:color="auto"/>
                <w:color w:val="0000FF"/>
                <w:w w:val="88"/>
              </w:rPr>
            </w:pPr>
            <w:hyperlink w:anchor="page1">
              <w:r>
                <w:rPr>
                  <w:rFonts w:ascii="Arial" w:cs="Arial" w:eastAsia="Arial" w:hAnsi="Arial"/>
                  <w:sz w:val="14"/>
                  <w:szCs w:val="14"/>
                  <w:u w:val="single" w:color="auto"/>
                  <w:color w:val="0000FF"/>
                  <w:w w:val="88"/>
                </w:rPr>
                <w:t>Table of Contents</w:t>
              </w:r>
            </w:hyperlink>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679"/>
        </w:trPr>
        <w:tc>
          <w:tcPr>
            <w:tcW w:w="1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or For the Three Months Ended</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
        </w:trPr>
        <w:tc>
          <w:tcPr>
            <w:tcW w:w="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81"/>
        </w:trPr>
        <w:tc>
          <w:tcPr>
            <w:tcW w:w="1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auto"/>
              </w:rPr>
              <w:t>March</w:t>
            </w:r>
          </w:p>
        </w:tc>
        <w:tc>
          <w:tcPr>
            <w:tcW w:w="300" w:type="dxa"/>
            <w:vAlign w:val="bottom"/>
          </w:tcPr>
          <w:p>
            <w:pPr>
              <w:spacing w:after="0"/>
              <w:rPr>
                <w:sz w:val="15"/>
                <w:szCs w:val="15"/>
                <w:color w:val="auto"/>
              </w:rPr>
            </w:pP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December</w:t>
            </w:r>
          </w:p>
        </w:tc>
        <w:tc>
          <w:tcPr>
            <w:tcW w:w="3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September</w:t>
            </w:r>
          </w:p>
        </w:tc>
        <w:tc>
          <w:tcPr>
            <w:tcW w:w="380" w:type="dxa"/>
            <w:vAlign w:val="bottom"/>
          </w:tcPr>
          <w:p>
            <w:pPr>
              <w:spacing w:after="0"/>
              <w:rPr>
                <w:sz w:val="15"/>
                <w:szCs w:val="15"/>
                <w:color w:val="auto"/>
              </w:rPr>
            </w:pP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color w:val="auto"/>
              </w:rPr>
              <w:t>June</w:t>
            </w:r>
          </w:p>
        </w:tc>
        <w:tc>
          <w:tcPr>
            <w:tcW w:w="360" w:type="dxa"/>
            <w:vAlign w:val="bottom"/>
          </w:tcPr>
          <w:p>
            <w:pPr>
              <w:spacing w:after="0"/>
              <w:rPr>
                <w:sz w:val="15"/>
                <w:szCs w:val="15"/>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b w:val="1"/>
                <w:bCs w:val="1"/>
                <w:color w:val="auto"/>
              </w:rPr>
              <w:t>March</w:t>
            </w:r>
          </w:p>
        </w:tc>
        <w:tc>
          <w:tcPr>
            <w:tcW w:w="160" w:type="dxa"/>
            <w:vAlign w:val="bottom"/>
          </w:tcPr>
          <w:p>
            <w:pPr>
              <w:spacing w:after="0"/>
              <w:rPr>
                <w:sz w:val="15"/>
                <w:szCs w:val="15"/>
                <w:color w:val="auto"/>
              </w:rPr>
            </w:pPr>
          </w:p>
        </w:tc>
      </w:tr>
      <w:tr>
        <w:trPr>
          <w:trHeight w:val="212"/>
        </w:trPr>
        <w:tc>
          <w:tcPr>
            <w:tcW w:w="1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31,</w:t>
            </w:r>
          </w:p>
        </w:tc>
        <w:tc>
          <w:tcPr>
            <w:tcW w:w="300" w:type="dxa"/>
            <w:vAlign w:val="bottom"/>
          </w:tcPr>
          <w:p>
            <w:pPr>
              <w:spacing w:after="0"/>
              <w:rPr>
                <w:sz w:val="18"/>
                <w:szCs w:val="18"/>
                <w:color w:val="auto"/>
              </w:rPr>
            </w:pPr>
          </w:p>
        </w:tc>
        <w:tc>
          <w:tcPr>
            <w:tcW w:w="880" w:type="dxa"/>
            <w:vAlign w:val="bottom"/>
          </w:tcPr>
          <w:p>
            <w:pPr>
              <w:jc w:val="right"/>
              <w:ind w:right="229"/>
              <w:spacing w:after="0"/>
              <w:rPr>
                <w:sz w:val="20"/>
                <w:szCs w:val="20"/>
                <w:color w:val="auto"/>
              </w:rPr>
            </w:pPr>
            <w:r>
              <w:rPr>
                <w:rFonts w:ascii="Arial" w:cs="Arial" w:eastAsia="Arial" w:hAnsi="Arial"/>
                <w:sz w:val="14"/>
                <w:szCs w:val="14"/>
                <w:b w:val="1"/>
                <w:bCs w:val="1"/>
                <w:color w:val="auto"/>
              </w:rPr>
              <w:t>31,</w:t>
            </w:r>
          </w:p>
        </w:tc>
        <w:tc>
          <w:tcPr>
            <w:tcW w:w="300" w:type="dxa"/>
            <w:vAlign w:val="bottom"/>
          </w:tcPr>
          <w:p>
            <w:pPr>
              <w:spacing w:after="0"/>
              <w:rPr>
                <w:sz w:val="18"/>
                <w:szCs w:val="18"/>
                <w:color w:val="auto"/>
              </w:rPr>
            </w:pPr>
          </w:p>
        </w:tc>
        <w:tc>
          <w:tcPr>
            <w:tcW w:w="880" w:type="dxa"/>
            <w:vAlign w:val="bottom"/>
          </w:tcPr>
          <w:p>
            <w:pPr>
              <w:jc w:val="right"/>
              <w:ind w:right="229"/>
              <w:spacing w:after="0"/>
              <w:rPr>
                <w:sz w:val="20"/>
                <w:szCs w:val="20"/>
                <w:color w:val="auto"/>
              </w:rPr>
            </w:pPr>
            <w:r>
              <w:rPr>
                <w:rFonts w:ascii="Arial" w:cs="Arial" w:eastAsia="Arial" w:hAnsi="Arial"/>
                <w:sz w:val="14"/>
                <w:szCs w:val="14"/>
                <w:b w:val="1"/>
                <w:bCs w:val="1"/>
                <w:color w:val="auto"/>
              </w:rPr>
              <w:t>30,</w:t>
            </w:r>
          </w:p>
        </w:tc>
        <w:tc>
          <w:tcPr>
            <w:tcW w:w="380" w:type="dxa"/>
            <w:vAlign w:val="bottom"/>
          </w:tcPr>
          <w:p>
            <w:pPr>
              <w:spacing w:after="0"/>
              <w:rPr>
                <w:sz w:val="18"/>
                <w:szCs w:val="18"/>
                <w:color w:val="auto"/>
              </w:rPr>
            </w:pPr>
          </w:p>
        </w:tc>
        <w:tc>
          <w:tcPr>
            <w:tcW w:w="780" w:type="dxa"/>
            <w:vAlign w:val="bottom"/>
          </w:tcPr>
          <w:p>
            <w:pPr>
              <w:jc w:val="right"/>
              <w:ind w:right="229"/>
              <w:spacing w:after="0"/>
              <w:rPr>
                <w:sz w:val="20"/>
                <w:szCs w:val="20"/>
                <w:color w:val="auto"/>
              </w:rPr>
            </w:pPr>
            <w:r>
              <w:rPr>
                <w:rFonts w:ascii="Arial" w:cs="Arial" w:eastAsia="Arial" w:hAnsi="Arial"/>
                <w:sz w:val="14"/>
                <w:szCs w:val="14"/>
                <w:b w:val="1"/>
                <w:bCs w:val="1"/>
                <w:color w:val="auto"/>
              </w:rPr>
              <w:t>30,</w:t>
            </w:r>
          </w:p>
        </w:tc>
        <w:tc>
          <w:tcPr>
            <w:tcW w:w="360" w:type="dxa"/>
            <w:vAlign w:val="bottom"/>
          </w:tcPr>
          <w:p>
            <w:pPr>
              <w:spacing w:after="0"/>
              <w:rPr>
                <w:sz w:val="18"/>
                <w:szCs w:val="18"/>
                <w:color w:val="auto"/>
              </w:rPr>
            </w:pPr>
          </w:p>
        </w:tc>
        <w:tc>
          <w:tcPr>
            <w:tcW w:w="800" w:type="dxa"/>
            <w:vAlign w:val="bottom"/>
          </w:tcPr>
          <w:p>
            <w:pPr>
              <w:jc w:val="right"/>
              <w:ind w:right="209"/>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8"/>
                <w:szCs w:val="18"/>
                <w:color w:val="auto"/>
              </w:rPr>
            </w:pPr>
          </w:p>
        </w:tc>
      </w:tr>
      <w:tr>
        <w:trPr>
          <w:trHeight w:val="212"/>
        </w:trPr>
        <w:tc>
          <w:tcPr>
            <w:tcW w:w="1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920" w:type="dxa"/>
            <w:vAlign w:val="bottom"/>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8"/>
                <w:szCs w:val="18"/>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8"/>
                <w:szCs w:val="18"/>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8"/>
                <w:szCs w:val="18"/>
                <w:color w:val="auto"/>
              </w:rPr>
            </w:pP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8"/>
                <w:szCs w:val="18"/>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r>
      <w:tr>
        <w:trPr>
          <w:trHeight w:val="22"/>
        </w:trPr>
        <w:tc>
          <w:tcPr>
            <w:tcW w:w="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5380" w:type="dxa"/>
            <w:vAlign w:val="bottom"/>
            <w:tcBorders>
              <w:bottom w:val="single" w:sz="8" w:color="CCEEFF"/>
            </w:tcBorders>
            <w:shd w:val="clear" w:color="auto" w:fill="CCEEFF"/>
          </w:tcPr>
          <w:p>
            <w:pPr>
              <w:jc w:val="right"/>
              <w:ind w:right="4429"/>
              <w:spacing w:after="0"/>
              <w:rPr>
                <w:sz w:val="20"/>
                <w:szCs w:val="20"/>
                <w:color w:val="auto"/>
              </w:rPr>
            </w:pPr>
            <w:r>
              <w:rPr>
                <w:rFonts w:ascii="Arial" w:cs="Arial" w:eastAsia="Arial" w:hAnsi="Arial"/>
                <w:sz w:val="14"/>
                <w:szCs w:val="14"/>
                <w:b w:val="1"/>
                <w:bCs w:val="1"/>
                <w:color w:val="auto"/>
                <w:w w:val="92"/>
              </w:rPr>
              <w:t>Capital Ratios</w:t>
            </w:r>
          </w:p>
        </w:tc>
        <w:tc>
          <w:tcPr>
            <w:tcW w:w="9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212"/>
        </w:trPr>
        <w:tc>
          <w:tcPr>
            <w:tcW w:w="14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4"/>
                <w:szCs w:val="14"/>
                <w:color w:val="auto"/>
              </w:rPr>
              <w:t>Total stockholders’ equity to total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12.08</w:t>
            </w:r>
          </w:p>
        </w:tc>
        <w:tc>
          <w:tcPr>
            <w:tcW w:w="300" w:type="dxa"/>
            <w:vAlign w:val="bottom"/>
          </w:tcPr>
          <w:p>
            <w:pPr>
              <w:jc w:val="right"/>
              <w:ind w:right="89"/>
              <w:spacing w:after="0"/>
              <w:rPr>
                <w:sz w:val="20"/>
                <w:szCs w:val="20"/>
                <w:color w:val="auto"/>
              </w:rPr>
            </w:pPr>
            <w:r>
              <w:rPr>
                <w:rFonts w:ascii="Arial" w:cs="Arial" w:eastAsia="Arial" w:hAnsi="Arial"/>
                <w:sz w:val="14"/>
                <w:szCs w:val="14"/>
                <w:color w:val="auto"/>
                <w:w w:val="96"/>
              </w:rPr>
              <w:t>%</w:t>
            </w:r>
          </w:p>
        </w:tc>
        <w:tc>
          <w:tcPr>
            <w:tcW w:w="880" w:type="dxa"/>
            <w:vAlign w:val="bottom"/>
          </w:tcPr>
          <w:p>
            <w:pPr>
              <w:ind w:left="520"/>
              <w:spacing w:after="0"/>
              <w:rPr>
                <w:sz w:val="20"/>
                <w:szCs w:val="20"/>
                <w:color w:val="auto"/>
              </w:rPr>
            </w:pPr>
            <w:r>
              <w:rPr>
                <w:rFonts w:ascii="Arial" w:cs="Arial" w:eastAsia="Arial" w:hAnsi="Arial"/>
                <w:sz w:val="14"/>
                <w:szCs w:val="14"/>
                <w:color w:val="auto"/>
                <w:w w:val="96"/>
              </w:rPr>
              <w:t>12.20</w:t>
            </w:r>
          </w:p>
        </w:tc>
        <w:tc>
          <w:tcPr>
            <w:tcW w:w="300" w:type="dxa"/>
            <w:vAlign w:val="bottom"/>
          </w:tcPr>
          <w:p>
            <w:pPr>
              <w:jc w:val="right"/>
              <w:ind w:right="89"/>
              <w:spacing w:after="0"/>
              <w:rPr>
                <w:sz w:val="20"/>
                <w:szCs w:val="20"/>
                <w:color w:val="auto"/>
              </w:rPr>
            </w:pPr>
            <w:r>
              <w:rPr>
                <w:rFonts w:ascii="Arial" w:cs="Arial" w:eastAsia="Arial" w:hAnsi="Arial"/>
                <w:sz w:val="14"/>
                <w:szCs w:val="14"/>
                <w:color w:val="auto"/>
                <w:w w:val="9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12.95</w:t>
            </w:r>
          </w:p>
        </w:tc>
        <w:tc>
          <w:tcPr>
            <w:tcW w:w="380" w:type="dxa"/>
            <w:vAlign w:val="bottom"/>
          </w:tcPr>
          <w:p>
            <w:pPr>
              <w:jc w:val="right"/>
              <w:ind w:right="169"/>
              <w:spacing w:after="0"/>
              <w:rPr>
                <w:sz w:val="20"/>
                <w:szCs w:val="20"/>
                <w:color w:val="auto"/>
              </w:rPr>
            </w:pPr>
            <w:r>
              <w:rPr>
                <w:rFonts w:ascii="Arial" w:cs="Arial" w:eastAsia="Arial" w:hAnsi="Arial"/>
                <w:sz w:val="14"/>
                <w:szCs w:val="14"/>
                <w:color w:val="auto"/>
                <w:w w:val="9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11.16</w:t>
            </w:r>
          </w:p>
        </w:tc>
        <w:tc>
          <w:tcPr>
            <w:tcW w:w="360" w:type="dxa"/>
            <w:vAlign w:val="bottom"/>
          </w:tcPr>
          <w:p>
            <w:pPr>
              <w:jc w:val="right"/>
              <w:ind w:right="149"/>
              <w:spacing w:after="0"/>
              <w:rPr>
                <w:sz w:val="20"/>
                <w:szCs w:val="20"/>
                <w:color w:val="auto"/>
              </w:rPr>
            </w:pPr>
            <w:r>
              <w:rPr>
                <w:rFonts w:ascii="Arial" w:cs="Arial" w:eastAsia="Arial" w:hAnsi="Arial"/>
                <w:sz w:val="14"/>
                <w:szCs w:val="14"/>
                <w:color w:val="auto"/>
                <w:w w:val="9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11.26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92"/>
        </w:trPr>
        <w:tc>
          <w:tcPr>
            <w:tcW w:w="140" w:type="dxa"/>
            <w:vAlign w:val="bottom"/>
          </w:tcPr>
          <w:p>
            <w:pPr>
              <w:spacing w:after="0"/>
              <w:rPr>
                <w:sz w:val="16"/>
                <w:szCs w:val="16"/>
                <w:color w:val="auto"/>
              </w:rPr>
            </w:pPr>
          </w:p>
        </w:tc>
        <w:tc>
          <w:tcPr>
            <w:tcW w:w="5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Tier 1 leverage ratio</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w w:val="96"/>
              </w:rPr>
              <w:t>12.06</w:t>
            </w: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5380" w:type="dxa"/>
            <w:vAlign w:val="bottom"/>
          </w:tcPr>
          <w:p>
            <w:pPr>
              <w:ind w:left="80"/>
              <w:spacing w:after="0"/>
              <w:rPr>
                <w:sz w:val="20"/>
                <w:szCs w:val="20"/>
                <w:color w:val="auto"/>
              </w:rPr>
            </w:pPr>
            <w:r>
              <w:rPr>
                <w:rFonts w:ascii="Arial" w:cs="Arial" w:eastAsia="Arial" w:hAnsi="Arial"/>
                <w:sz w:val="14"/>
                <w:szCs w:val="14"/>
                <w:color w:val="auto"/>
              </w:rPr>
              <w:t>Common equity tier 1 capital ratio</w:t>
            </w:r>
          </w:p>
        </w:tc>
        <w:tc>
          <w:tcPr>
            <w:tcW w:w="920" w:type="dxa"/>
            <w:vAlign w:val="bottom"/>
          </w:tcPr>
          <w:p>
            <w:pPr>
              <w:jc w:val="right"/>
              <w:spacing w:after="0"/>
              <w:rPr>
                <w:sz w:val="20"/>
                <w:szCs w:val="20"/>
                <w:color w:val="auto"/>
              </w:rPr>
            </w:pPr>
            <w:r>
              <w:rPr>
                <w:rFonts w:ascii="Arial" w:cs="Arial" w:eastAsia="Arial" w:hAnsi="Arial"/>
                <w:sz w:val="14"/>
                <w:szCs w:val="14"/>
                <w:color w:val="auto"/>
              </w:rPr>
              <w:t>12.08</w:t>
            </w:r>
          </w:p>
        </w:tc>
        <w:tc>
          <w:tcPr>
            <w:tcW w:w="300" w:type="dxa"/>
            <w:vAlign w:val="bottom"/>
          </w:tcPr>
          <w:p>
            <w:pPr>
              <w:spacing w:after="0"/>
              <w:rPr>
                <w:sz w:val="16"/>
                <w:szCs w:val="16"/>
                <w:color w:val="auto"/>
              </w:rPr>
            </w:pPr>
          </w:p>
        </w:tc>
        <w:tc>
          <w:tcPr>
            <w:tcW w:w="880" w:type="dxa"/>
            <w:vAlign w:val="bottom"/>
          </w:tcPr>
          <w:p>
            <w:pPr>
              <w:ind w:left="520"/>
              <w:spacing w:after="0"/>
              <w:rPr>
                <w:sz w:val="20"/>
                <w:szCs w:val="20"/>
                <w:color w:val="auto"/>
              </w:rPr>
            </w:pPr>
            <w:r>
              <w:rPr>
                <w:rFonts w:ascii="Arial" w:cs="Arial" w:eastAsia="Arial" w:hAnsi="Arial"/>
                <w:sz w:val="14"/>
                <w:szCs w:val="14"/>
                <w:color w:val="auto"/>
                <w:w w:val="96"/>
              </w:rPr>
              <w:t>12.20</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12.91</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11.02</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11.23</w:t>
            </w:r>
          </w:p>
        </w:tc>
        <w:tc>
          <w:tcPr>
            <w:tcW w:w="16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5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Tier 1 risk-based capital ratio</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w w:val="96"/>
              </w:rPr>
              <w:t>12.22</w:t>
            </w: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5380" w:type="dxa"/>
            <w:vAlign w:val="bottom"/>
          </w:tcPr>
          <w:p>
            <w:pPr>
              <w:ind w:left="80"/>
              <w:spacing w:after="0"/>
              <w:rPr>
                <w:sz w:val="20"/>
                <w:szCs w:val="20"/>
                <w:color w:val="auto"/>
              </w:rPr>
            </w:pPr>
            <w:r>
              <w:rPr>
                <w:rFonts w:ascii="Arial" w:cs="Arial" w:eastAsia="Arial" w:hAnsi="Arial"/>
                <w:sz w:val="14"/>
                <w:szCs w:val="14"/>
                <w:color w:val="auto"/>
              </w:rPr>
              <w:t>Total risk-based capital ratio</w:t>
            </w:r>
          </w:p>
        </w:tc>
        <w:tc>
          <w:tcPr>
            <w:tcW w:w="920" w:type="dxa"/>
            <w:vAlign w:val="bottom"/>
          </w:tcPr>
          <w:p>
            <w:pPr>
              <w:jc w:val="right"/>
              <w:spacing w:after="0"/>
              <w:rPr>
                <w:sz w:val="20"/>
                <w:szCs w:val="20"/>
                <w:color w:val="auto"/>
              </w:rPr>
            </w:pPr>
            <w:r>
              <w:rPr>
                <w:rFonts w:ascii="Arial" w:cs="Arial" w:eastAsia="Arial" w:hAnsi="Arial"/>
                <w:sz w:val="14"/>
                <w:szCs w:val="14"/>
                <w:color w:val="auto"/>
              </w:rPr>
              <w:t>13.17</w:t>
            </w:r>
          </w:p>
        </w:tc>
        <w:tc>
          <w:tcPr>
            <w:tcW w:w="300" w:type="dxa"/>
            <w:vAlign w:val="bottom"/>
          </w:tcPr>
          <w:p>
            <w:pPr>
              <w:jc w:val="right"/>
              <w:ind w:right="89"/>
              <w:spacing w:after="0"/>
              <w:rPr>
                <w:sz w:val="20"/>
                <w:szCs w:val="20"/>
                <w:color w:val="auto"/>
              </w:rPr>
            </w:pPr>
            <w:r>
              <w:rPr>
                <w:rFonts w:ascii="Arial" w:cs="Arial" w:eastAsia="Arial" w:hAnsi="Arial"/>
                <w:sz w:val="14"/>
                <w:szCs w:val="14"/>
                <w:color w:val="auto"/>
                <w:w w:val="96"/>
              </w:rPr>
              <w:t>%</w:t>
            </w:r>
          </w:p>
        </w:tc>
        <w:tc>
          <w:tcPr>
            <w:tcW w:w="880" w:type="dxa"/>
            <w:vAlign w:val="bottom"/>
          </w:tcPr>
          <w:p>
            <w:pPr>
              <w:ind w:left="520"/>
              <w:spacing w:after="0"/>
              <w:rPr>
                <w:sz w:val="20"/>
                <w:szCs w:val="20"/>
                <w:color w:val="auto"/>
              </w:rPr>
            </w:pPr>
            <w:r>
              <w:rPr>
                <w:rFonts w:ascii="Arial" w:cs="Arial" w:eastAsia="Arial" w:hAnsi="Arial"/>
                <w:sz w:val="14"/>
                <w:szCs w:val="14"/>
                <w:color w:val="auto"/>
                <w:w w:val="96"/>
              </w:rPr>
              <w:t>13.43</w:t>
            </w:r>
          </w:p>
        </w:tc>
        <w:tc>
          <w:tcPr>
            <w:tcW w:w="300" w:type="dxa"/>
            <w:vAlign w:val="bottom"/>
          </w:tcPr>
          <w:p>
            <w:pPr>
              <w:jc w:val="right"/>
              <w:ind w:right="89"/>
              <w:spacing w:after="0"/>
              <w:rPr>
                <w:sz w:val="20"/>
                <w:szCs w:val="20"/>
                <w:color w:val="auto"/>
              </w:rPr>
            </w:pPr>
            <w:r>
              <w:rPr>
                <w:rFonts w:ascii="Arial" w:cs="Arial" w:eastAsia="Arial" w:hAnsi="Arial"/>
                <w:sz w:val="14"/>
                <w:szCs w:val="14"/>
                <w:color w:val="auto"/>
                <w:w w:val="9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13.90</w:t>
            </w:r>
          </w:p>
        </w:tc>
        <w:tc>
          <w:tcPr>
            <w:tcW w:w="380" w:type="dxa"/>
            <w:vAlign w:val="bottom"/>
          </w:tcPr>
          <w:p>
            <w:pPr>
              <w:jc w:val="right"/>
              <w:ind w:right="169"/>
              <w:spacing w:after="0"/>
              <w:rPr>
                <w:sz w:val="20"/>
                <w:szCs w:val="20"/>
                <w:color w:val="auto"/>
              </w:rPr>
            </w:pPr>
            <w:r>
              <w:rPr>
                <w:rFonts w:ascii="Arial" w:cs="Arial" w:eastAsia="Arial" w:hAnsi="Arial"/>
                <w:sz w:val="14"/>
                <w:szCs w:val="14"/>
                <w:color w:val="auto"/>
                <w:w w:val="9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12.04</w:t>
            </w:r>
          </w:p>
        </w:tc>
        <w:tc>
          <w:tcPr>
            <w:tcW w:w="360" w:type="dxa"/>
            <w:vAlign w:val="bottom"/>
          </w:tcPr>
          <w:p>
            <w:pPr>
              <w:jc w:val="right"/>
              <w:ind w:right="149"/>
              <w:spacing w:after="0"/>
              <w:rPr>
                <w:sz w:val="20"/>
                <w:szCs w:val="20"/>
                <w:color w:val="auto"/>
              </w:rPr>
            </w:pPr>
            <w:r>
              <w:rPr>
                <w:rFonts w:ascii="Arial" w:cs="Arial" w:eastAsia="Arial" w:hAnsi="Arial"/>
                <w:sz w:val="14"/>
                <w:szCs w:val="14"/>
                <w:color w:val="auto"/>
                <w:w w:val="9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12.20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pacing w:after="0" w:line="26" w:lineRule="exact"/>
        <w:rPr>
          <w:sz w:val="20"/>
          <w:szCs w:val="20"/>
          <w:color w:val="auto"/>
        </w:rPr>
      </w:pPr>
    </w:p>
    <w:p>
      <w:pPr>
        <w:ind w:left="280" w:right="220" w:hanging="6"/>
        <w:spacing w:after="0" w:line="242" w:lineRule="auto"/>
        <w:tabs>
          <w:tab w:leader="none" w:pos="397"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Tangible common stockholders’ equity and tangible book value per share are non-GAAP financial measures. The most directly comparable GAAP measure is stockholders’ equity and book value per share. See “GAAP Reconciliation and Management Explanation of Non-GAAP Financial Measures” for a reconciliation of this measure.</w:t>
      </w:r>
    </w:p>
    <w:p>
      <w:pPr>
        <w:spacing w:after="0" w:line="7" w:lineRule="exact"/>
        <w:rPr>
          <w:rFonts w:ascii="Arial" w:cs="Arial" w:eastAsia="Arial" w:hAnsi="Arial"/>
          <w:sz w:val="14"/>
          <w:szCs w:val="14"/>
          <w:color w:val="auto"/>
          <w:vertAlign w:val="superscript"/>
        </w:rPr>
      </w:pPr>
    </w:p>
    <w:p>
      <w:pPr>
        <w:ind w:left="400" w:hanging="126"/>
        <w:spacing w:after="0"/>
        <w:tabs>
          <w:tab w:leader="none" w:pos="40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Tax exempt income (tax-free municipal securities) is calculated on a tax equivalent basis. The incremental tax rate used is 21.0%.</w:t>
      </w:r>
    </w:p>
    <w:p>
      <w:pPr>
        <w:spacing w:after="0" w:line="18" w:lineRule="exact"/>
        <w:rPr>
          <w:rFonts w:ascii="Arial" w:cs="Arial" w:eastAsia="Arial" w:hAnsi="Arial"/>
          <w:sz w:val="14"/>
          <w:szCs w:val="14"/>
          <w:color w:val="auto"/>
          <w:vertAlign w:val="superscript"/>
        </w:rPr>
      </w:pPr>
    </w:p>
    <w:p>
      <w:pPr>
        <w:ind w:left="280" w:right="680" w:hanging="6"/>
        <w:spacing w:after="0" w:line="207" w:lineRule="auto"/>
        <w:tabs>
          <w:tab w:leader="none" w:pos="408"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Non-GAAP core operating return on average assets is a non-GAAP financial measures. The most directly comparable measure under GAAP is return on average assets. See “GAAP Reconciliation and Management Explanation of Non-GAAP Financial Measures” for a reconciliation of this measure.</w:t>
      </w:r>
    </w:p>
    <w:p>
      <w:pPr>
        <w:spacing w:after="0" w:line="9" w:lineRule="exact"/>
        <w:rPr>
          <w:rFonts w:ascii="Arial" w:cs="Arial" w:eastAsia="Arial" w:hAnsi="Arial"/>
          <w:sz w:val="16"/>
          <w:szCs w:val="16"/>
          <w:color w:val="auto"/>
          <w:vertAlign w:val="superscript"/>
        </w:rPr>
      </w:pPr>
    </w:p>
    <w:p>
      <w:pPr>
        <w:ind w:left="280" w:right="540" w:hanging="6"/>
        <w:spacing w:after="0" w:line="215" w:lineRule="auto"/>
        <w:tabs>
          <w:tab w:leader="none" w:pos="408"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Non-GAAP core operating return on average equity is a non-GAAP financial measure. The most directly comparable GAAP financial measure is return on average equity. See “GAAP Reconciliation and Management Explanation of Non-GAAP Financial Measures” for a reconciliation of this measure.</w:t>
      </w:r>
    </w:p>
    <w:p>
      <w:pPr>
        <w:spacing w:after="0" w:line="8" w:lineRule="exact"/>
        <w:rPr>
          <w:rFonts w:ascii="Arial" w:cs="Arial" w:eastAsia="Arial" w:hAnsi="Arial"/>
          <w:sz w:val="16"/>
          <w:szCs w:val="16"/>
          <w:color w:val="auto"/>
          <w:vertAlign w:val="superscript"/>
        </w:rPr>
      </w:pPr>
    </w:p>
    <w:p>
      <w:pPr>
        <w:ind w:left="400" w:hanging="126"/>
        <w:spacing w:after="0"/>
        <w:tabs>
          <w:tab w:leader="none" w:pos="40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Interim periods are annualized.</w:t>
      </w:r>
    </w:p>
    <w:p>
      <w:pPr>
        <w:spacing w:after="0" w:line="18" w:lineRule="exact"/>
        <w:rPr>
          <w:rFonts w:ascii="Arial" w:cs="Arial" w:eastAsia="Arial" w:hAnsi="Arial"/>
          <w:sz w:val="14"/>
          <w:szCs w:val="14"/>
          <w:color w:val="auto"/>
          <w:vertAlign w:val="superscript"/>
        </w:rPr>
      </w:pPr>
    </w:p>
    <w:p>
      <w:pPr>
        <w:ind w:left="400" w:hanging="126"/>
        <w:spacing w:after="0" w:line="225" w:lineRule="auto"/>
        <w:tabs>
          <w:tab w:leader="none" w:pos="40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We calculate efficiency ratio as non-interest expense divided by the sum of net interest income and non-interest income.</w:t>
      </w:r>
    </w:p>
    <w:p>
      <w:pPr>
        <w:spacing w:after="0" w:line="18" w:lineRule="exact"/>
        <w:rPr>
          <w:rFonts w:ascii="Arial" w:cs="Arial" w:eastAsia="Arial" w:hAnsi="Arial"/>
          <w:sz w:val="14"/>
          <w:szCs w:val="14"/>
          <w:color w:val="auto"/>
          <w:vertAlign w:val="superscript"/>
        </w:rPr>
      </w:pPr>
    </w:p>
    <w:p>
      <w:pPr>
        <w:ind w:left="280" w:right="440" w:hanging="6"/>
        <w:spacing w:after="0" w:line="207" w:lineRule="auto"/>
        <w:tabs>
          <w:tab w:leader="none" w:pos="408"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Non-GAAP core operating efficiency ratio - tax equivalent is a non-GAAP financial measure. The most directly comparable GAAP financial measure is the efficiency ratio. See “GAAP Reconciliation and Management Explanation of Non-GAAP Financial Measures” for a reconciliation of this measure.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Summary</w:t>
      </w:r>
    </w:p>
    <w:p>
      <w:pPr>
        <w:spacing w:after="0" w:line="126" w:lineRule="exact"/>
        <w:rPr>
          <w:sz w:val="20"/>
          <w:szCs w:val="20"/>
          <w:color w:val="auto"/>
        </w:rPr>
      </w:pPr>
    </w:p>
    <w:p>
      <w:pPr>
        <w:ind w:left="140" w:right="140" w:firstLine="382"/>
        <w:spacing w:after="0" w:line="267"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Company’s results of operations include its non-interest expense, such as salaries and employee benefits, occupancy and equipment and other miscellaneous operating expenses. The components of the Company’s results of operations were as follows for the periods shown:</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3"/>
          </w:tcPr>
          <w:p>
            <w:pPr>
              <w:jc w:val="center"/>
              <w:ind w:right="89"/>
              <w:spacing w:after="0"/>
              <w:rPr>
                <w:sz w:val="20"/>
                <w:szCs w:val="20"/>
                <w:color w:val="auto"/>
              </w:rPr>
            </w:pPr>
            <w:r>
              <w:rPr>
                <w:rFonts w:ascii="Arial" w:cs="Arial" w:eastAsia="Arial" w:hAnsi="Arial"/>
                <w:sz w:val="14"/>
                <w:szCs w:val="14"/>
                <w:b w:val="1"/>
                <w:bCs w:val="1"/>
                <w:color w:val="auto"/>
                <w:w w:val="92"/>
              </w:rPr>
              <w:t>Three Months Ended</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2"/>
        </w:trPr>
        <w:tc>
          <w:tcPr>
            <w:tcW w:w="4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gridSpan w:val="3"/>
          </w:tcPr>
          <w:p>
            <w:pPr>
              <w:jc w:val="center"/>
              <w:ind w:right="69"/>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
        </w:trPr>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4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ind w:left="460"/>
              <w:spacing w:after="0"/>
              <w:rPr>
                <w:sz w:val="20"/>
                <w:szCs w:val="20"/>
                <w:color w:val="auto"/>
              </w:rPr>
            </w:pPr>
            <w:r>
              <w:rPr>
                <w:rFonts w:ascii="Arial" w:cs="Arial" w:eastAsia="Arial" w:hAnsi="Arial"/>
                <w:sz w:val="14"/>
                <w:szCs w:val="14"/>
                <w:b w:val="1"/>
                <w:bCs w:val="1"/>
                <w:color w:val="auto"/>
              </w:rPr>
              <w:t>$ Change</w:t>
            </w:r>
          </w:p>
        </w:tc>
        <w:tc>
          <w:tcPr>
            <w:tcW w:w="1520" w:type="dxa"/>
            <w:vAlign w:val="bottom"/>
          </w:tcPr>
          <w:p>
            <w:pPr>
              <w:jc w:val="right"/>
              <w:ind w:right="369"/>
              <w:spacing w:after="0"/>
              <w:rPr>
                <w:sz w:val="20"/>
                <w:szCs w:val="20"/>
                <w:color w:val="auto"/>
              </w:rPr>
            </w:pPr>
            <w:r>
              <w:rPr>
                <w:rFonts w:ascii="Arial" w:cs="Arial" w:eastAsia="Arial" w:hAnsi="Arial"/>
                <w:sz w:val="14"/>
                <w:szCs w:val="14"/>
                <w:b w:val="1"/>
                <w:bCs w:val="1"/>
                <w:color w:val="auto"/>
              </w:rPr>
              <w:t>% Change</w:t>
            </w:r>
          </w:p>
        </w:tc>
      </w:tr>
      <w:tr>
        <w:trPr>
          <w:trHeight w:val="22"/>
        </w:trPr>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7"/>
        </w:trPr>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gridSpan w:val="3"/>
          </w:tcPr>
          <w:p>
            <w:pPr>
              <w:jc w:val="center"/>
              <w:ind w:right="89"/>
              <w:spacing w:after="0"/>
              <w:rPr>
                <w:sz w:val="20"/>
                <w:szCs w:val="20"/>
                <w:color w:val="auto"/>
              </w:rPr>
            </w:pPr>
            <w:r>
              <w:rPr>
                <w:rFonts w:ascii="Arial" w:cs="Arial" w:eastAsia="Arial" w:hAnsi="Arial"/>
                <w:sz w:val="13"/>
                <w:szCs w:val="13"/>
                <w:i w:val="1"/>
                <w:iCs w:val="1"/>
                <w:color w:val="auto"/>
                <w:w w:val="91"/>
              </w:rPr>
              <w:t>(Dollars in thousands)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6"/>
        </w:trPr>
        <w:tc>
          <w:tcPr>
            <w:tcW w:w="4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2"/>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97"/>
              </w:rPr>
              <w:t>38,228</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93"/>
              </w:rPr>
              <w:t>33,605</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4,623</w:t>
            </w: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91"/>
        </w:trPr>
        <w:tc>
          <w:tcPr>
            <w:tcW w:w="4420" w:type="dxa"/>
            <w:vAlign w:val="bottom"/>
          </w:tcPr>
          <w:p>
            <w:pPr>
              <w:spacing w:after="0"/>
              <w:rPr>
                <w:sz w:val="20"/>
                <w:szCs w:val="20"/>
                <w:color w:val="auto"/>
              </w:rPr>
            </w:pPr>
            <w:r>
              <w:rPr>
                <w:rFonts w:ascii="Arial" w:cs="Arial" w:eastAsia="Arial" w:hAnsi="Arial"/>
                <w:sz w:val="14"/>
                <w:szCs w:val="14"/>
                <w:color w:val="auto"/>
              </w:rPr>
              <w:t>Provision for loan losses</w:t>
            </w:r>
          </w:p>
        </w:tc>
        <w:tc>
          <w:tcPr>
            <w:tcW w:w="920" w:type="dxa"/>
            <w:vAlign w:val="bottom"/>
          </w:tcPr>
          <w:p>
            <w:pPr>
              <w:spacing w:after="0"/>
              <w:rPr>
                <w:sz w:val="16"/>
                <w:szCs w:val="16"/>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w w:val="97"/>
              </w:rPr>
              <w:t>13,950</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2,850</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11,100</w:t>
            </w:r>
          </w:p>
        </w:tc>
        <w:tc>
          <w:tcPr>
            <w:tcW w:w="240" w:type="dxa"/>
            <w:vAlign w:val="bottom"/>
          </w:tcPr>
          <w:p>
            <w:pPr>
              <w:spacing w:after="0"/>
              <w:rPr>
                <w:sz w:val="16"/>
                <w:szCs w:val="16"/>
                <w:color w:val="auto"/>
              </w:rPr>
            </w:pP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389</w:t>
            </w:r>
          </w:p>
        </w:tc>
      </w:tr>
      <w:tr>
        <w:trPr>
          <w:trHeight w:val="22"/>
        </w:trPr>
        <w:tc>
          <w:tcPr>
            <w:tcW w:w="4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Non-interest income</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2,095</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1,645</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450</w:t>
            </w: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27</w:t>
            </w:r>
          </w:p>
        </w:tc>
      </w:tr>
      <w:tr>
        <w:trPr>
          <w:trHeight w:val="191"/>
        </w:trPr>
        <w:tc>
          <w:tcPr>
            <w:tcW w:w="4420" w:type="dxa"/>
            <w:vAlign w:val="bottom"/>
          </w:tcPr>
          <w:p>
            <w:pPr>
              <w:spacing w:after="0"/>
              <w:rPr>
                <w:sz w:val="20"/>
                <w:szCs w:val="20"/>
                <w:color w:val="auto"/>
              </w:rPr>
            </w:pPr>
            <w:r>
              <w:rPr>
                <w:rFonts w:ascii="Arial" w:cs="Arial" w:eastAsia="Arial" w:hAnsi="Arial"/>
                <w:sz w:val="14"/>
                <w:szCs w:val="14"/>
                <w:color w:val="auto"/>
              </w:rPr>
              <w:t>Non-interest expense</w:t>
            </w:r>
          </w:p>
        </w:tc>
        <w:tc>
          <w:tcPr>
            <w:tcW w:w="920" w:type="dxa"/>
            <w:vAlign w:val="bottom"/>
          </w:tcPr>
          <w:p>
            <w:pPr>
              <w:spacing w:after="0"/>
              <w:rPr>
                <w:sz w:val="16"/>
                <w:szCs w:val="16"/>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w w:val="97"/>
              </w:rPr>
              <w:t>22,223</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w w:val="93"/>
              </w:rPr>
              <w:t>22,631</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(408)</w:t>
            </w:r>
          </w:p>
        </w:tc>
        <w:tc>
          <w:tcPr>
            <w:tcW w:w="240" w:type="dxa"/>
            <w:vAlign w:val="bottom"/>
          </w:tcPr>
          <w:p>
            <w:pPr>
              <w:spacing w:after="0"/>
              <w:rPr>
                <w:sz w:val="16"/>
                <w:szCs w:val="16"/>
                <w:color w:val="auto"/>
              </w:rPr>
            </w:pPr>
          </w:p>
        </w:tc>
        <w:tc>
          <w:tcPr>
            <w:tcW w:w="1520" w:type="dxa"/>
            <w:vAlign w:val="bottom"/>
          </w:tcPr>
          <w:p>
            <w:pPr>
              <w:jc w:val="right"/>
              <w:ind w:right="69"/>
              <w:spacing w:after="0"/>
              <w:rPr>
                <w:sz w:val="20"/>
                <w:szCs w:val="20"/>
                <w:color w:val="auto"/>
              </w:rPr>
            </w:pPr>
            <w:r>
              <w:rPr>
                <w:rFonts w:ascii="Arial" w:cs="Arial" w:eastAsia="Arial" w:hAnsi="Arial"/>
                <w:sz w:val="14"/>
                <w:szCs w:val="14"/>
                <w:color w:val="auto"/>
              </w:rPr>
              <w:t>(2)</w:t>
            </w:r>
          </w:p>
        </w:tc>
      </w:tr>
      <w:tr>
        <w:trPr>
          <w:trHeight w:val="22"/>
        </w:trPr>
        <w:tc>
          <w:tcPr>
            <w:tcW w:w="4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2"/>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taxes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293</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419</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(126)</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(30)</w:t>
            </w:r>
          </w:p>
        </w:tc>
      </w:tr>
      <w:tr>
        <w:trPr>
          <w:trHeight w:val="203"/>
        </w:trPr>
        <w:tc>
          <w:tcPr>
            <w:tcW w:w="442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3,857</w:t>
            </w:r>
          </w:p>
        </w:tc>
        <w:tc>
          <w:tcPr>
            <w:tcW w:w="2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9,350</w:t>
            </w: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(5,493)</w:t>
            </w:r>
          </w:p>
        </w:tc>
        <w:tc>
          <w:tcPr>
            <w:tcW w:w="24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5"/>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Preferred dividends</w:t>
            </w:r>
          </w:p>
        </w:tc>
        <w:tc>
          <w:tcPr>
            <w:tcW w:w="9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175</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(175)</w:t>
            </w: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w:t>
            </w:r>
          </w:p>
        </w:tc>
      </w:tr>
      <w:tr>
        <w:trPr>
          <w:trHeight w:val="203"/>
        </w:trPr>
        <w:tc>
          <w:tcPr>
            <w:tcW w:w="4420" w:type="dxa"/>
            <w:vAlign w:val="bottom"/>
          </w:tcPr>
          <w:p>
            <w:pPr>
              <w:spacing w:after="0"/>
              <w:rPr>
                <w:sz w:val="20"/>
                <w:szCs w:val="20"/>
                <w:color w:val="auto"/>
              </w:rPr>
            </w:pPr>
            <w:r>
              <w:rPr>
                <w:rFonts w:ascii="Arial" w:cs="Arial" w:eastAsia="Arial" w:hAnsi="Arial"/>
                <w:sz w:val="14"/>
                <w:szCs w:val="14"/>
                <w:color w:val="auto"/>
              </w:rPr>
              <w:t>Net income available to common shareholders</w:t>
            </w:r>
          </w:p>
        </w:tc>
        <w:tc>
          <w:tcPr>
            <w:tcW w:w="92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3,857</w:t>
            </w:r>
          </w:p>
        </w:tc>
        <w:tc>
          <w:tcPr>
            <w:tcW w:w="2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9,175</w:t>
            </w: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(5,318)</w:t>
            </w:r>
          </w:p>
        </w:tc>
        <w:tc>
          <w:tcPr>
            <w:tcW w:w="24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0"/>
        </w:trPr>
        <w:tc>
          <w:tcPr>
            <w:tcW w:w="442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4"/>
                <w:szCs w:val="14"/>
                <w:color w:val="auto"/>
              </w:rPr>
              <w:t>Non-GAAP core operating income</w:t>
            </w:r>
            <w:r>
              <w:rPr>
                <w:rFonts w:ascii="Arial" w:cs="Arial" w:eastAsia="Arial" w:hAnsi="Arial"/>
                <w:sz w:val="18"/>
                <w:szCs w:val="18"/>
                <w:color w:val="auto"/>
                <w:vertAlign w:val="superscript"/>
              </w:rPr>
              <w:t>(1)</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3,857</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7,989</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(4,132)</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280" w:right="100" w:hanging="6"/>
        <w:spacing w:after="0" w:line="215" w:lineRule="auto"/>
        <w:tabs>
          <w:tab w:leader="none" w:pos="408"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Non-GAAP core operating income is a non-GAAP financial measure. The most directly comparable measure under GAAP is net income. See “GAAP Reconciliation and Management Explanation of Non-GAAP Financial Measures” for a reconciliation of this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Interest Income</w:t>
      </w:r>
    </w:p>
    <w:p>
      <w:pPr>
        <w:spacing w:after="0" w:line="317" w:lineRule="exact"/>
        <w:rPr>
          <w:sz w:val="20"/>
          <w:szCs w:val="20"/>
          <w:color w:val="auto"/>
        </w:rPr>
      </w:pPr>
    </w:p>
    <w:p>
      <w:pPr>
        <w:ind w:left="140" w:right="20" w:firstLine="382"/>
        <w:spacing w:after="0" w:line="262" w:lineRule="auto"/>
        <w:rPr>
          <w:sz w:val="20"/>
          <w:szCs w:val="20"/>
          <w:color w:val="auto"/>
        </w:rPr>
      </w:pPr>
      <w:r>
        <w:rPr>
          <w:rFonts w:ascii="Arial" w:cs="Arial" w:eastAsia="Arial" w:hAnsi="Arial"/>
          <w:sz w:val="14"/>
          <w:szCs w:val="14"/>
          <w:color w:val="auto"/>
        </w:rPr>
        <w:t>We present and discuss net interest income on a tax-equivalent basis below. A tax-equivalent basis makes all income taxable at the same rate. For example, $100 of tax-exempt income would be presented as $126.58, an amount that, if taxed at the statutory federal income tax rate of 21% would yield $100. We believe a tax-equivalent basis provides for improved comparability between the various earning assets. The following table presents, for the periods indicated, average balance sheet information, interest income, interest expense and the corresponding average yield and rates paid:</w:t>
      </w:r>
    </w:p>
    <w:p>
      <w:pPr>
        <w:spacing w:after="0" w:line="14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Balance</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Interest Income</w:t>
            </w:r>
          </w:p>
        </w:tc>
        <w:tc>
          <w:tcPr>
            <w:tcW w:w="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Average Yield /</w:t>
            </w:r>
          </w:p>
        </w:tc>
        <w:tc>
          <w:tcPr>
            <w:tcW w:w="12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Balance</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Interest Income</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Average Yield /</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4"/>
              </w:rPr>
              <w:t>/ Expense</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0"/>
              <w:spacing w:after="0" w:line="181"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(4)</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Expense</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Rate(4)</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3"/>
                <w:szCs w:val="13"/>
                <w:i w:val="1"/>
                <w:iCs w:val="1"/>
                <w:color w:val="auto"/>
                <w:w w:val="90"/>
              </w:rPr>
              <w:t>(Dollars in thousands)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Interest-earning assets:</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80"/>
              <w:spacing w:after="0"/>
              <w:rPr>
                <w:sz w:val="20"/>
                <w:szCs w:val="20"/>
                <w:color w:val="auto"/>
              </w:rPr>
            </w:pPr>
            <w:r>
              <w:rPr>
                <w:rFonts w:ascii="Arial" w:cs="Arial" w:eastAsia="Arial" w:hAnsi="Arial"/>
                <w:sz w:val="14"/>
                <w:szCs w:val="14"/>
                <w:color w:val="auto"/>
              </w:rPr>
              <w:t>Securities - taxable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308,671</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2,066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2.69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322,630</w:t>
            </w:r>
          </w:p>
        </w:tc>
        <w:tc>
          <w:tcPr>
            <w:tcW w:w="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2,573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451,443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4,007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368,291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80"/>
              <w:spacing w:after="0"/>
              <w:rPr>
                <w:sz w:val="20"/>
                <w:szCs w:val="20"/>
                <w:color w:val="auto"/>
              </w:rPr>
            </w:pPr>
            <w:r>
              <w:rPr>
                <w:rFonts w:ascii="Arial" w:cs="Arial" w:eastAsia="Arial" w:hAnsi="Arial"/>
                <w:sz w:val="14"/>
                <w:szCs w:val="14"/>
                <w:color w:val="auto"/>
              </w:rPr>
              <w:t>Federal funds sold</w:t>
            </w:r>
          </w:p>
        </w:tc>
        <w:tc>
          <w:tcPr>
            <w:tcW w:w="10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4,136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24,756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159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Interest-bearing deposits in other banks</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158,044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473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121,945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647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Gross loans, net of unearned income</w:t>
            </w:r>
            <w:r>
              <w:rPr>
                <w:rFonts w:ascii="Arial" w:cs="Arial" w:eastAsia="Arial" w:hAnsi="Arial"/>
                <w:sz w:val="18"/>
                <w:szCs w:val="18"/>
                <w:color w:val="auto"/>
                <w:vertAlign w:val="superscript"/>
              </w:rPr>
              <w:t>(2)(3)</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3,905,005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48,339</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3,176,346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45,003</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60"/>
              <w:spacing w:after="0" w:line="203" w:lineRule="exact"/>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4,827,299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54,903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4,013,968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51,933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4240" w:type="dxa"/>
            <w:vAlign w:val="bottom"/>
          </w:tcPr>
          <w:p>
            <w:pPr>
              <w:ind w:left="80"/>
              <w:spacing w:after="0"/>
              <w:rPr>
                <w:sz w:val="20"/>
                <w:szCs w:val="20"/>
                <w:color w:val="auto"/>
              </w:rPr>
            </w:pPr>
            <w:r>
              <w:rPr>
                <w:rFonts w:ascii="Arial" w:cs="Arial" w:eastAsia="Arial" w:hAnsi="Arial"/>
                <w:sz w:val="14"/>
                <w:szCs w:val="14"/>
                <w:color w:val="auto"/>
              </w:rPr>
              <w:t>Allowance for loan losses</w:t>
            </w:r>
          </w:p>
        </w:tc>
        <w:tc>
          <w:tcPr>
            <w:tcW w:w="100" w:type="dxa"/>
            <w:vAlign w:val="bottom"/>
          </w:tcPr>
          <w:p>
            <w:pPr>
              <w:spacing w:after="0"/>
              <w:rPr>
                <w:sz w:val="16"/>
                <w:szCs w:val="16"/>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(57,627)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(39,340)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Other non-interest-earning assets</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205,859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193,615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4,975,531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4,168,243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4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Interest-bearing liabilities</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80"/>
              <w:spacing w:after="0"/>
              <w:rPr>
                <w:sz w:val="20"/>
                <w:szCs w:val="20"/>
                <w:color w:val="auto"/>
              </w:rPr>
            </w:pPr>
            <w:r>
              <w:rPr>
                <w:rFonts w:ascii="Arial" w:cs="Arial" w:eastAsia="Arial" w:hAnsi="Arial"/>
                <w:sz w:val="14"/>
                <w:szCs w:val="14"/>
                <w:color w:val="auto"/>
              </w:rPr>
              <w:t>Transaction deposits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341,497</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865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104,008</w:t>
            </w:r>
          </w:p>
        </w:tc>
        <w:tc>
          <w:tcPr>
            <w:tcW w:w="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276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Savings and money market deposits</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1,886,785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6,735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1,543,925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8,818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80"/>
              <w:spacing w:after="0"/>
              <w:rPr>
                <w:sz w:val="20"/>
                <w:szCs w:val="20"/>
                <w:color w:val="auto"/>
              </w:rPr>
            </w:pPr>
            <w:r>
              <w:rPr>
                <w:rFonts w:ascii="Arial" w:cs="Arial" w:eastAsia="Arial" w:hAnsi="Arial"/>
                <w:sz w:val="14"/>
                <w:szCs w:val="14"/>
                <w:color w:val="auto"/>
              </w:rPr>
              <w:t>Time deposits</w:t>
            </w:r>
          </w:p>
        </w:tc>
        <w:tc>
          <w:tcPr>
            <w:tcW w:w="10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1,165,800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6,672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1,164,613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6,827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interest-bearing deposits</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3,394,082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14,272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2,812,546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15,921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80"/>
              <w:spacing w:after="0"/>
              <w:rPr>
                <w:sz w:val="20"/>
                <w:szCs w:val="20"/>
                <w:color w:val="auto"/>
              </w:rPr>
            </w:pPr>
            <w:r>
              <w:rPr>
                <w:rFonts w:ascii="Arial" w:cs="Arial" w:eastAsia="Arial" w:hAnsi="Arial"/>
                <w:sz w:val="14"/>
                <w:szCs w:val="14"/>
                <w:color w:val="auto"/>
              </w:rPr>
              <w:t>FHLB and short-term borrowings</w:t>
            </w:r>
          </w:p>
        </w:tc>
        <w:tc>
          <w:tcPr>
            <w:tcW w:w="10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391,143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1,673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383,114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1,753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Trust preferred securities, net of fair value adjustments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80"/>
              <w:spacing w:after="0"/>
              <w:rPr>
                <w:sz w:val="20"/>
                <w:szCs w:val="20"/>
                <w:color w:val="auto"/>
              </w:rPr>
            </w:pPr>
            <w:r>
              <w:rPr>
                <w:rFonts w:ascii="Arial" w:cs="Arial" w:eastAsia="Arial" w:hAnsi="Arial"/>
                <w:sz w:val="14"/>
                <w:szCs w:val="14"/>
                <w:color w:val="auto"/>
              </w:rPr>
              <w:t>Non-interest-bearing deposits</w:t>
            </w:r>
          </w:p>
        </w:tc>
        <w:tc>
          <w:tcPr>
            <w:tcW w:w="10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540,318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477,236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Cost of funds</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4,326,466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15,980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3,673,781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17,712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4240" w:type="dxa"/>
            <w:vAlign w:val="bottom"/>
          </w:tcPr>
          <w:p>
            <w:pPr>
              <w:ind w:left="8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36,106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18,289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612,959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476,173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4,975,531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4,168,243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240" w:type="dxa"/>
            <w:vAlign w:val="bottom"/>
            <w:tcBorders>
              <w:top w:val="single" w:sz="8" w:color="CCEEFF"/>
              <w:bottom w:val="single" w:sz="8" w:color="CCEEFF"/>
            </w:tcBorders>
            <w:shd w:val="clear" w:color="auto" w:fill="CCEEFF"/>
          </w:tcPr>
          <w:p>
            <w:pPr>
              <w:spacing w:after="0" w:line="164" w:lineRule="exact"/>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(1)</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38,923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34,221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line="194" w:lineRule="exact"/>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4"/>
                <w:szCs w:val="14"/>
                <w:color w:val="auto"/>
              </w:rPr>
              <w:t>3.08</w:t>
            </w: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4"/>
                <w:szCs w:val="14"/>
                <w:color w:val="auto"/>
              </w:rPr>
              <w:t>3.29</w:t>
            </w: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line="20" w:lineRule="exact"/>
              <w:rPr>
                <w:sz w:val="1"/>
                <w:szCs w:val="1"/>
                <w:color w:val="auto"/>
              </w:rPr>
            </w:pPr>
          </w:p>
        </w:tc>
      </w:tr>
      <w:tr>
        <w:trPr>
          <w:trHeight w:val="153"/>
        </w:trPr>
        <w:tc>
          <w:tcPr>
            <w:tcW w:w="4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0" w:hanging="126"/>
        <w:spacing w:after="0"/>
        <w:tabs>
          <w:tab w:leader="none" w:pos="40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Tax exempt income is calculated on a tax equivalent basis. Tax-free municipal securities are exempt from Federal taxes. The incremental tax rate used is 21.0%.</w:t>
      </w:r>
    </w:p>
    <w:p>
      <w:pPr>
        <w:spacing w:after="0" w:line="18" w:lineRule="exact"/>
        <w:rPr>
          <w:rFonts w:ascii="Arial" w:cs="Arial" w:eastAsia="Arial" w:hAnsi="Arial"/>
          <w:sz w:val="14"/>
          <w:szCs w:val="14"/>
          <w:color w:val="auto"/>
          <w:vertAlign w:val="superscript"/>
        </w:rPr>
      </w:pPr>
    </w:p>
    <w:p>
      <w:pPr>
        <w:ind w:left="400" w:hanging="126"/>
        <w:spacing w:after="0" w:line="225" w:lineRule="auto"/>
        <w:tabs>
          <w:tab w:leader="none" w:pos="40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Loans, net of unearned income includes non-accrual loans of $26 million and $13 million as of March 31, 2020 and 2019, respectively.</w:t>
      </w:r>
    </w:p>
    <w:p>
      <w:pPr>
        <w:spacing w:after="0" w:line="18" w:lineRule="exact"/>
        <w:rPr>
          <w:rFonts w:ascii="Arial" w:cs="Arial" w:eastAsia="Arial" w:hAnsi="Arial"/>
          <w:sz w:val="14"/>
          <w:szCs w:val="14"/>
          <w:color w:val="auto"/>
          <w:vertAlign w:val="superscript"/>
        </w:rPr>
      </w:pPr>
    </w:p>
    <w:p>
      <w:pPr>
        <w:ind w:left="400" w:hanging="126"/>
        <w:spacing w:after="0" w:line="225" w:lineRule="auto"/>
        <w:tabs>
          <w:tab w:leader="none" w:pos="40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Loan interest income includes loan fees of $2 million and $2 million for the three months ended March 31, 2020 and 2019, respectively.</w:t>
      </w:r>
    </w:p>
    <w:p>
      <w:pPr>
        <w:spacing w:after="0" w:line="18" w:lineRule="exact"/>
        <w:rPr>
          <w:rFonts w:ascii="Arial" w:cs="Arial" w:eastAsia="Arial" w:hAnsi="Arial"/>
          <w:sz w:val="14"/>
          <w:szCs w:val="14"/>
          <w:color w:val="auto"/>
          <w:vertAlign w:val="superscript"/>
        </w:rPr>
      </w:pPr>
    </w:p>
    <w:p>
      <w:pPr>
        <w:ind w:left="400" w:hanging="126"/>
        <w:spacing w:after="0" w:line="225" w:lineRule="auto"/>
        <w:tabs>
          <w:tab w:leader="none" w:pos="40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Actual unrounded values are used to calculate the reported yield or rate disclosed. Accordingly, recalculations using the amounts in thousands as disclosed in this report may not produce the same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left="140" w:right="260" w:firstLine="382"/>
        <w:spacing w:after="0" w:line="297" w:lineRule="auto"/>
        <w:rPr>
          <w:sz w:val="20"/>
          <w:szCs w:val="20"/>
          <w:color w:val="auto"/>
        </w:rPr>
      </w:pPr>
      <w:r>
        <w:rPr>
          <w:rFonts w:ascii="Arial" w:cs="Arial" w:eastAsia="Arial" w:hAnsi="Arial"/>
          <w:sz w:val="13"/>
          <w:szCs w:val="13"/>
          <w:color w:val="auto"/>
        </w:rPr>
        <w:t>Changes in interest income and interest expense result from changes in average balances (volume) of interest earning assets and interest-bearing liabilities, as well as changes in average interest rates. The following table sets forth the effects of changing rates and volumes on our net interest income during the period shown. Information is provided with respect to: (i) changes in volume (change in volume times old rate); (ii) changes in rates (change in rate times old volume); and (iii) changes in rate/volume (change in rate times the change in volume).</w:t>
      </w:r>
    </w:p>
    <w:p>
      <w:pPr>
        <w:spacing w:after="0" w:line="12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2"/>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March 31, 2020 over 2019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6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1"/>
              </w:rPr>
              <w:t>Average Volume</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Yield/Rate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9"/>
              <w:spacing w:after="0" w:line="203" w:lineRule="exact"/>
              <w:rPr>
                <w:sz w:val="20"/>
                <w:szCs w:val="20"/>
                <w:color w:val="auto"/>
              </w:rPr>
            </w:pPr>
            <w:r>
              <w:rPr>
                <w:rFonts w:ascii="Arial" w:cs="Arial" w:eastAsia="Arial" w:hAnsi="Arial"/>
                <w:sz w:val="14"/>
                <w:szCs w:val="14"/>
                <w:b w:val="1"/>
                <w:bCs w:val="1"/>
                <w:color w:val="auto"/>
                <w:w w:val="95"/>
              </w:rPr>
              <w:t>Net Change</w:t>
            </w:r>
            <w:r>
              <w:rPr>
                <w:rFonts w:ascii="Arial" w:cs="Arial" w:eastAsia="Arial" w:hAnsi="Arial"/>
                <w:sz w:val="18"/>
                <w:szCs w:val="18"/>
                <w:b w:val="1"/>
                <w:bCs w:val="1"/>
                <w:color w:val="auto"/>
                <w:w w:val="95"/>
                <w:vertAlign w:val="superscript"/>
              </w:rPr>
              <w:t>(2)</w:t>
            </w:r>
          </w:p>
        </w:tc>
      </w:tr>
      <w:tr>
        <w:trPr>
          <w:trHeight w:val="167"/>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3"/>
                <w:szCs w:val="13"/>
                <w:i w:val="1"/>
                <w:iCs w:val="1"/>
                <w:color w:val="auto"/>
                <w:w w:val="91"/>
              </w:rPr>
              <w:t>(Dollars in thousands)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6"/>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1"/>
        </w:trPr>
        <w:tc>
          <w:tcPr>
            <w:tcW w:w="6840" w:type="dxa"/>
            <w:vAlign w:val="bottom"/>
          </w:tcPr>
          <w:p>
            <w:pPr>
              <w:ind w:left="80"/>
              <w:spacing w:after="0"/>
              <w:rPr>
                <w:sz w:val="20"/>
                <w:szCs w:val="20"/>
                <w:color w:val="auto"/>
              </w:rPr>
            </w:pPr>
            <w:r>
              <w:rPr>
                <w:rFonts w:ascii="Arial" w:cs="Arial" w:eastAsia="Arial" w:hAnsi="Arial"/>
                <w:sz w:val="14"/>
                <w:szCs w:val="14"/>
                <w:color w:val="auto"/>
              </w:rPr>
              <w:t>Securities - taxable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(104)</w:t>
            </w:r>
          </w:p>
        </w:tc>
        <w:tc>
          <w:tcPr>
            <w:tcW w:w="42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(403)</w:t>
            </w:r>
          </w:p>
        </w:tc>
        <w:tc>
          <w:tcPr>
            <w:tcW w:w="2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(507)</w:t>
            </w:r>
          </w:p>
        </w:tc>
      </w:tr>
      <w:tr>
        <w:trPr>
          <w:trHeight w:val="22"/>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6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456</w:t>
            </w:r>
          </w:p>
        </w:tc>
      </w:tr>
      <w:tr>
        <w:trPr>
          <w:trHeight w:val="191"/>
        </w:trPr>
        <w:tc>
          <w:tcPr>
            <w:tcW w:w="6840" w:type="dxa"/>
            <w:vAlign w:val="bottom"/>
          </w:tcPr>
          <w:p>
            <w:pPr>
              <w:ind w:left="80"/>
              <w:spacing w:after="0"/>
              <w:rPr>
                <w:sz w:val="20"/>
                <w:szCs w:val="20"/>
                <w:color w:val="auto"/>
              </w:rPr>
            </w:pPr>
            <w:r>
              <w:rPr>
                <w:rFonts w:ascii="Arial" w:cs="Arial" w:eastAsia="Arial" w:hAnsi="Arial"/>
                <w:sz w:val="14"/>
                <w:szCs w:val="14"/>
                <w:color w:val="auto"/>
              </w:rPr>
              <w:t>Federal funds sold</w:t>
            </w:r>
          </w:p>
        </w:tc>
        <w:tc>
          <w:tcPr>
            <w:tcW w:w="120" w:type="dxa"/>
            <w:vAlign w:val="bottom"/>
          </w:tcPr>
          <w:p>
            <w:pPr>
              <w:spacing w:after="0"/>
              <w:rPr>
                <w:sz w:val="16"/>
                <w:szCs w:val="16"/>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(141)</w:t>
            </w:r>
          </w:p>
        </w:tc>
      </w:tr>
      <w:tr>
        <w:trPr>
          <w:trHeight w:val="22"/>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Interest-bearing deposits in other banks</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161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(335)</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(174)</w:t>
            </w:r>
          </w:p>
        </w:tc>
      </w:tr>
      <w:tr>
        <w:trPr>
          <w:trHeight w:val="191"/>
        </w:trPr>
        <w:tc>
          <w:tcPr>
            <w:tcW w:w="6840" w:type="dxa"/>
            <w:vAlign w:val="bottom"/>
          </w:tcPr>
          <w:p>
            <w:pPr>
              <w:ind w:left="80"/>
              <w:spacing w:after="0"/>
              <w:rPr>
                <w:sz w:val="20"/>
                <w:szCs w:val="20"/>
                <w:color w:val="auto"/>
              </w:rPr>
            </w:pPr>
            <w:r>
              <w:rPr>
                <w:rFonts w:ascii="Arial" w:cs="Arial" w:eastAsia="Arial" w:hAnsi="Arial"/>
                <w:sz w:val="14"/>
                <w:szCs w:val="14"/>
                <w:color w:val="auto"/>
              </w:rPr>
              <w:t>Gross loans, net of unearned income</w:t>
            </w: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9,785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(6,449)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3,336</w:t>
            </w:r>
          </w:p>
        </w:tc>
      </w:tr>
      <w:tr>
        <w:trPr>
          <w:trHeight w:val="22"/>
        </w:trPr>
        <w:tc>
          <w:tcPr>
            <w:tcW w:w="6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6840" w:type="dxa"/>
            <w:vAlign w:val="bottom"/>
            <w:shd w:val="clear" w:color="auto" w:fill="CCEEFF"/>
          </w:tcPr>
          <w:p>
            <w:pPr>
              <w:ind w:left="160"/>
              <w:spacing w:after="0" w:line="203" w:lineRule="exact"/>
              <w:rPr>
                <w:sz w:val="20"/>
                <w:szCs w:val="20"/>
                <w:color w:val="auto"/>
              </w:rPr>
            </w:pPr>
            <w:r>
              <w:rPr>
                <w:rFonts w:ascii="Arial" w:cs="Arial" w:eastAsia="Arial" w:hAnsi="Arial"/>
                <w:sz w:val="14"/>
                <w:szCs w:val="14"/>
                <w:color w:val="auto"/>
              </w:rPr>
              <w:t>Total interest income</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10,520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(7,550)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2,970</w:t>
            </w:r>
          </w:p>
        </w:tc>
      </w:tr>
      <w:tr>
        <w:trPr>
          <w:trHeight w:val="191"/>
        </w:trPr>
        <w:tc>
          <w:tcPr>
            <w:tcW w:w="684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Transaction deposits</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605</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589</w:t>
            </w:r>
          </w:p>
        </w:tc>
      </w:tr>
      <w:tr>
        <w:trPr>
          <w:trHeight w:val="191"/>
        </w:trPr>
        <w:tc>
          <w:tcPr>
            <w:tcW w:w="6840" w:type="dxa"/>
            <w:vAlign w:val="bottom"/>
          </w:tcPr>
          <w:p>
            <w:pPr>
              <w:ind w:left="80"/>
              <w:spacing w:after="0"/>
              <w:rPr>
                <w:sz w:val="20"/>
                <w:szCs w:val="20"/>
                <w:color w:val="auto"/>
              </w:rPr>
            </w:pPr>
            <w:r>
              <w:rPr>
                <w:rFonts w:ascii="Arial" w:cs="Arial" w:eastAsia="Arial" w:hAnsi="Arial"/>
                <w:sz w:val="14"/>
                <w:szCs w:val="14"/>
                <w:color w:val="auto"/>
              </w:rPr>
              <w:t>Savings and money market deposits</w:t>
            </w: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1,726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(3,809)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(2,083)</w:t>
            </w:r>
          </w:p>
        </w:tc>
      </w:tr>
      <w:tr>
        <w:trPr>
          <w:trHeight w:val="22"/>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Time deposits</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(155)</w:t>
            </w:r>
          </w:p>
        </w:tc>
      </w:tr>
      <w:tr>
        <w:trPr>
          <w:trHeight w:val="181"/>
        </w:trPr>
        <w:tc>
          <w:tcPr>
            <w:tcW w:w="6840" w:type="dxa"/>
            <w:vAlign w:val="bottom"/>
          </w:tcPr>
          <w:p>
            <w:pPr>
              <w:ind w:left="80"/>
              <w:spacing w:after="0"/>
              <w:rPr>
                <w:sz w:val="20"/>
                <w:szCs w:val="20"/>
                <w:color w:val="auto"/>
              </w:rPr>
            </w:pPr>
            <w:r>
              <w:rPr>
                <w:rFonts w:ascii="Arial" w:cs="Arial" w:eastAsia="Arial" w:hAnsi="Arial"/>
                <w:sz w:val="14"/>
                <w:szCs w:val="14"/>
                <w:color w:val="auto"/>
              </w:rPr>
              <w:t>Total interest-bearing deposits</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2,340</w:t>
            </w: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(3,989)</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(1,649)</w:t>
            </w:r>
          </w:p>
        </w:tc>
      </w:tr>
      <w:tr>
        <w:trPr>
          <w:trHeight w:val="22"/>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FHLB and short-term borrowings</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(121)</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(80)</w:t>
            </w:r>
          </w:p>
        </w:tc>
      </w:tr>
      <w:tr>
        <w:trPr>
          <w:trHeight w:val="212"/>
        </w:trPr>
        <w:tc>
          <w:tcPr>
            <w:tcW w:w="68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Trust preferred securities, net of fair value adjustments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r>
      <w:tr>
        <w:trPr>
          <w:trHeight w:val="203"/>
        </w:trPr>
        <w:tc>
          <w:tcPr>
            <w:tcW w:w="6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interest expense</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2,383</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(4,115)</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(1,732)</w:t>
            </w:r>
          </w:p>
        </w:tc>
      </w:tr>
      <w:tr>
        <w:trPr>
          <w:trHeight w:val="203"/>
        </w:trPr>
        <w:tc>
          <w:tcPr>
            <w:tcW w:w="6840" w:type="dxa"/>
            <w:vAlign w:val="bottom"/>
          </w:tcPr>
          <w:p>
            <w:pPr>
              <w:ind w:left="260"/>
              <w:spacing w:after="0" w:line="203" w:lineRule="exact"/>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8,137</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(3,435)</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4,702</w:t>
            </w: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400" w:hanging="126"/>
        <w:spacing w:after="0"/>
        <w:tabs>
          <w:tab w:leader="none" w:pos="400"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Tax exempt income is calculated on a tax equivalent basis. Tax-free municipal securities are exempt from Federal taxes. The incremental tax rate used is 21.0%.</w:t>
      </w:r>
    </w:p>
    <w:p>
      <w:pPr>
        <w:spacing w:after="0" w:line="18" w:lineRule="exact"/>
        <w:rPr>
          <w:rFonts w:ascii="Arial" w:cs="Arial" w:eastAsia="Arial" w:hAnsi="Arial"/>
          <w:sz w:val="14"/>
          <w:szCs w:val="14"/>
          <w:color w:val="auto"/>
          <w:vertAlign w:val="superscript"/>
        </w:rPr>
      </w:pPr>
    </w:p>
    <w:p>
      <w:pPr>
        <w:ind w:left="400" w:hanging="126"/>
        <w:spacing w:after="0" w:line="225" w:lineRule="auto"/>
        <w:tabs>
          <w:tab w:leader="none" w:pos="400"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The change in interest not due solely to volume or rate has been allocated in proportion to the respective absolute dollar amounts of the change in volume or rate.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Three months ended March 31, 2020 over 2019</w:t>
      </w:r>
    </w:p>
    <w:p>
      <w:pPr>
        <w:spacing w:after="0" w:line="136" w:lineRule="exact"/>
        <w:rPr>
          <w:sz w:val="20"/>
          <w:szCs w:val="20"/>
          <w:color w:val="auto"/>
        </w:rPr>
      </w:pPr>
    </w:p>
    <w:p>
      <w:pPr>
        <w:ind w:left="140" w:right="140" w:firstLine="382"/>
        <w:spacing w:after="0" w:line="281" w:lineRule="auto"/>
        <w:rPr>
          <w:sz w:val="20"/>
          <w:szCs w:val="20"/>
          <w:color w:val="auto"/>
        </w:rPr>
      </w:pPr>
      <w:r>
        <w:rPr>
          <w:rFonts w:ascii="Arial" w:cs="Arial" w:eastAsia="Arial" w:hAnsi="Arial"/>
          <w:sz w:val="14"/>
          <w:szCs w:val="14"/>
          <w:color w:val="auto"/>
        </w:rPr>
        <w:t>For the three months ended March 31, 2020, net interest income increased $5 million or 14% from the same period in the prior year. Net interest income improved as a result of a $1 billion or 20% increase in average interest-earning assets offset by a 22 basis point decline in our net interest margin (“NIM”).</w:t>
      </w:r>
    </w:p>
    <w:p>
      <w:pPr>
        <w:spacing w:after="0" w:line="90" w:lineRule="exact"/>
        <w:rPr>
          <w:sz w:val="20"/>
          <w:szCs w:val="20"/>
          <w:color w:val="auto"/>
        </w:rPr>
      </w:pPr>
    </w:p>
    <w:p>
      <w:pPr>
        <w:ind w:left="140" w:right="40" w:firstLine="382"/>
        <w:spacing w:after="0" w:line="284" w:lineRule="auto"/>
        <w:rPr>
          <w:sz w:val="20"/>
          <w:szCs w:val="20"/>
          <w:color w:val="auto"/>
        </w:rPr>
      </w:pPr>
      <w:r>
        <w:rPr>
          <w:rFonts w:ascii="Arial" w:cs="Arial" w:eastAsia="Arial" w:hAnsi="Arial"/>
          <w:sz w:val="13"/>
          <w:szCs w:val="13"/>
          <w:color w:val="auto"/>
        </w:rPr>
        <w:t>For the three months ended March 31, 2020, NIM was 3.24% compared to 3.46% for the same period in 2019. The declining margin was attributable to a declining interest rate environment. Between December 31, 2018 and March 31, 2020 the Federal Open Market Committee (“FOMC”) reduced the target federal funds rate by 2.25%. As a result, we experienced NIM compression as interest-bearing deposits repriced slower than our loan portfolio. The margin on gross loans, net of unearned income decreased 77 basis points from 5.75% to 4.98% for the three months ended March 31, 2020 and 2019, respectively while the Company’s cost of funds declined 47 basis points from 1.96% to 1.49% during the same periods. Changes in the yield and rate of interest-earning assets and interest-bearing liabilities decreased net interest income for the three months ended March 31, 2020 by $3 million from the same period in 2019.</w:t>
      </w:r>
    </w:p>
    <w:p>
      <w:pPr>
        <w:spacing w:after="0" w:line="92" w:lineRule="exact"/>
        <w:rPr>
          <w:sz w:val="20"/>
          <w:szCs w:val="20"/>
          <w:color w:val="auto"/>
        </w:rPr>
      </w:pPr>
    </w:p>
    <w:p>
      <w:pPr>
        <w:ind w:left="140" w:right="20" w:firstLine="382"/>
        <w:spacing w:after="0" w:line="267" w:lineRule="auto"/>
        <w:rPr>
          <w:sz w:val="20"/>
          <w:szCs w:val="20"/>
          <w:color w:val="auto"/>
        </w:rPr>
      </w:pPr>
      <w:r>
        <w:rPr>
          <w:rFonts w:ascii="Arial" w:cs="Arial" w:eastAsia="Arial" w:hAnsi="Arial"/>
          <w:sz w:val="14"/>
          <w:szCs w:val="14"/>
          <w:color w:val="auto"/>
        </w:rPr>
        <w:t>Average volume for the three months ended March 31, 2020 compared to the same period in 2019 improved net interest income by $8 million. Average interest-earning assets were driven by a $729 million or 23% increase in average loans. The growth in loans was primarily supported by a $582 million or 21% increase in interest-bearing deposits and a $63 million or 13% increase in non-interest-bearing deposits.</w:t>
      </w:r>
    </w:p>
    <w:p>
      <w:pPr>
        <w:spacing w:after="0" w:line="99" w:lineRule="exact"/>
        <w:rPr>
          <w:sz w:val="20"/>
          <w:szCs w:val="20"/>
          <w:color w:val="auto"/>
        </w:rPr>
      </w:pPr>
    </w:p>
    <w:p>
      <w:pPr>
        <w:ind w:left="140" w:right="200" w:firstLine="382"/>
        <w:spacing w:after="0" w:line="281" w:lineRule="auto"/>
        <w:rPr>
          <w:sz w:val="20"/>
          <w:szCs w:val="20"/>
          <w:color w:val="auto"/>
        </w:rPr>
      </w:pPr>
      <w:r>
        <w:rPr>
          <w:rFonts w:ascii="Arial" w:cs="Arial" w:eastAsia="Arial" w:hAnsi="Arial"/>
          <w:sz w:val="14"/>
          <w:szCs w:val="14"/>
          <w:color w:val="auto"/>
        </w:rPr>
        <w:t>The Company anticipates NIM to remain flat during the second quarter as interest-earning assets continue to reprice, the PPP loan fees are realized and earned, and the Company modifies interest-bearing liability durations and cost of deposits.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Impact of Transition Away from LIBOR</w:t>
      </w:r>
    </w:p>
    <w:p>
      <w:pPr>
        <w:spacing w:after="0" w:line="136" w:lineRule="exact"/>
        <w:rPr>
          <w:sz w:val="20"/>
          <w:szCs w:val="20"/>
          <w:color w:val="auto"/>
        </w:rPr>
      </w:pPr>
    </w:p>
    <w:p>
      <w:pPr>
        <w:ind w:left="140" w:right="140" w:firstLine="382"/>
        <w:spacing w:after="0" w:line="262" w:lineRule="auto"/>
        <w:rPr>
          <w:sz w:val="20"/>
          <w:szCs w:val="20"/>
          <w:color w:val="auto"/>
        </w:rPr>
      </w:pPr>
      <w:r>
        <w:rPr>
          <w:rFonts w:ascii="Arial" w:cs="Arial" w:eastAsia="Arial" w:hAnsi="Arial"/>
          <w:sz w:val="14"/>
          <w:szCs w:val="14"/>
          <w:color w:val="auto"/>
        </w:rPr>
        <w:t>The Company has loans, derivative contracts, and other financial instruments that directly or indirectly depend on LIBOR to establish an interest rate and/or value. This included more than $1 billion in loans tied to LIBOR as of March 31, 2020. LIBOR is expected to cease on December 31, 2021. The impact of alternatives to LIBOR on the valuations, pricing and operation of our financial instruments is not yet known; however, loans, securities, and derivatives indexed to LIBOR that mature after December 31, 2021 may be impacted. As a result, the Company established an internal committee to evaluate potential substitutions and the related financial impact to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Provision for Loan Losses</w:t>
      </w:r>
    </w:p>
    <w:p>
      <w:pPr>
        <w:spacing w:after="0" w:line="126" w:lineRule="exact"/>
        <w:rPr>
          <w:sz w:val="20"/>
          <w:szCs w:val="20"/>
          <w:color w:val="auto"/>
        </w:rPr>
      </w:pPr>
    </w:p>
    <w:p>
      <w:pPr>
        <w:jc w:val="both"/>
        <w:ind w:left="140" w:right="140" w:firstLine="382"/>
        <w:spacing w:after="0" w:line="267" w:lineRule="auto"/>
        <w:rPr>
          <w:sz w:val="20"/>
          <w:szCs w:val="20"/>
          <w:color w:val="auto"/>
        </w:rPr>
      </w:pPr>
      <w:r>
        <w:rPr>
          <w:rFonts w:ascii="Arial" w:cs="Arial" w:eastAsia="Arial" w:hAnsi="Arial"/>
          <w:sz w:val="14"/>
          <w:szCs w:val="14"/>
          <w:color w:val="auto"/>
        </w:rPr>
        <w:t>The provision for loan losses is a charge to earnings to maintain the allowance for loan losses at a level that reflects management’s assessment of the collectability of the loan portfolio. Net charge-offs (recoveries) represent a reduction (addition) to the allowance for loan losses for loans we believe are no longer collectible. The provision for loan losses was as follows for the periods shown:</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60" w:type="dxa"/>
            <w:vAlign w:val="bottom"/>
            <w:gridSpan w:val="2"/>
          </w:tcPr>
          <w:p>
            <w:pPr>
              <w:jc w:val="center"/>
              <w:ind w:left="411"/>
              <w:spacing w:after="0"/>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12"/>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center"/>
              <w:ind w:left="411"/>
              <w:spacing w:after="0"/>
              <w:rPr>
                <w:sz w:val="20"/>
                <w:szCs w:val="20"/>
                <w:color w:val="auto"/>
              </w:rPr>
            </w:pPr>
            <w:r>
              <w:rPr>
                <w:rFonts w:ascii="Arial" w:cs="Arial" w:eastAsia="Arial" w:hAnsi="Arial"/>
                <w:sz w:val="14"/>
                <w:szCs w:val="14"/>
                <w:b w:val="1"/>
                <w:bCs w:val="1"/>
                <w:color w:val="auto"/>
                <w:w w:val="95"/>
              </w:rPr>
              <w:t>March 31,</w:t>
            </w: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1"/>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jc w:val="right"/>
              <w:ind w:right="1189"/>
              <w:spacing w:after="0"/>
              <w:rPr>
                <w:sz w:val="20"/>
                <w:szCs w:val="20"/>
                <w:color w:val="auto"/>
              </w:rPr>
            </w:pPr>
            <w:r>
              <w:rPr>
                <w:rFonts w:ascii="Arial" w:cs="Arial" w:eastAsia="Arial" w:hAnsi="Arial"/>
                <w:sz w:val="14"/>
                <w:szCs w:val="14"/>
                <w:b w:val="1"/>
                <w:bCs w:val="1"/>
                <w:color w:val="auto"/>
                <w:w w:val="89"/>
              </w:rPr>
              <w:t>Change</w:t>
            </w:r>
          </w:p>
        </w:tc>
      </w:tr>
      <w:tr>
        <w:trPr>
          <w:trHeight w:val="22"/>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1"/>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260" w:type="dxa"/>
            <w:vAlign w:val="bottom"/>
          </w:tcPr>
          <w:p>
            <w:pPr>
              <w:jc w:val="right"/>
              <w:ind w:right="691"/>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ind w:right="549"/>
              <w:spacing w:after="0"/>
              <w:rPr>
                <w:sz w:val="20"/>
                <w:szCs w:val="20"/>
                <w:color w:val="auto"/>
              </w:rPr>
            </w:pPr>
            <w:r>
              <w:rPr>
                <w:rFonts w:ascii="Arial" w:cs="Arial" w:eastAsia="Arial" w:hAnsi="Arial"/>
                <w:sz w:val="14"/>
                <w:szCs w:val="14"/>
                <w:b w:val="1"/>
                <w:bCs w:val="1"/>
                <w:color w:val="auto"/>
              </w:rPr>
              <w:t>%</w:t>
            </w:r>
          </w:p>
        </w:tc>
      </w:tr>
      <w:tr>
        <w:trPr>
          <w:trHeight w:val="22"/>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67"/>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center"/>
              <w:ind w:left="411"/>
              <w:spacing w:after="0"/>
              <w:rPr>
                <w:sz w:val="20"/>
                <w:szCs w:val="20"/>
                <w:color w:val="auto"/>
              </w:rPr>
            </w:pPr>
            <w:r>
              <w:rPr>
                <w:rFonts w:ascii="Arial" w:cs="Arial" w:eastAsia="Arial" w:hAnsi="Arial"/>
                <w:sz w:val="13"/>
                <w:szCs w:val="13"/>
                <w:i w:val="1"/>
                <w:iCs w:val="1"/>
                <w:color w:val="auto"/>
                <w:w w:val="90"/>
              </w:rPr>
              <w:t>(Dollars in thousands)</w:t>
            </w:r>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6"/>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1"/>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Provision for loan losses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13,950</w:t>
            </w:r>
          </w:p>
        </w:tc>
        <w:tc>
          <w:tcPr>
            <w:tcW w:w="48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2,850</w:t>
            </w: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11,100</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389 %</w:t>
            </w:r>
          </w:p>
        </w:tc>
      </w:tr>
      <w:tr>
        <w:trPr>
          <w:trHeight w:val="22"/>
        </w:trPr>
        <w:tc>
          <w:tcPr>
            <w:tcW w:w="50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r>
    </w:tbl>
    <w:p>
      <w:pPr>
        <w:spacing w:after="0" w:line="117" w:lineRule="exact"/>
        <w:rPr>
          <w:sz w:val="20"/>
          <w:szCs w:val="20"/>
          <w:color w:val="auto"/>
        </w:rPr>
      </w:pPr>
    </w:p>
    <w:p>
      <w:pPr>
        <w:jc w:val="both"/>
        <w:ind w:left="140" w:right="140" w:firstLine="382"/>
        <w:spacing w:after="0" w:line="267" w:lineRule="auto"/>
        <w:rPr>
          <w:sz w:val="20"/>
          <w:szCs w:val="20"/>
          <w:color w:val="auto"/>
        </w:rPr>
      </w:pPr>
      <w:r>
        <w:rPr>
          <w:rFonts w:ascii="Arial" w:cs="Arial" w:eastAsia="Arial" w:hAnsi="Arial"/>
          <w:sz w:val="14"/>
          <w:szCs w:val="14"/>
          <w:color w:val="auto"/>
        </w:rPr>
        <w:t>The allowance for loan losses as of March 31, 2020 was $51 million compared to $40 million as of March 31, 2019. The increase of $11 million or 29% was primarily due to an increase in our loan portfolio and an increase in the qualitative factors due to the current economic environment. The allowance as a percentage of loans was 1.29% at March 31, 2020 compared to 1.22% at March 31, 2019. For additional detail regarding the change to the ALLL, refer to the Allowance for Loan Losses section below.</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Non-Interest Income</w:t>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5060" w:type="dxa"/>
            <w:vAlign w:val="bottom"/>
          </w:tcPr>
          <w:p>
            <w:pPr>
              <w:ind w:left="380"/>
              <w:spacing w:after="0"/>
              <w:rPr>
                <w:sz w:val="20"/>
                <w:szCs w:val="20"/>
                <w:color w:val="auto"/>
              </w:rPr>
            </w:pPr>
            <w:r>
              <w:rPr>
                <w:rFonts w:ascii="Arial" w:cs="Arial" w:eastAsia="Arial" w:hAnsi="Arial"/>
                <w:sz w:val="14"/>
                <w:szCs w:val="14"/>
                <w:color w:val="auto"/>
                <w:w w:val="95"/>
              </w:rPr>
              <w:t>The components of non-interest income were as follows for the periods shown:</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340"/>
        </w:trPr>
        <w:tc>
          <w:tcPr>
            <w:tcW w:w="5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3"/>
          </w:tcPr>
          <w:p>
            <w:pPr>
              <w:jc w:val="center"/>
              <w:ind w:left="450"/>
              <w:spacing w:after="0"/>
              <w:rPr>
                <w:sz w:val="20"/>
                <w:szCs w:val="20"/>
                <w:color w:val="auto"/>
              </w:rPr>
            </w:pPr>
            <w:r>
              <w:rPr>
                <w:rFonts w:ascii="Arial" w:cs="Arial" w:eastAsia="Arial" w:hAnsi="Arial"/>
                <w:sz w:val="14"/>
                <w:szCs w:val="14"/>
                <w:b w:val="1"/>
                <w:bCs w:val="1"/>
                <w:color w:val="auto"/>
                <w:w w:val="92"/>
              </w:rPr>
              <w:t>Three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5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430"/>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
        </w:trPr>
        <w:tc>
          <w:tcPr>
            <w:tcW w:w="5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81"/>
        </w:trPr>
        <w:tc>
          <w:tcPr>
            <w:tcW w:w="5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gridSpan w:val="3"/>
          </w:tcPr>
          <w:p>
            <w:pPr>
              <w:jc w:val="right"/>
              <w:ind w:right="1049"/>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r>
      <w:tr>
        <w:trPr>
          <w:trHeight w:val="22"/>
        </w:trPr>
        <w:tc>
          <w:tcPr>
            <w:tcW w:w="5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81"/>
        </w:trPr>
        <w:tc>
          <w:tcPr>
            <w:tcW w:w="50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3"/>
          </w:tcPr>
          <w:p>
            <w:pPr>
              <w:jc w:val="right"/>
              <w:ind w:right="42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22"/>
        </w:trPr>
        <w:tc>
          <w:tcPr>
            <w:tcW w:w="5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67"/>
        </w:trPr>
        <w:tc>
          <w:tcPr>
            <w:tcW w:w="5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center"/>
              <w:ind w:left="450"/>
              <w:spacing w:after="0"/>
              <w:rPr>
                <w:sz w:val="20"/>
                <w:szCs w:val="20"/>
                <w:color w:val="auto"/>
              </w:rPr>
            </w:pPr>
            <w:r>
              <w:rPr>
                <w:rFonts w:ascii="Arial" w:cs="Arial" w:eastAsia="Arial" w:hAnsi="Arial"/>
                <w:sz w:val="13"/>
                <w:szCs w:val="13"/>
                <w:i w:val="1"/>
                <w:iCs w:val="1"/>
                <w:color w:val="auto"/>
                <w:w w:val="91"/>
              </w:rPr>
              <w:t>(Dollars in 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6"/>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Service charges and fees on customer accounts</w:t>
            </w:r>
          </w:p>
        </w:tc>
        <w:tc>
          <w:tcPr>
            <w:tcW w:w="86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508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91"/>
        </w:trPr>
        <w:tc>
          <w:tcPr>
            <w:tcW w:w="5060" w:type="dxa"/>
            <w:vAlign w:val="bottom"/>
          </w:tcPr>
          <w:p>
            <w:pPr>
              <w:spacing w:after="0"/>
              <w:rPr>
                <w:sz w:val="20"/>
                <w:szCs w:val="20"/>
                <w:color w:val="auto"/>
              </w:rPr>
            </w:pPr>
            <w:r>
              <w:rPr>
                <w:rFonts w:ascii="Arial" w:cs="Arial" w:eastAsia="Arial" w:hAnsi="Arial"/>
                <w:sz w:val="14"/>
                <w:szCs w:val="14"/>
                <w:color w:val="auto"/>
              </w:rPr>
              <w:t>Gain on sale of available-for-sale securities</w:t>
            </w:r>
          </w:p>
        </w:tc>
        <w:tc>
          <w:tcPr>
            <w:tcW w:w="860" w:type="dxa"/>
            <w:vAlign w:val="bottom"/>
          </w:tcPr>
          <w:p>
            <w:pPr>
              <w:spacing w:after="0"/>
              <w:rPr>
                <w:sz w:val="16"/>
                <w:szCs w:val="16"/>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393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366</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1,356</w:t>
            </w:r>
          </w:p>
        </w:tc>
        <w:tc>
          <w:tcPr>
            <w:tcW w:w="140" w:type="dxa"/>
            <w:vAlign w:val="bottom"/>
          </w:tcPr>
          <w:p>
            <w:pPr>
              <w:spacing w:after="0"/>
              <w:rPr>
                <w:sz w:val="16"/>
                <w:szCs w:val="16"/>
                <w:color w:val="auto"/>
              </w:rPr>
            </w:pPr>
          </w:p>
        </w:tc>
      </w:tr>
      <w:tr>
        <w:trPr>
          <w:trHeight w:val="22"/>
        </w:trPr>
        <w:tc>
          <w:tcPr>
            <w:tcW w:w="5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Gain on sale of loans</w:t>
            </w:r>
          </w:p>
        </w:tc>
        <w:tc>
          <w:tcPr>
            <w:tcW w:w="8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79</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5060" w:type="dxa"/>
            <w:vAlign w:val="bottom"/>
          </w:tcPr>
          <w:p>
            <w:pPr>
              <w:spacing w:after="0"/>
              <w:rPr>
                <w:sz w:val="20"/>
                <w:szCs w:val="20"/>
                <w:color w:val="auto"/>
              </w:rPr>
            </w:pPr>
            <w:r>
              <w:rPr>
                <w:rFonts w:ascii="Arial" w:cs="Arial" w:eastAsia="Arial" w:hAnsi="Arial"/>
                <w:sz w:val="14"/>
                <w:szCs w:val="14"/>
                <w:color w:val="auto"/>
              </w:rPr>
              <w:t>Income from bank-owned life insurance</w:t>
            </w:r>
          </w:p>
        </w:tc>
        <w:tc>
          <w:tcPr>
            <w:tcW w:w="860" w:type="dxa"/>
            <w:vAlign w:val="bottom"/>
          </w:tcPr>
          <w:p>
            <w:pPr>
              <w:spacing w:after="0"/>
              <w:rPr>
                <w:sz w:val="16"/>
                <w:szCs w:val="16"/>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456</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467</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r>
      <w:tr>
        <w:trPr>
          <w:trHeight w:val="22"/>
        </w:trPr>
        <w:tc>
          <w:tcPr>
            <w:tcW w:w="5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Swap fee income (loss), net</w:t>
            </w: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377</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5060" w:type="dxa"/>
            <w:vAlign w:val="bottom"/>
          </w:tcPr>
          <w:p>
            <w:pPr>
              <w:spacing w:after="0"/>
              <w:rPr>
                <w:sz w:val="20"/>
                <w:szCs w:val="20"/>
                <w:color w:val="auto"/>
              </w:rPr>
            </w:pPr>
            <w:r>
              <w:rPr>
                <w:rFonts w:ascii="Arial" w:cs="Arial" w:eastAsia="Arial" w:hAnsi="Arial"/>
                <w:sz w:val="14"/>
                <w:szCs w:val="14"/>
                <w:color w:val="auto"/>
              </w:rPr>
              <w:t>ATM and credit card interchange income</w:t>
            </w:r>
          </w:p>
        </w:tc>
        <w:tc>
          <w:tcPr>
            <w:tcW w:w="860" w:type="dxa"/>
            <w:vAlign w:val="bottom"/>
          </w:tcPr>
          <w:p>
            <w:pPr>
              <w:spacing w:after="0"/>
              <w:rPr>
                <w:sz w:val="16"/>
                <w:szCs w:val="16"/>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color w:val="auto"/>
              </w:rPr>
              <w:t>485</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377</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6"/>
                <w:szCs w:val="16"/>
                <w:color w:val="auto"/>
              </w:rPr>
            </w:pPr>
          </w:p>
        </w:tc>
      </w:tr>
      <w:tr>
        <w:trPr>
          <w:trHeight w:val="22"/>
        </w:trPr>
        <w:tc>
          <w:tcPr>
            <w:tcW w:w="5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2"/>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non-interest income</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262</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160</w:t>
            </w: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3"/>
        </w:trPr>
        <w:tc>
          <w:tcPr>
            <w:tcW w:w="5060" w:type="dxa"/>
            <w:vAlign w:val="bottom"/>
          </w:tcPr>
          <w:p>
            <w:pPr>
              <w:ind w:left="80"/>
              <w:spacing w:after="0"/>
              <w:rPr>
                <w:sz w:val="20"/>
                <w:szCs w:val="20"/>
                <w:color w:val="auto"/>
              </w:rPr>
            </w:pPr>
            <w:r>
              <w:rPr>
                <w:rFonts w:ascii="Arial" w:cs="Arial" w:eastAsia="Arial" w:hAnsi="Arial"/>
                <w:sz w:val="14"/>
                <w:szCs w:val="14"/>
                <w:color w:val="auto"/>
              </w:rPr>
              <w:t>Total non-interest income</w:t>
            </w: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91"/>
              </w:rPr>
              <w:t>2,095</w:t>
            </w:r>
          </w:p>
        </w:tc>
        <w:tc>
          <w:tcPr>
            <w:tcW w:w="1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1,645</w:t>
            </w:r>
          </w:p>
        </w:tc>
        <w:tc>
          <w:tcPr>
            <w:tcW w:w="2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r>
      <w:tr>
        <w:trPr>
          <w:trHeight w:val="20"/>
        </w:trPr>
        <w:tc>
          <w:tcPr>
            <w:tcW w:w="5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changes in non-interest income were driven by the following: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Service Charges and Fees on Customer Accounts</w:t>
      </w:r>
    </w:p>
    <w:p>
      <w:pPr>
        <w:spacing w:after="0" w:line="136" w:lineRule="exact"/>
        <w:rPr>
          <w:sz w:val="20"/>
          <w:szCs w:val="20"/>
          <w:color w:val="auto"/>
        </w:rPr>
      </w:pPr>
    </w:p>
    <w:p>
      <w:pPr>
        <w:ind w:left="140" w:right="240" w:firstLine="382"/>
        <w:spacing w:after="0" w:line="281" w:lineRule="auto"/>
        <w:rPr>
          <w:sz w:val="20"/>
          <w:szCs w:val="20"/>
          <w:color w:val="auto"/>
        </w:rPr>
      </w:pPr>
      <w:r>
        <w:rPr>
          <w:rFonts w:ascii="Arial" w:cs="Arial" w:eastAsia="Arial" w:hAnsi="Arial"/>
          <w:sz w:val="14"/>
          <w:szCs w:val="14"/>
          <w:color w:val="auto"/>
        </w:rPr>
        <w:t>This category includes a rebate program that attracted additional funding for the Bank and account analysis fees that continue to grow with our customer base, including their outstanding balances. The year-over-year increase was driven by growth in our credit card program and increase in analysis fees.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Gain on Sale of Available-for-Sale Securities</w:t>
      </w:r>
    </w:p>
    <w:p>
      <w:pPr>
        <w:spacing w:after="0" w:line="136" w:lineRule="exact"/>
        <w:rPr>
          <w:sz w:val="20"/>
          <w:szCs w:val="20"/>
          <w:color w:val="auto"/>
        </w:rPr>
      </w:pPr>
    </w:p>
    <w:p>
      <w:pPr>
        <w:ind w:left="140" w:right="660" w:firstLine="382"/>
        <w:spacing w:after="0" w:line="368" w:lineRule="auto"/>
        <w:rPr>
          <w:sz w:val="20"/>
          <w:szCs w:val="20"/>
          <w:color w:val="auto"/>
        </w:rPr>
      </w:pPr>
      <w:r>
        <w:rPr>
          <w:rFonts w:ascii="Arial" w:cs="Arial" w:eastAsia="Arial" w:hAnsi="Arial"/>
          <w:sz w:val="12"/>
          <w:szCs w:val="12"/>
          <w:color w:val="auto"/>
        </w:rPr>
        <w:t>The Company sold $4 million and $3 million of securities for the three-months ended 2020 and 2019, respectively. The increase in the gain was primarily due to the declining rate environment, which increased the value of the Company’s securities sold in 2020. The 2020 sales were a strategic decision by management to capitalize on attractive market conditions.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Swap Fee Income, Net</w:t>
      </w:r>
    </w:p>
    <w:p>
      <w:pPr>
        <w:spacing w:after="0" w:line="136" w:lineRule="exact"/>
        <w:rPr>
          <w:sz w:val="20"/>
          <w:szCs w:val="20"/>
          <w:color w:val="auto"/>
        </w:rPr>
      </w:pPr>
    </w:p>
    <w:p>
      <w:pPr>
        <w:ind w:left="140" w:right="160" w:firstLine="382"/>
        <w:spacing w:after="0" w:line="281" w:lineRule="auto"/>
        <w:rPr>
          <w:sz w:val="20"/>
          <w:szCs w:val="20"/>
          <w:color w:val="auto"/>
        </w:rPr>
      </w:pPr>
      <w:r>
        <w:rPr>
          <w:rFonts w:ascii="Arial" w:cs="Arial" w:eastAsia="Arial" w:hAnsi="Arial"/>
          <w:sz w:val="14"/>
          <w:szCs w:val="14"/>
          <w:color w:val="auto"/>
        </w:rPr>
        <w:t>Swap fee income, net includes both swap fees from the execution of new swaps and the credit valuation adjustment (“CVA”). The decline in swap fee income was driven by management’s loan and pricing strategy during the first quarter of 2020.</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Non-Interest Expense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non-interest expense were as follows for the periods indicated:</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3"/>
          </w:tcPr>
          <w:p>
            <w:pPr>
              <w:jc w:val="center"/>
              <w:ind w:left="41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2"/>
        </w:trPr>
        <w:tc>
          <w:tcPr>
            <w:tcW w:w="5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center"/>
              <w:ind w:left="410"/>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
        </w:trPr>
        <w:tc>
          <w:tcPr>
            <w:tcW w:w="5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r>
      <w:tr>
        <w:trPr>
          <w:trHeight w:val="181"/>
        </w:trPr>
        <w:tc>
          <w:tcPr>
            <w:tcW w:w="5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gridSpan w:val="3"/>
          </w:tcPr>
          <w:p>
            <w:pPr>
              <w:jc w:val="right"/>
              <w:ind w:right="1189"/>
              <w:spacing w:after="0"/>
              <w:rPr>
                <w:sz w:val="20"/>
                <w:szCs w:val="20"/>
                <w:color w:val="auto"/>
              </w:rPr>
            </w:pPr>
            <w:r>
              <w:rPr>
                <w:rFonts w:ascii="Arial" w:cs="Arial" w:eastAsia="Arial" w:hAnsi="Arial"/>
                <w:sz w:val="14"/>
                <w:szCs w:val="14"/>
                <w:b w:val="1"/>
                <w:bCs w:val="1"/>
                <w:color w:val="auto"/>
                <w:w w:val="85"/>
              </w:rPr>
              <w:t>Change</w:t>
            </w:r>
          </w:p>
        </w:tc>
      </w:tr>
      <w:tr>
        <w:trPr>
          <w:trHeight w:val="22"/>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r>
      <w:tr>
        <w:trPr>
          <w:trHeight w:val="181"/>
        </w:trPr>
        <w:tc>
          <w:tcPr>
            <w:tcW w:w="50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3"/>
          </w:tcPr>
          <w:p>
            <w:pPr>
              <w:jc w:val="right"/>
              <w:ind w:right="549"/>
              <w:spacing w:after="0"/>
              <w:rPr>
                <w:sz w:val="20"/>
                <w:szCs w:val="20"/>
                <w:color w:val="auto"/>
              </w:rPr>
            </w:pPr>
            <w:r>
              <w:rPr>
                <w:rFonts w:ascii="Arial" w:cs="Arial" w:eastAsia="Arial" w:hAnsi="Arial"/>
                <w:sz w:val="14"/>
                <w:szCs w:val="14"/>
                <w:b w:val="1"/>
                <w:bCs w:val="1"/>
                <w:color w:val="auto"/>
              </w:rPr>
              <w:t>%</w:t>
            </w:r>
          </w:p>
        </w:tc>
      </w:tr>
      <w:tr>
        <w:trPr>
          <w:trHeight w:val="22"/>
        </w:trPr>
        <w:tc>
          <w:tcPr>
            <w:tcW w:w="5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7"/>
        </w:trPr>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left="410"/>
              <w:spacing w:after="0"/>
              <w:rPr>
                <w:sz w:val="20"/>
                <w:szCs w:val="20"/>
                <w:color w:val="auto"/>
              </w:rPr>
            </w:pPr>
            <w:r>
              <w:rPr>
                <w:rFonts w:ascii="Arial" w:cs="Arial" w:eastAsia="Arial" w:hAnsi="Arial"/>
                <w:sz w:val="13"/>
                <w:szCs w:val="13"/>
                <w:i w:val="1"/>
                <w:iCs w:val="1"/>
                <w:color w:val="auto"/>
                <w:w w:val="90"/>
              </w:rPr>
              <w:t>(Dollars in thousands)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6"/>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2"/>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Salary and employee benefits</w:t>
            </w: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3"/>
              </w:rPr>
              <w:t>14,390</w:t>
            </w: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14,590</w:t>
            </w: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1"/>
        </w:trPr>
        <w:tc>
          <w:tcPr>
            <w:tcW w:w="5040" w:type="dxa"/>
            <w:vAlign w:val="bottom"/>
          </w:tcPr>
          <w:p>
            <w:pPr>
              <w:spacing w:after="0"/>
              <w:rPr>
                <w:sz w:val="20"/>
                <w:szCs w:val="20"/>
                <w:color w:val="auto"/>
              </w:rPr>
            </w:pPr>
            <w:r>
              <w:rPr>
                <w:rFonts w:ascii="Arial" w:cs="Arial" w:eastAsia="Arial" w:hAnsi="Arial"/>
                <w:sz w:val="14"/>
                <w:szCs w:val="14"/>
                <w:color w:val="auto"/>
              </w:rPr>
              <w:t>Occupancy</w:t>
            </w:r>
          </w:p>
        </w:tc>
        <w:tc>
          <w:tcPr>
            <w:tcW w:w="82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2,085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2,159</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w:t>
            </w:r>
          </w:p>
        </w:tc>
        <w:tc>
          <w:tcPr>
            <w:tcW w:w="1720" w:type="dxa"/>
            <w:vAlign w:val="bottom"/>
            <w:gridSpan w:val="3"/>
          </w:tcPr>
          <w:p>
            <w:pPr>
              <w:jc w:val="right"/>
              <w:ind w:right="69"/>
              <w:spacing w:after="0"/>
              <w:rPr>
                <w:sz w:val="20"/>
                <w:szCs w:val="20"/>
                <w:color w:val="auto"/>
              </w:rPr>
            </w:pPr>
            <w:r>
              <w:rPr>
                <w:rFonts w:ascii="Arial" w:cs="Arial" w:eastAsia="Arial" w:hAnsi="Arial"/>
                <w:sz w:val="14"/>
                <w:szCs w:val="14"/>
                <w:color w:val="auto"/>
              </w:rPr>
              <w:t>(3)</w:t>
            </w:r>
          </w:p>
        </w:tc>
      </w:tr>
      <w:tr>
        <w:trPr>
          <w:trHeight w:val="22"/>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8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671</w:t>
            </w: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782</w:t>
            </w: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720" w:type="dxa"/>
            <w:vAlign w:val="bottom"/>
            <w:tcBorders>
              <w:bottom w:val="single" w:sz="8" w:color="CCEEFF"/>
            </w:tcBorders>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(14)</w:t>
            </w:r>
          </w:p>
        </w:tc>
      </w:tr>
      <w:tr>
        <w:trPr>
          <w:trHeight w:val="191"/>
        </w:trPr>
        <w:tc>
          <w:tcPr>
            <w:tcW w:w="5040" w:type="dxa"/>
            <w:vAlign w:val="bottom"/>
          </w:tcPr>
          <w:p>
            <w:pPr>
              <w:spacing w:after="0"/>
              <w:rPr>
                <w:sz w:val="20"/>
                <w:szCs w:val="20"/>
                <w:color w:val="auto"/>
              </w:rPr>
            </w:pPr>
            <w:r>
              <w:rPr>
                <w:rFonts w:ascii="Arial" w:cs="Arial" w:eastAsia="Arial" w:hAnsi="Arial"/>
                <w:sz w:val="14"/>
                <w:szCs w:val="14"/>
                <w:color w:val="auto"/>
              </w:rPr>
              <w:t>Deposit insurance premiums</w:t>
            </w:r>
          </w:p>
        </w:tc>
        <w:tc>
          <w:tcPr>
            <w:tcW w:w="82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1,016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837</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179</w:t>
            </w:r>
          </w:p>
        </w:tc>
        <w:tc>
          <w:tcPr>
            <w:tcW w:w="1720" w:type="dxa"/>
            <w:vAlign w:val="bottom"/>
            <w:gridSpan w:val="3"/>
          </w:tcPr>
          <w:p>
            <w:pPr>
              <w:jc w:val="right"/>
              <w:ind w:right="109"/>
              <w:spacing w:after="0"/>
              <w:rPr>
                <w:sz w:val="20"/>
                <w:szCs w:val="20"/>
                <w:color w:val="auto"/>
              </w:rPr>
            </w:pPr>
            <w:r>
              <w:rPr>
                <w:rFonts w:ascii="Arial" w:cs="Arial" w:eastAsia="Arial" w:hAnsi="Arial"/>
                <w:sz w:val="14"/>
                <w:szCs w:val="14"/>
                <w:color w:val="auto"/>
              </w:rPr>
              <w:t>21</w:t>
            </w:r>
          </w:p>
        </w:tc>
      </w:tr>
      <w:tr>
        <w:trPr>
          <w:trHeight w:val="22"/>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Data processing</w:t>
            </w:r>
          </w:p>
        </w:tc>
        <w:tc>
          <w:tcPr>
            <w:tcW w:w="8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692</w:t>
            </w: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594</w:t>
            </w: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720" w:type="dxa"/>
            <w:vAlign w:val="bottom"/>
            <w:tcBorders>
              <w:bottom w:val="single" w:sz="8" w:color="CCEEFF"/>
            </w:tcBorders>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16</w:t>
            </w:r>
          </w:p>
        </w:tc>
      </w:tr>
      <w:tr>
        <w:trPr>
          <w:trHeight w:val="191"/>
        </w:trPr>
        <w:tc>
          <w:tcPr>
            <w:tcW w:w="5040" w:type="dxa"/>
            <w:vAlign w:val="bottom"/>
          </w:tcPr>
          <w:p>
            <w:pPr>
              <w:spacing w:after="0"/>
              <w:rPr>
                <w:sz w:val="20"/>
                <w:szCs w:val="20"/>
                <w:color w:val="auto"/>
              </w:rPr>
            </w:pPr>
            <w:r>
              <w:rPr>
                <w:rFonts w:ascii="Arial" w:cs="Arial" w:eastAsia="Arial" w:hAnsi="Arial"/>
                <w:sz w:val="14"/>
                <w:szCs w:val="14"/>
                <w:color w:val="auto"/>
              </w:rPr>
              <w:t>Advertising</w:t>
            </w:r>
          </w:p>
        </w:tc>
        <w:tc>
          <w:tcPr>
            <w:tcW w:w="82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500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713</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(213)</w:t>
            </w:r>
          </w:p>
        </w:tc>
        <w:tc>
          <w:tcPr>
            <w:tcW w:w="1720" w:type="dxa"/>
            <w:vAlign w:val="bottom"/>
            <w:gridSpan w:val="3"/>
          </w:tcPr>
          <w:p>
            <w:pPr>
              <w:jc w:val="right"/>
              <w:ind w:right="69"/>
              <w:spacing w:after="0"/>
              <w:rPr>
                <w:sz w:val="20"/>
                <w:szCs w:val="20"/>
                <w:color w:val="auto"/>
              </w:rPr>
            </w:pPr>
            <w:r>
              <w:rPr>
                <w:rFonts w:ascii="Arial" w:cs="Arial" w:eastAsia="Arial" w:hAnsi="Arial"/>
                <w:sz w:val="14"/>
                <w:szCs w:val="14"/>
                <w:color w:val="auto"/>
              </w:rPr>
              <w:t>(30)</w:t>
            </w:r>
          </w:p>
        </w:tc>
      </w:tr>
      <w:tr>
        <w:trPr>
          <w:trHeight w:val="22"/>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Software and communication</w:t>
            </w:r>
          </w:p>
        </w:tc>
        <w:tc>
          <w:tcPr>
            <w:tcW w:w="8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876</w:t>
            </w: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679</w:t>
            </w: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720" w:type="dxa"/>
            <w:vAlign w:val="bottom"/>
            <w:tcBorders>
              <w:bottom w:val="single" w:sz="8" w:color="CCEEFF"/>
            </w:tcBorders>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r>
      <w:tr>
        <w:trPr>
          <w:trHeight w:val="191"/>
        </w:trPr>
        <w:tc>
          <w:tcPr>
            <w:tcW w:w="50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395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473</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w:t>
            </w:r>
          </w:p>
        </w:tc>
        <w:tc>
          <w:tcPr>
            <w:tcW w:w="1720" w:type="dxa"/>
            <w:vAlign w:val="bottom"/>
            <w:gridSpan w:val="3"/>
          </w:tcPr>
          <w:p>
            <w:pPr>
              <w:jc w:val="right"/>
              <w:ind w:right="69"/>
              <w:spacing w:after="0"/>
              <w:rPr>
                <w:sz w:val="20"/>
                <w:szCs w:val="20"/>
                <w:color w:val="auto"/>
              </w:rPr>
            </w:pPr>
            <w:r>
              <w:rPr>
                <w:rFonts w:ascii="Arial" w:cs="Arial" w:eastAsia="Arial" w:hAnsi="Arial"/>
                <w:sz w:val="14"/>
                <w:szCs w:val="14"/>
                <w:color w:val="auto"/>
              </w:rPr>
              <w:t>(16)</w:t>
            </w:r>
          </w:p>
        </w:tc>
      </w:tr>
      <w:tr>
        <w:trPr>
          <w:trHeight w:val="22"/>
        </w:trPr>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non-interest expense</w:t>
            </w:r>
          </w:p>
        </w:tc>
        <w:tc>
          <w:tcPr>
            <w:tcW w:w="8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1,598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1,804</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720" w:type="dxa"/>
            <w:vAlign w:val="bottom"/>
            <w:tcBorders>
              <w:bottom w:val="single" w:sz="8" w:color="CCEEFF"/>
            </w:tcBorders>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r>
      <w:tr>
        <w:trPr>
          <w:trHeight w:val="203"/>
        </w:trPr>
        <w:tc>
          <w:tcPr>
            <w:tcW w:w="5040" w:type="dxa"/>
            <w:vAlign w:val="bottom"/>
          </w:tcPr>
          <w:p>
            <w:pPr>
              <w:ind w:left="80"/>
              <w:spacing w:after="0"/>
              <w:rPr>
                <w:sz w:val="20"/>
                <w:szCs w:val="20"/>
                <w:color w:val="auto"/>
              </w:rPr>
            </w:pPr>
            <w:r>
              <w:rPr>
                <w:rFonts w:ascii="Arial" w:cs="Arial" w:eastAsia="Arial" w:hAnsi="Arial"/>
                <w:sz w:val="14"/>
                <w:szCs w:val="14"/>
                <w:color w:val="auto"/>
              </w:rPr>
              <w:t>Total non-interest expense</w:t>
            </w: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83"/>
              </w:rPr>
              <w:t>22,223</w:t>
            </w:r>
          </w:p>
        </w:tc>
        <w:tc>
          <w:tcPr>
            <w:tcW w:w="2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22,631</w:t>
            </w:r>
          </w:p>
        </w:tc>
        <w:tc>
          <w:tcPr>
            <w:tcW w:w="2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5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changes in non-interest income were driven by the following: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Salary and Employee Benefits</w:t>
      </w:r>
    </w:p>
    <w:p>
      <w:pPr>
        <w:spacing w:after="0" w:line="136" w:lineRule="exact"/>
        <w:rPr>
          <w:sz w:val="20"/>
          <w:szCs w:val="20"/>
          <w:color w:val="auto"/>
        </w:rPr>
      </w:pPr>
    </w:p>
    <w:p>
      <w:pPr>
        <w:ind w:left="140" w:right="160" w:firstLine="382"/>
        <w:spacing w:after="0" w:line="281" w:lineRule="auto"/>
        <w:rPr>
          <w:sz w:val="20"/>
          <w:szCs w:val="20"/>
          <w:color w:val="auto"/>
        </w:rPr>
      </w:pPr>
      <w:r>
        <w:rPr>
          <w:rFonts w:ascii="Arial" w:cs="Arial" w:eastAsia="Arial" w:hAnsi="Arial"/>
          <w:sz w:val="14"/>
          <w:szCs w:val="14"/>
          <w:color w:val="auto"/>
        </w:rPr>
        <w:t>Quarter-to-date March 31, 2020 salary and employee benefit costs declined from the previous year primarily due to lower incentive compensation expenses, as a result of lower earnings in the first quarter of 2020.</w:t>
      </w:r>
    </w:p>
    <w:p>
      <w:pPr>
        <w:spacing w:after="0" w:line="90" w:lineRule="exact"/>
        <w:rPr>
          <w:sz w:val="20"/>
          <w:szCs w:val="20"/>
          <w:color w:val="auto"/>
        </w:rPr>
      </w:pPr>
    </w:p>
    <w:p>
      <w:pPr>
        <w:ind w:left="140" w:right="300" w:firstLine="382"/>
        <w:spacing w:after="0" w:line="281" w:lineRule="auto"/>
        <w:rPr>
          <w:sz w:val="20"/>
          <w:szCs w:val="20"/>
          <w:color w:val="auto"/>
        </w:rPr>
      </w:pPr>
      <w:r>
        <w:rPr>
          <w:rFonts w:ascii="Arial" w:cs="Arial" w:eastAsia="Arial" w:hAnsi="Arial"/>
          <w:sz w:val="14"/>
          <w:szCs w:val="14"/>
          <w:color w:val="auto"/>
        </w:rPr>
        <w:t>As a result of the COVID-19 pandemic, the Company suspended hiring for the majority of available positions. As a result, the Company anticipates salary costs to remain flat during the second quarter.</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Deposit Insurance Premiums</w:t>
      </w:r>
    </w:p>
    <w:p>
      <w:pPr>
        <w:spacing w:after="0" w:line="136" w:lineRule="exact"/>
        <w:rPr>
          <w:sz w:val="20"/>
          <w:szCs w:val="20"/>
          <w:color w:val="auto"/>
        </w:rPr>
      </w:pPr>
    </w:p>
    <w:p>
      <w:pPr>
        <w:ind w:left="140" w:right="200" w:firstLine="382"/>
        <w:spacing w:after="0" w:line="281" w:lineRule="auto"/>
        <w:rPr>
          <w:sz w:val="20"/>
          <w:szCs w:val="20"/>
          <w:color w:val="auto"/>
        </w:rPr>
      </w:pPr>
      <w:r>
        <w:rPr>
          <w:rFonts w:ascii="Arial" w:cs="Arial" w:eastAsia="Arial" w:hAnsi="Arial"/>
          <w:sz w:val="14"/>
          <w:szCs w:val="14"/>
          <w:color w:val="auto"/>
        </w:rPr>
        <w:t>The FDIC uses a risk-based premium system to calculate the quarterly fee. Our rate was impacted by our strong asset growth and changes to our loan mix, which resulted in an increase in the quarterly fee.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Advertising</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first quarter of 2019, the Company initiated a rebranding campaign to update the Bank’s image. As a result, approximately $180 thousand was expensed.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Software and Communication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Software and communication costs increased as a result of our continued growth and investment in technologies that are expected to increase operating efficiency in the short and long-term.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Other Non-Interest Expense</w:t>
      </w:r>
    </w:p>
    <w:p>
      <w:pPr>
        <w:spacing w:after="0" w:line="136" w:lineRule="exact"/>
        <w:rPr>
          <w:sz w:val="20"/>
          <w:szCs w:val="20"/>
          <w:color w:val="auto"/>
        </w:rPr>
      </w:pPr>
    </w:p>
    <w:p>
      <w:pPr>
        <w:ind w:left="140" w:right="500" w:firstLine="382"/>
        <w:spacing w:after="0" w:line="281" w:lineRule="auto"/>
        <w:rPr>
          <w:sz w:val="20"/>
          <w:szCs w:val="20"/>
          <w:color w:val="auto"/>
        </w:rPr>
      </w:pPr>
      <w:r>
        <w:rPr>
          <w:rFonts w:ascii="Arial" w:cs="Arial" w:eastAsia="Arial" w:hAnsi="Arial"/>
          <w:sz w:val="14"/>
          <w:szCs w:val="14"/>
          <w:color w:val="auto"/>
        </w:rPr>
        <w:t>Other non-interest expense included a decline in operational loan costs due to foreclosed assets in 2019 that did not occur again in 2020 and a decline in director fee expense due to a restructuring of the annual fee. These declines were offset by an increase in insurance costs due to our transition from a private to public company.</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anticipates higher operational loan costs during the second quarter of 2020 as a result of the ongoing COVID-19 pandemic.</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Income tax expense was as follows:</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4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
        </w:trPr>
        <w:tc>
          <w:tcPr>
            <w:tcW w:w="4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1"/>
        </w:trPr>
        <w:tc>
          <w:tcPr>
            <w:tcW w:w="4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Pr>
          <w:p>
            <w:pPr>
              <w:jc w:val="right"/>
              <w:ind w:right="1189"/>
              <w:spacing w:after="0"/>
              <w:rPr>
                <w:sz w:val="20"/>
                <w:szCs w:val="20"/>
                <w:color w:val="auto"/>
              </w:rPr>
            </w:pPr>
            <w:r>
              <w:rPr>
                <w:rFonts w:ascii="Arial" w:cs="Arial" w:eastAsia="Arial" w:hAnsi="Arial"/>
                <w:sz w:val="14"/>
                <w:szCs w:val="14"/>
                <w:b w:val="1"/>
                <w:bCs w:val="1"/>
                <w:color w:val="auto"/>
                <w:w w:val="85"/>
              </w:rPr>
              <w:t>Change</w:t>
            </w:r>
          </w:p>
        </w:tc>
      </w:tr>
      <w:tr>
        <w:trPr>
          <w:trHeight w:val="22"/>
        </w:trPr>
        <w:tc>
          <w:tcPr>
            <w:tcW w:w="4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1"/>
        </w:trPr>
        <w:tc>
          <w:tcPr>
            <w:tcW w:w="496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right"/>
              <w:ind w:right="469"/>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ind w:right="549"/>
              <w:spacing w:after="0"/>
              <w:rPr>
                <w:sz w:val="20"/>
                <w:szCs w:val="20"/>
                <w:color w:val="auto"/>
              </w:rPr>
            </w:pPr>
            <w:r>
              <w:rPr>
                <w:rFonts w:ascii="Arial" w:cs="Arial" w:eastAsia="Arial" w:hAnsi="Arial"/>
                <w:sz w:val="14"/>
                <w:szCs w:val="14"/>
                <w:b w:val="1"/>
                <w:bCs w:val="1"/>
                <w:color w:val="auto"/>
              </w:rPr>
              <w:t>%</w:t>
            </w:r>
          </w:p>
        </w:tc>
      </w:tr>
      <w:tr>
        <w:trPr>
          <w:trHeight w:val="22"/>
        </w:trPr>
        <w:tc>
          <w:tcPr>
            <w:tcW w:w="4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67"/>
        </w:trPr>
        <w:tc>
          <w:tcPr>
            <w:tcW w:w="4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3"/>
                <w:szCs w:val="13"/>
                <w:i w:val="1"/>
                <w:iCs w:val="1"/>
                <w:color w:val="auto"/>
                <w:w w:val="91"/>
              </w:rPr>
              <w:t>(Dollars in thousands)</w:t>
            </w:r>
          </w:p>
        </w:tc>
        <w:tc>
          <w:tcPr>
            <w:tcW w:w="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6"/>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9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91"/>
        </w:trPr>
        <w:tc>
          <w:tcPr>
            <w:tcW w:w="4960" w:type="dxa"/>
            <w:vAlign w:val="bottom"/>
          </w:tcPr>
          <w:p>
            <w:pPr>
              <w:spacing w:after="0"/>
              <w:rPr>
                <w:sz w:val="20"/>
                <w:szCs w:val="20"/>
                <w:color w:val="auto"/>
              </w:rPr>
            </w:pPr>
            <w:r>
              <w:rPr>
                <w:rFonts w:ascii="Arial" w:cs="Arial" w:eastAsia="Arial" w:hAnsi="Arial"/>
                <w:sz w:val="14"/>
                <w:szCs w:val="14"/>
                <w:color w:val="auto"/>
              </w:rPr>
              <w:t>Effective tax rate</w:t>
            </w: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7.1</w:t>
            </w:r>
          </w:p>
        </w:tc>
        <w:tc>
          <w:tcPr>
            <w:tcW w:w="1200" w:type="dxa"/>
            <w:vAlign w:val="bottom"/>
          </w:tcPr>
          <w:p>
            <w:pPr>
              <w:jc w:val="right"/>
              <w:ind w:right="989"/>
              <w:spacing w:after="0"/>
              <w:rPr>
                <w:sz w:val="20"/>
                <w:szCs w:val="20"/>
                <w:color w:val="auto"/>
              </w:rPr>
            </w:pPr>
            <w:r>
              <w:rPr>
                <w:rFonts w:ascii="Arial" w:cs="Arial" w:eastAsia="Arial" w:hAnsi="Arial"/>
                <w:sz w:val="14"/>
                <w:szCs w:val="14"/>
                <w:color w:val="auto"/>
                <w:w w:val="9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4.3</w:t>
            </w:r>
          </w:p>
        </w:tc>
        <w:tc>
          <w:tcPr>
            <w:tcW w:w="380" w:type="dxa"/>
            <w:vAlign w:val="bottom"/>
          </w:tcPr>
          <w:p>
            <w:pPr>
              <w:jc w:val="right"/>
              <w:ind w:right="169"/>
              <w:spacing w:after="0"/>
              <w:rPr>
                <w:sz w:val="20"/>
                <w:szCs w:val="20"/>
                <w:color w:val="auto"/>
              </w:rPr>
            </w:pPr>
            <w:r>
              <w:rPr>
                <w:rFonts w:ascii="Arial" w:cs="Arial" w:eastAsia="Arial" w:hAnsi="Arial"/>
                <w:sz w:val="14"/>
                <w:szCs w:val="14"/>
                <w:color w:val="auto"/>
                <w:w w:val="96"/>
              </w:rPr>
              <w:t>%</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138" w:lineRule="exact"/>
        <w:rPr>
          <w:sz w:val="20"/>
          <w:szCs w:val="20"/>
          <w:color w:val="auto"/>
        </w:rPr>
      </w:pPr>
    </w:p>
    <w:p>
      <w:pPr>
        <w:ind w:left="140" w:right="60" w:firstLine="382"/>
        <w:spacing w:after="0" w:line="281" w:lineRule="auto"/>
        <w:rPr>
          <w:sz w:val="20"/>
          <w:szCs w:val="20"/>
          <w:color w:val="auto"/>
        </w:rPr>
      </w:pPr>
      <w:r>
        <w:rPr>
          <w:rFonts w:ascii="Arial" w:cs="Arial" w:eastAsia="Arial" w:hAnsi="Arial"/>
          <w:sz w:val="14"/>
          <w:szCs w:val="14"/>
          <w:color w:val="auto"/>
        </w:rPr>
        <w:t>Our income tax expense differs from the amount that would be calculated using the federal statutory tax rate, primarily from investments in tax advantaged assets, including bank-owned life insurance and tax-exempt municipal securities; state tax credits; and permanent tax differences from equity-based compensation.</w:t>
      </w:r>
    </w:p>
    <w:p>
      <w:pPr>
        <w:spacing w:after="0" w:line="90" w:lineRule="exact"/>
        <w:rPr>
          <w:sz w:val="20"/>
          <w:szCs w:val="20"/>
          <w:color w:val="auto"/>
        </w:rPr>
      </w:pPr>
    </w:p>
    <w:p>
      <w:pPr>
        <w:ind w:left="140" w:right="60" w:firstLine="382"/>
        <w:spacing w:after="0" w:line="368" w:lineRule="auto"/>
        <w:rPr>
          <w:sz w:val="20"/>
          <w:szCs w:val="20"/>
          <w:color w:val="auto"/>
        </w:rPr>
      </w:pPr>
      <w:r>
        <w:rPr>
          <w:rFonts w:ascii="Arial" w:cs="Arial" w:eastAsia="Arial" w:hAnsi="Arial"/>
          <w:sz w:val="12"/>
          <w:szCs w:val="12"/>
          <w:color w:val="auto"/>
        </w:rPr>
        <w:t>The $126 thousand decrease between quarter-to-date March 31, 2019 and 2020 primarily relates to a $6 million decrease in income before income taxes, which reduced taxes at the 21% statutory rate by $1 million; offset by a $1.4 million state tax credit recorded in the first quarter of 2019. The state tax credit related to our purchase and improvement of our corporate headquarters.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Financial Condition</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Summary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select components of the Company’s Balance Sheet:</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jc w:val="right"/>
              <w:ind w:right="49"/>
              <w:spacing w:after="0"/>
              <w:rPr>
                <w:sz w:val="20"/>
                <w:szCs w:val="20"/>
                <w:color w:val="auto"/>
              </w:rPr>
            </w:pPr>
            <w:r>
              <w:rPr>
                <w:rFonts w:ascii="Arial" w:cs="Arial" w:eastAsia="Arial" w:hAnsi="Arial"/>
                <w:sz w:val="14"/>
                <w:szCs w:val="14"/>
                <w:b w:val="1"/>
                <w:bCs w:val="1"/>
                <w:color w:val="auto"/>
                <w:w w:val="85"/>
              </w:rPr>
              <w:t>As of</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109"/>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81"/>
        </w:trPr>
        <w:tc>
          <w:tcPr>
            <w:tcW w:w="4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269"/>
              <w:spacing w:after="0"/>
              <w:rPr>
                <w:sz w:val="20"/>
                <w:szCs w:val="20"/>
                <w:color w:val="auto"/>
              </w:rPr>
            </w:pPr>
            <w:r>
              <w:rPr>
                <w:rFonts w:ascii="Arial" w:cs="Arial" w:eastAsia="Arial" w:hAnsi="Arial"/>
                <w:sz w:val="14"/>
                <w:szCs w:val="14"/>
                <w:b w:val="1"/>
                <w:bCs w:val="1"/>
                <w:color w:val="auto"/>
              </w:rPr>
              <w:t>March 31, 2020</w:t>
            </w:r>
          </w:p>
        </w:tc>
        <w:tc>
          <w:tcPr>
            <w:tcW w:w="440" w:type="dxa"/>
            <w:vAlign w:val="bottom"/>
          </w:tcPr>
          <w:p>
            <w:pPr>
              <w:spacing w:after="0"/>
              <w:rPr>
                <w:sz w:val="15"/>
                <w:szCs w:val="15"/>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Pr>
          <w:p>
            <w:pPr>
              <w:spacing w:after="0"/>
              <w:rPr>
                <w:sz w:val="15"/>
                <w:szCs w:val="15"/>
                <w:color w:val="auto"/>
              </w:rPr>
            </w:pPr>
          </w:p>
        </w:tc>
        <w:tc>
          <w:tcPr>
            <w:tcW w:w="1460" w:type="dxa"/>
            <w:vAlign w:val="bottom"/>
          </w:tcPr>
          <w:p>
            <w:pPr>
              <w:jc w:val="right"/>
              <w:ind w:right="104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0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22"/>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67"/>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jc w:val="right"/>
              <w:ind w:right="249"/>
              <w:spacing w:after="0"/>
              <w:rPr>
                <w:sz w:val="20"/>
                <w:szCs w:val="20"/>
                <w:color w:val="auto"/>
              </w:rPr>
            </w:pPr>
            <w:r>
              <w:rPr>
                <w:rFonts w:ascii="Arial" w:cs="Arial" w:eastAsia="Arial" w:hAnsi="Arial"/>
                <w:sz w:val="13"/>
                <w:szCs w:val="13"/>
                <w:i w:val="1"/>
                <w:iCs w:val="1"/>
                <w:color w:val="auto"/>
              </w:rPr>
              <w:t>(Dollars in thousands)</w:t>
            </w: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6"/>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2"/>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5,067,407</w:t>
            </w:r>
          </w:p>
        </w:tc>
        <w:tc>
          <w:tcPr>
            <w:tcW w:w="4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4,931,233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rPr>
              <w:t>136,174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91"/>
        </w:trPr>
        <w:tc>
          <w:tcPr>
            <w:tcW w:w="45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158,987</w:t>
            </w:r>
          </w:p>
        </w:tc>
        <w:tc>
          <w:tcPr>
            <w:tcW w:w="440" w:type="dxa"/>
            <w:vAlign w:val="bottom"/>
          </w:tcPr>
          <w:p>
            <w:pPr>
              <w:spacing w:after="0"/>
              <w:rPr>
                <w:sz w:val="16"/>
                <w:szCs w:val="16"/>
                <w:color w:val="auto"/>
              </w:rPr>
            </w:pPr>
          </w:p>
        </w:tc>
        <w:tc>
          <w:tcPr>
            <w:tcW w:w="1600" w:type="dxa"/>
            <w:vAlign w:val="bottom"/>
          </w:tcPr>
          <w:p>
            <w:pPr>
              <w:jc w:val="right"/>
              <w:ind w:right="70"/>
              <w:spacing w:after="0"/>
              <w:rPr>
                <w:sz w:val="20"/>
                <w:szCs w:val="20"/>
                <w:color w:val="auto"/>
              </w:rPr>
            </w:pPr>
            <w:r>
              <w:rPr>
                <w:rFonts w:ascii="Arial" w:cs="Arial" w:eastAsia="Arial" w:hAnsi="Arial"/>
                <w:sz w:val="14"/>
                <w:szCs w:val="14"/>
                <w:color w:val="auto"/>
              </w:rPr>
              <w:t>187,320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529"/>
              <w:spacing w:after="0"/>
              <w:rPr>
                <w:sz w:val="20"/>
                <w:szCs w:val="20"/>
                <w:color w:val="auto"/>
              </w:rPr>
            </w:pPr>
            <w:r>
              <w:rPr>
                <w:rFonts w:ascii="Arial" w:cs="Arial" w:eastAsia="Arial" w:hAnsi="Arial"/>
                <w:sz w:val="14"/>
                <w:szCs w:val="14"/>
                <w:color w:val="auto"/>
              </w:rPr>
              <w:t>(28,333)</w:t>
            </w: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r>
      <w:tr>
        <w:trPr>
          <w:trHeight w:val="22"/>
        </w:trPr>
        <w:tc>
          <w:tcPr>
            <w:tcW w:w="4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Available-for-sale securities</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735,231</w:t>
            </w:r>
          </w:p>
        </w:tc>
        <w:tc>
          <w:tcPr>
            <w:tcW w:w="4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741,634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14"/>
                <w:szCs w:val="14"/>
                <w:color w:val="auto"/>
              </w:rPr>
              <w:t>(6,403)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4"/>
                <w:szCs w:val="14"/>
                <w:color w:val="auto"/>
              </w:rPr>
              <w:t>Gross loans, net of unearned income</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4,002,451</w:t>
            </w:r>
          </w:p>
        </w:tc>
        <w:tc>
          <w:tcPr>
            <w:tcW w:w="440" w:type="dxa"/>
            <w:vAlign w:val="bottom"/>
          </w:tcPr>
          <w:p>
            <w:pPr>
              <w:spacing w:after="0"/>
              <w:rPr>
                <w:sz w:val="16"/>
                <w:szCs w:val="16"/>
                <w:color w:val="auto"/>
              </w:rPr>
            </w:pPr>
          </w:p>
        </w:tc>
        <w:tc>
          <w:tcPr>
            <w:tcW w:w="1600" w:type="dxa"/>
            <w:vAlign w:val="bottom"/>
          </w:tcPr>
          <w:p>
            <w:pPr>
              <w:jc w:val="right"/>
              <w:ind w:right="70"/>
              <w:spacing w:after="0"/>
              <w:rPr>
                <w:sz w:val="20"/>
                <w:szCs w:val="20"/>
                <w:color w:val="auto"/>
              </w:rPr>
            </w:pPr>
            <w:r>
              <w:rPr>
                <w:rFonts w:ascii="Arial" w:cs="Arial" w:eastAsia="Arial" w:hAnsi="Arial"/>
                <w:sz w:val="14"/>
                <w:szCs w:val="14"/>
                <w:color w:val="auto"/>
              </w:rPr>
              <w:t>3,852,244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569"/>
              <w:spacing w:after="0"/>
              <w:rPr>
                <w:sz w:val="20"/>
                <w:szCs w:val="20"/>
                <w:color w:val="auto"/>
              </w:rPr>
            </w:pPr>
            <w:r>
              <w:rPr>
                <w:rFonts w:ascii="Arial" w:cs="Arial" w:eastAsia="Arial" w:hAnsi="Arial"/>
                <w:sz w:val="14"/>
                <w:szCs w:val="14"/>
                <w:color w:val="auto"/>
              </w:rPr>
              <w:t>150,207</w:t>
            </w: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r>
      <w:tr>
        <w:trPr>
          <w:trHeight w:val="22"/>
        </w:trPr>
        <w:tc>
          <w:tcPr>
            <w:tcW w:w="4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deposits</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3,972,822</w:t>
            </w:r>
          </w:p>
        </w:tc>
        <w:tc>
          <w:tcPr>
            <w:tcW w:w="4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3,923,759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rPr>
              <w:t>49,063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4"/>
                <w:szCs w:val="14"/>
                <w:color w:val="auto"/>
              </w:rPr>
              <w:t>Federal funds purchased and repurchase agreements</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38,946</w:t>
            </w:r>
          </w:p>
        </w:tc>
        <w:tc>
          <w:tcPr>
            <w:tcW w:w="440" w:type="dxa"/>
            <w:vAlign w:val="bottom"/>
          </w:tcPr>
          <w:p>
            <w:pPr>
              <w:spacing w:after="0"/>
              <w:rPr>
                <w:sz w:val="16"/>
                <w:szCs w:val="16"/>
                <w:color w:val="auto"/>
              </w:rPr>
            </w:pPr>
          </w:p>
        </w:tc>
        <w:tc>
          <w:tcPr>
            <w:tcW w:w="1600" w:type="dxa"/>
            <w:vAlign w:val="bottom"/>
          </w:tcPr>
          <w:p>
            <w:pPr>
              <w:jc w:val="right"/>
              <w:ind w:right="70"/>
              <w:spacing w:after="0"/>
              <w:rPr>
                <w:sz w:val="20"/>
                <w:szCs w:val="20"/>
                <w:color w:val="auto"/>
              </w:rPr>
            </w:pPr>
            <w:r>
              <w:rPr>
                <w:rFonts w:ascii="Arial" w:cs="Arial" w:eastAsia="Arial" w:hAnsi="Arial"/>
                <w:sz w:val="14"/>
                <w:szCs w:val="14"/>
                <w:color w:val="auto"/>
              </w:rPr>
              <w:t>14,921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569"/>
              <w:spacing w:after="0"/>
              <w:rPr>
                <w:sz w:val="20"/>
                <w:szCs w:val="20"/>
                <w:color w:val="auto"/>
              </w:rPr>
            </w:pPr>
            <w:r>
              <w:rPr>
                <w:rFonts w:ascii="Arial" w:cs="Arial" w:eastAsia="Arial" w:hAnsi="Arial"/>
                <w:sz w:val="14"/>
                <w:szCs w:val="14"/>
                <w:color w:val="auto"/>
              </w:rPr>
              <w:t>24,025</w:t>
            </w:r>
          </w:p>
        </w:tc>
        <w:tc>
          <w:tcPr>
            <w:tcW w:w="820" w:type="dxa"/>
            <w:vAlign w:val="bottom"/>
          </w:tcPr>
          <w:p>
            <w:pPr>
              <w:jc w:val="right"/>
              <w:spacing w:after="0"/>
              <w:rPr>
                <w:sz w:val="20"/>
                <w:szCs w:val="20"/>
                <w:color w:val="auto"/>
              </w:rPr>
            </w:pPr>
            <w:r>
              <w:rPr>
                <w:rFonts w:ascii="Arial" w:cs="Arial" w:eastAsia="Arial" w:hAnsi="Arial"/>
                <w:sz w:val="14"/>
                <w:szCs w:val="14"/>
                <w:color w:val="auto"/>
              </w:rPr>
              <w:t>161</w:t>
            </w:r>
          </w:p>
        </w:tc>
        <w:tc>
          <w:tcPr>
            <w:tcW w:w="140" w:type="dxa"/>
            <w:vAlign w:val="bottom"/>
          </w:tcPr>
          <w:p>
            <w:pPr>
              <w:spacing w:after="0"/>
              <w:rPr>
                <w:sz w:val="16"/>
                <w:szCs w:val="16"/>
                <w:color w:val="auto"/>
              </w:rPr>
            </w:pPr>
          </w:p>
        </w:tc>
      </w:tr>
      <w:tr>
        <w:trPr>
          <w:trHeight w:val="22"/>
        </w:trPr>
        <w:tc>
          <w:tcPr>
            <w:tcW w:w="4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Federal Home Loan Bank advances</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402,680</w:t>
            </w:r>
          </w:p>
        </w:tc>
        <w:tc>
          <w:tcPr>
            <w:tcW w:w="4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358,743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rPr>
              <w:t>43,937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611,946</w:t>
            </w:r>
          </w:p>
        </w:tc>
        <w:tc>
          <w:tcPr>
            <w:tcW w:w="4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70"/>
              <w:spacing w:after="0"/>
              <w:rPr>
                <w:sz w:val="20"/>
                <w:szCs w:val="20"/>
                <w:color w:val="auto"/>
              </w:rPr>
            </w:pPr>
            <w:r>
              <w:rPr>
                <w:rFonts w:ascii="Arial" w:cs="Arial" w:eastAsia="Arial" w:hAnsi="Arial"/>
                <w:sz w:val="14"/>
                <w:szCs w:val="14"/>
                <w:color w:val="auto"/>
              </w:rPr>
              <w:t>601,644</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69"/>
              <w:spacing w:after="0"/>
              <w:rPr>
                <w:sz w:val="20"/>
                <w:szCs w:val="20"/>
                <w:color w:val="auto"/>
              </w:rPr>
            </w:pPr>
            <w:r>
              <w:rPr>
                <w:rFonts w:ascii="Arial" w:cs="Arial" w:eastAsia="Arial" w:hAnsi="Arial"/>
                <w:sz w:val="14"/>
                <w:szCs w:val="14"/>
                <w:color w:val="auto"/>
              </w:rPr>
              <w:t>10,302</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r>
    </w:tbl>
    <w:p>
      <w:pPr>
        <w:spacing w:after="0" w:line="138" w:lineRule="exact"/>
        <w:rPr>
          <w:sz w:val="20"/>
          <w:szCs w:val="20"/>
          <w:color w:val="auto"/>
        </w:rPr>
      </w:pPr>
    </w:p>
    <w:p>
      <w:pPr>
        <w:ind w:left="140" w:right="640" w:firstLine="382"/>
        <w:spacing w:after="0" w:line="281" w:lineRule="auto"/>
        <w:rPr>
          <w:sz w:val="20"/>
          <w:szCs w:val="20"/>
          <w:color w:val="auto"/>
        </w:rPr>
      </w:pPr>
      <w:r>
        <w:rPr>
          <w:rFonts w:ascii="Arial" w:cs="Arial" w:eastAsia="Arial" w:hAnsi="Arial"/>
          <w:sz w:val="14"/>
          <w:szCs w:val="14"/>
          <w:color w:val="auto"/>
        </w:rPr>
        <w:t>Asset growth in the first quarter of 2020 was driven by increases in the loan portfolio, primarily from commercial real estate and residential real estate loan funding. For additional information about the loan portfolio refer to the loan portfolio segment below.</w:t>
      </w:r>
    </w:p>
    <w:p>
      <w:pPr>
        <w:spacing w:after="0" w:line="90" w:lineRule="exact"/>
        <w:rPr>
          <w:sz w:val="20"/>
          <w:szCs w:val="20"/>
          <w:color w:val="auto"/>
        </w:rPr>
      </w:pPr>
    </w:p>
    <w:p>
      <w:pPr>
        <w:ind w:left="140" w:right="40" w:firstLine="382"/>
        <w:spacing w:after="0" w:line="297" w:lineRule="auto"/>
        <w:rPr>
          <w:sz w:val="20"/>
          <w:szCs w:val="20"/>
          <w:color w:val="auto"/>
        </w:rPr>
      </w:pPr>
      <w:r>
        <w:rPr>
          <w:rFonts w:ascii="Arial" w:cs="Arial" w:eastAsia="Arial" w:hAnsi="Arial"/>
          <w:sz w:val="13"/>
          <w:szCs w:val="13"/>
          <w:color w:val="auto"/>
        </w:rPr>
        <w:t>The increase in loans was funded primarily from an increase in total deposits and raised the loan to deposit ratio from 98.18% at December 31, 2019 to 100.75% at March 31, 2020. The increase in total deposits was driven by a $45 million increase in non-interest bearing deposits and a $278 million increase in transaction deposits, offset by a $137 million decrease in time deposits and a $138 million decrease in money market and savings deposits. For additional information regarding deposits refer to the deposits and other borrowings segment below.</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Security Portfolio</w:t>
      </w:r>
    </w:p>
    <w:p>
      <w:pPr>
        <w:spacing w:after="0" w:line="126" w:lineRule="exact"/>
        <w:rPr>
          <w:sz w:val="20"/>
          <w:szCs w:val="20"/>
          <w:color w:val="auto"/>
        </w:rPr>
      </w:pPr>
    </w:p>
    <w:p>
      <w:pPr>
        <w:ind w:left="140" w:right="120" w:firstLine="382"/>
        <w:spacing w:after="0" w:line="288" w:lineRule="auto"/>
        <w:rPr>
          <w:sz w:val="20"/>
          <w:szCs w:val="20"/>
          <w:color w:val="auto"/>
        </w:rPr>
      </w:pPr>
      <w:r>
        <w:rPr>
          <w:rFonts w:ascii="Arial" w:cs="Arial" w:eastAsia="Arial" w:hAnsi="Arial"/>
          <w:sz w:val="13"/>
          <w:szCs w:val="13"/>
          <w:color w:val="auto"/>
        </w:rPr>
        <w:t>The Company’s investment portfolio is governed by the investment policy that sets objectives, limits, and liquidity requirements among other items. The investment strategy is generally updated annually in coordination with an investment advisor. The portfolio is maintained to serve as a contingent, on-balance sheet source of liquidity. The objective of the Company’s investment portfolio is to optimize earnings, manage credit risk, ensure adequate liquidity, manage interest rate risk, meet pledging requirements, and meet regulatory capital requirements. The investment portfolio is generally comprised of government sponsored entity securities and U.S. state and political subdivision securities; limits are set on all types of securities.</w:t>
      </w:r>
    </w:p>
    <w:p>
      <w:pPr>
        <w:spacing w:after="0" w:line="89" w:lineRule="exact"/>
        <w:rPr>
          <w:sz w:val="20"/>
          <w:szCs w:val="20"/>
          <w:color w:val="auto"/>
        </w:rPr>
      </w:pPr>
    </w:p>
    <w:p>
      <w:pPr>
        <w:ind w:left="140" w:right="400" w:firstLine="382"/>
        <w:spacing w:after="0" w:line="321" w:lineRule="auto"/>
        <w:rPr>
          <w:sz w:val="20"/>
          <w:szCs w:val="20"/>
          <w:color w:val="auto"/>
        </w:rPr>
      </w:pPr>
      <w:r>
        <w:rPr>
          <w:rFonts w:ascii="Arial" w:cs="Arial" w:eastAsia="Arial" w:hAnsi="Arial"/>
          <w:sz w:val="13"/>
          <w:szCs w:val="13"/>
          <w:color w:val="auto"/>
        </w:rPr>
        <w:t>As of March 31, 2020, available-for-sale investments totaled $735 million, a $6 million decrease from December 31, 2019. The decline in the investment portfolio ensured appropriate liquidity was available for higher interest-earning assets. For additional information, see “Note 3 - Securities” in the Notes to the Unaudited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 Portfolio</w:t>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4100" w:type="dxa"/>
            <w:vAlign w:val="bottom"/>
          </w:tcPr>
          <w:p>
            <w:pPr>
              <w:ind w:left="380"/>
              <w:spacing w:after="0"/>
              <w:rPr>
                <w:sz w:val="20"/>
                <w:szCs w:val="20"/>
                <w:color w:val="auto"/>
              </w:rPr>
            </w:pPr>
            <w:r>
              <w:rPr>
                <w:rFonts w:ascii="Arial" w:cs="Arial" w:eastAsia="Arial" w:hAnsi="Arial"/>
                <w:sz w:val="14"/>
                <w:szCs w:val="14"/>
                <w:color w:val="auto"/>
              </w:rPr>
              <w:t>Loans consisted of the following as of the dates indicated:</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4"/>
          </w:tcPr>
          <w:p>
            <w:pPr>
              <w:jc w:val="center"/>
              <w:ind w:right="49"/>
              <w:spacing w:after="0"/>
              <w:rPr>
                <w:sz w:val="20"/>
                <w:szCs w:val="20"/>
                <w:color w:val="auto"/>
              </w:rPr>
            </w:pPr>
            <w:r>
              <w:rPr>
                <w:rFonts w:ascii="Arial" w:cs="Arial" w:eastAsia="Arial" w:hAnsi="Arial"/>
                <w:sz w:val="14"/>
                <w:szCs w:val="14"/>
                <w:b w:val="1"/>
                <w:bCs w:val="1"/>
                <w:color w:val="auto"/>
                <w:w w:val="90"/>
              </w:rPr>
              <w:t>March 31, 2020 vs. December 31,</w:t>
            </w: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469"/>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349"/>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49"/>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 of Gross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 of 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Increase</w:t>
            </w:r>
          </w:p>
        </w:tc>
        <w:tc>
          <w:tcPr>
            <w:tcW w:w="920" w:type="dxa"/>
            <w:vAlign w:val="bottom"/>
          </w:tcPr>
          <w:p>
            <w:pPr>
              <w:jc w:val="center"/>
              <w:ind w:right="29"/>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8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7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(Decrease)</w:t>
            </w:r>
          </w:p>
        </w:tc>
        <w:tc>
          <w:tcPr>
            <w:tcW w:w="920" w:type="dxa"/>
            <w:vAlign w:val="bottom"/>
          </w:tcPr>
          <w:p>
            <w:pPr>
              <w:jc w:val="center"/>
              <w:ind w:right="29"/>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right"/>
              <w:ind w:right="329"/>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1,355,723</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1,356,817</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(1,094)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1"/>
        </w:trPr>
        <w:tc>
          <w:tcPr>
            <w:tcW w:w="4100" w:type="dxa"/>
            <w:vAlign w:val="bottom"/>
          </w:tcPr>
          <w:p>
            <w:pPr>
              <w:spacing w:after="0"/>
              <w:rPr>
                <w:sz w:val="20"/>
                <w:szCs w:val="20"/>
                <w:color w:val="auto"/>
              </w:rPr>
            </w:pPr>
            <w:r>
              <w:rPr>
                <w:rFonts w:ascii="Arial" w:cs="Arial" w:eastAsia="Arial" w:hAnsi="Arial"/>
                <w:sz w:val="14"/>
                <w:szCs w:val="14"/>
                <w:color w:val="auto"/>
              </w:rPr>
              <w:t>Energy</w:t>
            </w:r>
          </w:p>
        </w:tc>
        <w:tc>
          <w:tcPr>
            <w:tcW w:w="22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398,797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408,573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(9,776)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1,084,684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1,024,041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60,643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1"/>
        </w:trPr>
        <w:tc>
          <w:tcPr>
            <w:tcW w:w="410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22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625,145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628,418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503,702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398,695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105,007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1"/>
        </w:trPr>
        <w:tc>
          <w:tcPr>
            <w:tcW w:w="4100" w:type="dxa"/>
            <w:vAlign w:val="bottom"/>
          </w:tcPr>
          <w:p>
            <w:pPr>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43,118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45,163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(2,045)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
        </w:trPr>
        <w:tc>
          <w:tcPr>
            <w:tcW w:w="4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Gross loans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4,011,169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3,861,707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149,462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4"/>
                <w:szCs w:val="14"/>
                <w:color w:val="auto"/>
              </w:rPr>
              <w:t>Less: Allowance for loan losses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69"/>
              <w:spacing w:after="0"/>
              <w:rPr>
                <w:sz w:val="20"/>
                <w:szCs w:val="20"/>
                <w:color w:val="auto"/>
              </w:rPr>
            </w:pPr>
            <w:r>
              <w:rPr>
                <w:rFonts w:ascii="Arial" w:cs="Arial" w:eastAsia="Arial" w:hAnsi="Arial"/>
                <w:sz w:val="14"/>
                <w:szCs w:val="14"/>
                <w:color w:val="auto"/>
              </w:rPr>
              <w:t>51,458</w:t>
            </w: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4"/>
                <w:szCs w:val="14"/>
                <w:color w:val="auto"/>
              </w:rPr>
              <w:t>56,896</w:t>
            </w: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29"/>
              <w:spacing w:after="0"/>
              <w:rPr>
                <w:sz w:val="20"/>
                <w:szCs w:val="20"/>
                <w:color w:val="auto"/>
              </w:rPr>
            </w:pPr>
            <w:r>
              <w:rPr>
                <w:rFonts w:ascii="Arial" w:cs="Arial" w:eastAsia="Arial" w:hAnsi="Arial"/>
                <w:sz w:val="14"/>
                <w:szCs w:val="14"/>
                <w:color w:val="auto"/>
              </w:rPr>
              <w:t>(5,438)</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69"/>
              <w:spacing w:after="0"/>
              <w:rPr>
                <w:sz w:val="20"/>
                <w:szCs w:val="20"/>
                <w:color w:val="auto"/>
              </w:rPr>
            </w:pPr>
            <w:r>
              <w:rPr>
                <w:rFonts w:ascii="Arial" w:cs="Arial" w:eastAsia="Arial" w:hAnsi="Arial"/>
                <w:sz w:val="14"/>
                <w:szCs w:val="14"/>
                <w:color w:val="auto"/>
              </w:rPr>
              <w:t>(10)</w:t>
            </w:r>
          </w:p>
        </w:tc>
        <w:tc>
          <w:tcPr>
            <w:tcW w:w="0" w:type="dxa"/>
            <w:vAlign w:val="bottom"/>
          </w:tcPr>
          <w:p>
            <w:pPr>
              <w:spacing w:after="0" w:line="20" w:lineRule="exact"/>
              <w:rPr>
                <w:sz w:val="1"/>
                <w:szCs w:val="1"/>
                <w:color w:val="auto"/>
              </w:rPr>
            </w:pPr>
          </w:p>
        </w:tc>
      </w:tr>
      <w:tr>
        <w:trPr>
          <w:trHeight w:val="132"/>
        </w:trPr>
        <w:tc>
          <w:tcPr>
            <w:tcW w:w="4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Less: Net deferred loan fees and costs</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8,718</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9,463</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3"/>
        </w:trPr>
        <w:tc>
          <w:tcPr>
            <w:tcW w:w="4100" w:type="dxa"/>
            <w:vAlign w:val="bottom"/>
          </w:tcPr>
          <w:p>
            <w:pPr>
              <w:ind w:left="160"/>
              <w:spacing w:after="0"/>
              <w:rPr>
                <w:sz w:val="20"/>
                <w:szCs w:val="20"/>
                <w:color w:val="auto"/>
              </w:rPr>
            </w:pPr>
            <w:r>
              <w:rPr>
                <w:rFonts w:ascii="Arial" w:cs="Arial" w:eastAsia="Arial" w:hAnsi="Arial"/>
                <w:sz w:val="14"/>
                <w:szCs w:val="14"/>
                <w:color w:val="auto"/>
              </w:rPr>
              <w:t>Net loans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3,950,993</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3,795,348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155,645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March 31, 2020, gross loans increased $149 million or 4% from December 31, 2019 and increased $725 million or 22% from March 31, 2019.</w:t>
      </w:r>
    </w:p>
    <w:p>
      <w:pPr>
        <w:spacing w:after="0" w:line="136" w:lineRule="exact"/>
        <w:rPr>
          <w:sz w:val="20"/>
          <w:szCs w:val="20"/>
          <w:color w:val="auto"/>
        </w:rPr>
      </w:pPr>
    </w:p>
    <w:p>
      <w:pPr>
        <w:jc w:val="both"/>
        <w:ind w:left="140" w:right="20" w:firstLine="382"/>
        <w:spacing w:after="0" w:line="281" w:lineRule="auto"/>
        <w:rPr>
          <w:sz w:val="20"/>
          <w:szCs w:val="20"/>
          <w:color w:val="auto"/>
        </w:rPr>
      </w:pPr>
      <w:r>
        <w:rPr>
          <w:rFonts w:ascii="Arial" w:cs="Arial" w:eastAsia="Arial" w:hAnsi="Arial"/>
          <w:sz w:val="14"/>
          <w:szCs w:val="14"/>
          <w:color w:val="auto"/>
        </w:rPr>
        <w:t>Residential real estate growth was driven by developing relationships with key residential and multifamily real estate developers in a majority of our markets. The increase included new loan funding totaling approximately $42 million with the remaining growth coming from existing loan relationships.</w:t>
      </w:r>
    </w:p>
    <w:p>
      <w:pPr>
        <w:spacing w:after="0" w:line="90" w:lineRule="exact"/>
        <w:rPr>
          <w:sz w:val="20"/>
          <w:szCs w:val="20"/>
          <w:color w:val="auto"/>
        </w:rPr>
      </w:pPr>
    </w:p>
    <w:p>
      <w:pPr>
        <w:jc w:val="both"/>
        <w:ind w:left="140" w:right="260" w:firstLine="382"/>
        <w:spacing w:after="0" w:line="331" w:lineRule="auto"/>
        <w:rPr>
          <w:sz w:val="20"/>
          <w:szCs w:val="20"/>
          <w:color w:val="auto"/>
        </w:rPr>
      </w:pPr>
      <w:r>
        <w:rPr>
          <w:rFonts w:ascii="Arial" w:cs="Arial" w:eastAsia="Arial" w:hAnsi="Arial"/>
          <w:sz w:val="12"/>
          <w:szCs w:val="12"/>
          <w:color w:val="auto"/>
        </w:rPr>
        <w:t>Commercial real estate was the second largest segment for growth during the three months ended March 31, 2020. Approximately 76% of the commercial real estate portfolio is located within the states of Kansas, Missouri, Oklahoma, and Texas, with Texas, our largest state concentration, representing approximately 28% of the commercial real estate portfolio as of March 31, 2020. The commercial real estate portfolio remains well diversified. Retail is the largest segment in our real estate loan portfolio, representing 13% of the portfolio as of March 31, 2020.</w:t>
      </w:r>
    </w:p>
    <w:p>
      <w:pPr>
        <w:spacing w:after="0" w:line="66" w:lineRule="exact"/>
        <w:rPr>
          <w:sz w:val="20"/>
          <w:szCs w:val="20"/>
          <w:color w:val="auto"/>
        </w:rPr>
      </w:pPr>
    </w:p>
    <w:p>
      <w:pPr>
        <w:ind w:left="140" w:right="460" w:firstLine="382"/>
        <w:spacing w:after="0" w:line="281" w:lineRule="auto"/>
        <w:rPr>
          <w:sz w:val="20"/>
          <w:szCs w:val="20"/>
          <w:color w:val="auto"/>
        </w:rPr>
      </w:pPr>
      <w:r>
        <w:rPr>
          <w:rFonts w:ascii="Arial" w:cs="Arial" w:eastAsia="Arial" w:hAnsi="Arial"/>
          <w:sz w:val="14"/>
          <w:szCs w:val="14"/>
          <w:color w:val="auto"/>
        </w:rPr>
        <w:t>Our energy portfolio declined from year-end 2019 and continues to decline as a percentage of our total loan portfolio from 11% at December 31, 2019 to 10% at March 31, 2020. The Company expects to see less activity in the energy market due to ongoing uncertainty in the sector.</w:t>
      </w:r>
    </w:p>
    <w:p>
      <w:pPr>
        <w:spacing w:after="0" w:line="90" w:lineRule="exact"/>
        <w:rPr>
          <w:sz w:val="20"/>
          <w:szCs w:val="20"/>
          <w:color w:val="auto"/>
        </w:rPr>
      </w:pPr>
    </w:p>
    <w:p>
      <w:pPr>
        <w:jc w:val="both"/>
        <w:ind w:left="140" w:right="540" w:firstLine="382"/>
        <w:spacing w:after="0" w:line="368" w:lineRule="auto"/>
        <w:rPr>
          <w:sz w:val="20"/>
          <w:szCs w:val="20"/>
          <w:color w:val="auto"/>
        </w:rPr>
      </w:pPr>
      <w:r>
        <w:rPr>
          <w:rFonts w:ascii="Arial" w:cs="Arial" w:eastAsia="Arial" w:hAnsi="Arial"/>
          <w:sz w:val="12"/>
          <w:szCs w:val="12"/>
          <w:color w:val="auto"/>
        </w:rPr>
        <w:t>The commercial loan portfolio has historically been a contributor to loan growth. During the first quarter of 2020, the Company saw a slight decline in this segment. Changes to the commercial portfolio included $108 million in loan payoffs, $110 million in new loans to new and existing customers, and the remainder representing normal fluctuations in loan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Allowance for Loan Losses (“ALLL”)</w:t>
      </w:r>
    </w:p>
    <w:p>
      <w:pPr>
        <w:spacing w:after="0" w:line="126" w:lineRule="exact"/>
        <w:rPr>
          <w:sz w:val="20"/>
          <w:szCs w:val="20"/>
          <w:color w:val="auto"/>
        </w:rPr>
      </w:pPr>
    </w:p>
    <w:p>
      <w:pPr>
        <w:ind w:left="140" w:right="100" w:firstLine="382"/>
        <w:spacing w:after="0" w:line="262" w:lineRule="auto"/>
        <w:rPr>
          <w:sz w:val="20"/>
          <w:szCs w:val="20"/>
          <w:color w:val="auto"/>
        </w:rPr>
      </w:pPr>
      <w:r>
        <w:rPr>
          <w:rFonts w:ascii="Arial" w:cs="Arial" w:eastAsia="Arial" w:hAnsi="Arial"/>
          <w:sz w:val="14"/>
          <w:szCs w:val="14"/>
          <w:color w:val="auto"/>
        </w:rPr>
        <w:t>The ALLL is an amount required to cover net loan charge-offs plus the amount considered necessary by the Bank’s management to maintain the balance in the allowance at a level adequate to absorb expected loan losses in the existing loan portfolio. The ALLL is evaluated on at least a quarterly basis. We use a loan grading system and portfolio segmentation to group the portfolio. Each group is evaluated and adjusted for changes in historical trends that may impact the segment. The ALLL at March 31, 2020, represents our best estimate of the incurred credit losses inherent in the loan portfolio at that date.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COVID-19 Uncertainties</w:t>
      </w:r>
    </w:p>
    <w:p>
      <w:pPr>
        <w:spacing w:after="0" w:line="126" w:lineRule="exact"/>
        <w:rPr>
          <w:sz w:val="20"/>
          <w:szCs w:val="20"/>
          <w:color w:val="auto"/>
        </w:rPr>
      </w:pPr>
    </w:p>
    <w:p>
      <w:pPr>
        <w:ind w:left="140" w:right="60" w:firstLine="382"/>
        <w:spacing w:after="0" w:line="258" w:lineRule="auto"/>
        <w:rPr>
          <w:sz w:val="20"/>
          <w:szCs w:val="20"/>
          <w:color w:val="auto"/>
        </w:rPr>
      </w:pPr>
      <w:r>
        <w:rPr>
          <w:rFonts w:ascii="Arial" w:cs="Arial" w:eastAsia="Arial" w:hAnsi="Arial"/>
          <w:sz w:val="14"/>
          <w:szCs w:val="14"/>
          <w:color w:val="auto"/>
        </w:rPr>
        <w:t>There are significant uncertainties about what the effects of the COVID-19 pandemic will ultimately be. Depending upon the extent and duration of the future impact of the COVID-19 pandemic, we may need to make additional increases to our provision for loan losses in future periods. The future impact of the pandemic is highly uncertain and cannot be predicted. The extent of the impact on our customers and, in turn, on our business and operations, will depend on future developments, including actions taken to contain the pandemic. To the extent the pandemic continues to cause a recession or decrease economic activity for an extended time period, we expect our business and operations will be negatively impacted. Customers may seek additional loan modifications or restructuring, or we may experience adverse movement in risk classifications, any of which could potentially result in the need to increase provisions and impact the allowance for loan losses.</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allocation in one portfolio segment does not preclude its availability to absorb losses in other segments. The table below presents the allocation of the allowance for loan losses:</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2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20" w:type="dxa"/>
            <w:vAlign w:val="bottom"/>
            <w:gridSpan w:val="3"/>
          </w:tcPr>
          <w:p>
            <w:pPr>
              <w:jc w:val="right"/>
              <w:ind w:right="1029"/>
              <w:spacing w:after="0"/>
              <w:rPr>
                <w:sz w:val="20"/>
                <w:szCs w:val="20"/>
                <w:color w:val="auto"/>
              </w:rPr>
            </w:pPr>
            <w:r>
              <w:rPr>
                <w:rFonts w:ascii="Arial" w:cs="Arial" w:eastAsia="Arial" w:hAnsi="Arial"/>
                <w:sz w:val="14"/>
                <w:szCs w:val="14"/>
                <w:b w:val="1"/>
                <w:bCs w:val="1"/>
                <w:color w:val="auto"/>
                <w:w w:val="95"/>
              </w:rPr>
              <w:t>December 31, 2019</w:t>
            </w:r>
          </w:p>
        </w:tc>
        <w:tc>
          <w:tcPr>
            <w:tcW w:w="160" w:type="dxa"/>
            <w:vAlign w:val="bottom"/>
          </w:tcPr>
          <w:p>
            <w:pPr>
              <w:spacing w:after="0"/>
              <w:rPr>
                <w:sz w:val="16"/>
                <w:szCs w:val="16"/>
                <w:color w:val="auto"/>
              </w:rPr>
            </w:pPr>
          </w:p>
        </w:tc>
      </w:tr>
      <w:tr>
        <w:trPr>
          <w:trHeight w:val="22"/>
        </w:trPr>
        <w:tc>
          <w:tcPr>
            <w:tcW w:w="3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167"/>
        </w:trPr>
        <w:tc>
          <w:tcPr>
            <w:tcW w:w="3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tcPr>
          <w:p>
            <w:pPr>
              <w:jc w:val="right"/>
              <w:ind w:right="1229"/>
              <w:spacing w:after="0"/>
              <w:rPr>
                <w:sz w:val="20"/>
                <w:szCs w:val="20"/>
                <w:color w:val="auto"/>
              </w:rPr>
            </w:pPr>
            <w:r>
              <w:rPr>
                <w:rFonts w:ascii="Arial" w:cs="Arial" w:eastAsia="Arial" w:hAnsi="Arial"/>
                <w:sz w:val="14"/>
                <w:szCs w:val="14"/>
                <w:b w:val="1"/>
                <w:bCs w:val="1"/>
                <w:color w:val="auto"/>
                <w:w w:val="89"/>
              </w:rPr>
              <w:t>Percent of Allowance to Total</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Percent of Allowance to Total</w:t>
            </w:r>
          </w:p>
        </w:tc>
      </w:tr>
      <w:tr>
        <w:trPr>
          <w:trHeight w:val="184"/>
        </w:trPr>
        <w:tc>
          <w:tcPr>
            <w:tcW w:w="37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ind w:left="580"/>
              <w:spacing w:after="0"/>
              <w:rPr>
                <w:sz w:val="20"/>
                <w:szCs w:val="20"/>
                <w:color w:val="auto"/>
              </w:rPr>
            </w:pPr>
            <w:r>
              <w:rPr>
                <w:rFonts w:ascii="Arial" w:cs="Arial" w:eastAsia="Arial" w:hAnsi="Arial"/>
                <w:sz w:val="14"/>
                <w:szCs w:val="14"/>
                <w:b w:val="1"/>
                <w:bCs w:val="1"/>
                <w:color w:val="auto"/>
                <w:w w:val="92"/>
              </w:rPr>
              <w:t>Allowance</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ind w:left="64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ind w:right="349"/>
              <w:spacing w:after="0"/>
              <w:rPr>
                <w:sz w:val="20"/>
                <w:szCs w:val="20"/>
                <w:color w:val="auto"/>
              </w:rPr>
            </w:pPr>
            <w:r>
              <w:rPr>
                <w:rFonts w:ascii="Arial" w:cs="Arial" w:eastAsia="Arial" w:hAnsi="Arial"/>
                <w:sz w:val="14"/>
                <w:szCs w:val="14"/>
                <w:b w:val="1"/>
                <w:bCs w:val="1"/>
                <w:color w:val="auto"/>
              </w:rPr>
              <w:t>Allowance</w:t>
            </w:r>
          </w:p>
        </w:tc>
        <w:tc>
          <w:tcPr>
            <w:tcW w:w="160" w:type="dxa"/>
            <w:vAlign w:val="bottom"/>
          </w:tcPr>
          <w:p>
            <w:pPr>
              <w:spacing w:after="0"/>
              <w:rPr>
                <w:sz w:val="16"/>
                <w:szCs w:val="16"/>
                <w:color w:val="auto"/>
              </w:rPr>
            </w:pPr>
          </w:p>
        </w:tc>
      </w:tr>
      <w:tr>
        <w:trPr>
          <w:trHeight w:val="22"/>
        </w:trPr>
        <w:tc>
          <w:tcPr>
            <w:tcW w:w="3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4"/>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7"/>
        </w:trPr>
        <w:tc>
          <w:tcPr>
            <w:tcW w:w="3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3"/>
                <w:szCs w:val="13"/>
                <w:i w:val="1"/>
                <w:iCs w:val="1"/>
                <w:color w:val="auto"/>
              </w:rPr>
              <w:t>(Dollars in thousands)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3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192"/>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w:t>
            </w:r>
          </w:p>
        </w:tc>
        <w:tc>
          <w:tcPr>
            <w:tcW w:w="1180" w:type="dxa"/>
            <w:vAlign w:val="bottom"/>
            <w:tcBorders>
              <w:bottom w:val="single" w:sz="8" w:color="CCEEFF"/>
            </w:tcBorders>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97"/>
              </w:rPr>
              <w:t>21,129</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97"/>
              </w:rPr>
              <w:t>35,864</w:t>
            </w: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63 %</w:t>
            </w:r>
          </w:p>
        </w:tc>
      </w:tr>
      <w:tr>
        <w:trPr>
          <w:trHeight w:val="191"/>
        </w:trPr>
        <w:tc>
          <w:tcPr>
            <w:tcW w:w="3720" w:type="dxa"/>
            <w:vAlign w:val="bottom"/>
          </w:tcPr>
          <w:p>
            <w:pPr>
              <w:spacing w:after="0"/>
              <w:rPr>
                <w:sz w:val="20"/>
                <w:szCs w:val="20"/>
                <w:color w:val="auto"/>
              </w:rPr>
            </w:pPr>
            <w:r>
              <w:rPr>
                <w:rFonts w:ascii="Arial" w:cs="Arial" w:eastAsia="Arial" w:hAnsi="Arial"/>
                <w:sz w:val="14"/>
                <w:szCs w:val="14"/>
                <w:color w:val="auto"/>
              </w:rPr>
              <w:t>Energy</w:t>
            </w:r>
          </w:p>
        </w:tc>
        <w:tc>
          <w:tcPr>
            <w:tcW w:w="1180" w:type="dxa"/>
            <w:vAlign w:val="bottom"/>
          </w:tcPr>
          <w:p>
            <w:pPr>
              <w:spacing w:after="0"/>
              <w:rPr>
                <w:sz w:val="16"/>
                <w:szCs w:val="16"/>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7,599</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6,565</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6"/>
                <w:szCs w:val="16"/>
                <w:color w:val="auto"/>
              </w:rPr>
            </w:pPr>
          </w:p>
        </w:tc>
      </w:tr>
      <w:tr>
        <w:trPr>
          <w:trHeight w:val="22"/>
        </w:trPr>
        <w:tc>
          <w:tcPr>
            <w:tcW w:w="3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1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97"/>
              </w:rPr>
              <w:t>12,623</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8,085</w:t>
            </w: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372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1180" w:type="dxa"/>
            <w:vAlign w:val="bottom"/>
          </w:tcPr>
          <w:p>
            <w:pPr>
              <w:spacing w:after="0"/>
              <w:rPr>
                <w:sz w:val="16"/>
                <w:szCs w:val="16"/>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5,021</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3,516</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6"/>
                <w:szCs w:val="16"/>
                <w:color w:val="auto"/>
              </w:rPr>
            </w:pPr>
          </w:p>
        </w:tc>
      </w:tr>
      <w:tr>
        <w:trPr>
          <w:trHeight w:val="22"/>
        </w:trPr>
        <w:tc>
          <w:tcPr>
            <w:tcW w:w="3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1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4,687</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2,546</w:t>
            </w: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3720" w:type="dxa"/>
            <w:vAlign w:val="bottom"/>
          </w:tcPr>
          <w:p>
            <w:pPr>
              <w:spacing w:after="0"/>
              <w:rPr>
                <w:sz w:val="20"/>
                <w:szCs w:val="20"/>
                <w:color w:val="auto"/>
              </w:rPr>
            </w:pPr>
            <w:r>
              <w:rPr>
                <w:rFonts w:ascii="Arial" w:cs="Arial" w:eastAsia="Arial" w:hAnsi="Arial"/>
                <w:sz w:val="14"/>
                <w:szCs w:val="14"/>
                <w:color w:val="auto"/>
              </w:rPr>
              <w:t>Consumer</w:t>
            </w:r>
          </w:p>
        </w:tc>
        <w:tc>
          <w:tcPr>
            <w:tcW w:w="1180" w:type="dxa"/>
            <w:vAlign w:val="bottom"/>
          </w:tcPr>
          <w:p>
            <w:pPr>
              <w:spacing w:after="0"/>
              <w:rPr>
                <w:sz w:val="16"/>
                <w:szCs w:val="16"/>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28"/>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Gross loans</w:t>
            </w:r>
          </w:p>
        </w:tc>
        <w:tc>
          <w:tcPr>
            <w:tcW w:w="1180" w:type="dxa"/>
            <w:vAlign w:val="bottom"/>
            <w:tcBorders>
              <w:bottom w:val="single" w:sz="8" w:color="auto"/>
            </w:tcBorders>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97"/>
              </w:rPr>
              <w:t>51,458</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97"/>
              </w:rPr>
              <w:t>56,896</w:t>
            </w: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40" w:right="80" w:firstLine="382"/>
        <w:spacing w:after="0" w:line="281" w:lineRule="auto"/>
        <w:rPr>
          <w:sz w:val="20"/>
          <w:szCs w:val="20"/>
          <w:color w:val="auto"/>
        </w:rPr>
      </w:pPr>
      <w:r>
        <w:rPr>
          <w:rFonts w:ascii="Arial" w:cs="Arial" w:eastAsia="Arial" w:hAnsi="Arial"/>
          <w:sz w:val="14"/>
          <w:szCs w:val="14"/>
          <w:color w:val="auto"/>
        </w:rPr>
        <w:t>The $15 million or 22% decline in the commercial loan portfolio ALLL allocation was primarily from an $18 million charge-off in the first quarter of 2020 related to a commercial loan that was substantially reserved for at December 31, 2019. This decline was offset by a commercial loan qualitative factor that is discussed in more detail below.</w:t>
      </w:r>
    </w:p>
    <w:p>
      <w:pPr>
        <w:spacing w:after="0" w:line="90" w:lineRule="exact"/>
        <w:rPr>
          <w:sz w:val="20"/>
          <w:szCs w:val="20"/>
          <w:color w:val="auto"/>
        </w:rPr>
      </w:pPr>
    </w:p>
    <w:p>
      <w:pPr>
        <w:ind w:left="140" w:right="60" w:firstLine="382"/>
        <w:spacing w:after="0" w:line="281" w:lineRule="auto"/>
        <w:rPr>
          <w:sz w:val="20"/>
          <w:szCs w:val="20"/>
          <w:color w:val="auto"/>
        </w:rPr>
      </w:pPr>
      <w:r>
        <w:rPr>
          <w:rFonts w:ascii="Arial" w:cs="Arial" w:eastAsia="Arial" w:hAnsi="Arial"/>
          <w:sz w:val="14"/>
          <w:szCs w:val="14"/>
          <w:color w:val="auto"/>
        </w:rPr>
        <w:t>The $5 million or 10% increase in the commercial real estate loan portfolio ALLL allocation was driven by an increase in a commercial real estate qualitative factor that is discussed in more detail 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0"/>
        </w:trPr>
        <w:tc>
          <w:tcPr>
            <w:tcW w:w="7640" w:type="dxa"/>
            <w:vAlign w:val="bottom"/>
            <w:gridSpan w:val="2"/>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637"/>
        </w:trPr>
        <w:tc>
          <w:tcPr>
            <w:tcW w:w="140" w:type="dxa"/>
            <w:vAlign w:val="bottom"/>
          </w:tcPr>
          <w:p>
            <w:pPr>
              <w:spacing w:after="0"/>
              <w:rPr>
                <w:sz w:val="24"/>
                <w:szCs w:val="24"/>
                <w:color w:val="auto"/>
              </w:rPr>
            </w:pPr>
          </w:p>
        </w:tc>
        <w:tc>
          <w:tcPr>
            <w:tcW w:w="7500" w:type="dxa"/>
            <w:vAlign w:val="bottom"/>
          </w:tcPr>
          <w:p>
            <w:pPr>
              <w:ind w:left="380"/>
              <w:spacing w:after="0"/>
              <w:rPr>
                <w:sz w:val="20"/>
                <w:szCs w:val="20"/>
                <w:color w:val="auto"/>
              </w:rPr>
            </w:pPr>
            <w:r>
              <w:rPr>
                <w:rFonts w:ascii="Arial" w:cs="Arial" w:eastAsia="Arial" w:hAnsi="Arial"/>
                <w:sz w:val="14"/>
                <w:szCs w:val="14"/>
                <w:color w:val="auto"/>
              </w:rPr>
              <w:t>Activity in the allowance for loan losses is presented in the following table:</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0"/>
        </w:trPr>
        <w:tc>
          <w:tcPr>
            <w:tcW w:w="1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1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81"/>
        </w:trPr>
        <w:tc>
          <w:tcPr>
            <w:tcW w:w="14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jc w:val="right"/>
              <w:ind w:right="50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67"/>
        </w:trPr>
        <w:tc>
          <w:tcPr>
            <w:tcW w:w="1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6"/>
        </w:trPr>
        <w:tc>
          <w:tcPr>
            <w:tcW w:w="1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2"/>
        </w:trPr>
        <w:tc>
          <w:tcPr>
            <w:tcW w:w="140" w:type="dxa"/>
            <w:vAlign w:val="bottom"/>
          </w:tcPr>
          <w:p>
            <w:pPr>
              <w:spacing w:after="0"/>
              <w:rPr>
                <w:sz w:val="16"/>
                <w:szCs w:val="16"/>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Allowance for loan losses:</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Balance at beginning of period</w:t>
            </w: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56,896</w:t>
            </w:r>
          </w:p>
        </w:tc>
        <w:tc>
          <w:tcPr>
            <w:tcW w:w="98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37,826</w:t>
            </w:r>
          </w:p>
        </w:tc>
        <w:tc>
          <w:tcPr>
            <w:tcW w:w="14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Provision for loan losses</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13,950</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Charge-offs: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(18,077)</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7500" w:type="dxa"/>
            <w:vAlign w:val="bottom"/>
          </w:tcPr>
          <w:p>
            <w:pPr>
              <w:ind w:left="160"/>
              <w:spacing w:after="0"/>
              <w:rPr>
                <w:sz w:val="20"/>
                <w:szCs w:val="20"/>
                <w:color w:val="auto"/>
              </w:rPr>
            </w:pPr>
            <w:r>
              <w:rPr>
                <w:rFonts w:ascii="Arial" w:cs="Arial" w:eastAsia="Arial" w:hAnsi="Arial"/>
                <w:sz w:val="14"/>
                <w:szCs w:val="14"/>
                <w:color w:val="auto"/>
              </w:rPr>
              <w:t>Energy</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(1,279)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 real estate</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7500" w:type="dxa"/>
            <w:vAlign w:val="bottom"/>
          </w:tcPr>
          <w:p>
            <w:pPr>
              <w:ind w:left="160"/>
              <w:spacing w:after="0"/>
              <w:rPr>
                <w:sz w:val="20"/>
                <w:szCs w:val="20"/>
                <w:color w:val="auto"/>
              </w:rPr>
            </w:pPr>
            <w:r>
              <w:rPr>
                <w:rFonts w:ascii="Arial" w:cs="Arial" w:eastAsia="Arial" w:hAnsi="Arial"/>
                <w:sz w:val="14"/>
                <w:szCs w:val="14"/>
                <w:color w:val="auto"/>
              </w:rPr>
              <w:t>Construction and land development</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Residential real estate</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7500" w:type="dxa"/>
            <w:vAlign w:val="bottom"/>
          </w:tcPr>
          <w:p>
            <w:pPr>
              <w:ind w:left="160"/>
              <w:spacing w:after="0"/>
              <w:rPr>
                <w:sz w:val="20"/>
                <w:szCs w:val="20"/>
                <w:color w:val="auto"/>
              </w:rPr>
            </w:pPr>
            <w:r>
              <w:rPr>
                <w:rFonts w:ascii="Arial" w:cs="Arial" w:eastAsia="Arial" w:hAnsi="Arial"/>
                <w:sz w:val="14"/>
                <w:szCs w:val="14"/>
                <w:color w:val="auto"/>
              </w:rPr>
              <w:t>Consumer</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charge-offs</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(19,460)</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91"/>
        </w:trPr>
        <w:tc>
          <w:tcPr>
            <w:tcW w:w="140" w:type="dxa"/>
            <w:vAlign w:val="bottom"/>
          </w:tcPr>
          <w:p>
            <w:pPr>
              <w:spacing w:after="0"/>
              <w:rPr>
                <w:sz w:val="16"/>
                <w:szCs w:val="16"/>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Recoveries: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7500" w:type="dxa"/>
            <w:vAlign w:val="bottom"/>
          </w:tcPr>
          <w:p>
            <w:pPr>
              <w:ind w:left="160"/>
              <w:spacing w:after="0"/>
              <w:rPr>
                <w:sz w:val="20"/>
                <w:szCs w:val="20"/>
                <w:color w:val="auto"/>
              </w:rPr>
            </w:pPr>
            <w:r>
              <w:rPr>
                <w:rFonts w:ascii="Arial" w:cs="Arial" w:eastAsia="Arial" w:hAnsi="Arial"/>
                <w:sz w:val="14"/>
                <w:szCs w:val="14"/>
                <w:color w:val="auto"/>
              </w:rPr>
              <w:t>Energy</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576</w:t>
            </w:r>
          </w:p>
        </w:tc>
        <w:tc>
          <w:tcPr>
            <w:tcW w:w="14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Commercial real estate</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7500" w:type="dxa"/>
            <w:vAlign w:val="bottom"/>
          </w:tcPr>
          <w:p>
            <w:pPr>
              <w:ind w:left="160"/>
              <w:spacing w:after="0"/>
              <w:rPr>
                <w:sz w:val="20"/>
                <w:szCs w:val="20"/>
                <w:color w:val="auto"/>
              </w:rPr>
            </w:pPr>
            <w:r>
              <w:rPr>
                <w:rFonts w:ascii="Arial" w:cs="Arial" w:eastAsia="Arial" w:hAnsi="Arial"/>
                <w:sz w:val="14"/>
                <w:szCs w:val="14"/>
                <w:color w:val="auto"/>
              </w:rPr>
              <w:t>Construction and land development</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Residential real estate</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7500" w:type="dxa"/>
            <w:vAlign w:val="bottom"/>
          </w:tcPr>
          <w:p>
            <w:pPr>
              <w:ind w:left="160"/>
              <w:spacing w:after="0"/>
              <w:rPr>
                <w:sz w:val="20"/>
                <w:szCs w:val="20"/>
                <w:color w:val="auto"/>
              </w:rPr>
            </w:pPr>
            <w:r>
              <w:rPr>
                <w:rFonts w:ascii="Arial" w:cs="Arial" w:eastAsia="Arial" w:hAnsi="Arial"/>
                <w:sz w:val="14"/>
                <w:szCs w:val="14"/>
                <w:color w:val="auto"/>
              </w:rPr>
              <w:t>Consumer</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recoveries</w:t>
            </w:r>
          </w:p>
        </w:tc>
        <w:tc>
          <w:tcPr>
            <w:tcW w:w="10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81"/>
        </w:trPr>
        <w:tc>
          <w:tcPr>
            <w:tcW w:w="14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Net charge-offs</w:t>
            </w:r>
          </w:p>
        </w:tc>
        <w:tc>
          <w:tcPr>
            <w:tcW w:w="10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(19,388)</w:t>
            </w:r>
          </w:p>
        </w:tc>
        <w:tc>
          <w:tcPr>
            <w:tcW w:w="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140" w:type="dxa"/>
            <w:vAlign w:val="bottom"/>
            <w:tcBorders>
              <w:top w:val="single" w:sz="8" w:color="auto"/>
            </w:tcBorders>
          </w:tcPr>
          <w:p>
            <w:pPr>
              <w:spacing w:after="0"/>
              <w:rPr>
                <w:sz w:val="15"/>
                <w:szCs w:val="15"/>
                <w:color w:val="auto"/>
              </w:rPr>
            </w:pPr>
          </w:p>
        </w:tc>
      </w:tr>
      <w:tr>
        <w:trPr>
          <w:trHeight w:val="22"/>
        </w:trPr>
        <w:tc>
          <w:tcPr>
            <w:tcW w:w="140" w:type="dxa"/>
            <w:vAlign w:val="bottom"/>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Balance at end of period</w:t>
            </w:r>
          </w:p>
        </w:tc>
        <w:tc>
          <w:tcPr>
            <w:tcW w:w="104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51,458</w:t>
            </w: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40,001</w:t>
            </w:r>
          </w:p>
        </w:tc>
        <w:tc>
          <w:tcPr>
            <w:tcW w:w="140" w:type="dxa"/>
            <w:vAlign w:val="bottom"/>
            <w:shd w:val="clear" w:color="auto" w:fill="CCEEFF"/>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140" w:type="dxa"/>
            <w:vAlign w:val="bottom"/>
          </w:tcPr>
          <w:p>
            <w:pPr>
              <w:spacing w:after="0"/>
              <w:rPr>
                <w:sz w:val="13"/>
                <w:szCs w:val="13"/>
                <w:color w:val="auto"/>
              </w:rPr>
            </w:pPr>
          </w:p>
        </w:tc>
        <w:tc>
          <w:tcPr>
            <w:tcW w:w="7500" w:type="dxa"/>
            <w:vAlign w:val="bottom"/>
          </w:tcPr>
          <w:p>
            <w:pPr>
              <w:spacing w:after="0" w:line="153" w:lineRule="exact"/>
              <w:rPr>
                <w:sz w:val="20"/>
                <w:szCs w:val="20"/>
                <w:color w:val="auto"/>
              </w:rPr>
            </w:pPr>
            <w:r>
              <w:rPr>
                <w:rFonts w:ascii="Arial" w:cs="Arial" w:eastAsia="Arial" w:hAnsi="Arial"/>
                <w:sz w:val="14"/>
                <w:szCs w:val="14"/>
                <w:color w:val="auto"/>
              </w:rPr>
              <w:t>Allowance for loan losses to total loans</w:t>
            </w:r>
          </w:p>
        </w:tc>
        <w:tc>
          <w:tcPr>
            <w:tcW w:w="1040" w:type="dxa"/>
            <w:vAlign w:val="bottom"/>
          </w:tcPr>
          <w:p>
            <w:pPr>
              <w:spacing w:after="0"/>
              <w:rPr>
                <w:sz w:val="13"/>
                <w:szCs w:val="13"/>
                <w:color w:val="auto"/>
              </w:rPr>
            </w:pPr>
          </w:p>
        </w:tc>
        <w:tc>
          <w:tcPr>
            <w:tcW w:w="540" w:type="dxa"/>
            <w:vAlign w:val="bottom"/>
          </w:tcPr>
          <w:p>
            <w:pPr>
              <w:jc w:val="right"/>
              <w:spacing w:after="0" w:line="153" w:lineRule="exact"/>
              <w:rPr>
                <w:sz w:val="20"/>
                <w:szCs w:val="20"/>
                <w:color w:val="auto"/>
              </w:rPr>
            </w:pPr>
            <w:r>
              <w:rPr>
                <w:rFonts w:ascii="Arial" w:cs="Arial" w:eastAsia="Arial" w:hAnsi="Arial"/>
                <w:sz w:val="14"/>
                <w:szCs w:val="14"/>
                <w:color w:val="auto"/>
              </w:rPr>
              <w:t>1.29</w:t>
            </w:r>
          </w:p>
        </w:tc>
        <w:tc>
          <w:tcPr>
            <w:tcW w:w="140" w:type="dxa"/>
            <w:vAlign w:val="bottom"/>
          </w:tcPr>
          <w:p>
            <w:pPr>
              <w:jc w:val="right"/>
              <w:spacing w:after="0" w:line="153" w:lineRule="exact"/>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1.22</w:t>
            </w:r>
          </w:p>
        </w:tc>
        <w:tc>
          <w:tcPr>
            <w:tcW w:w="140" w:type="dxa"/>
            <w:vAlign w:val="bottom"/>
          </w:tcPr>
          <w:p>
            <w:pPr>
              <w:jc w:val="right"/>
              <w:spacing w:after="0" w:line="153" w:lineRule="exact"/>
              <w:rPr>
                <w:sz w:val="20"/>
                <w:szCs w:val="20"/>
                <w:color w:val="auto"/>
              </w:rPr>
            </w:pPr>
            <w:r>
              <w:rPr>
                <w:rFonts w:ascii="Arial" w:cs="Arial" w:eastAsia="Arial" w:hAnsi="Arial"/>
                <w:sz w:val="14"/>
                <w:szCs w:val="14"/>
                <w:color w:val="auto"/>
                <w:w w:val="79"/>
              </w:rPr>
              <w:t>%</w:t>
            </w:r>
          </w:p>
        </w:tc>
      </w:tr>
      <w:tr>
        <w:trPr>
          <w:trHeight w:val="22"/>
        </w:trPr>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Allowance for loan losses to nonperforming loans</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195.99</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307.27</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223"/>
        </w:trPr>
        <w:tc>
          <w:tcPr>
            <w:tcW w:w="1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4"/>
                <w:szCs w:val="14"/>
                <w:color w:val="auto"/>
              </w:rPr>
              <w:t>Net charge-offs to average loans</w:t>
            </w:r>
            <w:r>
              <w:rPr>
                <w:rFonts w:ascii="Arial" w:cs="Arial" w:eastAsia="Arial" w:hAnsi="Arial"/>
                <w:sz w:val="18"/>
                <w:szCs w:val="18"/>
                <w:color w:val="auto"/>
                <w:vertAlign w:val="superscript"/>
              </w:rPr>
              <w:t>(1)</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r>
    </w:tbl>
    <w:p>
      <w:pPr>
        <w:ind w:left="260" w:hanging="114"/>
        <w:spacing w:after="0"/>
        <w:tabs>
          <w:tab w:leader="none" w:pos="260" w:val="left"/>
        </w:tabs>
        <w:numPr>
          <w:ilvl w:val="0"/>
          <w:numId w:val="20"/>
        </w:numPr>
        <w:rPr>
          <w:rFonts w:ascii="Arial" w:cs="Arial" w:eastAsia="Arial" w:hAnsi="Arial"/>
          <w:sz w:val="13"/>
          <w:szCs w:val="13"/>
          <w:color w:val="auto"/>
          <w:vertAlign w:val="superscript"/>
        </w:rPr>
      </w:pPr>
      <w:r>
        <w:rPr>
          <w:rFonts w:ascii="Arial" w:cs="Arial" w:eastAsia="Arial" w:hAnsi="Arial"/>
          <w:sz w:val="10"/>
          <w:szCs w:val="10"/>
          <w:color w:val="auto"/>
        </w:rPr>
        <w:t>Interim periods annualized</w:t>
      </w:r>
    </w:p>
    <w:p>
      <w:pPr>
        <w:spacing w:after="0" w:line="126" w:lineRule="exact"/>
        <w:rPr>
          <w:sz w:val="20"/>
          <w:szCs w:val="20"/>
          <w:color w:val="auto"/>
        </w:rPr>
      </w:pPr>
    </w:p>
    <w:p>
      <w:pPr>
        <w:ind w:left="140" w:right="100" w:firstLine="382"/>
        <w:spacing w:after="0" w:line="281" w:lineRule="auto"/>
        <w:rPr>
          <w:sz w:val="20"/>
          <w:szCs w:val="20"/>
          <w:color w:val="auto"/>
        </w:rPr>
      </w:pPr>
      <w:r>
        <w:rPr>
          <w:rFonts w:ascii="Arial" w:cs="Arial" w:eastAsia="Arial" w:hAnsi="Arial"/>
          <w:sz w:val="14"/>
          <w:szCs w:val="14"/>
          <w:color w:val="auto"/>
        </w:rPr>
        <w:t>Our ALLL as of March 31, 2020 increased $11 million or 29% from March 31, 2019 and decreased $5 million or 10% from December 31, 2019. A breakdown of the reasons for the change in the ALLL is provided below:</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Charge-offs and Recoveries:</w:t>
      </w:r>
    </w:p>
    <w:p>
      <w:pPr>
        <w:spacing w:after="0" w:line="126" w:lineRule="exact"/>
        <w:rPr>
          <w:sz w:val="20"/>
          <w:szCs w:val="20"/>
          <w:color w:val="auto"/>
        </w:rPr>
      </w:pPr>
    </w:p>
    <w:p>
      <w:pPr>
        <w:ind w:left="140" w:right="280" w:firstLine="382"/>
        <w:spacing w:after="0" w:line="267" w:lineRule="auto"/>
        <w:rPr>
          <w:sz w:val="20"/>
          <w:szCs w:val="20"/>
          <w:color w:val="auto"/>
        </w:rPr>
      </w:pPr>
      <w:r>
        <w:rPr>
          <w:rFonts w:ascii="Arial" w:cs="Arial" w:eastAsia="Arial" w:hAnsi="Arial"/>
          <w:sz w:val="14"/>
          <w:szCs w:val="14"/>
          <w:color w:val="auto"/>
        </w:rPr>
        <w:t>For the quarter ended March 31, 2020, net charge-offs included an $18 million charge-off related to a previously disclosed non-performing, commercial loan. The commercial loan had a specific reserve associated with it as of December 31, 2019, resulting in a limited impact to the first quarter 2020 provision. In addition, the Company charged off $1 million related to one oil exploration and production credit.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quarter ended March 31, 2019, net charge-offs primarily related to one commercial loan relationship.</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Energy Concentration:</w:t>
      </w:r>
    </w:p>
    <w:p>
      <w:pPr>
        <w:spacing w:after="0" w:line="126" w:lineRule="exact"/>
        <w:rPr>
          <w:sz w:val="20"/>
          <w:szCs w:val="20"/>
          <w:color w:val="auto"/>
        </w:rPr>
      </w:pPr>
    </w:p>
    <w:p>
      <w:pPr>
        <w:ind w:left="140" w:right="60" w:firstLine="382"/>
        <w:spacing w:after="0" w:line="260" w:lineRule="auto"/>
        <w:rPr>
          <w:sz w:val="20"/>
          <w:szCs w:val="20"/>
          <w:color w:val="auto"/>
        </w:rPr>
      </w:pPr>
      <w:r>
        <w:rPr>
          <w:rFonts w:ascii="Arial" w:cs="Arial" w:eastAsia="Arial" w:hAnsi="Arial"/>
          <w:sz w:val="14"/>
          <w:szCs w:val="14"/>
          <w:color w:val="auto"/>
        </w:rPr>
        <w:t>$371 million or 93% of the portfolio had a good or watch risk rating at March 31, 2020 due to continued repayment of the loan. However, the decrease in demand for oil and natural gas created by the COVID-19 pandemic put considerable pricing volatility and uncertainty in the market. As a result, the Company increased a qualitative factor on energy loans with a risk rating of good or watch that resulted in a $2 million increase in the ALLL from December 31, 2019. Depressed prices may strain our customer’s cash flows, lower their liquidity, and decrease property values that could create negative grade migration over the next several quarters. The length of the COVID-19 pandemic disruption and the pace of economic recovery will determine the severity of the grade migration and potential loss within the energy portfolio.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Compared to the prior year, the ALLL at March 31, 2020 was $1 million higher due to an increase in the qualitative and quantitative factors associated with good or watch risk rated energy</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loans.</w:t>
      </w:r>
    </w:p>
    <w:p>
      <w:pPr>
        <w:spacing w:after="0" w:line="126" w:lineRule="exact"/>
        <w:rPr>
          <w:sz w:val="20"/>
          <w:szCs w:val="20"/>
          <w:color w:val="auto"/>
        </w:rPr>
      </w:pPr>
    </w:p>
    <w:p>
      <w:pPr>
        <w:ind w:left="140" w:right="420" w:firstLine="382"/>
        <w:spacing w:after="0" w:line="281" w:lineRule="auto"/>
        <w:rPr>
          <w:sz w:val="20"/>
          <w:szCs w:val="20"/>
          <w:color w:val="auto"/>
        </w:rPr>
      </w:pPr>
      <w:r>
        <w:rPr>
          <w:rFonts w:ascii="Arial" w:cs="Arial" w:eastAsia="Arial" w:hAnsi="Arial"/>
          <w:sz w:val="14"/>
          <w:szCs w:val="14"/>
          <w:color w:val="auto"/>
        </w:rPr>
        <w:t>The energy portfolio’s reserve against impaired loans declined $725 thousand from December 31, 2019 and $2 million from March 31, 2019 primarily due to an energy charge-off that occurred in the first quarter of 2020.</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COVID-19 Impact:</w:t>
      </w:r>
    </w:p>
    <w:p>
      <w:pPr>
        <w:spacing w:after="0" w:line="126" w:lineRule="exact"/>
        <w:rPr>
          <w:sz w:val="20"/>
          <w:szCs w:val="20"/>
          <w:color w:val="auto"/>
        </w:rPr>
      </w:pPr>
    </w:p>
    <w:p>
      <w:pPr>
        <w:ind w:left="140" w:right="200" w:firstLine="382"/>
        <w:spacing w:after="0" w:line="297" w:lineRule="auto"/>
        <w:rPr>
          <w:sz w:val="20"/>
          <w:szCs w:val="20"/>
          <w:color w:val="auto"/>
        </w:rPr>
      </w:pPr>
      <w:r>
        <w:rPr>
          <w:rFonts w:ascii="Arial" w:cs="Arial" w:eastAsia="Arial" w:hAnsi="Arial"/>
          <w:sz w:val="13"/>
          <w:szCs w:val="13"/>
          <w:color w:val="auto"/>
        </w:rPr>
        <w:t>There are significant uncertainties about what the effects of the COVID-19 pandemic will ultimately be. The Company anticipates that businesses and consumers within our loan portfolio were impacted by the reduction in economic activity. However, the Company was unable to identify specific borrowers that were impacted by COVID-19 as of March 31, 2020. As a result, the Company placed a qualitative factor on all segments, excluding energy that was discussed above, which increased the ALLL by $8 million from December 31, 2019.</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Changes in quantitative and qualitative factors, including the COVID-19 impact, increased the March 31, 2020 reserve $6 million year-over-year, excluding the energy adjustments discussed</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above.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Nonperforming Loans and Other Factors:</w:t>
      </w:r>
    </w:p>
    <w:p>
      <w:pPr>
        <w:spacing w:after="0" w:line="126" w:lineRule="exact"/>
        <w:rPr>
          <w:sz w:val="20"/>
          <w:szCs w:val="20"/>
          <w:color w:val="auto"/>
        </w:rPr>
      </w:pPr>
    </w:p>
    <w:p>
      <w:pPr>
        <w:ind w:left="140" w:firstLine="382"/>
        <w:spacing w:after="0" w:line="321" w:lineRule="auto"/>
        <w:rPr>
          <w:sz w:val="20"/>
          <w:szCs w:val="20"/>
          <w:color w:val="auto"/>
        </w:rPr>
      </w:pPr>
      <w:r>
        <w:rPr>
          <w:rFonts w:ascii="Arial" w:cs="Arial" w:eastAsia="Arial" w:hAnsi="Arial"/>
          <w:sz w:val="13"/>
          <w:szCs w:val="13"/>
          <w:color w:val="auto"/>
        </w:rPr>
        <w:t>For the three months ended March 31, 2020, the impaired loan portfolio increased the ALLL by approximately $2 million after taking out the impact of the charge-offs mentioned above. In addition, the ALLL increased $2 million due to downgrades within our four and five risk rated loans. Year-over-year, changes in the four and five risk rated loans increased the ALLL by $5 million.</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Nonperforming Assets and Other Asset Quality Metrics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Nonperforming assets include:</w:t>
      </w:r>
    </w:p>
    <w:p>
      <w:pPr>
        <w:spacing w:after="0" w:line="136" w:lineRule="exact"/>
        <w:rPr>
          <w:sz w:val="20"/>
          <w:szCs w:val="20"/>
          <w:color w:val="auto"/>
        </w:rPr>
      </w:pPr>
    </w:p>
    <w:p>
      <w:pPr>
        <w:ind w:left="1020" w:right="180" w:hanging="580"/>
        <w:spacing w:after="0" w:line="281" w:lineRule="auto"/>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Nonperforming loans - includes non-accrual loans, loans past due 90 days or more and still accruing interest, and loans modified under troubled debt restructurings (“TDRs”) that are not performing in accordance with their modified terms;</w:t>
      </w:r>
    </w:p>
    <w:p>
      <w:pPr>
        <w:spacing w:after="0" w:line="47" w:lineRule="exact"/>
        <w:rPr>
          <w:rFonts w:ascii="Arial" w:cs="Arial" w:eastAsia="Arial" w:hAnsi="Arial"/>
          <w:sz w:val="14"/>
          <w:szCs w:val="14"/>
          <w:color w:val="auto"/>
        </w:rPr>
      </w:pPr>
    </w:p>
    <w:p>
      <w:pPr>
        <w:ind w:left="1020" w:hanging="620"/>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Foreclosed assets held for sale;</w:t>
      </w:r>
    </w:p>
    <w:p>
      <w:pPr>
        <w:spacing w:after="0" w:line="93" w:lineRule="exact"/>
        <w:rPr>
          <w:rFonts w:ascii="Arial" w:cs="Arial" w:eastAsia="Arial" w:hAnsi="Arial"/>
          <w:sz w:val="14"/>
          <w:szCs w:val="14"/>
          <w:color w:val="auto"/>
        </w:rPr>
      </w:pPr>
    </w:p>
    <w:p>
      <w:pPr>
        <w:ind w:left="1020" w:hanging="659"/>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Repossessed assets; and</w:t>
      </w:r>
    </w:p>
    <w:p>
      <w:pPr>
        <w:spacing w:after="0" w:line="93" w:lineRule="exact"/>
        <w:rPr>
          <w:rFonts w:ascii="Arial" w:cs="Arial" w:eastAsia="Arial" w:hAnsi="Arial"/>
          <w:sz w:val="14"/>
          <w:szCs w:val="14"/>
          <w:color w:val="auto"/>
        </w:rPr>
      </w:pPr>
    </w:p>
    <w:p>
      <w:pPr>
        <w:ind w:left="1020" w:hanging="651"/>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Impaired securities.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summarizes our nonperforming assets and related ratios as of the dates indicated:</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9"/>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9"/>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r>
      <w:tr>
        <w:trPr>
          <w:trHeight w:val="184"/>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0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r>
      <w:tr>
        <w:trPr>
          <w:trHeight w:val="22"/>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7"/>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right="440"/>
              <w:spacing w:after="0"/>
              <w:rPr>
                <w:sz w:val="20"/>
                <w:szCs w:val="20"/>
                <w:color w:val="auto"/>
              </w:rPr>
            </w:pPr>
            <w:r>
              <w:rPr>
                <w:rFonts w:ascii="Arial" w:cs="Arial" w:eastAsia="Arial" w:hAnsi="Arial"/>
                <w:sz w:val="13"/>
                <w:szCs w:val="13"/>
                <w:i w:val="1"/>
                <w:iCs w:val="1"/>
                <w:color w:val="auto"/>
                <w:w w:val="91"/>
              </w:rPr>
              <w:t>(Dollars in thousands)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Non-accrual loans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26,255</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39,675</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43,626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50,044</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13,018</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212"/>
        </w:trPr>
        <w:tc>
          <w:tcPr>
            <w:tcW w:w="3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Loans past due 90 days or more and still accruing</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4,591</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r>
      <w:tr>
        <w:trPr>
          <w:trHeight w:val="183"/>
        </w:trPr>
        <w:tc>
          <w:tcPr>
            <w:tcW w:w="3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nonperforming loans</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26,255</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44,266</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44,268</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50,282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13,018</w:t>
            </w:r>
          </w:p>
        </w:tc>
        <w:tc>
          <w:tcPr>
            <w:tcW w:w="160" w:type="dxa"/>
            <w:vAlign w:val="bottom"/>
            <w:tcBorders>
              <w:bottom w:val="single" w:sz="8" w:color="CCEEFF"/>
            </w:tcBorders>
            <w:shd w:val="clear" w:color="auto" w:fill="CCEEFF"/>
          </w:tcPr>
          <w:p>
            <w:pPr>
              <w:spacing w:after="0"/>
              <w:rPr>
                <w:sz w:val="15"/>
                <w:szCs w:val="15"/>
                <w:color w:val="auto"/>
              </w:rPr>
            </w:pPr>
          </w:p>
        </w:tc>
      </w:tr>
      <w:tr>
        <w:trPr>
          <w:trHeight w:val="191"/>
        </w:trPr>
        <w:tc>
          <w:tcPr>
            <w:tcW w:w="3860" w:type="dxa"/>
            <w:vAlign w:val="bottom"/>
          </w:tcPr>
          <w:p>
            <w:pPr>
              <w:spacing w:after="0"/>
              <w:rPr>
                <w:sz w:val="20"/>
                <w:szCs w:val="20"/>
                <w:color w:val="auto"/>
              </w:rPr>
            </w:pPr>
            <w:r>
              <w:rPr>
                <w:rFonts w:ascii="Arial" w:cs="Arial" w:eastAsia="Arial" w:hAnsi="Arial"/>
                <w:sz w:val="14"/>
                <w:szCs w:val="14"/>
                <w:color w:val="auto"/>
              </w:rPr>
              <w:t>Foreclosed assets held for sale</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2,471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2,471</w:t>
            </w:r>
          </w:p>
        </w:tc>
        <w:tc>
          <w:tcPr>
            <w:tcW w:w="160" w:type="dxa"/>
            <w:vAlign w:val="bottom"/>
          </w:tcPr>
          <w:p>
            <w:pPr>
              <w:spacing w:after="0"/>
              <w:rPr>
                <w:sz w:val="16"/>
                <w:szCs w:val="16"/>
                <w:color w:val="auto"/>
              </w:rPr>
            </w:pPr>
          </w:p>
        </w:tc>
      </w:tr>
      <w:tr>
        <w:trPr>
          <w:trHeight w:val="22"/>
        </w:trPr>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3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nonperforming assets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29,874</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47,885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46,739</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52,753</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15,489</w:t>
            </w:r>
          </w:p>
        </w:tc>
        <w:tc>
          <w:tcPr>
            <w:tcW w:w="160" w:type="dxa"/>
            <w:vAlign w:val="bottom"/>
            <w:shd w:val="clear" w:color="auto" w:fill="CCEEFF"/>
          </w:tcPr>
          <w:p>
            <w:pPr>
              <w:spacing w:after="0"/>
              <w:rPr>
                <w:sz w:val="20"/>
                <w:szCs w:val="20"/>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860" w:type="dxa"/>
            <w:vAlign w:val="bottom"/>
          </w:tcPr>
          <w:p>
            <w:pPr>
              <w:ind w:left="80"/>
              <w:spacing w:after="0" w:line="153" w:lineRule="exact"/>
              <w:rPr>
                <w:sz w:val="20"/>
                <w:szCs w:val="20"/>
                <w:color w:val="auto"/>
              </w:rPr>
            </w:pPr>
            <w:r>
              <w:rPr>
                <w:rFonts w:ascii="Arial" w:cs="Arial" w:eastAsia="Arial" w:hAnsi="Arial"/>
                <w:sz w:val="14"/>
                <w:szCs w:val="14"/>
                <w:color w:val="auto"/>
              </w:rPr>
              <w:t>Nonperforming assets to total assets</w:t>
            </w:r>
          </w:p>
        </w:tc>
        <w:tc>
          <w:tcPr>
            <w:tcW w:w="22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color w:val="auto"/>
              </w:rPr>
              <w:t>0.59</w:t>
            </w:r>
          </w:p>
        </w:tc>
        <w:tc>
          <w:tcPr>
            <w:tcW w:w="1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color w:val="auto"/>
              </w:rPr>
              <w:t>0.97</w:t>
            </w:r>
          </w:p>
        </w:tc>
        <w:tc>
          <w:tcPr>
            <w:tcW w:w="160" w:type="dxa"/>
            <w:vAlign w:val="bottom"/>
          </w:tcPr>
          <w:p>
            <w:pPr>
              <w:jc w:val="right"/>
              <w:spacing w:after="0" w:line="153" w:lineRule="exact"/>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1.00</w:t>
            </w:r>
          </w:p>
        </w:tc>
        <w:tc>
          <w:tcPr>
            <w:tcW w:w="160" w:type="dxa"/>
            <w:vAlign w:val="bottom"/>
          </w:tcPr>
          <w:p>
            <w:pPr>
              <w:jc w:val="right"/>
              <w:spacing w:after="0" w:line="153" w:lineRule="exact"/>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1.18</w:t>
            </w:r>
          </w:p>
        </w:tc>
        <w:tc>
          <w:tcPr>
            <w:tcW w:w="140" w:type="dxa"/>
            <w:vAlign w:val="bottom"/>
          </w:tcPr>
          <w:p>
            <w:pPr>
              <w:jc w:val="right"/>
              <w:spacing w:after="0" w:line="153"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color w:val="auto"/>
              </w:rPr>
              <w:t>0.36</w:t>
            </w:r>
          </w:p>
        </w:tc>
        <w:tc>
          <w:tcPr>
            <w:tcW w:w="160" w:type="dxa"/>
            <w:vAlign w:val="bottom"/>
          </w:tcPr>
          <w:p>
            <w:pPr>
              <w:jc w:val="right"/>
              <w:spacing w:after="0" w:line="153" w:lineRule="exact"/>
              <w:rPr>
                <w:sz w:val="20"/>
                <w:szCs w:val="20"/>
                <w:color w:val="auto"/>
              </w:rPr>
            </w:pPr>
            <w:r>
              <w:rPr>
                <w:rFonts w:ascii="Arial" w:cs="Arial" w:eastAsia="Arial" w:hAnsi="Arial"/>
                <w:sz w:val="14"/>
                <w:szCs w:val="14"/>
                <w:color w:val="auto"/>
                <w:w w:val="96"/>
              </w:rPr>
              <w:t>%</w:t>
            </w:r>
          </w:p>
        </w:tc>
      </w:tr>
      <w:tr>
        <w:trPr>
          <w:trHeight w:val="22"/>
        </w:trPr>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1"/>
        </w:trPr>
        <w:tc>
          <w:tcPr>
            <w:tcW w:w="3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Nonperforming loans to total loans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2"/>
        </w:trPr>
        <w:tc>
          <w:tcPr>
            <w:tcW w:w="3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17" w:lineRule="exact"/>
        <w:rPr>
          <w:sz w:val="20"/>
          <w:szCs w:val="20"/>
          <w:color w:val="auto"/>
        </w:rPr>
      </w:pPr>
    </w:p>
    <w:p>
      <w:pPr>
        <w:ind w:left="140" w:right="80" w:firstLine="382"/>
        <w:spacing w:after="0" w:line="281" w:lineRule="auto"/>
        <w:rPr>
          <w:sz w:val="20"/>
          <w:szCs w:val="20"/>
          <w:color w:val="auto"/>
        </w:rPr>
      </w:pPr>
      <w:r>
        <w:rPr>
          <w:rFonts w:ascii="Arial" w:cs="Arial" w:eastAsia="Arial" w:hAnsi="Arial"/>
          <w:sz w:val="14"/>
          <w:szCs w:val="14"/>
          <w:color w:val="auto"/>
        </w:rPr>
        <w:t>March 31, 2020 nonperforming assets to total assets increased 23 basis points from March 31, 2019. The decline from the prior quarter in nonperforming loans was driven by an $18 million charge-off related to a non-performing commercial loan, offset by increases in non-accrual loans in our energy and commercial real estate portfolios.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140" w:right="20" w:firstLine="382"/>
        <w:spacing w:after="0" w:line="267" w:lineRule="auto"/>
        <w:rPr>
          <w:sz w:val="20"/>
          <w:szCs w:val="20"/>
          <w:color w:val="auto"/>
        </w:rPr>
      </w:pPr>
      <w:r>
        <w:rPr>
          <w:rFonts w:ascii="Arial" w:cs="Arial" w:eastAsia="Arial" w:hAnsi="Arial"/>
          <w:sz w:val="14"/>
          <w:szCs w:val="14"/>
          <w:color w:val="auto"/>
        </w:rPr>
        <w:t>Other asset quality metrics management reviews include loans past due 30 - 89 days and classified loans. The Company defines classified loans as loans categorized as substandard, doubtful, or loss. The definitions of substandard, doubtful and loss are provided in “Note 4 - Loans and Allowance for Loan Losses” in the notes to unaudited consolidated financial statements. The following table summarizes our loans past due 30 - 89 days, classified assets and related ratios as of the dates indicated:</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9"/>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r>
      <w:tr>
        <w:trPr>
          <w:trHeight w:val="184"/>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2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0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r>
      <w:tr>
        <w:trPr>
          <w:trHeight w:val="22"/>
        </w:trPr>
        <w:tc>
          <w:tcPr>
            <w:tcW w:w="3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4"/>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7"/>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309"/>
              <w:spacing w:after="0"/>
              <w:rPr>
                <w:sz w:val="20"/>
                <w:szCs w:val="20"/>
                <w:color w:val="auto"/>
              </w:rPr>
            </w:pPr>
            <w:r>
              <w:rPr>
                <w:rFonts w:ascii="Arial" w:cs="Arial" w:eastAsia="Arial" w:hAnsi="Arial"/>
                <w:sz w:val="13"/>
                <w:szCs w:val="13"/>
                <w:i w:val="1"/>
                <w:iCs w:val="1"/>
                <w:color w:val="auto"/>
                <w:w w:val="91"/>
              </w:rPr>
              <w:t>(Dollars in thousands)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Loan Past Due Detail</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3820" w:type="dxa"/>
            <w:vAlign w:val="bottom"/>
          </w:tcPr>
          <w:p>
            <w:pPr>
              <w:ind w:left="80"/>
              <w:spacing w:after="0"/>
              <w:rPr>
                <w:sz w:val="20"/>
                <w:szCs w:val="20"/>
                <w:color w:val="auto"/>
              </w:rPr>
            </w:pPr>
            <w:r>
              <w:rPr>
                <w:rFonts w:ascii="Arial" w:cs="Arial" w:eastAsia="Arial" w:hAnsi="Arial"/>
                <w:sz w:val="14"/>
                <w:szCs w:val="14"/>
                <w:color w:val="auto"/>
              </w:rPr>
              <w:t>30 - 59 days past due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12,934</w:t>
            </w:r>
          </w:p>
        </w:tc>
        <w:tc>
          <w:tcPr>
            <w:tcW w:w="4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6,292</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61,941</w:t>
            </w:r>
          </w:p>
        </w:tc>
        <w:tc>
          <w:tcPr>
            <w:tcW w:w="44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15,967</w:t>
            </w:r>
          </w:p>
        </w:tc>
        <w:tc>
          <w:tcPr>
            <w:tcW w:w="48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30,450</w:t>
            </w:r>
          </w:p>
        </w:tc>
        <w:tc>
          <w:tcPr>
            <w:tcW w:w="160" w:type="dxa"/>
            <w:vAlign w:val="bottom"/>
          </w:tcPr>
          <w:p>
            <w:pPr>
              <w:spacing w:after="0"/>
              <w:rPr>
                <w:sz w:val="16"/>
                <w:szCs w:val="16"/>
                <w:color w:val="auto"/>
              </w:rPr>
            </w:pPr>
          </w:p>
        </w:tc>
      </w:tr>
      <w:tr>
        <w:trPr>
          <w:trHeight w:val="22"/>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60 - 89 days past due</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3"/>
        </w:trPr>
        <w:tc>
          <w:tcPr>
            <w:tcW w:w="3820" w:type="dxa"/>
            <w:vAlign w:val="bottom"/>
          </w:tcPr>
          <w:p>
            <w:pPr>
              <w:ind w:left="160"/>
              <w:spacing w:after="0"/>
              <w:rPr>
                <w:sz w:val="20"/>
                <w:szCs w:val="20"/>
                <w:color w:val="auto"/>
              </w:rPr>
            </w:pPr>
            <w:r>
              <w:rPr>
                <w:rFonts w:ascii="Arial" w:cs="Arial" w:eastAsia="Arial" w:hAnsi="Arial"/>
                <w:sz w:val="14"/>
                <w:szCs w:val="14"/>
                <w:color w:val="auto"/>
              </w:rPr>
              <w:t>Total 30 - 89 days past due</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19,538</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6,822</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64,726</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23,607</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31,066</w:t>
            </w:r>
          </w:p>
        </w:tc>
        <w:tc>
          <w:tcPr>
            <w:tcW w:w="160" w:type="dxa"/>
            <w:vAlign w:val="bottom"/>
            <w:tcBorders>
              <w:top w:val="single" w:sz="8" w:color="auto"/>
              <w:bottom w:val="single" w:sz="8" w:color="auto"/>
            </w:tcBorders>
          </w:tcPr>
          <w:p>
            <w:pPr>
              <w:spacing w:after="0"/>
              <w:rPr>
                <w:sz w:val="17"/>
                <w:szCs w:val="17"/>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5"/>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Loans 30 - 89 days past due / gross loans</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1"/>
        </w:trPr>
        <w:tc>
          <w:tcPr>
            <w:tcW w:w="3820" w:type="dxa"/>
            <w:vAlign w:val="bottom"/>
          </w:tcPr>
          <w:p>
            <w:pPr>
              <w:spacing w:after="0"/>
              <w:rPr>
                <w:sz w:val="20"/>
                <w:szCs w:val="20"/>
                <w:color w:val="auto"/>
              </w:rPr>
            </w:pPr>
            <w:r>
              <w:rPr>
                <w:rFonts w:ascii="Arial" w:cs="Arial" w:eastAsia="Arial" w:hAnsi="Arial"/>
                <w:sz w:val="14"/>
                <w:szCs w:val="14"/>
                <w:b w:val="1"/>
                <w:bCs w:val="1"/>
                <w:color w:val="auto"/>
              </w:rPr>
              <w:t>Classified Loans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Substandard</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100,431</w:t>
            </w:r>
          </w:p>
        </w:tc>
        <w:tc>
          <w:tcPr>
            <w:tcW w:w="420" w:type="dxa"/>
            <w:vAlign w:val="bottom"/>
            <w:tcBorders>
              <w:bottom w:val="single" w:sz="8" w:color="CCEEFF"/>
            </w:tcBorders>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81,413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79,536</w:t>
            </w:r>
          </w:p>
        </w:tc>
        <w:tc>
          <w:tcPr>
            <w:tcW w:w="440" w:type="dxa"/>
            <w:vAlign w:val="bottom"/>
            <w:tcBorders>
              <w:bottom w:val="single" w:sz="8" w:color="CCEEFF"/>
            </w:tcBorders>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79,190</w:t>
            </w:r>
          </w:p>
        </w:tc>
        <w:tc>
          <w:tcPr>
            <w:tcW w:w="480" w:type="dxa"/>
            <w:vAlign w:val="bottom"/>
            <w:tcBorders>
              <w:bottom w:val="single" w:sz="8" w:color="CCEEFF"/>
            </w:tcBorders>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92,450</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3820" w:type="dxa"/>
            <w:vAlign w:val="bottom"/>
          </w:tcPr>
          <w:p>
            <w:pPr>
              <w:ind w:left="80"/>
              <w:spacing w:after="0"/>
              <w:rPr>
                <w:sz w:val="20"/>
                <w:szCs w:val="20"/>
                <w:color w:val="auto"/>
              </w:rPr>
            </w:pPr>
            <w:r>
              <w:rPr>
                <w:rFonts w:ascii="Arial" w:cs="Arial" w:eastAsia="Arial" w:hAnsi="Arial"/>
                <w:sz w:val="14"/>
                <w:szCs w:val="14"/>
                <w:color w:val="auto"/>
              </w:rPr>
              <w:t>Doubtful</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4,088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5,483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5,637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5,083</w:t>
            </w:r>
          </w:p>
        </w:tc>
        <w:tc>
          <w:tcPr>
            <w:tcW w:w="160" w:type="dxa"/>
            <w:vAlign w:val="bottom"/>
          </w:tcPr>
          <w:p>
            <w:pPr>
              <w:spacing w:after="0"/>
              <w:rPr>
                <w:sz w:val="16"/>
                <w:szCs w:val="16"/>
                <w:color w:val="auto"/>
              </w:rPr>
            </w:pPr>
          </w:p>
        </w:tc>
      </w:tr>
      <w:tr>
        <w:trPr>
          <w:trHeight w:val="22"/>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Loss</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181"/>
        </w:trPr>
        <w:tc>
          <w:tcPr>
            <w:tcW w:w="3820" w:type="dxa"/>
            <w:vAlign w:val="bottom"/>
          </w:tcPr>
          <w:p>
            <w:pPr>
              <w:ind w:left="160"/>
              <w:spacing w:after="0"/>
              <w:rPr>
                <w:sz w:val="20"/>
                <w:szCs w:val="20"/>
                <w:color w:val="auto"/>
              </w:rPr>
            </w:pPr>
            <w:r>
              <w:rPr>
                <w:rFonts w:ascii="Arial" w:cs="Arial" w:eastAsia="Arial" w:hAnsi="Arial"/>
                <w:sz w:val="14"/>
                <w:szCs w:val="14"/>
                <w:color w:val="auto"/>
              </w:rPr>
              <w:t>Total classified loans</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104,519</w:t>
            </w: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86,896</w:t>
            </w: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85,173</w:t>
            </w: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88,305</w:t>
            </w: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97,533</w:t>
            </w:r>
          </w:p>
        </w:tc>
        <w:tc>
          <w:tcPr>
            <w:tcW w:w="160" w:type="dxa"/>
            <w:vAlign w:val="bottom"/>
            <w:tcBorders>
              <w:top w:val="single" w:sz="8" w:color="auto"/>
            </w:tcBorders>
          </w:tcPr>
          <w:p>
            <w:pPr>
              <w:spacing w:after="0"/>
              <w:rPr>
                <w:sz w:val="15"/>
                <w:szCs w:val="15"/>
                <w:color w:val="auto"/>
              </w:rPr>
            </w:pPr>
          </w:p>
        </w:tc>
      </w:tr>
      <w:tr>
        <w:trPr>
          <w:trHeight w:val="22"/>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2"/>
        </w:trPr>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Foreclosed assets held for sale</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3,619</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2,471</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3"/>
        </w:trPr>
        <w:tc>
          <w:tcPr>
            <w:tcW w:w="3820" w:type="dxa"/>
            <w:vAlign w:val="bottom"/>
          </w:tcPr>
          <w:p>
            <w:pPr>
              <w:ind w:left="160"/>
              <w:spacing w:after="0"/>
              <w:rPr>
                <w:sz w:val="20"/>
                <w:szCs w:val="20"/>
                <w:color w:val="auto"/>
              </w:rPr>
            </w:pPr>
            <w:r>
              <w:rPr>
                <w:rFonts w:ascii="Arial" w:cs="Arial" w:eastAsia="Arial" w:hAnsi="Arial"/>
                <w:sz w:val="14"/>
                <w:szCs w:val="14"/>
                <w:color w:val="auto"/>
              </w:rPr>
              <w:t>Total classified assets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108,138</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90,515</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87,644</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90,776</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100,004</w:t>
            </w:r>
          </w:p>
        </w:tc>
        <w:tc>
          <w:tcPr>
            <w:tcW w:w="160" w:type="dxa"/>
            <w:vAlign w:val="bottom"/>
            <w:tcBorders>
              <w:top w:val="single" w:sz="8" w:color="auto"/>
              <w:bottom w:val="single" w:sz="8" w:color="auto"/>
            </w:tcBorders>
          </w:tcPr>
          <w:p>
            <w:pPr>
              <w:spacing w:after="0"/>
              <w:rPr>
                <w:sz w:val="17"/>
                <w:szCs w:val="17"/>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95"/>
        </w:trPr>
        <w:tc>
          <w:tcPr>
            <w:tcW w:w="3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Classified loans / (total capital + ALLL)</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12"/>
        </w:trPr>
        <w:tc>
          <w:tcPr>
            <w:tcW w:w="3820" w:type="dxa"/>
            <w:vAlign w:val="bottom"/>
          </w:tcPr>
          <w:p>
            <w:pPr>
              <w:ind w:left="160"/>
              <w:spacing w:after="0"/>
              <w:rPr>
                <w:sz w:val="20"/>
                <w:szCs w:val="20"/>
                <w:color w:val="auto"/>
              </w:rPr>
            </w:pPr>
            <w:r>
              <w:rPr>
                <w:rFonts w:ascii="Arial" w:cs="Arial" w:eastAsia="Arial" w:hAnsi="Arial"/>
                <w:sz w:val="14"/>
                <w:szCs w:val="14"/>
                <w:color w:val="auto"/>
              </w:rPr>
              <w:t>Classified assets / (total capital + ALLL)</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pacing w:after="0" w:line="117" w:lineRule="exact"/>
        <w:rPr>
          <w:sz w:val="20"/>
          <w:szCs w:val="20"/>
          <w:color w:val="auto"/>
        </w:rPr>
      </w:pPr>
    </w:p>
    <w:p>
      <w:pPr>
        <w:ind w:left="140" w:right="140" w:firstLine="382"/>
        <w:spacing w:after="0" w:line="281" w:lineRule="auto"/>
        <w:rPr>
          <w:sz w:val="20"/>
          <w:szCs w:val="20"/>
          <w:color w:val="auto"/>
        </w:rPr>
      </w:pPr>
      <w:r>
        <w:rPr>
          <w:rFonts w:ascii="Arial" w:cs="Arial" w:eastAsia="Arial" w:hAnsi="Arial"/>
          <w:sz w:val="14"/>
          <w:szCs w:val="14"/>
          <w:color w:val="auto"/>
        </w:rPr>
        <w:t>During the quarter ended March 31, 2020 the Company experienced a $13 million increase in loans past due 30 to 89 days. The increase was driven by two energy loans totaling $6 million that were impacted by low oil prices and $3 million related to a commercial real estate loan.</w:t>
      </w:r>
    </w:p>
    <w:p>
      <w:pPr>
        <w:spacing w:after="0" w:line="90" w:lineRule="exact"/>
        <w:rPr>
          <w:sz w:val="20"/>
          <w:szCs w:val="20"/>
          <w:color w:val="auto"/>
        </w:rPr>
      </w:pPr>
    </w:p>
    <w:p>
      <w:pPr>
        <w:jc w:val="both"/>
        <w:ind w:left="140" w:right="20" w:firstLine="382"/>
        <w:spacing w:after="0" w:line="267" w:lineRule="auto"/>
        <w:rPr>
          <w:sz w:val="20"/>
          <w:szCs w:val="20"/>
          <w:color w:val="auto"/>
        </w:rPr>
      </w:pPr>
      <w:r>
        <w:rPr>
          <w:rFonts w:ascii="Arial" w:cs="Arial" w:eastAsia="Arial" w:hAnsi="Arial"/>
          <w:sz w:val="14"/>
          <w:szCs w:val="14"/>
          <w:color w:val="auto"/>
        </w:rPr>
        <w:t>The Company's classified assets as of March 31, 2020 increased $18 million or 20% since December 31, 2019. The increase in classified assets was driven by a combination of a $24 million commercial loan relationship that was impacted by changes in customer demand, a $10 million increase in energy loans that were impacted by declining oil prices, and a $5 million commercial real estate project; offset by an $18 million charge-off related to a previously impaired commercial loan relationship.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Deposits and Other Borrowings</w:t>
      </w:r>
    </w:p>
    <w:p>
      <w:pPr>
        <w:spacing w:after="0" w:line="126" w:lineRule="exact"/>
        <w:rPr>
          <w:sz w:val="20"/>
          <w:szCs w:val="20"/>
          <w:color w:val="auto"/>
        </w:rPr>
      </w:pPr>
    </w:p>
    <w:p>
      <w:pPr>
        <w:ind w:left="140" w:right="220" w:firstLine="382"/>
        <w:spacing w:after="0" w:line="281" w:lineRule="auto"/>
        <w:rPr>
          <w:sz w:val="20"/>
          <w:szCs w:val="20"/>
          <w:color w:val="auto"/>
        </w:rPr>
      </w:pPr>
      <w:r>
        <w:rPr>
          <w:rFonts w:ascii="Arial" w:cs="Arial" w:eastAsia="Arial" w:hAnsi="Arial"/>
          <w:sz w:val="14"/>
          <w:szCs w:val="14"/>
          <w:color w:val="auto"/>
        </w:rPr>
        <w:t>Deposits and other borrowings are used to support our asset growth. Our strong asset growth requires us to place a greater emphasis on both interest and non-interest-bearing deposits. We attract and retain deposits by aggressively setting our deposit rates within our markets. Other borrowings supplement our core deposit strategy.</w:t>
      </w:r>
    </w:p>
    <w:p>
      <w:pPr>
        <w:spacing w:after="0" w:line="90" w:lineRule="exact"/>
        <w:rPr>
          <w:sz w:val="20"/>
          <w:szCs w:val="20"/>
          <w:color w:val="auto"/>
        </w:rPr>
      </w:pPr>
    </w:p>
    <w:p>
      <w:pPr>
        <w:jc w:val="both"/>
        <w:ind w:left="140" w:right="140" w:firstLine="382"/>
        <w:spacing w:after="0" w:line="297" w:lineRule="auto"/>
        <w:rPr>
          <w:sz w:val="20"/>
          <w:szCs w:val="20"/>
          <w:color w:val="auto"/>
        </w:rPr>
      </w:pPr>
      <w:r>
        <w:rPr>
          <w:rFonts w:ascii="Arial" w:cs="Arial" w:eastAsia="Arial" w:hAnsi="Arial"/>
          <w:sz w:val="13"/>
          <w:szCs w:val="13"/>
          <w:color w:val="auto"/>
        </w:rPr>
        <w:t>At March 31, 2020, our deposits totaled $4 billion, an increase of $49 million or 1% from December 31, 2019. $45 million of this increase came in the form of noninterest-bearing deposits as long-term relationship customers placed significant deposits with the Bank. In addition, customers transitioned from time deposits to savings and interest checking deposits due to the declining interest rate environment that resulted in a $137 million decline in time deposits and a $140 million increase in money market, NOW, and savings deposits.</w:t>
      </w:r>
    </w:p>
    <w:p>
      <w:pPr>
        <w:spacing w:after="0" w:line="82" w:lineRule="exact"/>
        <w:rPr>
          <w:sz w:val="20"/>
          <w:szCs w:val="20"/>
          <w:color w:val="auto"/>
        </w:rPr>
      </w:pPr>
    </w:p>
    <w:p>
      <w:pPr>
        <w:ind w:left="140" w:right="100" w:firstLine="382"/>
        <w:spacing w:after="0" w:line="368" w:lineRule="auto"/>
        <w:rPr>
          <w:sz w:val="20"/>
          <w:szCs w:val="20"/>
          <w:color w:val="auto"/>
        </w:rPr>
      </w:pPr>
      <w:r>
        <w:rPr>
          <w:rFonts w:ascii="Arial" w:cs="Arial" w:eastAsia="Arial" w:hAnsi="Arial"/>
          <w:sz w:val="12"/>
          <w:szCs w:val="12"/>
          <w:color w:val="auto"/>
        </w:rPr>
        <w:t>Other borrowings include repurchase agreements, fed funds purchased, FHLB borrowings, and our trust preferred security. At March 31, 2020, other borrowings totaled $443 million, a $68 million or 18% increase from December 31, 2019 and a $73 million increase from March 31, 2019. The increase was the result of asset growth and attractive short-term rates on FHLB advances.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33" w:lineRule="exact"/>
        <w:rPr>
          <w:sz w:val="20"/>
          <w:szCs w:val="20"/>
          <w:color w:val="auto"/>
        </w:rPr>
      </w:pPr>
    </w:p>
    <w:p>
      <w:pPr>
        <w:ind w:left="140" w:right="260" w:firstLine="382"/>
        <w:spacing w:after="0" w:line="281" w:lineRule="auto"/>
        <w:rPr>
          <w:sz w:val="20"/>
          <w:szCs w:val="20"/>
          <w:color w:val="auto"/>
        </w:rPr>
      </w:pPr>
      <w:r>
        <w:rPr>
          <w:rFonts w:ascii="Arial" w:cs="Arial" w:eastAsia="Arial" w:hAnsi="Arial"/>
          <w:sz w:val="14"/>
          <w:szCs w:val="14"/>
          <w:color w:val="auto"/>
        </w:rPr>
        <w:t>The Company’s liquidity strategy is to maintain adequate, but not excessive, liquidity to meet the daily cash flow needs of its clients while attempting to achieve adequate earnings for its stockholders. The liquidity position is monitored continuously by the Company’s finance department.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140" w:right="520" w:firstLine="382"/>
        <w:spacing w:after="0" w:line="321" w:lineRule="auto"/>
        <w:rPr>
          <w:sz w:val="20"/>
          <w:szCs w:val="20"/>
          <w:color w:val="auto"/>
        </w:rPr>
      </w:pPr>
      <w:r>
        <w:rPr>
          <w:rFonts w:ascii="Arial" w:cs="Arial" w:eastAsia="Arial" w:hAnsi="Arial"/>
          <w:sz w:val="13"/>
          <w:szCs w:val="13"/>
          <w:color w:val="auto"/>
        </w:rPr>
        <w:t>Liquidity resources can be derived from two sources: (i) on-balance sheet liquidity resources, which represent funds currently on the balance sheet and (ii) off-balance sheet liquidity resources, which represent funds available from third party sources. Our on-balance sheet and off-balance sheet liquidity resources consisted of the following:</w:t>
      </w:r>
    </w:p>
    <w:p>
      <w:pPr>
        <w:spacing w:after="0" w:line="10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tcPr>
          <w:p>
            <w:pPr>
              <w:jc w:val="right"/>
              <w:ind w:right="45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tcPr>
          <w:p>
            <w:pPr>
              <w:jc w:val="right"/>
              <w:ind w:right="349"/>
              <w:spacing w:after="0"/>
              <w:rPr>
                <w:sz w:val="20"/>
                <w:szCs w:val="20"/>
                <w:color w:val="auto"/>
              </w:rPr>
            </w:pPr>
            <w:r>
              <w:rPr>
                <w:rFonts w:ascii="Arial" w:cs="Arial" w:eastAsia="Arial" w:hAnsi="Arial"/>
                <w:sz w:val="14"/>
                <w:szCs w:val="14"/>
                <w:b w:val="1"/>
                <w:bCs w:val="1"/>
                <w:color w:val="auto"/>
                <w:w w:val="90"/>
              </w:rPr>
              <w:t>December 31, 2019</w:t>
            </w:r>
          </w:p>
        </w:tc>
        <w:tc>
          <w:tcPr>
            <w:tcW w:w="160" w:type="dxa"/>
            <w:vAlign w:val="bottom"/>
          </w:tcPr>
          <w:p>
            <w:pPr>
              <w:spacing w:after="0"/>
              <w:rPr>
                <w:sz w:val="16"/>
                <w:szCs w:val="16"/>
                <w:color w:val="auto"/>
              </w:rPr>
            </w:pPr>
          </w:p>
        </w:tc>
      </w:tr>
      <w:tr>
        <w:trPr>
          <w:trHeight w:val="22"/>
        </w:trPr>
        <w:tc>
          <w:tcPr>
            <w:tcW w:w="6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7"/>
        </w:trPr>
        <w:tc>
          <w:tcPr>
            <w:tcW w:w="6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60" w:type="dxa"/>
            <w:vAlign w:val="bottom"/>
            <w:gridSpan w:val="4"/>
          </w:tcPr>
          <w:p>
            <w:pPr>
              <w:jc w:val="right"/>
              <w:ind w:right="20"/>
              <w:spacing w:after="0"/>
              <w:rPr>
                <w:sz w:val="20"/>
                <w:szCs w:val="20"/>
                <w:color w:val="auto"/>
              </w:rPr>
            </w:pPr>
            <w:r>
              <w:rPr>
                <w:rFonts w:ascii="Arial" w:cs="Arial" w:eastAsia="Arial" w:hAnsi="Arial"/>
                <w:sz w:val="13"/>
                <w:szCs w:val="13"/>
                <w:i w:val="1"/>
                <w:iCs w:val="1"/>
                <w:color w:val="auto"/>
              </w:rPr>
              <w:t>(Dollars in thousands)</w:t>
            </w: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6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on-balance sheet liquidity</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845,601</w:t>
            </w:r>
          </w:p>
        </w:tc>
        <w:tc>
          <w:tcPr>
            <w:tcW w:w="80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888,080</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91"/>
        </w:trPr>
        <w:tc>
          <w:tcPr>
            <w:tcW w:w="6460" w:type="dxa"/>
            <w:vAlign w:val="bottom"/>
          </w:tcPr>
          <w:p>
            <w:pPr>
              <w:spacing w:after="0"/>
              <w:rPr>
                <w:sz w:val="20"/>
                <w:szCs w:val="20"/>
                <w:color w:val="auto"/>
              </w:rPr>
            </w:pPr>
            <w:r>
              <w:rPr>
                <w:rFonts w:ascii="Arial" w:cs="Arial" w:eastAsia="Arial" w:hAnsi="Arial"/>
                <w:sz w:val="14"/>
                <w:szCs w:val="14"/>
                <w:color w:val="auto"/>
              </w:rPr>
              <w:t>Total off-balance sheet liquidity</w:t>
            </w:r>
          </w:p>
        </w:tc>
        <w:tc>
          <w:tcPr>
            <w:tcW w:w="3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475,401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524,332</w:t>
            </w:r>
          </w:p>
        </w:tc>
        <w:tc>
          <w:tcPr>
            <w:tcW w:w="160" w:type="dxa"/>
            <w:vAlign w:val="bottom"/>
          </w:tcPr>
          <w:p>
            <w:pPr>
              <w:spacing w:after="0"/>
              <w:rPr>
                <w:sz w:val="16"/>
                <w:szCs w:val="16"/>
                <w:color w:val="auto"/>
              </w:rPr>
            </w:pP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23"/>
        </w:trPr>
        <w:tc>
          <w:tcPr>
            <w:tcW w:w="6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liquidity</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1,321,002</w:t>
            </w: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1,412,412</w:t>
            </w:r>
          </w:p>
        </w:tc>
        <w:tc>
          <w:tcPr>
            <w:tcW w:w="160" w:type="dxa"/>
            <w:vAlign w:val="bottom"/>
            <w:shd w:val="clear" w:color="auto" w:fill="CCEEFF"/>
          </w:tcPr>
          <w:p>
            <w:pPr>
              <w:spacing w:after="0"/>
              <w:rPr>
                <w:sz w:val="19"/>
                <w:szCs w:val="19"/>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6460" w:type="dxa"/>
            <w:vAlign w:val="bottom"/>
          </w:tcPr>
          <w:p>
            <w:pPr>
              <w:spacing w:after="0" w:line="153" w:lineRule="exact"/>
              <w:rPr>
                <w:sz w:val="20"/>
                <w:szCs w:val="20"/>
                <w:color w:val="auto"/>
              </w:rPr>
            </w:pPr>
            <w:r>
              <w:rPr>
                <w:rFonts w:ascii="Arial" w:cs="Arial" w:eastAsia="Arial" w:hAnsi="Arial"/>
                <w:sz w:val="14"/>
                <w:szCs w:val="14"/>
                <w:color w:val="auto"/>
              </w:rPr>
              <w:t>On-balance sheet liquidity as a percent of assets</w:t>
            </w:r>
          </w:p>
        </w:tc>
        <w:tc>
          <w:tcPr>
            <w:tcW w:w="380" w:type="dxa"/>
            <w:vAlign w:val="bottom"/>
          </w:tcPr>
          <w:p>
            <w:pPr>
              <w:spacing w:after="0"/>
              <w:rPr>
                <w:sz w:val="13"/>
                <w:szCs w:val="13"/>
                <w:color w:val="auto"/>
              </w:rPr>
            </w:pPr>
          </w:p>
        </w:tc>
        <w:tc>
          <w:tcPr>
            <w:tcW w:w="1760" w:type="dxa"/>
            <w:vAlign w:val="bottom"/>
          </w:tcPr>
          <w:p>
            <w:pPr>
              <w:jc w:val="right"/>
              <w:spacing w:after="0" w:line="153" w:lineRule="exact"/>
              <w:rPr>
                <w:sz w:val="20"/>
                <w:szCs w:val="20"/>
                <w:color w:val="auto"/>
              </w:rPr>
            </w:pPr>
            <w:r>
              <w:rPr>
                <w:rFonts w:ascii="Arial" w:cs="Arial" w:eastAsia="Arial" w:hAnsi="Arial"/>
                <w:sz w:val="14"/>
                <w:szCs w:val="14"/>
                <w:color w:val="auto"/>
              </w:rPr>
              <w:t>17</w:t>
            </w:r>
          </w:p>
        </w:tc>
        <w:tc>
          <w:tcPr>
            <w:tcW w:w="160" w:type="dxa"/>
            <w:vAlign w:val="bottom"/>
          </w:tcPr>
          <w:p>
            <w:pPr>
              <w:jc w:val="right"/>
              <w:spacing w:after="0" w:line="153" w:lineRule="exact"/>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80" w:type="dxa"/>
            <w:vAlign w:val="bottom"/>
          </w:tcPr>
          <w:p>
            <w:pPr>
              <w:jc w:val="right"/>
              <w:spacing w:after="0" w:line="153" w:lineRule="exact"/>
              <w:rPr>
                <w:sz w:val="20"/>
                <w:szCs w:val="20"/>
                <w:color w:val="auto"/>
              </w:rPr>
            </w:pPr>
            <w:r>
              <w:rPr>
                <w:rFonts w:ascii="Arial" w:cs="Arial" w:eastAsia="Arial" w:hAnsi="Arial"/>
                <w:sz w:val="14"/>
                <w:szCs w:val="14"/>
                <w:color w:val="auto"/>
              </w:rPr>
              <w:t>18</w:t>
            </w:r>
          </w:p>
        </w:tc>
        <w:tc>
          <w:tcPr>
            <w:tcW w:w="160" w:type="dxa"/>
            <w:vAlign w:val="bottom"/>
          </w:tcPr>
          <w:p>
            <w:pPr>
              <w:jc w:val="right"/>
              <w:spacing w:after="0" w:line="153" w:lineRule="exact"/>
              <w:rPr>
                <w:sz w:val="20"/>
                <w:szCs w:val="20"/>
                <w:color w:val="auto"/>
              </w:rPr>
            </w:pPr>
            <w:r>
              <w:rPr>
                <w:rFonts w:ascii="Arial" w:cs="Arial" w:eastAsia="Arial" w:hAnsi="Arial"/>
                <w:sz w:val="14"/>
                <w:szCs w:val="14"/>
                <w:color w:val="auto"/>
                <w:w w:val="96"/>
              </w:rPr>
              <w:t>%</w:t>
            </w:r>
          </w:p>
        </w:tc>
      </w:tr>
      <w:tr>
        <w:trPr>
          <w:trHeight w:val="22"/>
        </w:trPr>
        <w:tc>
          <w:tcPr>
            <w:tcW w:w="6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Total liquidity as a percent of assets</w:t>
            </w:r>
          </w:p>
        </w:tc>
        <w:tc>
          <w:tcPr>
            <w:tcW w:w="3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2"/>
        </w:trPr>
        <w:tc>
          <w:tcPr>
            <w:tcW w:w="64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presents our significant contractual cash obligations to third parties, debt and lease agreements and service obligations as of March 31, 2020 and December 31, 2019:</w:t>
      </w:r>
    </w:p>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7"/>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Less than</w:t>
            </w:r>
          </w:p>
        </w:tc>
        <w:tc>
          <w:tcPr>
            <w:tcW w:w="28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1 to 2</w:t>
            </w:r>
          </w:p>
        </w:tc>
        <w:tc>
          <w:tcPr>
            <w:tcW w:w="80" w:type="dxa"/>
            <w:vAlign w:val="bottom"/>
          </w:tcPr>
          <w:p>
            <w:pPr>
              <w:spacing w:after="0"/>
              <w:rPr>
                <w:sz w:val="14"/>
                <w:szCs w:val="14"/>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2 to 5</w:t>
            </w: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More than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4"/>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5 Years</w:t>
            </w:r>
          </w:p>
        </w:tc>
        <w:tc>
          <w:tcPr>
            <w:tcW w:w="280" w:type="dxa"/>
            <w:vAlign w:val="bottom"/>
          </w:tcPr>
          <w:p>
            <w:pPr>
              <w:spacing w:after="0"/>
              <w:rPr>
                <w:sz w:val="16"/>
                <w:szCs w:val="16"/>
                <w:color w:val="auto"/>
              </w:rPr>
            </w:pPr>
          </w:p>
        </w:tc>
        <w:tc>
          <w:tcPr>
            <w:tcW w:w="1020" w:type="dxa"/>
            <w:vAlign w:val="bottom"/>
          </w:tcPr>
          <w:p>
            <w:pPr>
              <w:jc w:val="right"/>
              <w:ind w:right="429"/>
              <w:spacing w:after="0"/>
              <w:rPr>
                <w:sz w:val="20"/>
                <w:szCs w:val="20"/>
                <w:color w:val="auto"/>
              </w:rPr>
            </w:pPr>
            <w:r>
              <w:rPr>
                <w:rFonts w:ascii="Arial" w:cs="Arial" w:eastAsia="Arial" w:hAnsi="Arial"/>
                <w:sz w:val="14"/>
                <w:szCs w:val="14"/>
                <w:b w:val="1"/>
                <w:bCs w:val="1"/>
                <w:color w:val="auto"/>
              </w:rPr>
              <w:t>Total</w:t>
            </w:r>
          </w:p>
        </w:tc>
      </w:tr>
      <w:tr>
        <w:trPr>
          <w:trHeight w:val="22"/>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7"/>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6"/>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2"/>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Time deposits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830,347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119,398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153,197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1,103,062</w:t>
            </w:r>
          </w:p>
        </w:tc>
      </w:tr>
      <w:tr>
        <w:trPr>
          <w:trHeight w:val="191"/>
        </w:trPr>
        <w:tc>
          <w:tcPr>
            <w:tcW w:w="4240" w:type="dxa"/>
            <w:vAlign w:val="bottom"/>
          </w:tcPr>
          <w:p>
            <w:pPr>
              <w:spacing w:after="0"/>
              <w:rPr>
                <w:sz w:val="20"/>
                <w:szCs w:val="20"/>
                <w:color w:val="auto"/>
              </w:rPr>
            </w:pPr>
            <w:r>
              <w:rPr>
                <w:rFonts w:ascii="Arial" w:cs="Arial" w:eastAsia="Arial" w:hAnsi="Arial"/>
                <w:sz w:val="14"/>
                <w:szCs w:val="14"/>
                <w:color w:val="auto"/>
              </w:rPr>
              <w:t>Fed funds purchased &amp; repurchase agreements</w:t>
            </w:r>
          </w:p>
        </w:tc>
        <w:tc>
          <w:tcPr>
            <w:tcW w:w="2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38,946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38,946</w:t>
            </w:r>
          </w:p>
        </w:tc>
      </w:tr>
      <w:tr>
        <w:trPr>
          <w:trHeight w:val="22"/>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FHLB borrowings and line of credit</w:t>
            </w: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85,000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51,500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46,080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220,100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402,680</w:t>
            </w:r>
          </w:p>
        </w:tc>
      </w:tr>
      <w:tr>
        <w:trPr>
          <w:trHeight w:val="191"/>
        </w:trPr>
        <w:tc>
          <w:tcPr>
            <w:tcW w:w="4240" w:type="dxa"/>
            <w:vAlign w:val="bottom"/>
          </w:tcPr>
          <w:p>
            <w:pPr>
              <w:spacing w:after="0"/>
              <w:rPr>
                <w:sz w:val="20"/>
                <w:szCs w:val="20"/>
                <w:color w:val="auto"/>
              </w:rPr>
            </w:pPr>
            <w:r>
              <w:rPr>
                <w:rFonts w:ascii="Arial" w:cs="Arial" w:eastAsia="Arial" w:hAnsi="Arial"/>
                <w:sz w:val="14"/>
                <w:szCs w:val="14"/>
                <w:color w:val="auto"/>
              </w:rPr>
              <w:t>Trust preferred security</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2,500</w:t>
            </w:r>
          </w:p>
        </w:tc>
      </w:tr>
      <w:tr>
        <w:trPr>
          <w:trHeight w:val="22"/>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1,711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1,580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4,449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5,845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13,585</w:t>
            </w:r>
          </w:p>
        </w:tc>
      </w:tr>
      <w:tr>
        <w:trPr>
          <w:trHeight w:val="203"/>
        </w:trPr>
        <w:tc>
          <w:tcPr>
            <w:tcW w:w="4240" w:type="dxa"/>
            <w:vAlign w:val="bottom"/>
          </w:tcPr>
          <w:p>
            <w:pPr>
              <w:ind w:left="8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956,004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172,478</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203,726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228,565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1,560,773</w:t>
            </w: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4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December 31, 2019</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7"/>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Less than</w:t>
            </w:r>
          </w:p>
        </w:tc>
        <w:tc>
          <w:tcPr>
            <w:tcW w:w="28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1 to 2</w:t>
            </w:r>
          </w:p>
        </w:tc>
        <w:tc>
          <w:tcPr>
            <w:tcW w:w="80" w:type="dxa"/>
            <w:vAlign w:val="bottom"/>
          </w:tcPr>
          <w:p>
            <w:pPr>
              <w:spacing w:after="0"/>
              <w:rPr>
                <w:sz w:val="14"/>
                <w:szCs w:val="14"/>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2 to 5</w:t>
            </w: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More than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4"/>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5 Years</w:t>
            </w:r>
          </w:p>
        </w:tc>
        <w:tc>
          <w:tcPr>
            <w:tcW w:w="280" w:type="dxa"/>
            <w:vAlign w:val="bottom"/>
          </w:tcPr>
          <w:p>
            <w:pPr>
              <w:spacing w:after="0"/>
              <w:rPr>
                <w:sz w:val="16"/>
                <w:szCs w:val="16"/>
                <w:color w:val="auto"/>
              </w:rPr>
            </w:pPr>
          </w:p>
        </w:tc>
        <w:tc>
          <w:tcPr>
            <w:tcW w:w="1020" w:type="dxa"/>
            <w:vAlign w:val="bottom"/>
          </w:tcPr>
          <w:p>
            <w:pPr>
              <w:jc w:val="right"/>
              <w:ind w:right="429"/>
              <w:spacing w:after="0"/>
              <w:rPr>
                <w:sz w:val="20"/>
                <w:szCs w:val="20"/>
                <w:color w:val="auto"/>
              </w:rPr>
            </w:pPr>
            <w:r>
              <w:rPr>
                <w:rFonts w:ascii="Arial" w:cs="Arial" w:eastAsia="Arial" w:hAnsi="Arial"/>
                <w:sz w:val="14"/>
                <w:szCs w:val="14"/>
                <w:b w:val="1"/>
                <w:bCs w:val="1"/>
                <w:color w:val="auto"/>
              </w:rPr>
              <w:t>Total</w:t>
            </w:r>
          </w:p>
        </w:tc>
      </w:tr>
      <w:tr>
        <w:trPr>
          <w:trHeight w:val="22"/>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7"/>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6"/>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2"/>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Time deposits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925,239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152,979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161,528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1,239,746</w:t>
            </w:r>
          </w:p>
        </w:tc>
      </w:tr>
      <w:tr>
        <w:trPr>
          <w:trHeight w:val="191"/>
        </w:trPr>
        <w:tc>
          <w:tcPr>
            <w:tcW w:w="4240" w:type="dxa"/>
            <w:vAlign w:val="bottom"/>
          </w:tcPr>
          <w:p>
            <w:pPr>
              <w:spacing w:after="0"/>
              <w:rPr>
                <w:sz w:val="20"/>
                <w:szCs w:val="20"/>
                <w:color w:val="auto"/>
              </w:rPr>
            </w:pPr>
            <w:r>
              <w:rPr>
                <w:rFonts w:ascii="Arial" w:cs="Arial" w:eastAsia="Arial" w:hAnsi="Arial"/>
                <w:sz w:val="14"/>
                <w:szCs w:val="14"/>
                <w:color w:val="auto"/>
              </w:rPr>
              <w:t>Fed funds purchased &amp; repurchase agreements</w:t>
            </w:r>
          </w:p>
        </w:tc>
        <w:tc>
          <w:tcPr>
            <w:tcW w:w="2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14,921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14,921</w:t>
            </w:r>
          </w:p>
        </w:tc>
      </w:tr>
      <w:tr>
        <w:trPr>
          <w:trHeight w:val="22"/>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FHLB borrowings and line of credit</w:t>
            </w: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45,000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51,500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56,143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206,100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358,743</w:t>
            </w:r>
          </w:p>
        </w:tc>
      </w:tr>
      <w:tr>
        <w:trPr>
          <w:trHeight w:val="191"/>
        </w:trPr>
        <w:tc>
          <w:tcPr>
            <w:tcW w:w="4240" w:type="dxa"/>
            <w:vAlign w:val="bottom"/>
          </w:tcPr>
          <w:p>
            <w:pPr>
              <w:spacing w:after="0"/>
              <w:rPr>
                <w:sz w:val="20"/>
                <w:szCs w:val="20"/>
                <w:color w:val="auto"/>
              </w:rPr>
            </w:pPr>
            <w:r>
              <w:rPr>
                <w:rFonts w:ascii="Arial" w:cs="Arial" w:eastAsia="Arial" w:hAnsi="Arial"/>
                <w:sz w:val="14"/>
                <w:szCs w:val="14"/>
                <w:color w:val="auto"/>
              </w:rPr>
              <w:t>Trust preferred security</w:t>
            </w: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2,500</w:t>
            </w:r>
          </w:p>
        </w:tc>
      </w:tr>
      <w:tr>
        <w:trPr>
          <w:trHeight w:val="22"/>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1,796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1,572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4,528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6,162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14,058</w:t>
            </w:r>
          </w:p>
        </w:tc>
      </w:tr>
      <w:tr>
        <w:trPr>
          <w:trHeight w:val="203"/>
        </w:trPr>
        <w:tc>
          <w:tcPr>
            <w:tcW w:w="4240" w:type="dxa"/>
            <w:vAlign w:val="bottom"/>
          </w:tcPr>
          <w:p>
            <w:pPr>
              <w:ind w:left="8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986,956</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206,051</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222,199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214,762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1,629,968</w:t>
            </w: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 and Off-Balance Sheet Arrangements</w:t>
      </w:r>
    </w:p>
    <w:p>
      <w:pPr>
        <w:spacing w:after="0" w:line="133" w:lineRule="exact"/>
        <w:rPr>
          <w:sz w:val="20"/>
          <w:szCs w:val="20"/>
          <w:color w:val="auto"/>
        </w:rPr>
      </w:pPr>
    </w:p>
    <w:p>
      <w:pPr>
        <w:ind w:left="140" w:right="40" w:firstLine="382"/>
        <w:spacing w:after="0" w:line="262" w:lineRule="auto"/>
        <w:rPr>
          <w:sz w:val="20"/>
          <w:szCs w:val="20"/>
          <w:color w:val="auto"/>
        </w:rPr>
      </w:pPr>
      <w:r>
        <w:rPr>
          <w:rFonts w:ascii="Arial" w:cs="Arial" w:eastAsia="Arial" w:hAnsi="Arial"/>
          <w:sz w:val="14"/>
          <w:szCs w:val="14"/>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March 31, 2020, the Company and the Bank meet all capital adequacy requirements to which they are subject. For additional information, see “Note 8 - Regulatory Matters” in the notes to unaudited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140" w:right="140" w:firstLine="382"/>
        <w:spacing w:after="0" w:line="297" w:lineRule="auto"/>
        <w:rPr>
          <w:sz w:val="20"/>
          <w:szCs w:val="20"/>
          <w:color w:val="auto"/>
        </w:rPr>
      </w:pPr>
      <w:r>
        <w:rPr>
          <w:rFonts w:ascii="Arial" w:cs="Arial" w:eastAsia="Arial" w:hAnsi="Arial"/>
          <w:sz w:val="13"/>
          <w:szCs w:val="13"/>
          <w:color w:val="auto"/>
        </w:rPr>
        <w:t>The Company is subject to off-balance sheet risk in the normal course of business to meet the needs of its clients that have, or are reasonably likely to have, a current or future effect on our financial condition, changes in financial condition, revenues or expenses, results of operations, liquidity, capital expenditures or capital resources. These off-balance sheet arrangements include commitments to fund loans, standby letters of credit, and previously disclosed future lease obligations in Kansas City, Missouri and Frisco, Texas.</w:t>
      </w:r>
    </w:p>
    <w:p>
      <w:pPr>
        <w:spacing w:after="0" w:line="82"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5760" w:type="dxa"/>
            <w:vAlign w:val="bottom"/>
          </w:tcPr>
          <w:p>
            <w:pPr>
              <w:ind w:left="380"/>
              <w:spacing w:after="0"/>
              <w:rPr>
                <w:sz w:val="20"/>
                <w:szCs w:val="20"/>
                <w:color w:val="auto"/>
              </w:rPr>
            </w:pPr>
            <w:r>
              <w:rPr>
                <w:rFonts w:ascii="Arial" w:cs="Arial" w:eastAsia="Arial" w:hAnsi="Arial"/>
                <w:sz w:val="14"/>
                <w:szCs w:val="14"/>
                <w:color w:val="auto"/>
                <w:w w:val="93"/>
              </w:rPr>
              <w:t>The following is a summary of our off-balance sheet commitments as of the dates presented:</w:t>
            </w:r>
          </w:p>
        </w:tc>
        <w:tc>
          <w:tcPr>
            <w:tcW w:w="1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40"/>
        </w:trPr>
        <w:tc>
          <w:tcPr>
            <w:tcW w:w="57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March 31, 2020</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tcPr>
          <w:p>
            <w:pPr>
              <w:jc w:val="right"/>
              <w:ind w:right="629"/>
              <w:spacing w:after="0"/>
              <w:rPr>
                <w:sz w:val="20"/>
                <w:szCs w:val="20"/>
                <w:color w:val="auto"/>
              </w:rPr>
            </w:pPr>
            <w:r>
              <w:rPr>
                <w:rFonts w:ascii="Arial" w:cs="Arial" w:eastAsia="Arial" w:hAnsi="Arial"/>
                <w:sz w:val="14"/>
                <w:szCs w:val="14"/>
                <w:b w:val="1"/>
                <w:bCs w:val="1"/>
                <w:color w:val="auto"/>
                <w:w w:val="95"/>
              </w:rPr>
              <w:t>December 31, 2019</w:t>
            </w:r>
          </w:p>
        </w:tc>
      </w:tr>
      <w:tr>
        <w:trPr>
          <w:trHeight w:val="22"/>
        </w:trPr>
        <w:tc>
          <w:tcPr>
            <w:tcW w:w="57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67"/>
        </w:trPr>
        <w:tc>
          <w:tcPr>
            <w:tcW w:w="5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60" w:type="dxa"/>
            <w:vAlign w:val="bottom"/>
            <w:gridSpan w:val="3"/>
          </w:tcPr>
          <w:p>
            <w:pPr>
              <w:jc w:val="right"/>
              <w:ind w:right="29"/>
              <w:spacing w:after="0"/>
              <w:rPr>
                <w:sz w:val="20"/>
                <w:szCs w:val="20"/>
                <w:color w:val="auto"/>
              </w:rPr>
            </w:pPr>
            <w:r>
              <w:rPr>
                <w:rFonts w:ascii="Arial" w:cs="Arial" w:eastAsia="Arial" w:hAnsi="Arial"/>
                <w:sz w:val="13"/>
                <w:szCs w:val="13"/>
                <w:i w:val="1"/>
                <w:iCs w:val="1"/>
                <w:color w:val="auto"/>
              </w:rPr>
              <w:t>(Dollars in thousands)</w:t>
            </w:r>
          </w:p>
        </w:tc>
        <w:tc>
          <w:tcPr>
            <w:tcW w:w="1920" w:type="dxa"/>
            <w:vAlign w:val="bottom"/>
          </w:tcPr>
          <w:p>
            <w:pPr>
              <w:spacing w:after="0"/>
              <w:rPr>
                <w:sz w:val="14"/>
                <w:szCs w:val="14"/>
                <w:color w:val="auto"/>
              </w:rPr>
            </w:pPr>
          </w:p>
        </w:tc>
      </w:tr>
      <w:tr>
        <w:trPr>
          <w:trHeight w:val="26"/>
        </w:trPr>
        <w:tc>
          <w:tcPr>
            <w:tcW w:w="5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192"/>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Commitments to fund commercial loans</w:t>
            </w:r>
          </w:p>
        </w:tc>
        <w:tc>
          <w:tcPr>
            <w:tcW w:w="1800" w:type="dxa"/>
            <w:vAlign w:val="bottom"/>
            <w:tcBorders>
              <w:bottom w:val="single" w:sz="8" w:color="CCEEFF"/>
            </w:tcBorders>
            <w:shd w:val="clear" w:color="auto" w:fill="CCEEFF"/>
          </w:tcPr>
          <w:p>
            <w:pPr>
              <w:jc w:val="right"/>
              <w:ind w:right="16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554,243</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602,456</w:t>
            </w:r>
          </w:p>
        </w:tc>
      </w:tr>
      <w:tr>
        <w:trPr>
          <w:trHeight w:val="191"/>
        </w:trPr>
        <w:tc>
          <w:tcPr>
            <w:tcW w:w="5760" w:type="dxa"/>
            <w:vAlign w:val="bottom"/>
          </w:tcPr>
          <w:p>
            <w:pPr>
              <w:spacing w:after="0"/>
              <w:rPr>
                <w:sz w:val="20"/>
                <w:szCs w:val="20"/>
                <w:color w:val="auto"/>
              </w:rPr>
            </w:pPr>
            <w:r>
              <w:rPr>
                <w:rFonts w:ascii="Arial" w:cs="Arial" w:eastAsia="Arial" w:hAnsi="Arial"/>
                <w:sz w:val="14"/>
                <w:szCs w:val="14"/>
                <w:color w:val="auto"/>
              </w:rPr>
              <w:t>Other loan commitments</w:t>
            </w:r>
          </w:p>
        </w:tc>
        <w:tc>
          <w:tcPr>
            <w:tcW w:w="180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833,410</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884,069</w:t>
            </w:r>
          </w:p>
        </w:tc>
      </w:tr>
      <w:tr>
        <w:trPr>
          <w:trHeight w:val="22"/>
        </w:trPr>
        <w:tc>
          <w:tcPr>
            <w:tcW w:w="5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Standby letters of credit</w:t>
            </w:r>
          </w:p>
        </w:tc>
        <w:tc>
          <w:tcPr>
            <w:tcW w:w="18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34,828</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39,035</w:t>
            </w:r>
          </w:p>
        </w:tc>
      </w:tr>
      <w:tr>
        <w:trPr>
          <w:trHeight w:val="191"/>
        </w:trPr>
        <w:tc>
          <w:tcPr>
            <w:tcW w:w="5760" w:type="dxa"/>
            <w:vAlign w:val="bottom"/>
          </w:tcPr>
          <w:p>
            <w:pPr>
              <w:spacing w:after="0"/>
              <w:rPr>
                <w:sz w:val="20"/>
                <w:szCs w:val="20"/>
                <w:color w:val="auto"/>
              </w:rPr>
            </w:pPr>
            <w:r>
              <w:rPr>
                <w:rFonts w:ascii="Arial" w:cs="Arial" w:eastAsia="Arial" w:hAnsi="Arial"/>
                <w:sz w:val="14"/>
                <w:szCs w:val="14"/>
                <w:color w:val="auto"/>
              </w:rPr>
              <w:t>Lease agreements</w:t>
            </w:r>
          </w:p>
        </w:tc>
        <w:tc>
          <w:tcPr>
            <w:tcW w:w="1800" w:type="dxa"/>
            <w:vAlign w:val="bottom"/>
          </w:tcPr>
          <w:p>
            <w:pPr>
              <w:spacing w:after="0"/>
              <w:rPr>
                <w:sz w:val="16"/>
                <w:szCs w:val="16"/>
                <w:color w:val="auto"/>
              </w:rPr>
            </w:pP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22,394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20,935</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8"/>
        </w:trPr>
        <w:tc>
          <w:tcPr>
            <w:tcW w:w="5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auto"/>
            </w:tcBorders>
            <w:shd w:val="clear" w:color="auto" w:fill="CCEEFF"/>
          </w:tcPr>
          <w:p>
            <w:pPr>
              <w:jc w:val="right"/>
              <w:ind w:right="16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93"/>
              </w:rPr>
              <w:t>1,444,875</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1,546,495</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33" w:lineRule="exact"/>
        <w:rPr>
          <w:sz w:val="20"/>
          <w:szCs w:val="20"/>
          <w:color w:val="auto"/>
        </w:rPr>
      </w:pPr>
    </w:p>
    <w:p>
      <w:pPr>
        <w:ind w:left="140" w:firstLine="382"/>
        <w:spacing w:after="0" w:line="260" w:lineRule="auto"/>
        <w:rPr>
          <w:sz w:val="20"/>
          <w:szCs w:val="20"/>
          <w:color w:val="auto"/>
        </w:rPr>
      </w:pPr>
      <w:r>
        <w:rPr>
          <w:rFonts w:ascii="Arial" w:cs="Arial" w:eastAsia="Arial" w:hAnsi="Arial"/>
          <w:sz w:val="14"/>
          <w:szCs w:val="14"/>
          <w:color w:val="auto"/>
        </w:rPr>
        <w:t>The Company identified several accounting policies that are critical to an understanding of our financial condition and results of operations. In addition, these policies require difficult, subjective or complex judgments and assumptions that create potential sensitivity of our financial statements to those judgments and assumptions. These policies relate to the allowance for loan and lease losses, investment securities impairment, deferred tax assets, and the fair value of financial instruments. A discussion of these policies can be found in the section captioned “Critical Accounting Policies and Estimates” in Management’s Discussion and Analysis of Financial Condition and Results of Operations included in the December 31, 2019 Annual Report filed on Form 10-K.</w:t>
      </w:r>
    </w:p>
    <w:p>
      <w:pPr>
        <w:spacing w:after="0" w:line="104" w:lineRule="exact"/>
        <w:rPr>
          <w:sz w:val="20"/>
          <w:szCs w:val="20"/>
          <w:color w:val="auto"/>
        </w:rPr>
      </w:pPr>
    </w:p>
    <w:p>
      <w:pPr>
        <w:ind w:left="140" w:right="80" w:firstLine="382"/>
        <w:spacing w:after="0" w:line="262" w:lineRule="auto"/>
        <w:rPr>
          <w:sz w:val="20"/>
          <w:szCs w:val="20"/>
          <w:color w:val="auto"/>
        </w:rPr>
      </w:pPr>
      <w:r>
        <w:rPr>
          <w:rFonts w:ascii="Arial" w:cs="Arial" w:eastAsia="Arial" w:hAnsi="Arial"/>
          <w:sz w:val="14"/>
          <w:szCs w:val="14"/>
          <w:color w:val="auto"/>
        </w:rPr>
        <w:t xml:space="preserve">During the first quarter of 2020, the Company adopted </w:t>
      </w:r>
      <w:r>
        <w:rPr>
          <w:rFonts w:ascii="Arial" w:cs="Arial" w:eastAsia="Arial" w:hAnsi="Arial"/>
          <w:sz w:val="14"/>
          <w:szCs w:val="14"/>
          <w:i w:val="1"/>
          <w:iCs w:val="1"/>
          <w:color w:val="auto"/>
        </w:rPr>
        <w:t>ASU 2017-04: Intangibles—Goodwill and Other (Topic 350): Simplifying the Test for Goodwill Impairment</w:t>
      </w:r>
      <w:r>
        <w:rPr>
          <w:rFonts w:ascii="Arial" w:cs="Arial" w:eastAsia="Arial" w:hAnsi="Arial"/>
          <w:sz w:val="14"/>
          <w:szCs w:val="14"/>
          <w:color w:val="auto"/>
        </w:rPr>
        <w:t>. The ASU simplifies the methodology to calculate goodwill impairment. The change may accelerate the recognition of goodwill impairment, because it removes a second step required under the old method to determine if goodwill was impaired. The Company believes the updated methodology significantly reduces the complexity to calculate for goodwill impairment annually and if required during an interim period.</w:t>
      </w:r>
    </w:p>
    <w:p>
      <w:pPr>
        <w:spacing w:after="0" w:line="103" w:lineRule="exact"/>
        <w:rPr>
          <w:sz w:val="20"/>
          <w:szCs w:val="20"/>
          <w:color w:val="auto"/>
        </w:rPr>
      </w:pPr>
    </w:p>
    <w:p>
      <w:pPr>
        <w:ind w:left="140" w:firstLine="382"/>
        <w:spacing w:after="0" w:line="262" w:lineRule="auto"/>
        <w:rPr>
          <w:sz w:val="20"/>
          <w:szCs w:val="20"/>
          <w:color w:val="auto"/>
        </w:rPr>
      </w:pPr>
      <w:r>
        <w:rPr>
          <w:rFonts w:ascii="Arial" w:cs="Arial" w:eastAsia="Arial" w:hAnsi="Arial"/>
          <w:sz w:val="14"/>
          <w:szCs w:val="14"/>
          <w:color w:val="auto"/>
        </w:rPr>
        <w:t>The CARES Act allows financial institutions to elect not to consider whether loan modifications relating to the COVID-19 pandemic that they make between March 1, 2020 and the earlier of December 31, 2020 or 60 days after the national emergency related to the COVID-19 pandemic ends are TDRs that would require accounting consequences. The relief can be applied to modifications of loans to borrowers that were not more than 30 days past due as of December 31, 2019. The Company elected the guidance during the first quarter of 2020. The review of loans that meet the criteria is overseen by the Chief Credit Officer.</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Besides the accounting policy changes mentioned above, there have been no additional changes in the Company’s application of critical accounting policies since December 31, 2019.</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33" w:lineRule="exact"/>
        <w:rPr>
          <w:sz w:val="20"/>
          <w:szCs w:val="20"/>
          <w:color w:val="auto"/>
        </w:rPr>
      </w:pPr>
    </w:p>
    <w:p>
      <w:pPr>
        <w:ind w:left="140" w:right="400" w:firstLine="382"/>
        <w:spacing w:after="0" w:line="368" w:lineRule="auto"/>
        <w:rPr>
          <w:sz w:val="20"/>
          <w:szCs w:val="20"/>
          <w:color w:val="auto"/>
        </w:rPr>
      </w:pPr>
      <w:r>
        <w:rPr>
          <w:rFonts w:ascii="Arial" w:cs="Arial" w:eastAsia="Arial" w:hAnsi="Arial"/>
          <w:sz w:val="12"/>
          <w:szCs w:val="12"/>
          <w:color w:val="auto"/>
        </w:rPr>
        <w:t>The Company had the following updates to recent accounting pronouncements during the first quarter of 2020. For additional information on accounting pronouncements, see Note 1 - Nature of Operations and Summary of Significant Accounting Policies . A complete list of recent, applicable accounting pronouncements was provided in the Company’s 2019 form 10-K.</w:t>
      </w:r>
    </w:p>
    <w:p>
      <w:pPr>
        <w:spacing w:after="0" w:line="44" w:lineRule="exact"/>
        <w:rPr>
          <w:sz w:val="20"/>
          <w:szCs w:val="20"/>
          <w:color w:val="auto"/>
        </w:rPr>
      </w:pPr>
    </w:p>
    <w:p>
      <w:pPr>
        <w:ind w:left="140" w:right="40" w:firstLine="382"/>
        <w:spacing w:after="0" w:line="258" w:lineRule="auto"/>
        <w:rPr>
          <w:sz w:val="20"/>
          <w:szCs w:val="20"/>
          <w:color w:val="auto"/>
        </w:rPr>
      </w:pPr>
      <w:r>
        <w:rPr>
          <w:rFonts w:ascii="Arial" w:cs="Arial" w:eastAsia="Arial" w:hAnsi="Arial"/>
          <w:sz w:val="14"/>
          <w:szCs w:val="14"/>
          <w:color w:val="auto"/>
        </w:rPr>
        <w:t>ASU 2016-13, Financial Instruments - Credit Losses - The Company established a committee of individuals from applicable departments to oversee the implementation process. The committee chose a third-party software solution. By the third quarter of 2019, the Company completed the software implementation phase of the transition. The software implementation phase included data capture and portfolio segmentation amongst other items. During the first quarter of 2020, the Company decided to adjust and analyze the underlying assumptions in the model using 2019 financial data. Once the analysis is complete, the Company plans to continue quarterly parallel runs to determine the appropriateness of the factors used and the potential impact on the ALLL. At this time an estimate of the impact to the Company’s financial statements is not known, but the impact could be significantly affected by the composition, characteristics and quality of the underlying loan portfolio at the time of adoption.</w:t>
      </w:r>
    </w:p>
    <w:p>
      <w:pPr>
        <w:spacing w:after="0" w:line="107" w:lineRule="exact"/>
        <w:rPr>
          <w:sz w:val="20"/>
          <w:szCs w:val="20"/>
          <w:color w:val="auto"/>
        </w:rPr>
      </w:pPr>
    </w:p>
    <w:p>
      <w:pPr>
        <w:ind w:left="140" w:right="160" w:firstLine="382"/>
        <w:spacing w:after="0" w:line="297" w:lineRule="auto"/>
        <w:rPr>
          <w:sz w:val="20"/>
          <w:szCs w:val="20"/>
          <w:color w:val="auto"/>
        </w:rPr>
      </w:pPr>
      <w:r>
        <w:rPr>
          <w:rFonts w:ascii="Arial" w:cs="Arial" w:eastAsia="Arial" w:hAnsi="Arial"/>
          <w:sz w:val="13"/>
          <w:szCs w:val="13"/>
          <w:color w:val="auto"/>
        </w:rPr>
        <w:t>ASU 2016-02, Leases (Topic 842) - The Company plans to apply the update as of the beginning of the period of adoption and is not planning to restate comparative periods. The Company expects to elect certain optional practical expedients. The Company gathered all potential lease and embedded lease agreements and is evaluating the applicability and impact to the financial statements. Current operating leases relate primarily to three branch locations and two future lease obligations. Based on these current leases,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anticipates recognizing a lease liability and related right-to-use asset on our balance sheet, with an immaterial impact on the income statement compared to the current lease accounting model.</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However, the ultimate impact of the standard will depend on the Company’s lease portfolio as of the adoption date.</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GAAP Reconciliation and Management Explanation of Non-GAAP Financial Measures</w:t>
      </w:r>
    </w:p>
    <w:p>
      <w:pPr>
        <w:spacing w:after="0" w:line="133" w:lineRule="exact"/>
        <w:rPr>
          <w:sz w:val="20"/>
          <w:szCs w:val="20"/>
          <w:color w:val="auto"/>
        </w:rPr>
      </w:pPr>
    </w:p>
    <w:p>
      <w:pPr>
        <w:ind w:left="140" w:right="180" w:firstLine="382"/>
        <w:spacing w:after="0" w:line="267" w:lineRule="auto"/>
        <w:rPr>
          <w:sz w:val="20"/>
          <w:szCs w:val="20"/>
          <w:color w:val="auto"/>
        </w:rPr>
      </w:pPr>
      <w:r>
        <w:rPr>
          <w:rFonts w:ascii="Arial" w:cs="Arial" w:eastAsia="Arial" w:hAnsi="Arial"/>
          <w:sz w:val="14"/>
          <w:szCs w:val="14"/>
          <w:color w:val="auto"/>
        </w:rPr>
        <w:t>Non-GAAP financial measures are used by management to evaluate our performance. The non-GAAP financial measures that we discuss should not be considered in isolation or as a substitute for the most directly comparable financial measures calculated in accordance with GAAP. Moreover, the way we calculate these non-GAAP financial measures may differ from that of other companies reporting measures with similar names.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Non-GAAP Core Operating Income: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calculate “non-GAAP core operating income” as net income adjusted to remove non-recurring or non-core income and expense items related to:</w:t>
      </w:r>
    </w:p>
    <w:p>
      <w:pPr>
        <w:spacing w:after="0" w:line="136" w:lineRule="exact"/>
        <w:rPr>
          <w:sz w:val="20"/>
          <w:szCs w:val="20"/>
          <w:color w:val="auto"/>
        </w:rPr>
      </w:pPr>
    </w:p>
    <w:p>
      <w:pPr>
        <w:ind w:left="1020" w:right="20" w:hanging="506"/>
        <w:spacing w:after="0" w:line="267"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Impairment charges associated with two buildings that were held-for-sale - We acquired a larger corporate headquarters to accommodate our business needs that eliminated the need for two smaller support buildings. The two smaller support buildings had been acquired recently and were extensively remodeled, which resulted in a difference between book and market value for those assets. We sold one of the buildings in 2018 and the other in the second quarter of 2019.</w:t>
      </w:r>
    </w:p>
    <w:p>
      <w:pPr>
        <w:spacing w:after="0" w:line="56" w:lineRule="exact"/>
        <w:rPr>
          <w:rFonts w:ascii="Arial" w:cs="Arial" w:eastAsia="Arial" w:hAnsi="Arial"/>
          <w:sz w:val="14"/>
          <w:szCs w:val="14"/>
          <w:color w:val="auto"/>
        </w:rPr>
      </w:pPr>
    </w:p>
    <w:p>
      <w:pPr>
        <w:ind w:left="1020" w:hanging="506"/>
        <w:spacing w:after="0"/>
        <w:tabs>
          <w:tab w:leader="none" w:pos="10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State tax credits - As a result of the purchase and improvement of our new corporate headquarters we received state tax credits.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most directly comparable GAAP financial measure for non-GAAP core operating income is net income.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Non-GAAP Core Operating Return on Average Assets:</w:t>
      </w:r>
    </w:p>
    <w:p>
      <w:pPr>
        <w:spacing w:after="0" w:line="126" w:lineRule="exact"/>
        <w:rPr>
          <w:sz w:val="20"/>
          <w:szCs w:val="20"/>
          <w:color w:val="auto"/>
        </w:rPr>
      </w:pPr>
    </w:p>
    <w:p>
      <w:pPr>
        <w:ind w:left="140" w:right="100" w:firstLine="382"/>
        <w:spacing w:after="0" w:line="281" w:lineRule="auto"/>
        <w:rPr>
          <w:sz w:val="20"/>
          <w:szCs w:val="20"/>
          <w:color w:val="auto"/>
        </w:rPr>
      </w:pPr>
      <w:r>
        <w:rPr>
          <w:rFonts w:ascii="Arial" w:cs="Arial" w:eastAsia="Arial" w:hAnsi="Arial"/>
          <w:sz w:val="14"/>
          <w:szCs w:val="14"/>
          <w:color w:val="auto"/>
        </w:rPr>
        <w:t>We calculate “non-GAAP core operating return on average assets” as non-GAAP core operating income (as defined above) divided by average assets. The most directly comparable GAAP financial measure is return on average assets, which is calculated as net income divided by average assets.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Non-GAAP Core Operating Return on Average Equity:</w:t>
      </w:r>
    </w:p>
    <w:p>
      <w:pPr>
        <w:spacing w:after="0" w:line="126" w:lineRule="exact"/>
        <w:rPr>
          <w:sz w:val="20"/>
          <w:szCs w:val="20"/>
          <w:color w:val="auto"/>
        </w:rPr>
      </w:pPr>
    </w:p>
    <w:p>
      <w:pPr>
        <w:ind w:left="140" w:right="200" w:firstLine="382"/>
        <w:spacing w:after="0" w:line="321" w:lineRule="auto"/>
        <w:rPr>
          <w:sz w:val="20"/>
          <w:szCs w:val="20"/>
          <w:color w:val="auto"/>
        </w:rPr>
      </w:pPr>
      <w:r>
        <w:rPr>
          <w:rFonts w:ascii="Arial" w:cs="Arial" w:eastAsia="Arial" w:hAnsi="Arial"/>
          <w:sz w:val="13"/>
          <w:szCs w:val="13"/>
          <w:color w:val="auto"/>
        </w:rPr>
        <w:t>We calculate “non-GAAP core operating return on average equity” as non-GAAP core operating income (defined above) less preferred dividends divided by average common equity. The most directly comparable GAAP financial measure is return on average equity, which is calculated as net income less preferred dividends divided by average common equity.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Non-GAAP Core Operating Efficiency Ratio - Tax Equivalent:</w:t>
      </w:r>
    </w:p>
    <w:p>
      <w:pPr>
        <w:spacing w:after="0" w:line="126" w:lineRule="exact"/>
        <w:rPr>
          <w:sz w:val="20"/>
          <w:szCs w:val="20"/>
          <w:color w:val="auto"/>
        </w:rPr>
      </w:pPr>
    </w:p>
    <w:p>
      <w:pPr>
        <w:ind w:left="140" w:right="100" w:firstLine="382"/>
        <w:spacing w:after="0" w:line="267" w:lineRule="auto"/>
        <w:rPr>
          <w:sz w:val="20"/>
          <w:szCs w:val="20"/>
          <w:color w:val="auto"/>
        </w:rPr>
      </w:pPr>
      <w:r>
        <w:rPr>
          <w:rFonts w:ascii="Arial" w:cs="Arial" w:eastAsia="Arial" w:hAnsi="Arial"/>
          <w:sz w:val="14"/>
          <w:szCs w:val="14"/>
          <w:color w:val="auto"/>
        </w:rPr>
        <w:t>We calculate “non-GAAP core operating efficiency ratio - tax equivalent” as non-interest expense adjusted to remove non-recurring non-interest expenses as defined under non-GAAP core operating income divided by the sum of net interest income on a tax-equivalent basis and non-interest income adjusted to remove non-recurring non-interest income as defined under non-GAAP core operating income. The most directly comparable GAAP financial measure is the efficiency ratio.</w:t>
      </w:r>
    </w:p>
    <w:p>
      <w:pPr>
        <w:spacing w:after="0" w:line="99" w:lineRule="exact"/>
        <w:rPr>
          <w:sz w:val="20"/>
          <w:szCs w:val="20"/>
          <w:color w:val="auto"/>
        </w:rPr>
      </w:pPr>
    </w:p>
    <w:p>
      <w:pPr>
        <w:ind w:left="140" w:firstLine="382"/>
        <w:spacing w:after="0" w:line="267" w:lineRule="auto"/>
        <w:rPr>
          <w:sz w:val="20"/>
          <w:szCs w:val="20"/>
          <w:color w:val="auto"/>
        </w:rPr>
      </w:pPr>
      <w:r>
        <w:rPr>
          <w:rFonts w:ascii="Arial" w:cs="Arial" w:eastAsia="Arial" w:hAnsi="Arial"/>
          <w:sz w:val="14"/>
          <w:szCs w:val="14"/>
          <w:color w:val="auto"/>
        </w:rPr>
        <w:t>Management believes that non-GAAP core operating income, non-GAAP core operating return on average assets, non-GAAP core operating return on average equity and non-GAAP core operating efficiency ratio - tax equivalent remove events that are not recurring and not part of core business activities and are useful analytical tools for investors to compare periods excluding these non-recurring or non-core income and charges.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140" w:right="520" w:firstLine="382"/>
        <w:spacing w:after="0" w:line="281" w:lineRule="auto"/>
        <w:rPr>
          <w:sz w:val="20"/>
          <w:szCs w:val="20"/>
          <w:color w:val="auto"/>
        </w:rPr>
      </w:pPr>
      <w:r>
        <w:rPr>
          <w:rFonts w:ascii="Arial" w:cs="Arial" w:eastAsia="Arial" w:hAnsi="Arial"/>
          <w:sz w:val="14"/>
          <w:szCs w:val="14"/>
          <w:color w:val="auto"/>
        </w:rPr>
        <w:t>The following table reconciles, as of the dates set forth below, net income to non-GAAP core operating income, non-GAAP core operating return on average assets, non-GAAP core operating return on average equity and non-GAAP core operating efficiency ratio:</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gridSpan w:val="6"/>
          </w:tcPr>
          <w:p>
            <w:pPr>
              <w:jc w:val="center"/>
              <w:ind w:right="89"/>
              <w:spacing w:after="0"/>
              <w:rPr>
                <w:sz w:val="20"/>
                <w:szCs w:val="20"/>
                <w:color w:val="auto"/>
              </w:rPr>
            </w:pPr>
            <w:r>
              <w:rPr>
                <w:rFonts w:ascii="Arial" w:cs="Arial" w:eastAsia="Arial" w:hAnsi="Arial"/>
                <w:sz w:val="14"/>
                <w:szCs w:val="14"/>
                <w:b w:val="1"/>
                <w:bCs w:val="1"/>
                <w:color w:val="auto"/>
                <w:w w:val="92"/>
              </w:rPr>
              <w:t>Three Months Ended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1"/>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w:t>
            </w:r>
          </w:p>
        </w:tc>
        <w:tc>
          <w:tcPr>
            <w:tcW w:w="16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December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w:t>
            </w: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w:t>
            </w:r>
          </w:p>
        </w:tc>
        <w:tc>
          <w:tcPr>
            <w:tcW w:w="220" w:type="dxa"/>
            <w:vAlign w:val="bottom"/>
          </w:tcPr>
          <w:p>
            <w:pPr>
              <w:spacing w:after="0"/>
              <w:rPr>
                <w:sz w:val="15"/>
                <w:szCs w:val="15"/>
                <w:color w:val="auto"/>
              </w:rPr>
            </w:pPr>
          </w:p>
        </w:tc>
        <w:tc>
          <w:tcPr>
            <w:tcW w:w="880" w:type="dxa"/>
            <w:vAlign w:val="bottom"/>
          </w:tcPr>
          <w:p>
            <w:pPr>
              <w:jc w:val="right"/>
              <w:ind w:right="269"/>
              <w:spacing w:after="0"/>
              <w:rPr>
                <w:sz w:val="20"/>
                <w:szCs w:val="20"/>
                <w:color w:val="auto"/>
              </w:rPr>
            </w:pPr>
            <w:r>
              <w:rPr>
                <w:rFonts w:ascii="Arial" w:cs="Arial" w:eastAsia="Arial" w:hAnsi="Arial"/>
                <w:sz w:val="14"/>
                <w:szCs w:val="14"/>
                <w:b w:val="1"/>
                <w:bCs w:val="1"/>
                <w:color w:val="auto"/>
              </w:rPr>
              <w:t>March</w:t>
            </w:r>
          </w:p>
        </w:tc>
      </w:tr>
      <w:tr>
        <w:trPr>
          <w:trHeight w:val="212"/>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8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29"/>
              <w:spacing w:after="0"/>
              <w:rPr>
                <w:sz w:val="20"/>
                <w:szCs w:val="20"/>
                <w:color w:val="auto"/>
              </w:rPr>
            </w:pPr>
            <w:r>
              <w:rPr>
                <w:rFonts w:ascii="Arial" w:cs="Arial" w:eastAsia="Arial" w:hAnsi="Arial"/>
                <w:sz w:val="14"/>
                <w:szCs w:val="14"/>
                <w:b w:val="1"/>
                <w:bCs w:val="1"/>
                <w:color w:val="auto"/>
              </w:rPr>
              <w:t>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8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89"/>
              <w:spacing w:after="0"/>
              <w:rPr>
                <w:sz w:val="20"/>
                <w:szCs w:val="20"/>
                <w:color w:val="auto"/>
              </w:rPr>
            </w:pPr>
            <w:r>
              <w:rPr>
                <w:rFonts w:ascii="Arial" w:cs="Arial" w:eastAsia="Arial" w:hAnsi="Arial"/>
                <w:sz w:val="14"/>
                <w:szCs w:val="14"/>
                <w:b w:val="1"/>
                <w:bCs w:val="1"/>
                <w:color w:val="auto"/>
              </w:rPr>
              <w:t>31,</w:t>
            </w:r>
          </w:p>
        </w:tc>
      </w:tr>
      <w:tr>
        <w:trPr>
          <w:trHeight w:val="212"/>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2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29"/>
              <w:spacing w:after="0"/>
              <w:rPr>
                <w:sz w:val="20"/>
                <w:szCs w:val="20"/>
                <w:color w:val="auto"/>
              </w:rPr>
            </w:pPr>
            <w:r>
              <w:rPr>
                <w:rFonts w:ascii="Arial" w:cs="Arial" w:eastAsia="Arial" w:hAnsi="Arial"/>
                <w:sz w:val="14"/>
                <w:szCs w:val="14"/>
                <w:b w:val="1"/>
                <w:bCs w:val="1"/>
                <w:color w:val="auto"/>
              </w:rPr>
              <w:t>2019</w:t>
            </w:r>
          </w:p>
        </w:tc>
      </w:tr>
      <w:tr>
        <w:trPr>
          <w:trHeight w:val="22"/>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7"/>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6"/>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Non-GAAP core operating income:</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5380" w:type="dxa"/>
            <w:vAlign w:val="bottom"/>
          </w:tcPr>
          <w:p>
            <w:pPr>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3,857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500"/>
              <w:spacing w:after="0"/>
              <w:rPr>
                <w:sz w:val="20"/>
                <w:szCs w:val="20"/>
                <w:color w:val="auto"/>
              </w:rPr>
            </w:pPr>
            <w:r>
              <w:rPr>
                <w:rFonts w:ascii="Arial" w:cs="Arial" w:eastAsia="Arial" w:hAnsi="Arial"/>
                <w:sz w:val="14"/>
                <w:szCs w:val="14"/>
                <w:color w:val="auto"/>
              </w:rPr>
              <w:t>(700)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10,384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9,439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9,350</w:t>
            </w:r>
          </w:p>
        </w:tc>
      </w:tr>
      <w:tr>
        <w:trPr>
          <w:trHeight w:val="22"/>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5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Add: fixed asset impairments</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424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212"/>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tax effect</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r>
      <w:tr>
        <w:trPr>
          <w:trHeight w:val="203"/>
        </w:trPr>
        <w:tc>
          <w:tcPr>
            <w:tcW w:w="5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Fixed asset impairments, net of tax</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212"/>
        </w:trPr>
        <w:tc>
          <w:tcPr>
            <w:tcW w:w="53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Add: state tax credit</w:t>
            </w:r>
            <w:r>
              <w:rPr>
                <w:rFonts w:ascii="Arial" w:cs="Arial" w:eastAsia="Arial" w:hAnsi="Arial"/>
                <w:sz w:val="18"/>
                <w:szCs w:val="18"/>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(1,361)</w:t>
            </w:r>
          </w:p>
        </w:tc>
      </w:tr>
      <w:tr>
        <w:trPr>
          <w:trHeight w:val="20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Non-GAAP core operating income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3,857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b w:val="1"/>
                <w:bCs w:val="1"/>
                <w:color w:val="auto"/>
              </w:rPr>
              <w:t>(700)</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10,384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9,754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7,989</w:t>
            </w:r>
          </w:p>
        </w:tc>
      </w:tr>
    </w:tbl>
    <w:p>
      <w:pPr>
        <w:ind w:left="300" w:hanging="133"/>
        <w:spacing w:after="0" w:line="215" w:lineRule="auto"/>
        <w:tabs>
          <w:tab w:leader="none" w:pos="30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Represents the tax impact of the adjustments above at a tax rate of 25.73%.</w:t>
      </w:r>
    </w:p>
    <w:p>
      <w:pPr>
        <w:spacing w:after="0" w:line="16" w:lineRule="exact"/>
        <w:rPr>
          <w:rFonts w:ascii="Arial" w:cs="Arial" w:eastAsia="Arial" w:hAnsi="Arial"/>
          <w:sz w:val="16"/>
          <w:szCs w:val="16"/>
          <w:color w:val="auto"/>
          <w:vertAlign w:val="superscript"/>
        </w:rPr>
      </w:pPr>
    </w:p>
    <w:p>
      <w:pPr>
        <w:ind w:left="300" w:hanging="133"/>
        <w:spacing w:after="0" w:line="201" w:lineRule="auto"/>
        <w:tabs>
          <w:tab w:leader="none" w:pos="30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No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-205105</wp:posOffset>
            </wp:positionV>
            <wp:extent cx="366522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65220" cy="69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28575</wp:posOffset>
            </wp:positionV>
            <wp:extent cx="382016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20160" cy="6985"/>
                    </a:xfrm>
                    <a:prstGeom prst="rect">
                      <a:avLst/>
                    </a:prstGeom>
                    <a:noFill/>
                  </pic:spPr>
                </pic:pic>
              </a:graphicData>
            </a:graphic>
          </wp:anchor>
        </w:drawing>
      </w:r>
    </w:p>
    <w:p>
      <w:pPr>
        <w:spacing w:after="0" w:line="42" w:lineRule="exact"/>
        <w:rPr>
          <w:sz w:val="20"/>
          <w:szCs w:val="20"/>
          <w:color w:val="auto"/>
        </w:rPr>
      </w:pPr>
    </w:p>
    <w:tbl>
      <w:tblPr>
        <w:tblLayout w:type="fixed"/>
        <w:tblInd w:w="564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Arial" w:cs="Arial" w:eastAsia="Arial" w:hAnsi="Arial"/>
                <w:sz w:val="14"/>
                <w:szCs w:val="14"/>
                <w:b w:val="1"/>
                <w:bCs w:val="1"/>
                <w:color w:val="auto"/>
              </w:rPr>
              <w:t>March</w:t>
            </w:r>
          </w:p>
        </w:tc>
        <w:tc>
          <w:tcPr>
            <w:tcW w:w="1260" w:type="dxa"/>
            <w:vAlign w:val="bottom"/>
          </w:tcPr>
          <w:p>
            <w:pPr>
              <w:ind w:left="340"/>
              <w:spacing w:after="0"/>
              <w:rPr>
                <w:sz w:val="20"/>
                <w:szCs w:val="20"/>
                <w:color w:val="auto"/>
              </w:rPr>
            </w:pPr>
            <w:r>
              <w:rPr>
                <w:rFonts w:ascii="Arial" w:cs="Arial" w:eastAsia="Arial" w:hAnsi="Arial"/>
                <w:sz w:val="14"/>
                <w:szCs w:val="14"/>
                <w:b w:val="1"/>
                <w:bCs w:val="1"/>
                <w:color w:val="auto"/>
              </w:rPr>
              <w:t>December</w:t>
            </w: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rPr>
              <w:t>September</w:t>
            </w:r>
          </w:p>
        </w:tc>
        <w:tc>
          <w:tcPr>
            <w:tcW w:w="1100" w:type="dxa"/>
            <w:vAlign w:val="bottom"/>
          </w:tcPr>
          <w:p>
            <w:pPr>
              <w:ind w:left="380"/>
              <w:spacing w:after="0"/>
              <w:rPr>
                <w:sz w:val="20"/>
                <w:szCs w:val="20"/>
                <w:color w:val="auto"/>
              </w:rPr>
            </w:pPr>
            <w:r>
              <w:rPr>
                <w:rFonts w:ascii="Arial" w:cs="Arial" w:eastAsia="Arial" w:hAnsi="Arial"/>
                <w:sz w:val="14"/>
                <w:szCs w:val="14"/>
                <w:b w:val="1"/>
                <w:bCs w:val="1"/>
                <w:color w:val="auto"/>
              </w:rPr>
              <w:t>June</w:t>
            </w:r>
          </w:p>
        </w:tc>
        <w:tc>
          <w:tcPr>
            <w:tcW w:w="840" w:type="dxa"/>
            <w:vAlign w:val="bottom"/>
          </w:tcPr>
          <w:p>
            <w:pPr>
              <w:ind w:left="440"/>
              <w:spacing w:after="0"/>
              <w:rPr>
                <w:sz w:val="20"/>
                <w:szCs w:val="20"/>
                <w:color w:val="auto"/>
              </w:rPr>
            </w:pPr>
            <w:r>
              <w:rPr>
                <w:rFonts w:ascii="Arial" w:cs="Arial" w:eastAsia="Arial" w:hAnsi="Arial"/>
                <w:sz w:val="14"/>
                <w:szCs w:val="14"/>
                <w:b w:val="1"/>
                <w:bCs w:val="1"/>
                <w:color w:val="auto"/>
                <w:w w:val="92"/>
              </w:rPr>
              <w:t>March</w:t>
            </w:r>
          </w:p>
        </w:tc>
      </w:tr>
      <w:tr>
        <w:trPr>
          <w:trHeight w:val="212"/>
        </w:trPr>
        <w:tc>
          <w:tcPr>
            <w:tcW w:w="760" w:type="dxa"/>
            <w:vAlign w:val="bottom"/>
          </w:tcPr>
          <w:p>
            <w:pPr>
              <w:jc w:val="right"/>
              <w:ind w:right="409"/>
              <w:spacing w:after="0"/>
              <w:rPr>
                <w:sz w:val="20"/>
                <w:szCs w:val="20"/>
                <w:color w:val="auto"/>
              </w:rPr>
            </w:pPr>
            <w:r>
              <w:rPr>
                <w:rFonts w:ascii="Arial" w:cs="Arial" w:eastAsia="Arial" w:hAnsi="Arial"/>
                <w:sz w:val="14"/>
                <w:szCs w:val="14"/>
                <w:b w:val="1"/>
                <w:bCs w:val="1"/>
                <w:color w:val="auto"/>
              </w:rPr>
              <w:t>31,</w:t>
            </w:r>
          </w:p>
        </w:tc>
        <w:tc>
          <w:tcPr>
            <w:tcW w:w="1260" w:type="dxa"/>
            <w:vAlign w:val="bottom"/>
          </w:tcPr>
          <w:p>
            <w:pPr>
              <w:jc w:val="right"/>
              <w:ind w:right="449"/>
              <w:spacing w:after="0"/>
              <w:rPr>
                <w:sz w:val="20"/>
                <w:szCs w:val="20"/>
                <w:color w:val="auto"/>
              </w:rPr>
            </w:pPr>
            <w:r>
              <w:rPr>
                <w:rFonts w:ascii="Arial" w:cs="Arial" w:eastAsia="Arial" w:hAnsi="Arial"/>
                <w:sz w:val="14"/>
                <w:szCs w:val="14"/>
                <w:b w:val="1"/>
                <w:bCs w:val="1"/>
                <w:color w:val="auto"/>
              </w:rPr>
              <w:t>31,</w:t>
            </w:r>
          </w:p>
        </w:tc>
        <w:tc>
          <w:tcPr>
            <w:tcW w:w="1320" w:type="dxa"/>
            <w:vAlign w:val="bottom"/>
          </w:tcPr>
          <w:p>
            <w:pPr>
              <w:jc w:val="right"/>
              <w:ind w:right="549"/>
              <w:spacing w:after="0"/>
              <w:rPr>
                <w:sz w:val="20"/>
                <w:szCs w:val="20"/>
                <w:color w:val="auto"/>
              </w:rPr>
            </w:pPr>
            <w:r>
              <w:rPr>
                <w:rFonts w:ascii="Arial" w:cs="Arial" w:eastAsia="Arial" w:hAnsi="Arial"/>
                <w:sz w:val="14"/>
                <w:szCs w:val="14"/>
                <w:b w:val="1"/>
                <w:bCs w:val="1"/>
                <w:color w:val="auto"/>
              </w:rPr>
              <w:t>30,</w:t>
            </w:r>
          </w:p>
        </w:tc>
        <w:tc>
          <w:tcPr>
            <w:tcW w:w="1100" w:type="dxa"/>
            <w:vAlign w:val="bottom"/>
          </w:tcPr>
          <w:p>
            <w:pPr>
              <w:jc w:val="right"/>
              <w:ind w:right="429"/>
              <w:spacing w:after="0"/>
              <w:rPr>
                <w:sz w:val="20"/>
                <w:szCs w:val="20"/>
                <w:color w:val="auto"/>
              </w:rPr>
            </w:pPr>
            <w:r>
              <w:rPr>
                <w:rFonts w:ascii="Arial" w:cs="Arial" w:eastAsia="Arial" w:hAnsi="Arial"/>
                <w:sz w:val="14"/>
                <w:szCs w:val="14"/>
                <w:b w:val="1"/>
                <w:bCs w:val="1"/>
                <w:color w:val="auto"/>
              </w:rPr>
              <w:t>30,</w:t>
            </w:r>
          </w:p>
        </w:tc>
        <w:tc>
          <w:tcPr>
            <w:tcW w:w="840" w:type="dxa"/>
            <w:vAlign w:val="bottom"/>
          </w:tcPr>
          <w:p>
            <w:pPr>
              <w:jc w:val="right"/>
              <w:ind w:right="49"/>
              <w:spacing w:after="0"/>
              <w:rPr>
                <w:sz w:val="20"/>
                <w:szCs w:val="20"/>
                <w:color w:val="auto"/>
              </w:rPr>
            </w:pPr>
            <w:r>
              <w:rPr>
                <w:rFonts w:ascii="Arial" w:cs="Arial" w:eastAsia="Arial" w:hAnsi="Arial"/>
                <w:sz w:val="14"/>
                <w:szCs w:val="14"/>
                <w:b w:val="1"/>
                <w:bCs w:val="1"/>
                <w:color w:val="auto"/>
              </w:rPr>
              <w:t>31,</w:t>
            </w:r>
          </w:p>
        </w:tc>
      </w:tr>
      <w:tr>
        <w:trPr>
          <w:trHeight w:val="212"/>
        </w:trPr>
        <w:tc>
          <w:tcPr>
            <w:tcW w:w="760" w:type="dxa"/>
            <w:vAlign w:val="bottom"/>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1260" w:type="dxa"/>
            <w:vAlign w:val="bottom"/>
          </w:tcPr>
          <w:p>
            <w:pPr>
              <w:jc w:val="right"/>
              <w:ind w:right="389"/>
              <w:spacing w:after="0"/>
              <w:rPr>
                <w:sz w:val="20"/>
                <w:szCs w:val="20"/>
                <w:color w:val="auto"/>
              </w:rPr>
            </w:pPr>
            <w:r>
              <w:rPr>
                <w:rFonts w:ascii="Arial" w:cs="Arial" w:eastAsia="Arial" w:hAnsi="Arial"/>
                <w:sz w:val="14"/>
                <w:szCs w:val="14"/>
                <w:b w:val="1"/>
                <w:bCs w:val="1"/>
                <w:color w:val="auto"/>
              </w:rPr>
              <w:t>2019</w:t>
            </w:r>
          </w:p>
        </w:tc>
        <w:tc>
          <w:tcPr>
            <w:tcW w:w="1320" w:type="dxa"/>
            <w:vAlign w:val="bottom"/>
          </w:tcPr>
          <w:p>
            <w:pPr>
              <w:jc w:val="right"/>
              <w:ind w:right="489"/>
              <w:spacing w:after="0"/>
              <w:rPr>
                <w:sz w:val="20"/>
                <w:szCs w:val="20"/>
                <w:color w:val="auto"/>
              </w:rPr>
            </w:pPr>
            <w:r>
              <w:rPr>
                <w:rFonts w:ascii="Arial" w:cs="Arial" w:eastAsia="Arial" w:hAnsi="Arial"/>
                <w:sz w:val="14"/>
                <w:szCs w:val="14"/>
                <w:b w:val="1"/>
                <w:bCs w:val="1"/>
                <w:color w:val="auto"/>
              </w:rPr>
              <w:t>2019</w:t>
            </w:r>
          </w:p>
        </w:tc>
        <w:tc>
          <w:tcPr>
            <w:tcW w:w="1100" w:type="dxa"/>
            <w:vAlign w:val="bottom"/>
          </w:tcPr>
          <w:p>
            <w:pPr>
              <w:jc w:val="right"/>
              <w:ind w:right="369"/>
              <w:spacing w:after="0"/>
              <w:rPr>
                <w:sz w:val="20"/>
                <w:szCs w:val="20"/>
                <w:color w:val="auto"/>
              </w:rPr>
            </w:pPr>
            <w:r>
              <w:rPr>
                <w:rFonts w:ascii="Arial" w:cs="Arial" w:eastAsia="Arial" w:hAnsi="Arial"/>
                <w:sz w:val="14"/>
                <w:szCs w:val="14"/>
                <w:b w:val="1"/>
                <w:bCs w:val="1"/>
                <w:color w:val="auto"/>
              </w:rPr>
              <w:t>2019</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13970</wp:posOffset>
            </wp:positionV>
            <wp:extent cx="382016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20160" cy="6985"/>
                    </a:xfrm>
                    <a:prstGeom prst="rect">
                      <a:avLst/>
                    </a:prstGeom>
                    <a:noFill/>
                  </pic:spPr>
                </pic:pic>
              </a:graphicData>
            </a:graphic>
          </wp:anchor>
        </w:drawing>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3"/>
          <w:szCs w:val="13"/>
          <w:i w:val="1"/>
          <w:iCs w:val="1"/>
          <w:color w:val="auto"/>
        </w:rPr>
        <w:t>(Dollars in thousands)</w:t>
      </w:r>
    </w:p>
    <w:p>
      <w:pPr>
        <w:spacing w:after="0" w:line="38"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Non-GAAP core operating return on average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1"/>
        </w:trPr>
        <w:tc>
          <w:tcPr>
            <w:tcW w:w="5120" w:type="dxa"/>
            <w:vAlign w:val="bottom"/>
          </w:tcPr>
          <w:p>
            <w:pPr>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3,857</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(700)</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10,384</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9,439</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9,350</w:t>
            </w:r>
          </w:p>
        </w:tc>
      </w:tr>
      <w:tr>
        <w:trPr>
          <w:trHeight w:val="22"/>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Non-GAAP core operating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3,857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10,384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9,754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7,989</w:t>
            </w:r>
          </w:p>
        </w:tc>
      </w:tr>
      <w:tr>
        <w:trPr>
          <w:trHeight w:val="191"/>
        </w:trPr>
        <w:tc>
          <w:tcPr>
            <w:tcW w:w="5120" w:type="dxa"/>
            <w:vAlign w:val="bottom"/>
          </w:tcPr>
          <w:p>
            <w:pPr>
              <w:spacing w:after="0"/>
              <w:rPr>
                <w:sz w:val="20"/>
                <w:szCs w:val="20"/>
                <w:color w:val="auto"/>
              </w:rPr>
            </w:pPr>
            <w:r>
              <w:rPr>
                <w:rFonts w:ascii="Arial" w:cs="Arial" w:eastAsia="Arial" w:hAnsi="Arial"/>
                <w:sz w:val="14"/>
                <w:szCs w:val="14"/>
                <w:color w:val="auto"/>
              </w:rPr>
              <w:t>Average assets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4,975,531</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4,809,579</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4,610,958</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4,402,002</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4,168,243</w:t>
            </w: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8"/>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Return on average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0.31 %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0.89 %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0.86 %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0.91 %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120" w:type="dxa"/>
            <w:vAlign w:val="bottom"/>
          </w:tcPr>
          <w:p>
            <w:pPr>
              <w:spacing w:after="0" w:line="153" w:lineRule="exact"/>
              <w:rPr>
                <w:sz w:val="20"/>
                <w:szCs w:val="20"/>
                <w:color w:val="auto"/>
              </w:rPr>
            </w:pPr>
            <w:r>
              <w:rPr>
                <w:rFonts w:ascii="Arial" w:cs="Arial" w:eastAsia="Arial" w:hAnsi="Arial"/>
                <w:sz w:val="14"/>
                <w:szCs w:val="14"/>
                <w:b w:val="1"/>
                <w:bCs w:val="1"/>
                <w:color w:val="auto"/>
              </w:rPr>
              <w:t>Non-GAAP core operating return on average assets</w:t>
            </w:r>
          </w:p>
        </w:tc>
        <w:tc>
          <w:tcPr>
            <w:tcW w:w="24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0.31 %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(0.06)%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0.89 %</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0.89 %</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0.78 %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4"/>
        </w:trPr>
        <w:tc>
          <w:tcPr>
            <w:tcW w:w="512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Non-GAAP core operating return on average equity:</w:t>
            </w: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191"/>
        </w:trPr>
        <w:tc>
          <w:tcPr>
            <w:tcW w:w="5120" w:type="dxa"/>
            <w:vAlign w:val="bottom"/>
          </w:tcPr>
          <w:p>
            <w:pPr>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3,857</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(700)</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10,384</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9,439</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9,350</w:t>
            </w:r>
          </w:p>
        </w:tc>
      </w:tr>
      <w:tr>
        <w:trPr>
          <w:trHeight w:val="22"/>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Non-GAAP core operating income</w:t>
            </w: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3,857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(700)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10,384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9,754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7,989</w:t>
            </w:r>
          </w:p>
        </w:tc>
      </w:tr>
      <w:tr>
        <w:trPr>
          <w:trHeight w:val="191"/>
        </w:trPr>
        <w:tc>
          <w:tcPr>
            <w:tcW w:w="5120" w:type="dxa"/>
            <w:vAlign w:val="bottom"/>
          </w:tcPr>
          <w:p>
            <w:pPr>
              <w:ind w:left="80"/>
              <w:spacing w:after="0"/>
              <w:rPr>
                <w:sz w:val="20"/>
                <w:szCs w:val="20"/>
                <w:color w:val="auto"/>
              </w:rPr>
            </w:pPr>
            <w:r>
              <w:rPr>
                <w:rFonts w:ascii="Arial" w:cs="Arial" w:eastAsia="Arial" w:hAnsi="Arial"/>
                <w:sz w:val="14"/>
                <w:szCs w:val="14"/>
                <w:color w:val="auto"/>
              </w:rPr>
              <w:t>Less: preferred dividends</w:t>
            </w: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175</w:t>
            </w: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5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Net income (loss) available to common stockholders</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3,857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(700)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10,384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9,439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9,175</w:t>
            </w:r>
          </w:p>
        </w:tc>
      </w:tr>
      <w:tr>
        <w:trPr>
          <w:trHeight w:val="212"/>
        </w:trPr>
        <w:tc>
          <w:tcPr>
            <w:tcW w:w="5120" w:type="dxa"/>
            <w:vAlign w:val="bottom"/>
          </w:tcPr>
          <w:p>
            <w:pPr>
              <w:ind w:left="80"/>
              <w:spacing w:after="0"/>
              <w:rPr>
                <w:sz w:val="20"/>
                <w:szCs w:val="20"/>
                <w:color w:val="auto"/>
              </w:rPr>
            </w:pPr>
            <w:r>
              <w:rPr>
                <w:rFonts w:ascii="Arial" w:cs="Arial" w:eastAsia="Arial" w:hAnsi="Arial"/>
                <w:sz w:val="14"/>
                <w:szCs w:val="14"/>
                <w:color w:val="auto"/>
              </w:rPr>
              <w:t>Non-GAAP core operating income available to common stockholders</w:t>
            </w:r>
          </w:p>
        </w:tc>
        <w:tc>
          <w:tcPr>
            <w:tcW w:w="24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3,857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(700)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10,384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9,754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7,814</w:t>
            </w:r>
          </w:p>
        </w:tc>
      </w:tr>
      <w:tr>
        <w:trPr>
          <w:trHeight w:val="212"/>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Average common equity</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612,959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605,960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543,827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486,880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466,506</w:t>
            </w:r>
          </w:p>
        </w:tc>
      </w:tr>
      <w:tr>
        <w:trPr>
          <w:trHeight w:val="203"/>
        </w:trPr>
        <w:tc>
          <w:tcPr>
            <w:tcW w:w="5120" w:type="dxa"/>
            <w:vAlign w:val="bottom"/>
          </w:tcPr>
          <w:p>
            <w:pPr>
              <w:spacing w:after="0"/>
              <w:rPr>
                <w:sz w:val="20"/>
                <w:szCs w:val="20"/>
                <w:color w:val="auto"/>
              </w:rPr>
            </w:pPr>
            <w:r>
              <w:rPr>
                <w:rFonts w:ascii="Arial" w:cs="Arial" w:eastAsia="Arial" w:hAnsi="Arial"/>
                <w:sz w:val="14"/>
                <w:szCs w:val="14"/>
                <w:b w:val="1"/>
                <w:bCs w:val="1"/>
                <w:color w:val="auto"/>
              </w:rPr>
              <w:t>Return on average equity</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2.53 %</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(0.46)%</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7.58 %</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7.78 %</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7.98 %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0"/>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Non-GAAP core operating return on average equity</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7.58 %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6.79 %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0"/>
        </w:trPr>
        <w:tc>
          <w:tcPr>
            <w:tcW w:w="5280" w:type="dxa"/>
            <w:vAlign w:val="bottom"/>
            <w:gridSpan w:val="2"/>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79"/>
        </w:trPr>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
        </w:trPr>
        <w:tc>
          <w:tcPr>
            <w:tcW w:w="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1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w:t>
            </w:r>
          </w:p>
        </w:tc>
        <w:tc>
          <w:tcPr>
            <w:tcW w:w="180" w:type="dxa"/>
            <w:vAlign w:val="bottom"/>
          </w:tcPr>
          <w:p>
            <w:pPr>
              <w:spacing w:after="0"/>
              <w:rPr>
                <w:sz w:val="15"/>
                <w:szCs w:val="15"/>
                <w:color w:val="auto"/>
              </w:rPr>
            </w:pPr>
          </w:p>
        </w:tc>
        <w:tc>
          <w:tcPr>
            <w:tcW w:w="960" w:type="dxa"/>
            <w:vAlign w:val="bottom"/>
          </w:tcPr>
          <w:p>
            <w:pPr>
              <w:jc w:val="right"/>
              <w:ind w:right="189"/>
              <w:spacing w:after="0"/>
              <w:rPr>
                <w:sz w:val="20"/>
                <w:szCs w:val="20"/>
                <w:color w:val="auto"/>
              </w:rPr>
            </w:pPr>
            <w:r>
              <w:rPr>
                <w:rFonts w:ascii="Arial" w:cs="Arial" w:eastAsia="Arial" w:hAnsi="Arial"/>
                <w:sz w:val="14"/>
                <w:szCs w:val="14"/>
                <w:b w:val="1"/>
                <w:bCs w:val="1"/>
                <w:color w:val="auto"/>
              </w:rPr>
              <w:t>December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w:t>
            </w:r>
          </w:p>
        </w:tc>
        <w:tc>
          <w:tcPr>
            <w:tcW w:w="26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w:t>
            </w:r>
          </w:p>
        </w:tc>
        <w:tc>
          <w:tcPr>
            <w:tcW w:w="240" w:type="dxa"/>
            <w:vAlign w:val="bottom"/>
          </w:tcPr>
          <w:p>
            <w:pPr>
              <w:spacing w:after="0"/>
              <w:rPr>
                <w:sz w:val="15"/>
                <w:szCs w:val="15"/>
                <w:color w:val="auto"/>
              </w:rPr>
            </w:pPr>
          </w:p>
        </w:tc>
        <w:tc>
          <w:tcPr>
            <w:tcW w:w="900" w:type="dxa"/>
            <w:vAlign w:val="bottom"/>
          </w:tcPr>
          <w:p>
            <w:pPr>
              <w:jc w:val="right"/>
              <w:ind w:right="289"/>
              <w:spacing w:after="0"/>
              <w:rPr>
                <w:sz w:val="20"/>
                <w:szCs w:val="20"/>
                <w:color w:val="auto"/>
              </w:rPr>
            </w:pPr>
            <w:r>
              <w:rPr>
                <w:rFonts w:ascii="Arial" w:cs="Arial" w:eastAsia="Arial" w:hAnsi="Arial"/>
                <w:sz w:val="14"/>
                <w:szCs w:val="14"/>
                <w:b w:val="1"/>
                <w:bCs w:val="1"/>
                <w:color w:val="auto"/>
              </w:rPr>
              <w:t>March</w:t>
            </w:r>
          </w:p>
        </w:tc>
      </w:tr>
      <w:tr>
        <w:trPr>
          <w:trHeight w:val="212"/>
        </w:trPr>
        <w:tc>
          <w:tcPr>
            <w:tcW w:w="1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40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0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09"/>
              <w:spacing w:after="0"/>
              <w:rPr>
                <w:sz w:val="20"/>
                <w:szCs w:val="20"/>
                <w:color w:val="auto"/>
              </w:rPr>
            </w:pPr>
            <w:r>
              <w:rPr>
                <w:rFonts w:ascii="Arial" w:cs="Arial" w:eastAsia="Arial" w:hAnsi="Arial"/>
                <w:sz w:val="14"/>
                <w:szCs w:val="14"/>
                <w:b w:val="1"/>
                <w:bCs w:val="1"/>
                <w:color w:val="auto"/>
              </w:rPr>
              <w:t>31,</w:t>
            </w:r>
          </w:p>
        </w:tc>
      </w:tr>
      <w:tr>
        <w:trPr>
          <w:trHeight w:val="212"/>
        </w:trPr>
        <w:tc>
          <w:tcPr>
            <w:tcW w:w="1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4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4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4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9"/>
              <w:spacing w:after="0"/>
              <w:rPr>
                <w:sz w:val="20"/>
                <w:szCs w:val="20"/>
                <w:color w:val="auto"/>
              </w:rPr>
            </w:pPr>
            <w:r>
              <w:rPr>
                <w:rFonts w:ascii="Arial" w:cs="Arial" w:eastAsia="Arial" w:hAnsi="Arial"/>
                <w:sz w:val="14"/>
                <w:szCs w:val="14"/>
                <w:b w:val="1"/>
                <w:bCs w:val="1"/>
                <w:color w:val="auto"/>
              </w:rPr>
              <w:t>2019</w:t>
            </w:r>
          </w:p>
        </w:tc>
      </w:tr>
      <w:tr>
        <w:trPr>
          <w:trHeight w:val="22"/>
        </w:trPr>
        <w:tc>
          <w:tcPr>
            <w:tcW w:w="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7"/>
        </w:trPr>
        <w:tc>
          <w:tcPr>
            <w:tcW w:w="1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i w:val="1"/>
                <w:iCs w:val="1"/>
                <w:color w:val="auto"/>
                <w:w w:val="94"/>
              </w:rPr>
              <w:t>(Dollars in thousands)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6"/>
        </w:trPr>
        <w:tc>
          <w:tcPr>
            <w:tcW w:w="1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14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Non-GAAP core operating efficiency ratio - tax equivalent</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Non-interest expense (numerator)</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22,223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21,885</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21,172</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21,960</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22,631</w:t>
            </w:r>
          </w:p>
        </w:tc>
      </w:tr>
      <w:tr>
        <w:trPr>
          <w:trHeight w:val="22"/>
        </w:trPr>
        <w:tc>
          <w:tcPr>
            <w:tcW w:w="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interest income</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38,228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37,179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35,786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34,874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33,605</w:t>
            </w:r>
          </w:p>
        </w:tc>
      </w:tr>
      <w:tr>
        <w:trPr>
          <w:trHeight w:val="191"/>
        </w:trPr>
        <w:tc>
          <w:tcPr>
            <w:tcW w:w="140" w:type="dxa"/>
            <w:vAlign w:val="bottom"/>
          </w:tcPr>
          <w:p>
            <w:pPr>
              <w:spacing w:after="0"/>
              <w:rPr>
                <w:sz w:val="16"/>
                <w:szCs w:val="16"/>
                <w:color w:val="auto"/>
              </w:rPr>
            </w:pPr>
          </w:p>
        </w:tc>
        <w:tc>
          <w:tcPr>
            <w:tcW w:w="5140" w:type="dxa"/>
            <w:vAlign w:val="bottom"/>
          </w:tcPr>
          <w:p>
            <w:pPr>
              <w:ind w:left="180"/>
              <w:spacing w:after="0"/>
              <w:rPr>
                <w:sz w:val="20"/>
                <w:szCs w:val="20"/>
                <w:color w:val="auto"/>
              </w:rPr>
            </w:pPr>
            <w:r>
              <w:rPr>
                <w:rFonts w:ascii="Arial" w:cs="Arial" w:eastAsia="Arial" w:hAnsi="Arial"/>
                <w:sz w:val="14"/>
                <w:szCs w:val="14"/>
                <w:color w:val="auto"/>
              </w:rPr>
              <w:t>Tax-equivalent interest income</w:t>
            </w:r>
          </w:p>
        </w:tc>
        <w:tc>
          <w:tcPr>
            <w:tcW w:w="220" w:type="dxa"/>
            <w:vAlign w:val="bottom"/>
          </w:tcPr>
          <w:p>
            <w:pPr>
              <w:spacing w:after="0"/>
              <w:rPr>
                <w:sz w:val="16"/>
                <w:szCs w:val="16"/>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695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670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624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612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616</w:t>
            </w:r>
          </w:p>
        </w:tc>
      </w:tr>
      <w:tr>
        <w:trPr>
          <w:trHeight w:val="22"/>
        </w:trPr>
        <w:tc>
          <w:tcPr>
            <w:tcW w:w="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Non-interest income</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2,095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2,186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3,212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1,672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1,645</w:t>
            </w:r>
          </w:p>
        </w:tc>
      </w:tr>
      <w:tr>
        <w:trPr>
          <w:trHeight w:val="191"/>
        </w:trPr>
        <w:tc>
          <w:tcPr>
            <w:tcW w:w="140" w:type="dxa"/>
            <w:vAlign w:val="bottom"/>
          </w:tcPr>
          <w:p>
            <w:pPr>
              <w:spacing w:after="0"/>
              <w:rPr>
                <w:sz w:val="16"/>
                <w:szCs w:val="16"/>
                <w:color w:val="auto"/>
              </w:rPr>
            </w:pPr>
          </w:p>
        </w:tc>
        <w:tc>
          <w:tcPr>
            <w:tcW w:w="5140" w:type="dxa"/>
            <w:vAlign w:val="bottom"/>
          </w:tcPr>
          <w:p>
            <w:pPr>
              <w:ind w:left="240"/>
              <w:spacing w:after="0"/>
              <w:rPr>
                <w:sz w:val="20"/>
                <w:szCs w:val="20"/>
                <w:color w:val="auto"/>
              </w:rPr>
            </w:pPr>
            <w:r>
              <w:rPr>
                <w:rFonts w:ascii="Arial" w:cs="Arial" w:eastAsia="Arial" w:hAnsi="Arial"/>
                <w:sz w:val="14"/>
                <w:szCs w:val="14"/>
                <w:color w:val="auto"/>
              </w:rPr>
              <w:t>Add: fixed asset impairments</w:t>
            </w:r>
          </w:p>
        </w:tc>
        <w:tc>
          <w:tcPr>
            <w:tcW w:w="22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424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22"/>
        </w:trPr>
        <w:tc>
          <w:tcPr>
            <w:tcW w:w="14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Non-GAAP operating revenue (denominator)</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41,018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40,035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39,622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37,582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35,866</w:t>
            </w:r>
          </w:p>
        </w:tc>
      </w:tr>
      <w:tr>
        <w:trPr>
          <w:trHeight w:val="203"/>
        </w:trPr>
        <w:tc>
          <w:tcPr>
            <w:tcW w:w="1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4"/>
                <w:szCs w:val="14"/>
                <w:b w:val="1"/>
                <w:bCs w:val="1"/>
                <w:color w:val="auto"/>
              </w:rPr>
              <w:t>Efficiency ratio</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55.11 %</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55.60 %</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54.29 %</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60.09 %</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64.20 %</w:t>
            </w:r>
          </w:p>
        </w:tc>
      </w:tr>
      <w:tr>
        <w:trPr>
          <w:trHeight w:val="20"/>
        </w:trPr>
        <w:tc>
          <w:tcPr>
            <w:tcW w:w="14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Non-GAAP core operating efficiency ratio - tax equivalent</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54.18 %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54.66 %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53.43 %</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58.43 %</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63.10 %</w:t>
            </w:r>
          </w:p>
        </w:tc>
      </w:tr>
    </w:tbl>
    <w:p>
      <w:pPr>
        <w:spacing w:after="0" w:line="4" w:lineRule="exact"/>
        <w:rPr>
          <w:sz w:val="20"/>
          <w:szCs w:val="20"/>
          <w:color w:val="auto"/>
        </w:rPr>
      </w:pPr>
    </w:p>
    <w:p>
      <w:pPr>
        <w:ind w:left="280" w:hanging="123"/>
        <w:spacing w:after="0"/>
        <w:tabs>
          <w:tab w:leader="none" w:pos="28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Tax exempt income (tax-free municipal securities) is calculated on a tax equivalent basis. The incremental tax rate used is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-97155</wp:posOffset>
            </wp:positionV>
            <wp:extent cx="38131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13175" cy="698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Tangible Common Stockholders’ Equity:</w:t>
      </w:r>
    </w:p>
    <w:p>
      <w:pPr>
        <w:spacing w:after="0" w:line="126" w:lineRule="exact"/>
        <w:rPr>
          <w:sz w:val="20"/>
          <w:szCs w:val="20"/>
          <w:color w:val="auto"/>
        </w:rPr>
      </w:pPr>
    </w:p>
    <w:p>
      <w:pPr>
        <w:ind w:left="140" w:right="460" w:firstLine="382"/>
        <w:spacing w:after="0" w:line="281" w:lineRule="auto"/>
        <w:rPr>
          <w:sz w:val="20"/>
          <w:szCs w:val="20"/>
          <w:color w:val="auto"/>
        </w:rPr>
      </w:pPr>
      <w:r>
        <w:rPr>
          <w:rFonts w:ascii="Arial" w:cs="Arial" w:eastAsia="Arial" w:hAnsi="Arial"/>
          <w:sz w:val="14"/>
          <w:szCs w:val="14"/>
          <w:color w:val="auto"/>
        </w:rPr>
        <w:t>We calculate “tangible common stockholders’ equity” as total stockholders’ equity less goodwill and other intangible assets and preferred stock. The most directly comparable GAAP financial measure is total stockholders’ equity.</w:t>
      </w:r>
    </w:p>
    <w:p>
      <w:pPr>
        <w:spacing w:after="0" w:line="90" w:lineRule="exact"/>
        <w:rPr>
          <w:sz w:val="20"/>
          <w:szCs w:val="20"/>
          <w:color w:val="auto"/>
        </w:rPr>
      </w:pPr>
    </w:p>
    <w:p>
      <w:pPr>
        <w:ind w:left="140" w:right="40" w:firstLine="382"/>
        <w:spacing w:after="0" w:line="281" w:lineRule="auto"/>
        <w:rPr>
          <w:sz w:val="20"/>
          <w:szCs w:val="20"/>
          <w:color w:val="auto"/>
        </w:rPr>
      </w:pPr>
      <w:r>
        <w:rPr>
          <w:rFonts w:ascii="Arial" w:cs="Arial" w:eastAsia="Arial" w:hAnsi="Arial"/>
          <w:sz w:val="14"/>
          <w:szCs w:val="14"/>
          <w:color w:val="auto"/>
        </w:rPr>
        <w:t>We calculate “tangible book value per share” as tangible common stockholders’ equity (as defined above) divided by the number of shares of our common stock outstanding at the end of the relevant period. The most directly comparable GAAP financial measure is book value per share.</w:t>
      </w:r>
    </w:p>
    <w:p>
      <w:pPr>
        <w:spacing w:after="0" w:line="90" w:lineRule="exact"/>
        <w:rPr>
          <w:sz w:val="20"/>
          <w:szCs w:val="20"/>
          <w:color w:val="auto"/>
        </w:rPr>
      </w:pPr>
    </w:p>
    <w:p>
      <w:pPr>
        <w:ind w:left="140" w:right="200" w:firstLine="382"/>
        <w:spacing w:after="0" w:line="281" w:lineRule="auto"/>
        <w:rPr>
          <w:sz w:val="20"/>
          <w:szCs w:val="20"/>
          <w:color w:val="auto"/>
        </w:rPr>
      </w:pPr>
      <w:r>
        <w:rPr>
          <w:rFonts w:ascii="Arial" w:cs="Arial" w:eastAsia="Arial" w:hAnsi="Arial"/>
          <w:sz w:val="14"/>
          <w:szCs w:val="14"/>
          <w:color w:val="auto"/>
        </w:rPr>
        <w:t>Management believes that tangible stockholders’ equity and tangible book value per share are important to many investors in the marketplace who are interested in changes from period to period in our stockholders’ equity, exclusive of changes in intangible assets.</w:t>
      </w:r>
    </w:p>
    <w:p>
      <w:pPr>
        <w:spacing w:after="0" w:line="90" w:lineRule="exact"/>
        <w:rPr>
          <w:sz w:val="20"/>
          <w:szCs w:val="20"/>
          <w:color w:val="auto"/>
        </w:rPr>
      </w:pPr>
    </w:p>
    <w:p>
      <w:pPr>
        <w:ind w:left="140" w:right="120" w:firstLine="382"/>
        <w:spacing w:after="0" w:line="281" w:lineRule="auto"/>
        <w:rPr>
          <w:sz w:val="20"/>
          <w:szCs w:val="20"/>
          <w:color w:val="auto"/>
        </w:rPr>
      </w:pPr>
      <w:r>
        <w:rPr>
          <w:rFonts w:ascii="Arial" w:cs="Arial" w:eastAsia="Arial" w:hAnsi="Arial"/>
          <w:sz w:val="14"/>
          <w:szCs w:val="14"/>
          <w:color w:val="auto"/>
        </w:rPr>
        <w:t>The following table reconciles, as of the dates set forth below, total stockholders’ equity to tangible stockholders’ equity and presents tangible book value per share compared to book value per share:</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Period Ended</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4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w:t>
            </w:r>
          </w:p>
        </w:tc>
        <w:tc>
          <w:tcPr>
            <w:tcW w:w="24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September</w:t>
            </w:r>
          </w:p>
        </w:tc>
        <w:tc>
          <w:tcPr>
            <w:tcW w:w="46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w:t>
            </w:r>
          </w:p>
        </w:tc>
        <w:tc>
          <w:tcPr>
            <w:tcW w:w="280" w:type="dxa"/>
            <w:vAlign w:val="bottom"/>
          </w:tcPr>
          <w:p>
            <w:pPr>
              <w:spacing w:after="0"/>
              <w:rPr>
                <w:sz w:val="15"/>
                <w:szCs w:val="15"/>
                <w:color w:val="auto"/>
              </w:rPr>
            </w:pPr>
          </w:p>
        </w:tc>
        <w:tc>
          <w:tcPr>
            <w:tcW w:w="1080" w:type="dxa"/>
            <w:vAlign w:val="bottom"/>
          </w:tcPr>
          <w:p>
            <w:pPr>
              <w:jc w:val="right"/>
              <w:ind w:right="409"/>
              <w:spacing w:after="0"/>
              <w:rPr>
                <w:sz w:val="20"/>
                <w:szCs w:val="20"/>
                <w:color w:val="auto"/>
              </w:rPr>
            </w:pPr>
            <w:r>
              <w:rPr>
                <w:rFonts w:ascii="Arial" w:cs="Arial" w:eastAsia="Arial" w:hAnsi="Arial"/>
                <w:sz w:val="14"/>
                <w:szCs w:val="14"/>
                <w:b w:val="1"/>
                <w:bCs w:val="1"/>
                <w:color w:val="auto"/>
              </w:rPr>
              <w:t>March</w:t>
            </w:r>
          </w:p>
        </w:tc>
      </w:tr>
      <w:tr>
        <w:trPr>
          <w:trHeight w:val="212"/>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50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30"/>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52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52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09"/>
              <w:spacing w:after="0"/>
              <w:rPr>
                <w:sz w:val="20"/>
                <w:szCs w:val="20"/>
                <w:color w:val="auto"/>
              </w:rPr>
            </w:pPr>
            <w:r>
              <w:rPr>
                <w:rFonts w:ascii="Arial" w:cs="Arial" w:eastAsia="Arial" w:hAnsi="Arial"/>
                <w:sz w:val="14"/>
                <w:szCs w:val="14"/>
                <w:b w:val="1"/>
                <w:bCs w:val="1"/>
                <w:color w:val="auto"/>
              </w:rPr>
              <w:t>31,</w:t>
            </w:r>
          </w:p>
        </w:tc>
      </w:tr>
      <w:tr>
        <w:trPr>
          <w:trHeight w:val="212"/>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6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6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rPr>
              <w:t>2019</w:t>
            </w:r>
          </w:p>
        </w:tc>
      </w:tr>
      <w:tr>
        <w:trPr>
          <w:trHeight w:val="22"/>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gridSpan w:val="6"/>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7"/>
        </w:trPr>
        <w:tc>
          <w:tcPr>
            <w:tcW w:w="4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gridSpan w:val="6"/>
          </w:tcPr>
          <w:p>
            <w:pPr>
              <w:jc w:val="center"/>
              <w:ind w:left="590"/>
              <w:spacing w:after="0"/>
              <w:rPr>
                <w:sz w:val="20"/>
                <w:szCs w:val="20"/>
                <w:color w:val="auto"/>
              </w:rPr>
            </w:pPr>
            <w:r>
              <w:rPr>
                <w:rFonts w:ascii="Arial" w:cs="Arial" w:eastAsia="Arial" w:hAnsi="Arial"/>
                <w:sz w:val="13"/>
                <w:szCs w:val="13"/>
                <w:i w:val="1"/>
                <w:iCs w:val="1"/>
                <w:color w:val="auto"/>
                <w:w w:val="89"/>
              </w:rPr>
              <w:t>(Dollars in thousands except per share data)</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
        </w:trPr>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Tangible common stockholders’ equity:</w:t>
            </w: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191"/>
        </w:trPr>
        <w:tc>
          <w:tcPr>
            <w:tcW w:w="4040" w:type="dxa"/>
            <w:vAlign w:val="bottom"/>
          </w:tcPr>
          <w:p>
            <w:pPr>
              <w:ind w:left="8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611,946</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601,644</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602,435</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499,195</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480,514</w:t>
            </w:r>
          </w:p>
        </w:tc>
      </w:tr>
      <w:tr>
        <w:trPr>
          <w:trHeight w:val="22"/>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4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goodwill and other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7,669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7,694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7,720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7,745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7,770</w:t>
            </w:r>
          </w:p>
        </w:tc>
      </w:tr>
      <w:tr>
        <w:trPr>
          <w:trHeight w:val="203"/>
        </w:trPr>
        <w:tc>
          <w:tcPr>
            <w:tcW w:w="4040" w:type="dxa"/>
            <w:vAlign w:val="bottom"/>
          </w:tcPr>
          <w:p>
            <w:pPr>
              <w:spacing w:after="0"/>
              <w:rPr>
                <w:sz w:val="20"/>
                <w:szCs w:val="20"/>
                <w:color w:val="auto"/>
              </w:rPr>
            </w:pPr>
            <w:r>
              <w:rPr>
                <w:rFonts w:ascii="Arial" w:cs="Arial" w:eastAsia="Arial" w:hAnsi="Arial"/>
                <w:sz w:val="14"/>
                <w:szCs w:val="14"/>
                <w:b w:val="1"/>
                <w:bCs w:val="1"/>
                <w:color w:val="auto"/>
              </w:rPr>
              <w:t>Tangible common stockholders’ equity</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604,277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593,950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594,715</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491,450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472,744</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4"/>
        </w:trPr>
        <w:tc>
          <w:tcPr>
            <w:tcW w:w="404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Tangible book value per share:</w:t>
            </w:r>
          </w:p>
        </w:tc>
        <w:tc>
          <w:tcPr>
            <w:tcW w:w="2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91"/>
        </w:trPr>
        <w:tc>
          <w:tcPr>
            <w:tcW w:w="4040" w:type="dxa"/>
            <w:vAlign w:val="bottom"/>
          </w:tcPr>
          <w:p>
            <w:pPr>
              <w:ind w:left="80"/>
              <w:spacing w:after="0"/>
              <w:rPr>
                <w:sz w:val="20"/>
                <w:szCs w:val="20"/>
                <w:color w:val="auto"/>
              </w:rPr>
            </w:pPr>
            <w:r>
              <w:rPr>
                <w:rFonts w:ascii="Arial" w:cs="Arial" w:eastAsia="Arial" w:hAnsi="Arial"/>
                <w:sz w:val="14"/>
                <w:szCs w:val="14"/>
                <w:color w:val="auto"/>
              </w:rPr>
              <w:t>Tangible common stockholders’ equity</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604,277</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593,950</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594,715</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491,450</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472,744</w:t>
            </w:r>
          </w:p>
        </w:tc>
      </w:tr>
      <w:tr>
        <w:trPr>
          <w:trHeight w:val="22"/>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4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Shares outstanding at end of period</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52,098,062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51,969,203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51,969,203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45,367,641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45,202,370</w:t>
            </w:r>
          </w:p>
        </w:tc>
      </w:tr>
      <w:tr>
        <w:trPr>
          <w:trHeight w:val="203"/>
        </w:trPr>
        <w:tc>
          <w:tcPr>
            <w:tcW w:w="4040" w:type="dxa"/>
            <w:vAlign w:val="bottom"/>
          </w:tcPr>
          <w:p>
            <w:pPr>
              <w:spacing w:after="0"/>
              <w:rPr>
                <w:sz w:val="20"/>
                <w:szCs w:val="20"/>
                <w:color w:val="auto"/>
              </w:rPr>
            </w:pPr>
            <w:r>
              <w:rPr>
                <w:rFonts w:ascii="Arial" w:cs="Arial" w:eastAsia="Arial" w:hAnsi="Arial"/>
                <w:sz w:val="14"/>
                <w:szCs w:val="14"/>
                <w:b w:val="1"/>
                <w:bCs w:val="1"/>
                <w:color w:val="auto"/>
              </w:rPr>
              <w:t>Book value per share</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11.75</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11.58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11.59</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11.00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10.63</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Tangible book value per share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11.60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11.43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11.44</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10.83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10.46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Rate Risk</w:t>
      </w:r>
    </w:p>
    <w:p>
      <w:pPr>
        <w:spacing w:after="0" w:line="126" w:lineRule="exact"/>
        <w:rPr>
          <w:sz w:val="20"/>
          <w:szCs w:val="20"/>
          <w:color w:val="auto"/>
        </w:rPr>
      </w:pPr>
    </w:p>
    <w:p>
      <w:pPr>
        <w:ind w:left="140" w:right="60" w:firstLine="382"/>
        <w:spacing w:after="0" w:line="260" w:lineRule="auto"/>
        <w:rPr>
          <w:sz w:val="20"/>
          <w:szCs w:val="20"/>
          <w:color w:val="auto"/>
        </w:rPr>
      </w:pPr>
      <w:r>
        <w:rPr>
          <w:rFonts w:ascii="Arial" w:cs="Arial" w:eastAsia="Arial" w:hAnsi="Arial"/>
          <w:sz w:val="14"/>
          <w:szCs w:val="14"/>
          <w:color w:val="auto"/>
        </w:rPr>
        <w:t>A primary component of market risk is interest rate volatility. Managing interest rate risk is a key element of the Company’s balance sheet management. Interest rate risk is the risk that net interest margin will erode over time due to changing market conditions. Many factors can cause margins to erode: (i) lower loan demand; (ii) increased competition for funds; (iii) weak pricing policies; (iv) balance sheet mismatches and (v) changing liquidity demands. The objective is to maximize income while minimizing interest rate risk. The Company manages its sensitivity position using its interest rate risk policy. The management of interest rate risk is a three-step process and involves: (i) measuring the interest rate risk position; (ii) policy constraints; and (iii) strategic review and implementation.</w:t>
      </w:r>
    </w:p>
    <w:p>
      <w:pPr>
        <w:spacing w:after="0" w:line="104" w:lineRule="exact"/>
        <w:rPr>
          <w:sz w:val="20"/>
          <w:szCs w:val="20"/>
          <w:color w:val="auto"/>
        </w:rPr>
      </w:pPr>
    </w:p>
    <w:p>
      <w:pPr>
        <w:ind w:left="140" w:right="60" w:firstLine="382"/>
        <w:spacing w:after="0" w:line="288" w:lineRule="auto"/>
        <w:rPr>
          <w:sz w:val="20"/>
          <w:szCs w:val="20"/>
          <w:color w:val="auto"/>
        </w:rPr>
      </w:pPr>
      <w:r>
        <w:rPr>
          <w:rFonts w:ascii="Arial" w:cs="Arial" w:eastAsia="Arial" w:hAnsi="Arial"/>
          <w:sz w:val="13"/>
          <w:szCs w:val="13"/>
          <w:color w:val="auto"/>
        </w:rPr>
        <w:t>Our exposure to interest rate risk is managed by the Bank’s Funds Management Committee (“FMC”) in accordance with policies approved by the Bank’s board of directors. The FMC uses a combination of three systems to measure the balance sheet’s interest rate risk position. Because each system serves a different purpose and provides a different perspective, the three systems in combination are expected to provide a better overall result than a single system alone. The three systems include: (i) gap reports; (ii) earnings simulation; and (iii) economic value of equity. The FMC’s primary tools to change the interest rate risk position are: (i) investment portfolio duration; (ii) deposit and borrowing mix; and (iii) on balance sheet derivatives.</w:t>
      </w:r>
    </w:p>
    <w:p>
      <w:pPr>
        <w:spacing w:after="0" w:line="89" w:lineRule="exact"/>
        <w:rPr>
          <w:sz w:val="20"/>
          <w:szCs w:val="20"/>
          <w:color w:val="auto"/>
        </w:rPr>
      </w:pPr>
    </w:p>
    <w:p>
      <w:pPr>
        <w:ind w:left="140" w:firstLine="382"/>
        <w:spacing w:after="0" w:line="267" w:lineRule="auto"/>
        <w:rPr>
          <w:sz w:val="20"/>
          <w:szCs w:val="20"/>
          <w:color w:val="auto"/>
        </w:rPr>
      </w:pPr>
      <w:r>
        <w:rPr>
          <w:rFonts w:ascii="Arial" w:cs="Arial" w:eastAsia="Arial" w:hAnsi="Arial"/>
          <w:sz w:val="14"/>
          <w:szCs w:val="14"/>
          <w:color w:val="auto"/>
        </w:rPr>
        <w:t>The FMC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spacing w:after="0" w:line="138"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Hypothetical Change in Interest Rate - Rate Shock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69259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5945" cy="6985"/>
                    </a:xfrm>
                    <a:prstGeom prst="rect">
                      <a:avLst/>
                    </a:prstGeom>
                    <a:noFill/>
                  </pic:spPr>
                </pic:pic>
              </a:graphicData>
            </a:graphic>
          </wp:anchor>
        </w:drawing>
      </w:r>
    </w:p>
    <w:p>
      <w:pPr>
        <w:spacing w:after="0" w:line="4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3560" w:type="dxa"/>
            <w:vAlign w:val="bottom"/>
            <w:gridSpan w:val="4"/>
          </w:tcPr>
          <w:p>
            <w:pPr>
              <w:ind w:left="1260"/>
              <w:spacing w:after="0"/>
              <w:rPr>
                <w:sz w:val="20"/>
                <w:szCs w:val="20"/>
                <w:color w:val="auto"/>
              </w:rPr>
            </w:pPr>
            <w:r>
              <w:rPr>
                <w:rFonts w:ascii="Arial" w:cs="Arial" w:eastAsia="Arial" w:hAnsi="Arial"/>
                <w:sz w:val="14"/>
                <w:szCs w:val="14"/>
                <w:b w:val="1"/>
                <w:bCs w:val="1"/>
                <w:color w:val="auto"/>
              </w:rPr>
              <w:t>March 31, 2020</w:t>
            </w:r>
          </w:p>
        </w:tc>
        <w:tc>
          <w:tcPr>
            <w:tcW w:w="3520" w:type="dxa"/>
            <w:vAlign w:val="bottom"/>
            <w:gridSpan w:val="3"/>
          </w:tcPr>
          <w:p>
            <w:pPr>
              <w:ind w:left="1300"/>
              <w:spacing w:after="0"/>
              <w:rPr>
                <w:sz w:val="20"/>
                <w:szCs w:val="20"/>
                <w:color w:val="auto"/>
              </w:rPr>
            </w:pPr>
            <w:r>
              <w:rPr>
                <w:rFonts w:ascii="Arial" w:cs="Arial" w:eastAsia="Arial" w:hAnsi="Arial"/>
                <w:sz w:val="14"/>
                <w:szCs w:val="14"/>
                <w:b w:val="1"/>
                <w:bCs w:val="1"/>
                <w:color w:val="auto"/>
              </w:rPr>
              <w:t>March 31, 2019</w:t>
            </w:r>
          </w:p>
        </w:tc>
      </w:tr>
      <w:tr>
        <w:trPr>
          <w:trHeight w:val="22"/>
        </w:trPr>
        <w:tc>
          <w:tcPr>
            <w:tcW w:w="38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67"/>
        </w:trPr>
        <w:tc>
          <w:tcPr>
            <w:tcW w:w="3820" w:type="dxa"/>
            <w:vAlign w:val="bottom"/>
          </w:tcPr>
          <w:p>
            <w:pPr>
              <w:spacing w:after="0"/>
              <w:rPr>
                <w:sz w:val="20"/>
                <w:szCs w:val="20"/>
                <w:color w:val="auto"/>
              </w:rPr>
            </w:pPr>
            <w:r>
              <w:rPr>
                <w:rFonts w:ascii="Arial" w:cs="Arial" w:eastAsia="Arial" w:hAnsi="Arial"/>
                <w:sz w:val="14"/>
                <w:szCs w:val="14"/>
                <w:b w:val="1"/>
                <w:bCs w:val="1"/>
                <w:color w:val="auto"/>
              </w:rPr>
              <w:t>Change in Interest Rate</w:t>
            </w: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 change in net</w:t>
            </w:r>
          </w:p>
        </w:tc>
        <w:tc>
          <w:tcPr>
            <w:tcW w:w="1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 change in fair</w:t>
            </w:r>
          </w:p>
        </w:tc>
        <w:tc>
          <w:tcPr>
            <w:tcW w:w="1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Percent change in net</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w w:val="90"/>
              </w:rPr>
              <w:t>Percent change in fair value</w:t>
            </w:r>
          </w:p>
        </w:tc>
      </w:tr>
      <w:tr>
        <w:trPr>
          <w:trHeight w:val="184"/>
        </w:trPr>
        <w:tc>
          <w:tcPr>
            <w:tcW w:w="3820" w:type="dxa"/>
            <w:vAlign w:val="bottom"/>
          </w:tcPr>
          <w:p>
            <w:pPr>
              <w:spacing w:after="0"/>
              <w:rPr>
                <w:sz w:val="20"/>
                <w:szCs w:val="20"/>
                <w:color w:val="auto"/>
              </w:rPr>
            </w:pPr>
            <w:r>
              <w:rPr>
                <w:rFonts w:ascii="Arial" w:cs="Arial" w:eastAsia="Arial" w:hAnsi="Arial"/>
                <w:sz w:val="14"/>
                <w:szCs w:val="14"/>
                <w:b w:val="1"/>
                <w:bCs w:val="1"/>
                <w:color w:val="auto"/>
              </w:rPr>
              <w:t>(Basis Points)</w:t>
            </w: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interest income</w:t>
            </w: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value of equity</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interest income</w:t>
            </w:r>
          </w:p>
        </w:tc>
        <w:tc>
          <w:tcPr>
            <w:tcW w:w="1720" w:type="dxa"/>
            <w:vAlign w:val="bottom"/>
          </w:tcPr>
          <w:p>
            <w:pPr>
              <w:jc w:val="right"/>
              <w:ind w:right="529"/>
              <w:spacing w:after="0"/>
              <w:rPr>
                <w:sz w:val="20"/>
                <w:szCs w:val="20"/>
                <w:color w:val="auto"/>
              </w:rPr>
            </w:pPr>
            <w:r>
              <w:rPr>
                <w:rFonts w:ascii="Arial" w:cs="Arial" w:eastAsia="Arial" w:hAnsi="Arial"/>
                <w:sz w:val="14"/>
                <w:szCs w:val="14"/>
                <w:b w:val="1"/>
                <w:bCs w:val="1"/>
                <w:color w:val="auto"/>
              </w:rPr>
              <w:t>of equity</w:t>
            </w:r>
          </w:p>
        </w:tc>
      </w:tr>
      <w:tr>
        <w:trPr>
          <w:trHeight w:val="22"/>
        </w:trPr>
        <w:tc>
          <w:tcPr>
            <w:tcW w:w="3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+300</w:t>
            </w:r>
          </w:p>
        </w:tc>
        <w:tc>
          <w:tcPr>
            <w:tcW w:w="16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4"/>
                <w:szCs w:val="14"/>
                <w:color w:val="auto"/>
                <w:w w:val="94"/>
              </w:rPr>
              <w:t>8.1 %</w:t>
            </w:r>
          </w:p>
        </w:tc>
        <w:tc>
          <w:tcPr>
            <w:tcW w:w="10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91"/>
        </w:trPr>
        <w:tc>
          <w:tcPr>
            <w:tcW w:w="3820" w:type="dxa"/>
            <w:vAlign w:val="bottom"/>
          </w:tcPr>
          <w:p>
            <w:pPr>
              <w:spacing w:after="0"/>
              <w:rPr>
                <w:sz w:val="20"/>
                <w:szCs w:val="20"/>
                <w:color w:val="auto"/>
              </w:rPr>
            </w:pPr>
            <w:r>
              <w:rPr>
                <w:rFonts w:ascii="Arial" w:cs="Arial" w:eastAsia="Arial" w:hAnsi="Arial"/>
                <w:sz w:val="14"/>
                <w:szCs w:val="14"/>
                <w:color w:val="auto"/>
              </w:rPr>
              <w:t>+200</w:t>
            </w:r>
          </w:p>
        </w:tc>
        <w:tc>
          <w:tcPr>
            <w:tcW w:w="1680" w:type="dxa"/>
            <w:vAlign w:val="bottom"/>
          </w:tcPr>
          <w:p>
            <w:pPr>
              <w:ind w:left="132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700" w:type="dxa"/>
            <w:vAlign w:val="bottom"/>
          </w:tcPr>
          <w:p>
            <w:pPr>
              <w:jc w:val="right"/>
              <w:ind w:right="76"/>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6"/>
                <w:szCs w:val="16"/>
                <w:color w:val="auto"/>
              </w:rPr>
            </w:pPr>
          </w:p>
        </w:tc>
        <w:tc>
          <w:tcPr>
            <w:tcW w:w="1720" w:type="dxa"/>
            <w:vAlign w:val="bottom"/>
          </w:tcPr>
          <w:p>
            <w:pPr>
              <w:jc w:val="right"/>
              <w:ind w:right="109"/>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6"/>
                <w:szCs w:val="16"/>
                <w:color w:val="auto"/>
              </w:rPr>
            </w:pPr>
          </w:p>
        </w:tc>
        <w:tc>
          <w:tcPr>
            <w:tcW w:w="1720" w:type="dxa"/>
            <w:vAlign w:val="bottom"/>
          </w:tcPr>
          <w:p>
            <w:pPr>
              <w:jc w:val="right"/>
              <w:ind w:right="69"/>
              <w:spacing w:after="0"/>
              <w:rPr>
                <w:sz w:val="20"/>
                <w:szCs w:val="20"/>
                <w:color w:val="auto"/>
              </w:rPr>
            </w:pPr>
            <w:r>
              <w:rPr>
                <w:rFonts w:ascii="Arial" w:cs="Arial" w:eastAsia="Arial" w:hAnsi="Arial"/>
                <w:sz w:val="14"/>
                <w:szCs w:val="14"/>
                <w:color w:val="auto"/>
              </w:rPr>
              <w:t>(4.6)</w:t>
            </w:r>
          </w:p>
        </w:tc>
      </w:tr>
      <w:tr>
        <w:trPr>
          <w:trHeight w:val="22"/>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+100</w:t>
            </w:r>
          </w:p>
        </w:tc>
        <w:tc>
          <w:tcPr>
            <w:tcW w:w="16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(0.8)</w:t>
            </w:r>
          </w:p>
        </w:tc>
      </w:tr>
      <w:tr>
        <w:trPr>
          <w:trHeight w:val="191"/>
        </w:trPr>
        <w:tc>
          <w:tcPr>
            <w:tcW w:w="3820" w:type="dxa"/>
            <w:vAlign w:val="bottom"/>
          </w:tcPr>
          <w:p>
            <w:pPr>
              <w:spacing w:after="0"/>
              <w:rPr>
                <w:sz w:val="20"/>
                <w:szCs w:val="20"/>
                <w:color w:val="auto"/>
              </w:rPr>
            </w:pPr>
            <w:r>
              <w:rPr>
                <w:rFonts w:ascii="Arial" w:cs="Arial" w:eastAsia="Arial" w:hAnsi="Arial"/>
                <w:sz w:val="14"/>
                <w:szCs w:val="14"/>
                <w:color w:val="auto"/>
              </w:rPr>
              <w:t>Base</w:t>
            </w:r>
          </w:p>
        </w:tc>
        <w:tc>
          <w:tcPr>
            <w:tcW w:w="1780" w:type="dxa"/>
            <w:vAlign w:val="bottom"/>
            <w:gridSpan w:val="2"/>
          </w:tcPr>
          <w:p>
            <w:pPr>
              <w:ind w:left="1360"/>
              <w:spacing w:after="0"/>
              <w:rPr>
                <w:sz w:val="20"/>
                <w:szCs w:val="20"/>
                <w:color w:val="auto"/>
              </w:rPr>
            </w:pPr>
            <w:r>
              <w:rPr>
                <w:rFonts w:ascii="Arial" w:cs="Arial" w:eastAsia="Arial" w:hAnsi="Arial"/>
                <w:sz w:val="14"/>
                <w:szCs w:val="14"/>
                <w:color w:val="auto"/>
              </w:rPr>
              <w:t>— %</w:t>
            </w: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22"/>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2"/>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-100</w:t>
            </w:r>
          </w:p>
        </w:tc>
        <w:tc>
          <w:tcPr>
            <w:tcW w:w="1780" w:type="dxa"/>
            <w:vAlign w:val="bottom"/>
            <w:gridSpan w:val="2"/>
            <w:shd w:val="clear" w:color="auto" w:fill="CCEEFF"/>
          </w:tcPr>
          <w:p>
            <w:pPr>
              <w:ind w:left="1360"/>
              <w:spacing w:after="0" w:line="212" w:lineRule="exact"/>
              <w:rPr>
                <w:sz w:val="20"/>
                <w:szCs w:val="20"/>
                <w:color w:val="auto"/>
              </w:rPr>
            </w:pPr>
            <w:r>
              <w:rPr>
                <w:rFonts w:ascii="Arial" w:cs="Arial" w:eastAsia="Arial" w:hAnsi="Arial"/>
                <w:sz w:val="24"/>
                <w:szCs w:val="24"/>
                <w:color w:val="auto"/>
                <w:vertAlign w:val="subscript"/>
              </w:rPr>
              <w:t>NA</w:t>
            </w:r>
            <w:r>
              <w:rPr>
                <w:rFonts w:ascii="Arial" w:cs="Arial" w:eastAsia="Arial" w:hAnsi="Arial"/>
                <w:sz w:val="8"/>
                <w:szCs w:val="8"/>
                <w:color w:val="auto"/>
              </w:rPr>
              <w:t>(1)</w:t>
            </w:r>
          </w:p>
        </w:tc>
        <w:tc>
          <w:tcPr>
            <w:tcW w:w="1780" w:type="dxa"/>
            <w:vAlign w:val="bottom"/>
            <w:gridSpan w:val="2"/>
            <w:shd w:val="clear" w:color="auto" w:fill="CCEEFF"/>
          </w:tcPr>
          <w:p>
            <w:pPr>
              <w:ind w:left="1380"/>
              <w:spacing w:after="0" w:line="212" w:lineRule="exact"/>
              <w:rPr>
                <w:sz w:val="20"/>
                <w:szCs w:val="20"/>
                <w:color w:val="auto"/>
              </w:rPr>
            </w:pPr>
            <w:r>
              <w:rPr>
                <w:rFonts w:ascii="Arial" w:cs="Arial" w:eastAsia="Arial" w:hAnsi="Arial"/>
                <w:sz w:val="24"/>
                <w:szCs w:val="24"/>
                <w:color w:val="auto"/>
                <w:vertAlign w:val="subscript"/>
              </w:rPr>
              <w:t>NA</w:t>
            </w:r>
            <w:r>
              <w:rPr>
                <w:rFonts w:ascii="Arial" w:cs="Arial" w:eastAsia="Arial" w:hAnsi="Arial"/>
                <w:sz w:val="8"/>
                <w:szCs w:val="8"/>
                <w:color w:val="auto"/>
              </w:rPr>
              <w:t>(1)</w:t>
            </w:r>
          </w:p>
        </w:tc>
        <w:tc>
          <w:tcPr>
            <w:tcW w:w="17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r>
      <w:tr>
        <w:trPr>
          <w:trHeight w:val="223"/>
        </w:trPr>
        <w:tc>
          <w:tcPr>
            <w:tcW w:w="3820" w:type="dxa"/>
            <w:vAlign w:val="bottom"/>
          </w:tcPr>
          <w:p>
            <w:pPr>
              <w:spacing w:after="0"/>
              <w:rPr>
                <w:sz w:val="20"/>
                <w:szCs w:val="20"/>
                <w:color w:val="auto"/>
              </w:rPr>
            </w:pPr>
            <w:r>
              <w:rPr>
                <w:rFonts w:ascii="Arial" w:cs="Arial" w:eastAsia="Arial" w:hAnsi="Arial"/>
                <w:sz w:val="14"/>
                <w:szCs w:val="14"/>
                <w:color w:val="auto"/>
              </w:rPr>
              <w:t>-200</w:t>
            </w:r>
          </w:p>
        </w:tc>
        <w:tc>
          <w:tcPr>
            <w:tcW w:w="1780" w:type="dxa"/>
            <w:vAlign w:val="bottom"/>
            <w:gridSpan w:val="2"/>
          </w:tcPr>
          <w:p>
            <w:pPr>
              <w:ind w:left="1360"/>
              <w:spacing w:after="0" w:line="223"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c>
          <w:tcPr>
            <w:tcW w:w="1780" w:type="dxa"/>
            <w:vAlign w:val="bottom"/>
            <w:gridSpan w:val="2"/>
          </w:tcPr>
          <w:p>
            <w:pPr>
              <w:ind w:left="1380"/>
              <w:spacing w:after="0" w:line="223"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c>
          <w:tcPr>
            <w:tcW w:w="1720" w:type="dxa"/>
            <w:vAlign w:val="bottom"/>
          </w:tcPr>
          <w:p>
            <w:pPr>
              <w:ind w:left="1300"/>
              <w:spacing w:after="0"/>
              <w:rPr>
                <w:sz w:val="20"/>
                <w:szCs w:val="20"/>
                <w:color w:val="auto"/>
              </w:rPr>
            </w:pPr>
            <w:r>
              <w:rPr>
                <w:rFonts w:ascii="Arial" w:cs="Arial" w:eastAsia="Arial" w:hAnsi="Arial"/>
                <w:sz w:val="14"/>
                <w:szCs w:val="14"/>
                <w:color w:val="auto"/>
                <w:w w:val="96"/>
              </w:rPr>
              <w:t>(6.2)%</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0.3 %</w:t>
            </w:r>
          </w:p>
        </w:tc>
      </w:tr>
    </w:tbl>
    <w:p>
      <w:pPr>
        <w:ind w:left="280" w:right="920" w:hanging="134"/>
        <w:spacing w:after="0" w:line="209" w:lineRule="auto"/>
        <w:tabs>
          <w:tab w:leader="none" w:pos="281"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Due to the current interest rate environment and rate floors placed on the loan portfolio, a down rate environment was considered unlikely. As a result, the Company decided to exclude the down rate environment from its analysis for the period ended March 31, 2020.</w:t>
      </w:r>
    </w:p>
    <w:p>
      <w:pPr>
        <w:spacing w:after="0" w:line="200" w:lineRule="exact"/>
        <w:rPr>
          <w:sz w:val="20"/>
          <w:szCs w:val="20"/>
          <w:color w:val="auto"/>
        </w:rPr>
      </w:pPr>
    </w:p>
    <w:p>
      <w:pPr>
        <w:spacing w:after="0" w:line="27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Hypothetical Change in Interest Rate - Rate Ramp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695261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52615" cy="6985"/>
                    </a:xfrm>
                    <a:prstGeom prst="rect">
                      <a:avLst/>
                    </a:prstGeom>
                    <a:noFill/>
                  </pic:spPr>
                </pic:pic>
              </a:graphicData>
            </a:graphic>
          </wp:anchor>
        </w:drawing>
      </w:r>
    </w:p>
    <w:p>
      <w:pPr>
        <w:spacing w:after="0" w:line="4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2020</w:t>
            </w:r>
          </w:p>
        </w:tc>
        <w:tc>
          <w:tcPr>
            <w:tcW w:w="2780" w:type="dxa"/>
            <w:vAlign w:val="bottom"/>
          </w:tcPr>
          <w:p>
            <w:pPr>
              <w:jc w:val="right"/>
              <w:ind w:right="849"/>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2"/>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Change in Interest Rate</w:t>
            </w: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528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80" w:type="dxa"/>
            <w:vAlign w:val="bottom"/>
          </w:tcPr>
          <w:p>
            <w:pPr>
              <w:spacing w:after="0"/>
              <w:rPr>
                <w:sz w:val="20"/>
                <w:szCs w:val="20"/>
                <w:color w:val="auto"/>
              </w:rPr>
            </w:pPr>
            <w:r>
              <w:rPr>
                <w:rFonts w:ascii="Arial" w:cs="Arial" w:eastAsia="Arial" w:hAnsi="Arial"/>
                <w:sz w:val="14"/>
                <w:szCs w:val="14"/>
                <w:b w:val="1"/>
                <w:bCs w:val="1"/>
                <w:color w:val="auto"/>
              </w:rPr>
              <w:t>(Basis Points)</w:t>
            </w:r>
          </w:p>
        </w:tc>
        <w:tc>
          <w:tcPr>
            <w:tcW w:w="2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Percent change in net interest income</w:t>
            </w:r>
          </w:p>
        </w:tc>
        <w:tc>
          <w:tcPr>
            <w:tcW w:w="2780" w:type="dxa"/>
            <w:vAlign w:val="bottom"/>
          </w:tcPr>
          <w:p>
            <w:pPr>
              <w:jc w:val="right"/>
              <w:ind w:right="189"/>
              <w:spacing w:after="0"/>
              <w:rPr>
                <w:sz w:val="20"/>
                <w:szCs w:val="20"/>
                <w:color w:val="auto"/>
              </w:rPr>
            </w:pPr>
            <w:r>
              <w:rPr>
                <w:rFonts w:ascii="Arial" w:cs="Arial" w:eastAsia="Arial" w:hAnsi="Arial"/>
                <w:sz w:val="14"/>
                <w:szCs w:val="14"/>
                <w:b w:val="1"/>
                <w:bCs w:val="1"/>
                <w:color w:val="auto"/>
                <w:w w:val="98"/>
              </w:rPr>
              <w:t>Percent change in net interest income</w:t>
            </w:r>
          </w:p>
        </w:tc>
        <w:tc>
          <w:tcPr>
            <w:tcW w:w="0" w:type="dxa"/>
            <w:vAlign w:val="bottom"/>
          </w:tcPr>
          <w:p>
            <w:pPr>
              <w:spacing w:after="0"/>
              <w:rPr>
                <w:sz w:val="1"/>
                <w:szCs w:val="1"/>
                <w:color w:val="auto"/>
              </w:rPr>
            </w:pPr>
          </w:p>
        </w:tc>
      </w:tr>
      <w:tr>
        <w:trPr>
          <w:trHeight w:val="22"/>
        </w:trPr>
        <w:tc>
          <w:tcPr>
            <w:tcW w:w="52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+300</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Borders>
              <w:bottom w:val="single" w:sz="8" w:color="CCEEFF"/>
            </w:tcBorders>
            <w:shd w:val="clear" w:color="auto" w:fill="CCEEFF"/>
          </w:tcPr>
          <w:p>
            <w:pPr>
              <w:spacing w:after="0"/>
              <w:rPr>
                <w:sz w:val="15"/>
                <w:szCs w:val="15"/>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20"/>
                <w:szCs w:val="20"/>
                <w:color w:val="auto"/>
              </w:rPr>
            </w:pPr>
            <w:r>
              <w:rPr>
                <w:rFonts w:ascii="Arial" w:cs="Arial" w:eastAsia="Arial" w:hAnsi="Arial"/>
                <w:sz w:val="14"/>
                <w:szCs w:val="14"/>
                <w:color w:val="auto"/>
              </w:rPr>
              <w:t>+200</w:t>
            </w:r>
          </w:p>
        </w:tc>
        <w:tc>
          <w:tcPr>
            <w:tcW w:w="2780" w:type="dxa"/>
            <w:vAlign w:val="bottom"/>
          </w:tcPr>
          <w:p>
            <w:pPr>
              <w:jc w:val="right"/>
              <w:ind w:right="116"/>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780" w:type="dxa"/>
            <w:vAlign w:val="bottom"/>
          </w:tcPr>
          <w:p>
            <w:pPr>
              <w:jc w:val="right"/>
              <w:ind w:right="10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+100</w:t>
            </w:r>
          </w:p>
        </w:tc>
        <w:tc>
          <w:tcPr>
            <w:tcW w:w="27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2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20"/>
                <w:szCs w:val="20"/>
                <w:color w:val="auto"/>
              </w:rPr>
            </w:pPr>
            <w:r>
              <w:rPr>
                <w:rFonts w:ascii="Arial" w:cs="Arial" w:eastAsia="Arial" w:hAnsi="Arial"/>
                <w:sz w:val="14"/>
                <w:szCs w:val="14"/>
                <w:color w:val="auto"/>
              </w:rPr>
              <w:t>Base</w:t>
            </w:r>
          </w:p>
        </w:tc>
        <w:tc>
          <w:tcPr>
            <w:tcW w:w="2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7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-100</w:t>
            </w:r>
          </w:p>
        </w:tc>
        <w:tc>
          <w:tcPr>
            <w:tcW w:w="2880" w:type="dxa"/>
            <w:vAlign w:val="bottom"/>
            <w:gridSpan w:val="2"/>
            <w:shd w:val="clear" w:color="auto" w:fill="CCEEFF"/>
          </w:tcPr>
          <w:p>
            <w:pPr>
              <w:ind w:left="2460"/>
              <w:spacing w:after="0" w:line="212" w:lineRule="exact"/>
              <w:rPr>
                <w:sz w:val="20"/>
                <w:szCs w:val="20"/>
                <w:color w:val="auto"/>
              </w:rPr>
            </w:pPr>
            <w:r>
              <w:rPr>
                <w:rFonts w:ascii="Arial" w:cs="Arial" w:eastAsia="Arial" w:hAnsi="Arial"/>
                <w:sz w:val="24"/>
                <w:szCs w:val="24"/>
                <w:color w:val="auto"/>
                <w:vertAlign w:val="subscript"/>
              </w:rPr>
              <w:t>NA</w:t>
            </w:r>
            <w:r>
              <w:rPr>
                <w:rFonts w:ascii="Arial" w:cs="Arial" w:eastAsia="Arial" w:hAnsi="Arial"/>
                <w:sz w:val="8"/>
                <w:szCs w:val="8"/>
                <w:color w:val="auto"/>
              </w:rPr>
              <w:t>(1)</w:t>
            </w:r>
          </w:p>
        </w:tc>
        <w:tc>
          <w:tcPr>
            <w:tcW w:w="278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4"/>
                <w:szCs w:val="14"/>
                <w:color w:val="auto"/>
              </w:rPr>
              <w:t>-200</w:t>
            </w:r>
          </w:p>
        </w:tc>
        <w:tc>
          <w:tcPr>
            <w:tcW w:w="2880" w:type="dxa"/>
            <w:vAlign w:val="bottom"/>
            <w:gridSpan w:val="2"/>
          </w:tcPr>
          <w:p>
            <w:pPr>
              <w:ind w:left="2460"/>
              <w:spacing w:after="0" w:line="223"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c>
          <w:tcPr>
            <w:tcW w:w="2780" w:type="dxa"/>
            <w:vAlign w:val="bottom"/>
          </w:tcPr>
          <w:p>
            <w:pPr>
              <w:ind w:left="2360"/>
              <w:spacing w:after="0"/>
              <w:rPr>
                <w:sz w:val="20"/>
                <w:szCs w:val="20"/>
                <w:color w:val="auto"/>
              </w:rPr>
            </w:pPr>
            <w:r>
              <w:rPr>
                <w:rFonts w:ascii="Arial" w:cs="Arial" w:eastAsia="Arial" w:hAnsi="Arial"/>
                <w:sz w:val="14"/>
                <w:szCs w:val="14"/>
                <w:color w:val="auto"/>
                <w:w w:val="96"/>
              </w:rPr>
              <w:t>(3.6)%</w:t>
            </w:r>
          </w:p>
        </w:tc>
        <w:tc>
          <w:tcPr>
            <w:tcW w:w="0" w:type="dxa"/>
            <w:vAlign w:val="bottom"/>
          </w:tcPr>
          <w:p>
            <w:pPr>
              <w:spacing w:after="0"/>
              <w:rPr>
                <w:sz w:val="1"/>
                <w:szCs w:val="1"/>
                <w:color w:val="auto"/>
              </w:rPr>
            </w:pPr>
          </w:p>
        </w:tc>
      </w:tr>
    </w:tbl>
    <w:p>
      <w:pPr>
        <w:ind w:left="280" w:right="240" w:hanging="134"/>
        <w:spacing w:after="0" w:line="209" w:lineRule="auto"/>
        <w:tabs>
          <w:tab w:leader="none" w:pos="281"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Due to the current interest rate environment and rate floors placed on the loan portfolio, a down rate environment was considered unlikely. As a result, the Company decided to exclude the down rate environment from its analysis for the period ended March 31, 2020.</w:t>
      </w:r>
    </w:p>
    <w:p>
      <w:pPr>
        <w:spacing w:after="0" w:line="122" w:lineRule="exact"/>
        <w:rPr>
          <w:sz w:val="20"/>
          <w:szCs w:val="20"/>
          <w:color w:val="auto"/>
        </w:rPr>
      </w:pPr>
    </w:p>
    <w:p>
      <w:pPr>
        <w:ind w:left="140" w:right="40" w:firstLine="382"/>
        <w:spacing w:after="0" w:line="267" w:lineRule="auto"/>
        <w:rPr>
          <w:sz w:val="20"/>
          <w:szCs w:val="20"/>
          <w:color w:val="auto"/>
        </w:rPr>
      </w:pPr>
      <w:r>
        <w:rPr>
          <w:rFonts w:ascii="Arial" w:cs="Arial" w:eastAsia="Arial" w:hAnsi="Arial"/>
          <w:sz w:val="14"/>
          <w:szCs w:val="14"/>
          <w:color w:val="auto"/>
        </w:rPr>
        <w:t>The hypothetical change in net interest income as of March 31, 2020 in an up 100 basis point shock is mainly due to approximately 69% of earning assets repricing or maturing over the next 12 months. Loans remain the largest portion of our adjustable earning assets, as the mix of adjustable loans or loans maturing in one year or less to total loans was 76%. The amount of adjustable loans causes the Company to see an increase in net interest income in a rising rate environment.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140" w:right="60" w:firstLine="382"/>
        <w:spacing w:after="0" w:line="297" w:lineRule="auto"/>
        <w:rPr>
          <w:sz w:val="20"/>
          <w:szCs w:val="20"/>
          <w:color w:val="auto"/>
        </w:rPr>
      </w:pPr>
      <w:r>
        <w:rPr>
          <w:rFonts w:ascii="Arial" w:cs="Arial" w:eastAsia="Arial" w:hAnsi="Arial"/>
          <w:sz w:val="13"/>
          <w:szCs w:val="13"/>
          <w:color w:val="auto"/>
        </w:rPr>
        <w:t>The models the Company uses include assumptions regarding interest rates while balances remain unchanged.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33" w:lineRule="exact"/>
        <w:rPr>
          <w:sz w:val="20"/>
          <w:szCs w:val="20"/>
          <w:color w:val="auto"/>
        </w:rPr>
      </w:pPr>
    </w:p>
    <w:p>
      <w:pPr>
        <w:ind w:left="140" w:right="280" w:firstLine="382"/>
        <w:spacing w:after="0" w:line="297" w:lineRule="auto"/>
        <w:rPr>
          <w:sz w:val="20"/>
          <w:szCs w:val="20"/>
          <w:color w:val="auto"/>
        </w:rPr>
      </w:pPr>
      <w:r>
        <w:rPr>
          <w:rFonts w:ascii="Arial" w:cs="Arial" w:eastAsia="Arial" w:hAnsi="Arial"/>
          <w:sz w:val="13"/>
          <w:szCs w:val="13"/>
          <w:color w:val="auto"/>
        </w:rPr>
        <w:t>The Company’s management, with the participation of the Company’s Chief Executive Officer and Chief Financial Officer, has evaluated the effectiveness of the Company’s disclosure controls and procedures (as defined in Rule 13a-15(e) under the Securities Exchange Act of 1934 (“Exchange Act”)) as of March 31, 2020. Based on that evaluation, the Company’s Chief Executive Officer and Chief Financial Officer concluded that the Company’s disclosure controls and procedures were effective as of March 31, 2020.</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33" w:lineRule="exact"/>
        <w:rPr>
          <w:sz w:val="20"/>
          <w:szCs w:val="20"/>
          <w:color w:val="auto"/>
        </w:rPr>
      </w:pPr>
    </w:p>
    <w:p>
      <w:pPr>
        <w:ind w:left="140" w:right="120" w:firstLine="382"/>
        <w:spacing w:after="0" w:line="281" w:lineRule="auto"/>
        <w:rPr>
          <w:sz w:val="20"/>
          <w:szCs w:val="20"/>
          <w:color w:val="auto"/>
        </w:rPr>
      </w:pPr>
      <w:r>
        <w:rPr>
          <w:rFonts w:ascii="Arial" w:cs="Arial" w:eastAsia="Arial" w:hAnsi="Arial"/>
          <w:sz w:val="14"/>
          <w:szCs w:val="14"/>
          <w:color w:val="auto"/>
        </w:rPr>
        <w:t>There was no change in the Company’s internal control over financial reporting (as such term is defined in Rule 13a-15(f) under the Exchange Act) that occurred during the first quarter of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PART II - 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33" w:lineRule="exact"/>
        <w:rPr>
          <w:sz w:val="20"/>
          <w:szCs w:val="20"/>
          <w:color w:val="auto"/>
        </w:rPr>
      </w:pPr>
    </w:p>
    <w:p>
      <w:pPr>
        <w:ind w:left="140" w:right="40" w:firstLine="382"/>
        <w:spacing w:after="0" w:line="260" w:lineRule="auto"/>
        <w:rPr>
          <w:sz w:val="20"/>
          <w:szCs w:val="20"/>
          <w:color w:val="auto"/>
        </w:rPr>
      </w:pPr>
      <w:r>
        <w:rPr>
          <w:rFonts w:ascii="Arial" w:cs="Arial" w:eastAsia="Arial" w:hAnsi="Arial"/>
          <w:sz w:val="14"/>
          <w:szCs w:val="14"/>
          <w:color w:val="auto"/>
        </w:rPr>
        <w:t>In the normal course of business, we are named or threatened to be named as a defendant in various lawsuits. Management, following consultation with legal counsel, does not expect the ultimate disposition of any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33" w:lineRule="exact"/>
        <w:rPr>
          <w:sz w:val="20"/>
          <w:szCs w:val="20"/>
          <w:color w:val="auto"/>
        </w:rPr>
      </w:pPr>
    </w:p>
    <w:p>
      <w:pPr>
        <w:ind w:left="140" w:firstLine="382"/>
        <w:spacing w:after="0" w:line="262" w:lineRule="auto"/>
        <w:rPr>
          <w:sz w:val="20"/>
          <w:szCs w:val="20"/>
          <w:color w:val="auto"/>
        </w:rPr>
      </w:pPr>
      <w:r>
        <w:rPr>
          <w:rFonts w:ascii="Arial" w:cs="Arial" w:eastAsia="Arial" w:hAnsi="Arial"/>
          <w:sz w:val="14"/>
          <w:szCs w:val="14"/>
          <w:color w:val="auto"/>
        </w:rPr>
        <w:t>The section titled Risk Factors in Part I, Item 1A of our 2019 Form 10-K includes a discussion of the many risks and uncertainties we face, any one or more of which could have a material adverse effect on our business, results of operations, financial condition (including capital and liquidity), or prospects or the value of or return on an investment in the Company. The information presented below provides an update to, and should be read in conjunction with, the risk factors and other information contained in our 2019 Form 10-K. Except as presented below, there have been no material changes to the risk factors described in our 2019 Form 10-K.</w:t>
      </w:r>
    </w:p>
    <w:p>
      <w:pPr>
        <w:spacing w:after="0" w:line="99" w:lineRule="exact"/>
        <w:rPr>
          <w:sz w:val="20"/>
          <w:szCs w:val="20"/>
          <w:color w:val="auto"/>
        </w:rPr>
      </w:pPr>
    </w:p>
    <w:p>
      <w:pPr>
        <w:ind w:right="180" w:firstLine="382"/>
        <w:spacing w:after="0" w:line="270" w:lineRule="auto"/>
        <w:rPr>
          <w:sz w:val="20"/>
          <w:szCs w:val="20"/>
          <w:color w:val="auto"/>
        </w:rPr>
      </w:pPr>
      <w:r>
        <w:rPr>
          <w:rFonts w:ascii="Arial" w:cs="Arial" w:eastAsia="Arial" w:hAnsi="Arial"/>
          <w:sz w:val="14"/>
          <w:szCs w:val="14"/>
          <w:b w:val="1"/>
          <w:bCs w:val="1"/>
          <w:color w:val="auto"/>
        </w:rPr>
        <w:t>The COVID-19 pandemic has adversely affected our business, financial condition and results of operations, and the ultimate impacts of the pandemic on our business, financial condition and results of operations will depend on future developments and other factors that are highly uncertain and will be impacted by the scope and duration of the pandemic and actions taken by governmental authorities in response to the pandemic.</w:t>
      </w:r>
    </w:p>
    <w:p>
      <w:pPr>
        <w:spacing w:after="0" w:line="97" w:lineRule="exact"/>
        <w:rPr>
          <w:sz w:val="20"/>
          <w:szCs w:val="20"/>
          <w:color w:val="auto"/>
        </w:rPr>
      </w:pPr>
    </w:p>
    <w:p>
      <w:pPr>
        <w:ind w:left="140" w:firstLine="382"/>
        <w:spacing w:after="0" w:line="257" w:lineRule="auto"/>
        <w:rPr>
          <w:sz w:val="20"/>
          <w:szCs w:val="20"/>
          <w:color w:val="auto"/>
        </w:rPr>
      </w:pPr>
      <w:r>
        <w:rPr>
          <w:rFonts w:ascii="Arial" w:cs="Arial" w:eastAsia="Arial" w:hAnsi="Arial"/>
          <w:sz w:val="14"/>
          <w:szCs w:val="14"/>
          <w:color w:val="auto"/>
        </w:rPr>
        <w:t>The ongoing COVID-19 global and national health emergency has caused significant disruption in the international and United States economies and financial markets and has had an adverse effect on our business, financial condition and results of operations and could further impact our business, financial condition and results of operation. The spread of COVID-19 has caused illness, quarantines, cancellation of events and travel, business and school shutdowns, reduction in business activity and financial transactions, supply chain interruptions and overall economic and financial market instability. In response to the COVID-19 pandemic, the governments of the states in which we operate, and of most other states, have taken preventative or protective actions, such as imposing restrictions on travel and business operations, advising or requiring individuals to limit or forego their time outside of their homes, and ordering temporary closures of businesses that have been deemed to be nonessential. These restrictions and other consequences of the pandemic have resulted in significant adverse effects for many different types of businesses, including, among others, those in the travel, hospitality and food and beverage industries, and have resulted in a significant number of layoffs and furloughs of employees nationwide and in the regions in which we operate.</w:t>
      </w:r>
    </w:p>
    <w:p>
      <w:pPr>
        <w:spacing w:after="0" w:line="106" w:lineRule="exact"/>
        <w:rPr>
          <w:sz w:val="20"/>
          <w:szCs w:val="20"/>
          <w:color w:val="auto"/>
        </w:rPr>
      </w:pPr>
    </w:p>
    <w:p>
      <w:pPr>
        <w:jc w:val="both"/>
        <w:ind w:left="140" w:right="20" w:firstLine="382"/>
        <w:spacing w:after="0" w:line="267" w:lineRule="auto"/>
        <w:rPr>
          <w:sz w:val="20"/>
          <w:szCs w:val="20"/>
          <w:color w:val="auto"/>
        </w:rPr>
      </w:pPr>
      <w:r>
        <w:rPr>
          <w:rFonts w:ascii="Arial" w:cs="Arial" w:eastAsia="Arial" w:hAnsi="Arial"/>
          <w:sz w:val="14"/>
          <w:szCs w:val="14"/>
          <w:color w:val="auto"/>
        </w:rPr>
        <w:t>The ultimate effects of COVID-19 on the broader economy and the markets that we serve are not known nor is the ultimate length of the restrictions described above and any accompanying effects. Moreover, the Federal Reserve has taken action to lower the Federal Funds rate, which may negatively affect our interest income and, therefore, earnings, financial condition and results of operation.</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Additional impacts of COVID-19 on our business could be widespread and material, and may include, or exacerbate, among other consequences, the following:</w:t>
      </w:r>
    </w:p>
    <w:p>
      <w:pPr>
        <w:spacing w:after="0" w:line="136" w:lineRule="exact"/>
        <w:rPr>
          <w:sz w:val="20"/>
          <w:szCs w:val="20"/>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employees contracting COVID-19;</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reductions in our operating effectiveness as our employees work from home;</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work stoppage, forced quarantine, or other interruption of our business;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unavailability of key personnel necessary to conduct our business activities;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effects on key employees, including operational management personnel and those charged with preparing, monitoring and evaluating our financial reporting and internal controls;</w:t>
      </w:r>
    </w:p>
    <w:p>
      <w:pPr>
        <w:spacing w:after="0" w:line="105" w:lineRule="exact"/>
        <w:rPr>
          <w:rFonts w:ascii="Arial" w:cs="Arial" w:eastAsia="Arial" w:hAnsi="Arial"/>
          <w:sz w:val="13"/>
          <w:szCs w:val="13"/>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sustained closures of our branch lobbies or the offices of our customers;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declines in demand for loans and other banking services and products;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reduced consumer spending due to both job losses and other effects attributable to COVID-19;</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unprecedented volatility in United States financial markets;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volatile performance of our investment securities portfolio;</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decline in the credit quality of our loan portfolio, owing to the effects of COVID-19 in the markets we serve, leading to a need to increase our allowance for loan losses;</w:t>
      </w:r>
    </w:p>
    <w:p>
      <w:pPr>
        <w:spacing w:after="0" w:line="105" w:lineRule="exact"/>
        <w:rPr>
          <w:rFonts w:ascii="Arial" w:cs="Arial" w:eastAsia="Arial" w:hAnsi="Arial"/>
          <w:sz w:val="13"/>
          <w:szCs w:val="13"/>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declines in value of collateral for loans, including energy and real estate collateral;</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declines in the net worth and liquidity of borrowers and loan guarantors, impairing their ability to honor commitments to us; and</w:t>
      </w:r>
    </w:p>
    <w:p>
      <w:pPr>
        <w:spacing w:after="0" w:line="93" w:lineRule="exact"/>
        <w:rPr>
          <w:rFonts w:ascii="Arial" w:cs="Arial" w:eastAsia="Arial" w:hAnsi="Arial"/>
          <w:sz w:val="14"/>
          <w:szCs w:val="14"/>
          <w:color w:val="auto"/>
        </w:rPr>
      </w:pPr>
    </w:p>
    <w:p>
      <w:pPr>
        <w:ind w:left="1020" w:right="320" w:hanging="506"/>
        <w:spacing w:after="0" w:line="281" w:lineRule="auto"/>
        <w:tabs>
          <w:tab w:leader="none" w:pos="10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declines in demand resulting from businesses being deemed to be “non-essential” by governments in the markets we serve, and from “non-essential” and “essential” businesses suffering adverse effects from reduced levels of economic activity in our markets.</w:t>
      </w:r>
    </w:p>
    <w:p>
      <w:pPr>
        <w:spacing w:after="0" w:line="47" w:lineRule="exact"/>
        <w:rPr>
          <w:sz w:val="20"/>
          <w:szCs w:val="20"/>
          <w:color w:val="auto"/>
        </w:rPr>
      </w:pPr>
    </w:p>
    <w:p>
      <w:pPr>
        <w:ind w:left="140" w:firstLine="382"/>
        <w:spacing w:after="0" w:line="281" w:lineRule="auto"/>
        <w:rPr>
          <w:sz w:val="20"/>
          <w:szCs w:val="20"/>
          <w:color w:val="auto"/>
        </w:rPr>
      </w:pPr>
      <w:r>
        <w:rPr>
          <w:rFonts w:ascii="Arial" w:cs="Arial" w:eastAsia="Arial" w:hAnsi="Arial"/>
          <w:sz w:val="14"/>
          <w:szCs w:val="14"/>
          <w:color w:val="auto"/>
        </w:rPr>
        <w:t>These factors, together or in combination with other events or occurrences that may not yet be known or anticipated, may materially and adversely affect our business, financial condition and results of operations.</w:t>
      </w:r>
    </w:p>
    <w:p>
      <w:pPr>
        <w:spacing w:after="0" w:line="90" w:lineRule="exact"/>
        <w:rPr>
          <w:sz w:val="20"/>
          <w:szCs w:val="20"/>
          <w:color w:val="auto"/>
        </w:rPr>
      </w:pPr>
    </w:p>
    <w:p>
      <w:pPr>
        <w:ind w:left="140" w:right="20" w:firstLine="382"/>
        <w:spacing w:after="0" w:line="288" w:lineRule="auto"/>
        <w:rPr>
          <w:sz w:val="20"/>
          <w:szCs w:val="20"/>
          <w:color w:val="auto"/>
        </w:rPr>
      </w:pPr>
      <w:r>
        <w:rPr>
          <w:rFonts w:ascii="Arial" w:cs="Arial" w:eastAsia="Arial" w:hAnsi="Arial"/>
          <w:sz w:val="13"/>
          <w:szCs w:val="13"/>
          <w:color w:val="auto"/>
        </w:rPr>
        <w:t>The ongoing COVID-19 pandemic has resulted in meaningfully lower stock prices for many companies, as well as the trading prices for many other securities. The further spread of the COVID-19 outbreak, as well as ongoing or new governmental, regulatory and private sector responses to the pandemic, may materially disrupt banking and other economic activity generally and in the areas in which we operate. This could result in further decline in demand for our banking products and services, and could negatively impact, among other things, our liquidity, regulatory capital and our growth strategy. Any one or more of these developments could have a material adverse effect on our business, financial condition and results of operations.</w:t>
      </w:r>
    </w:p>
    <w:p>
      <w:pPr>
        <w:spacing w:after="0" w:line="89" w:lineRule="exact"/>
        <w:rPr>
          <w:sz w:val="20"/>
          <w:szCs w:val="20"/>
          <w:color w:val="auto"/>
        </w:rPr>
      </w:pPr>
    </w:p>
    <w:p>
      <w:pPr>
        <w:ind w:left="140" w:right="60" w:firstLine="382"/>
        <w:spacing w:after="0" w:line="262" w:lineRule="auto"/>
        <w:rPr>
          <w:sz w:val="20"/>
          <w:szCs w:val="20"/>
          <w:color w:val="auto"/>
        </w:rPr>
      </w:pPr>
      <w:r>
        <w:rPr>
          <w:rFonts w:ascii="Arial" w:cs="Arial" w:eastAsia="Arial" w:hAnsi="Arial"/>
          <w:sz w:val="14"/>
          <w:szCs w:val="14"/>
          <w:color w:val="auto"/>
        </w:rPr>
        <w:t>We are taking precautions to protect the safety and well-being of our employees and customers. However, no assurance can be given that the steps being taken will be adequate or deemed to be appropriate, nor can we predict the level of disruption which will occur to our employees’ ability to provide customer support and service. If we are unable to recover from a business disruption on a timely basis, our business, financial condition and results of operations could be materially and adversely affected. We may also incur additional costs to remedy damages caused by such disruptions, which could further adversely affect our business, financial condition and results of operations.</w:t>
      </w:r>
    </w:p>
    <w:p>
      <w:pPr>
        <w:spacing w:after="0" w:line="295" w:lineRule="exact"/>
        <w:rPr>
          <w:sz w:val="20"/>
          <w:szCs w:val="20"/>
          <w:color w:val="auto"/>
        </w:rPr>
      </w:pPr>
    </w:p>
    <w:p>
      <w:pPr>
        <w:ind w:right="4580"/>
        <w:spacing w:after="0" w:line="403" w:lineRule="auto"/>
        <w:rPr>
          <w:sz w:val="20"/>
          <w:szCs w:val="20"/>
          <w:color w:val="auto"/>
        </w:rPr>
      </w:pPr>
      <w:r>
        <w:rPr>
          <w:rFonts w:ascii="Arial" w:cs="Arial" w:eastAsia="Arial" w:hAnsi="Arial"/>
          <w:sz w:val="17"/>
          <w:szCs w:val="17"/>
          <w:b w:val="1"/>
          <w:bCs w:val="1"/>
          <w:color w:val="auto"/>
        </w:rPr>
        <w:t>ITEM 2. UNREGISTERED SALES OF EQUITY SECURITIES AND USE OF PROCEEDS Unregistered Sales of Equity Securities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 Submission of Matters to a Vote of Security Holders</w:t>
      </w:r>
    </w:p>
    <w:p>
      <w:pPr>
        <w:spacing w:after="0" w:line="126" w:lineRule="exact"/>
        <w:rPr>
          <w:sz w:val="20"/>
          <w:szCs w:val="20"/>
          <w:color w:val="auto"/>
        </w:rPr>
      </w:pPr>
    </w:p>
    <w:p>
      <w:pPr>
        <w:ind w:left="140" w:right="60" w:firstLine="382"/>
        <w:spacing w:after="0" w:line="262" w:lineRule="auto"/>
        <w:rPr>
          <w:sz w:val="20"/>
          <w:szCs w:val="20"/>
          <w:color w:val="auto"/>
        </w:rPr>
      </w:pPr>
      <w:r>
        <w:rPr>
          <w:rFonts w:ascii="Arial" w:cs="Arial" w:eastAsia="Arial" w:hAnsi="Arial"/>
          <w:sz w:val="14"/>
          <w:szCs w:val="14"/>
          <w:color w:val="auto"/>
        </w:rPr>
        <w:t>On May 12, 2020, CrossFirst held its Annual Meeting of Stockholders (the “Annual Meeting”). The record date for stockholders entitled to notice of, and to vote at, the Annual Meeting was March 20, 2020. At the close of business on that date, the Company had 52,098,062 shares of common stock issued and outstanding and entitled to be voted at the Annual Meeting. At the Annual Meeting, two proposals were submitted to the Company’s stockholders. The proposals are described in more detail in the Company’s definitive proxy statement filed with the U.S. Securities and Exchange Commission on March 31, 2020. The final voting results were as follows: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Proposal 1</w:t>
      </w:r>
    </w:p>
    <w:p>
      <w:pPr>
        <w:spacing w:after="0" w:line="136" w:lineRule="exact"/>
        <w:rPr>
          <w:sz w:val="20"/>
          <w:szCs w:val="20"/>
          <w:color w:val="auto"/>
        </w:rPr>
      </w:pPr>
    </w:p>
    <w:p>
      <w:pPr>
        <w:ind w:left="140" w:firstLine="382"/>
        <w:spacing w:after="0" w:line="267" w:lineRule="auto"/>
        <w:rPr>
          <w:sz w:val="20"/>
          <w:szCs w:val="20"/>
          <w:color w:val="auto"/>
        </w:rPr>
      </w:pPr>
      <w:r>
        <w:rPr>
          <w:rFonts w:ascii="Arial" w:cs="Arial" w:eastAsia="Arial" w:hAnsi="Arial"/>
          <w:sz w:val="14"/>
          <w:szCs w:val="14"/>
          <w:color w:val="auto"/>
        </w:rPr>
        <w:t>The Company’s stockholders elected the following Class III directors to serve for a term expiring at the 2023 Annual Meeting. The individuals listed below received a plurality of votes cast (meaning the six director nominees who receive the highest number of shares voted “FOR” their election will be elected). Withheld votes and broker non-votes had no impact on the outcome of this proposal.</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gridSpan w:val="2"/>
          </w:tcPr>
          <w:p>
            <w:pPr>
              <w:ind w:left="1160"/>
              <w:spacing w:after="0"/>
              <w:rPr>
                <w:sz w:val="20"/>
                <w:szCs w:val="20"/>
                <w:color w:val="auto"/>
              </w:rPr>
            </w:pPr>
            <w:r>
              <w:rPr>
                <w:rFonts w:ascii="Arial" w:cs="Arial" w:eastAsia="Arial" w:hAnsi="Arial"/>
                <w:sz w:val="14"/>
                <w:szCs w:val="14"/>
                <w:b w:val="1"/>
                <w:bCs w:val="1"/>
                <w:color w:val="auto"/>
              </w:rPr>
              <w:t>For</w:t>
            </w:r>
          </w:p>
        </w:tc>
        <w:tc>
          <w:tcPr>
            <w:tcW w:w="2560" w:type="dxa"/>
            <w:vAlign w:val="bottom"/>
          </w:tcPr>
          <w:p>
            <w:pPr>
              <w:jc w:val="right"/>
              <w:ind w:right="969"/>
              <w:spacing w:after="0"/>
              <w:rPr>
                <w:sz w:val="20"/>
                <w:szCs w:val="20"/>
                <w:color w:val="auto"/>
              </w:rPr>
            </w:pPr>
            <w:r>
              <w:rPr>
                <w:rFonts w:ascii="Arial" w:cs="Arial" w:eastAsia="Arial" w:hAnsi="Arial"/>
                <w:sz w:val="14"/>
                <w:szCs w:val="14"/>
                <w:b w:val="1"/>
                <w:bCs w:val="1"/>
                <w:color w:val="auto"/>
              </w:rPr>
              <w:t>Against</w:t>
            </w:r>
          </w:p>
        </w:tc>
      </w:tr>
      <w:tr>
        <w:trPr>
          <w:trHeight w:val="22"/>
        </w:trPr>
        <w:tc>
          <w:tcPr>
            <w:tcW w:w="5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183"/>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Rod K. Brenneman</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20,200,759</w:t>
            </w:r>
          </w:p>
        </w:tc>
        <w:tc>
          <w:tcPr>
            <w:tcW w:w="60" w:type="dxa"/>
            <w:vAlign w:val="bottom"/>
            <w:tcBorders>
              <w:bottom w:val="single" w:sz="8" w:color="CCEEFF"/>
            </w:tcBorders>
            <w:shd w:val="clear" w:color="auto" w:fill="CCEEFF"/>
          </w:tcPr>
          <w:p>
            <w:pPr>
              <w:spacing w:after="0"/>
              <w:rPr>
                <w:sz w:val="15"/>
                <w:szCs w:val="15"/>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1,109,032</w:t>
            </w:r>
          </w:p>
        </w:tc>
      </w:tr>
      <w:tr>
        <w:trPr>
          <w:trHeight w:val="191"/>
        </w:trPr>
        <w:tc>
          <w:tcPr>
            <w:tcW w:w="5960" w:type="dxa"/>
            <w:vAlign w:val="bottom"/>
            <w:gridSpan w:val="2"/>
          </w:tcPr>
          <w:p>
            <w:pPr>
              <w:spacing w:after="0"/>
              <w:rPr>
                <w:sz w:val="20"/>
                <w:szCs w:val="20"/>
                <w:color w:val="auto"/>
              </w:rPr>
            </w:pPr>
            <w:r>
              <w:rPr>
                <w:rFonts w:ascii="Arial" w:cs="Arial" w:eastAsia="Arial" w:hAnsi="Arial"/>
                <w:sz w:val="14"/>
                <w:szCs w:val="14"/>
                <w:color w:val="auto"/>
              </w:rPr>
              <w:t>George C. Bruce</w:t>
            </w:r>
          </w:p>
        </w:tc>
        <w:tc>
          <w:tcPr>
            <w:tcW w:w="2560" w:type="dxa"/>
            <w:vAlign w:val="bottom"/>
          </w:tcPr>
          <w:p>
            <w:pPr>
              <w:jc w:val="right"/>
              <w:spacing w:after="0"/>
              <w:rPr>
                <w:sz w:val="20"/>
                <w:szCs w:val="20"/>
                <w:color w:val="auto"/>
              </w:rPr>
            </w:pPr>
            <w:r>
              <w:rPr>
                <w:rFonts w:ascii="Arial" w:cs="Arial" w:eastAsia="Arial" w:hAnsi="Arial"/>
                <w:sz w:val="14"/>
                <w:szCs w:val="14"/>
                <w:color w:val="auto"/>
              </w:rPr>
              <w:t>20,390,831</w:t>
            </w:r>
          </w:p>
        </w:tc>
        <w:tc>
          <w:tcPr>
            <w:tcW w:w="6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4"/>
                <w:szCs w:val="14"/>
                <w:color w:val="auto"/>
              </w:rPr>
              <w:t>1,110,598</w:t>
            </w:r>
          </w:p>
        </w:tc>
      </w:tr>
      <w:tr>
        <w:trPr>
          <w:trHeight w:val="22"/>
        </w:trPr>
        <w:tc>
          <w:tcPr>
            <w:tcW w:w="5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2"/>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Jennifer Grigsby</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13,132,041</w:t>
            </w:r>
          </w:p>
        </w:tc>
        <w:tc>
          <w:tcPr>
            <w:tcW w:w="60" w:type="dxa"/>
            <w:vAlign w:val="bottom"/>
            <w:tcBorders>
              <w:bottom w:val="single" w:sz="8" w:color="CCEEFF"/>
            </w:tcBorders>
            <w:shd w:val="clear" w:color="auto" w:fill="CCEEFF"/>
          </w:tcPr>
          <w:p>
            <w:pPr>
              <w:spacing w:after="0"/>
              <w:rPr>
                <w:sz w:val="16"/>
                <w:szCs w:val="16"/>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3,212,457</w:t>
            </w:r>
          </w:p>
        </w:tc>
      </w:tr>
      <w:tr>
        <w:trPr>
          <w:trHeight w:val="191"/>
        </w:trPr>
        <w:tc>
          <w:tcPr>
            <w:tcW w:w="5960" w:type="dxa"/>
            <w:vAlign w:val="bottom"/>
            <w:gridSpan w:val="2"/>
          </w:tcPr>
          <w:p>
            <w:pPr>
              <w:spacing w:after="0"/>
              <w:rPr>
                <w:sz w:val="20"/>
                <w:szCs w:val="20"/>
                <w:color w:val="auto"/>
              </w:rPr>
            </w:pPr>
            <w:r>
              <w:rPr>
                <w:rFonts w:ascii="Arial" w:cs="Arial" w:eastAsia="Arial" w:hAnsi="Arial"/>
                <w:sz w:val="14"/>
                <w:szCs w:val="14"/>
                <w:color w:val="auto"/>
              </w:rPr>
              <w:t>Lance Humphreys</w:t>
            </w:r>
          </w:p>
        </w:tc>
        <w:tc>
          <w:tcPr>
            <w:tcW w:w="2560" w:type="dxa"/>
            <w:vAlign w:val="bottom"/>
          </w:tcPr>
          <w:p>
            <w:pPr>
              <w:jc w:val="right"/>
              <w:spacing w:after="0"/>
              <w:rPr>
                <w:sz w:val="20"/>
                <w:szCs w:val="20"/>
                <w:color w:val="auto"/>
              </w:rPr>
            </w:pPr>
            <w:r>
              <w:rPr>
                <w:rFonts w:ascii="Arial" w:cs="Arial" w:eastAsia="Arial" w:hAnsi="Arial"/>
                <w:sz w:val="14"/>
                <w:szCs w:val="14"/>
                <w:color w:val="auto"/>
              </w:rPr>
              <w:t>20,394,797</w:t>
            </w:r>
          </w:p>
        </w:tc>
        <w:tc>
          <w:tcPr>
            <w:tcW w:w="6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4"/>
                <w:szCs w:val="14"/>
                <w:color w:val="auto"/>
              </w:rPr>
              <w:t>1,089,532</w:t>
            </w:r>
          </w:p>
        </w:tc>
      </w:tr>
      <w:tr>
        <w:trPr>
          <w:trHeight w:val="22"/>
        </w:trPr>
        <w:tc>
          <w:tcPr>
            <w:tcW w:w="5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2"/>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Mason King</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20,283,458</w:t>
            </w:r>
          </w:p>
        </w:tc>
        <w:tc>
          <w:tcPr>
            <w:tcW w:w="60" w:type="dxa"/>
            <w:vAlign w:val="bottom"/>
            <w:tcBorders>
              <w:bottom w:val="single" w:sz="8" w:color="CCEEFF"/>
            </w:tcBorders>
            <w:shd w:val="clear" w:color="auto" w:fill="CCEEFF"/>
          </w:tcPr>
          <w:p>
            <w:pPr>
              <w:spacing w:after="0"/>
              <w:rPr>
                <w:sz w:val="16"/>
                <w:szCs w:val="16"/>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1,241,401</w:t>
            </w:r>
          </w:p>
        </w:tc>
      </w:tr>
      <w:tr>
        <w:trPr>
          <w:trHeight w:val="191"/>
        </w:trPr>
        <w:tc>
          <w:tcPr>
            <w:tcW w:w="5960" w:type="dxa"/>
            <w:vAlign w:val="bottom"/>
            <w:gridSpan w:val="2"/>
          </w:tcPr>
          <w:p>
            <w:pPr>
              <w:spacing w:after="0"/>
              <w:rPr>
                <w:sz w:val="20"/>
                <w:szCs w:val="20"/>
                <w:color w:val="auto"/>
              </w:rPr>
            </w:pPr>
            <w:r>
              <w:rPr>
                <w:rFonts w:ascii="Arial" w:cs="Arial" w:eastAsia="Arial" w:hAnsi="Arial"/>
                <w:sz w:val="14"/>
                <w:szCs w:val="14"/>
                <w:color w:val="auto"/>
              </w:rPr>
              <w:t>James Kuykendall</w:t>
            </w:r>
          </w:p>
        </w:tc>
        <w:tc>
          <w:tcPr>
            <w:tcW w:w="2560" w:type="dxa"/>
            <w:vAlign w:val="bottom"/>
          </w:tcPr>
          <w:p>
            <w:pPr>
              <w:jc w:val="right"/>
              <w:spacing w:after="0"/>
              <w:rPr>
                <w:sz w:val="20"/>
                <w:szCs w:val="20"/>
                <w:color w:val="auto"/>
              </w:rPr>
            </w:pPr>
            <w:r>
              <w:rPr>
                <w:rFonts w:ascii="Arial" w:cs="Arial" w:eastAsia="Arial" w:hAnsi="Arial"/>
                <w:sz w:val="14"/>
                <w:szCs w:val="14"/>
                <w:color w:val="auto"/>
              </w:rPr>
              <w:t>20,486,541</w:t>
            </w:r>
          </w:p>
        </w:tc>
        <w:tc>
          <w:tcPr>
            <w:tcW w:w="6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4"/>
                <w:szCs w:val="14"/>
                <w:color w:val="auto"/>
              </w:rPr>
              <w:t>1,038,318</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Proposal 2</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Ratification of the appointment of BKD, LLP as the independent registered public accounting firm for 2020. The voting results are set forth below:</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For</w:t>
            </w:r>
          </w:p>
        </w:tc>
        <w:tc>
          <w:tcPr>
            <w:tcW w:w="3740" w:type="dxa"/>
            <w:vAlign w:val="bottom"/>
            <w:gridSpan w:val="2"/>
          </w:tcPr>
          <w:p>
            <w:pPr>
              <w:ind w:left="1600"/>
              <w:spacing w:after="0"/>
              <w:rPr>
                <w:sz w:val="20"/>
                <w:szCs w:val="20"/>
                <w:color w:val="auto"/>
              </w:rPr>
            </w:pPr>
            <w:r>
              <w:rPr>
                <w:rFonts w:ascii="Arial" w:cs="Arial" w:eastAsia="Arial" w:hAnsi="Arial"/>
                <w:sz w:val="14"/>
                <w:szCs w:val="14"/>
                <w:b w:val="1"/>
                <w:bCs w:val="1"/>
                <w:color w:val="auto"/>
              </w:rPr>
              <w:t>Against</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181"/>
        </w:trPr>
        <w:tc>
          <w:tcPr>
            <w:tcW w:w="3680" w:type="dxa"/>
            <w:vAlign w:val="bottom"/>
            <w:shd w:val="clear" w:color="auto" w:fill="CCEEFF"/>
          </w:tcPr>
          <w:p>
            <w:pPr>
              <w:jc w:val="right"/>
              <w:ind w:right="1449"/>
              <w:spacing w:after="0"/>
              <w:rPr>
                <w:sz w:val="20"/>
                <w:szCs w:val="20"/>
                <w:color w:val="auto"/>
              </w:rPr>
            </w:pPr>
            <w:r>
              <w:rPr>
                <w:rFonts w:ascii="Arial" w:cs="Arial" w:eastAsia="Arial" w:hAnsi="Arial"/>
                <w:sz w:val="14"/>
                <w:szCs w:val="14"/>
                <w:color w:val="auto"/>
              </w:rPr>
              <w:t>31,228,825</w:t>
            </w:r>
          </w:p>
        </w:tc>
        <w:tc>
          <w:tcPr>
            <w:tcW w:w="60" w:type="dxa"/>
            <w:vAlign w:val="bottom"/>
            <w:shd w:val="clear" w:color="auto" w:fill="CCEEFF"/>
          </w:tcPr>
          <w:p>
            <w:pPr>
              <w:spacing w:after="0"/>
              <w:rPr>
                <w:sz w:val="15"/>
                <w:szCs w:val="15"/>
                <w:color w:val="auto"/>
              </w:rPr>
            </w:pPr>
          </w:p>
        </w:tc>
        <w:tc>
          <w:tcPr>
            <w:tcW w:w="3660" w:type="dxa"/>
            <w:vAlign w:val="bottom"/>
            <w:shd w:val="clear" w:color="auto" w:fill="CCEEFF"/>
          </w:tcPr>
          <w:p>
            <w:pPr>
              <w:ind w:left="1600"/>
              <w:spacing w:after="0"/>
              <w:rPr>
                <w:sz w:val="20"/>
                <w:szCs w:val="20"/>
                <w:color w:val="auto"/>
              </w:rPr>
            </w:pPr>
            <w:r>
              <w:rPr>
                <w:rFonts w:ascii="Arial" w:cs="Arial" w:eastAsia="Arial" w:hAnsi="Arial"/>
                <w:sz w:val="14"/>
                <w:szCs w:val="14"/>
                <w:color w:val="auto"/>
              </w:rPr>
              <w:t>463,279</w:t>
            </w:r>
          </w:p>
        </w:tc>
        <w:tc>
          <w:tcPr>
            <w:tcW w:w="80" w:type="dxa"/>
            <w:vAlign w:val="bottom"/>
            <w:shd w:val="clear" w:color="auto" w:fill="CCEEFF"/>
          </w:tcPr>
          <w:p>
            <w:pPr>
              <w:spacing w:after="0"/>
              <w:rPr>
                <w:sz w:val="15"/>
                <w:szCs w:val="15"/>
                <w:color w:val="auto"/>
              </w:rPr>
            </w:pPr>
          </w:p>
        </w:tc>
        <w:tc>
          <w:tcPr>
            <w:tcW w:w="3660" w:type="dxa"/>
            <w:vAlign w:val="bottom"/>
            <w:shd w:val="clear" w:color="auto" w:fill="CCEEFF"/>
          </w:tcPr>
          <w:p>
            <w:pPr>
              <w:jc w:val="right"/>
              <w:ind w:right="1589"/>
              <w:spacing w:after="0"/>
              <w:rPr>
                <w:sz w:val="20"/>
                <w:szCs w:val="20"/>
                <w:color w:val="auto"/>
              </w:rPr>
            </w:pPr>
            <w:r>
              <w:rPr>
                <w:rFonts w:ascii="Arial" w:cs="Arial" w:eastAsia="Arial" w:hAnsi="Arial"/>
                <w:sz w:val="14"/>
                <w:szCs w:val="14"/>
                <w:color w:val="auto"/>
              </w:rPr>
              <w:t>2,027</w:t>
            </w:r>
          </w:p>
        </w:tc>
      </w:tr>
      <w:tr>
        <w:trPr>
          <w:trHeight w:val="22"/>
        </w:trPr>
        <w:tc>
          <w:tcPr>
            <w:tcW w:w="3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720" w:type="dxa"/>
            <w:vAlign w:val="bottom"/>
          </w:tcPr>
          <w:p>
            <w:pPr>
              <w:spacing w:after="0"/>
              <w:rPr>
                <w:sz w:val="20"/>
                <w:szCs w:val="20"/>
                <w:color w:val="auto"/>
              </w:rPr>
            </w:pPr>
            <w:r>
              <w:rPr>
                <w:rFonts w:ascii="Arial" w:cs="Arial" w:eastAsia="Arial" w:hAnsi="Arial"/>
                <w:sz w:val="14"/>
                <w:szCs w:val="14"/>
                <w:b w:val="1"/>
                <w:bCs w:val="1"/>
                <w:color w:val="auto"/>
              </w:rPr>
              <w:t>Exhibit Description</w:t>
            </w:r>
          </w:p>
        </w:tc>
      </w:tr>
      <w:tr>
        <w:trPr>
          <w:trHeight w:val="22"/>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720" w:type="dxa"/>
            <w:vAlign w:val="bottom"/>
            <w:tcBorders>
              <w:bottom w:val="single" w:sz="8" w:color="auto"/>
            </w:tcBorders>
          </w:tcPr>
          <w:p>
            <w:pPr>
              <w:spacing w:after="0" w:line="20" w:lineRule="exact"/>
              <w:rPr>
                <w:sz w:val="1"/>
                <w:szCs w:val="1"/>
                <w:color w:val="auto"/>
              </w:rPr>
            </w:pPr>
          </w:p>
        </w:tc>
      </w:tr>
      <w:tr>
        <w:trPr>
          <w:trHeight w:val="171"/>
        </w:trPr>
        <w:tc>
          <w:tcPr>
            <w:tcW w:w="1320" w:type="dxa"/>
            <w:vAlign w:val="bottom"/>
          </w:tcPr>
          <w:p>
            <w:pPr>
              <w:spacing w:after="0"/>
              <w:rPr>
                <w:rFonts w:ascii="Arial" w:cs="Arial" w:eastAsia="Arial" w:hAnsi="Arial"/>
                <w:sz w:val="14"/>
                <w:szCs w:val="14"/>
                <w:u w:val="single" w:color="auto"/>
                <w:color w:val="0000FF"/>
              </w:rPr>
            </w:pPr>
            <w:hyperlink w:anchor="page80">
              <w:r>
                <w:rPr>
                  <w:rFonts w:ascii="Arial" w:cs="Arial" w:eastAsia="Arial" w:hAnsi="Arial"/>
                  <w:sz w:val="14"/>
                  <w:szCs w:val="14"/>
                  <w:u w:val="single" w:color="auto"/>
                  <w:color w:val="0000FF"/>
                </w:rPr>
                <w:t>31.1*</w:t>
              </w:r>
            </w:hyperlink>
          </w:p>
        </w:tc>
        <w:tc>
          <w:tcPr>
            <w:tcW w:w="100" w:type="dxa"/>
            <w:vAlign w:val="bottom"/>
          </w:tcPr>
          <w:p>
            <w:pPr>
              <w:spacing w:after="0"/>
              <w:rPr>
                <w:sz w:val="14"/>
                <w:szCs w:val="14"/>
                <w:color w:val="auto"/>
              </w:rPr>
            </w:pPr>
          </w:p>
        </w:tc>
        <w:tc>
          <w:tcPr>
            <w:tcW w:w="9720" w:type="dxa"/>
            <w:vAlign w:val="bottom"/>
          </w:tcPr>
          <w:p>
            <w:pPr>
              <w:spacing w:after="0"/>
              <w:rPr>
                <w:rFonts w:ascii="Arial" w:cs="Arial" w:eastAsia="Arial" w:hAnsi="Arial"/>
                <w:sz w:val="14"/>
                <w:szCs w:val="14"/>
                <w:u w:val="single" w:color="auto"/>
                <w:color w:val="0000FF"/>
                <w:w w:val="96"/>
              </w:rPr>
            </w:pPr>
            <w:hyperlink w:anchor="page80">
              <w:r>
                <w:rPr>
                  <w:rFonts w:ascii="Arial" w:cs="Arial" w:eastAsia="Arial" w:hAnsi="Arial"/>
                  <w:sz w:val="14"/>
                  <w:szCs w:val="14"/>
                  <w:u w:val="single" w:color="auto"/>
                  <w:color w:val="0000FF"/>
                  <w:w w:val="96"/>
                </w:rPr>
                <w:t>Certification of Principal Executive Officer pursuant to Rule 13a-14(a) of the Exchange Act, as adopted pursuant to Section 302 of the Sarbanes-Oxley Act of 2002</w:t>
              </w:r>
            </w:hyperlink>
          </w:p>
        </w:tc>
      </w:tr>
      <w:tr>
        <w:trPr>
          <w:trHeight w:val="180"/>
        </w:trPr>
        <w:tc>
          <w:tcPr>
            <w:tcW w:w="1320" w:type="dxa"/>
            <w:vAlign w:val="bottom"/>
          </w:tcPr>
          <w:p>
            <w:pPr>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31.2*</w:t>
              </w:r>
            </w:hyperlink>
          </w:p>
        </w:tc>
        <w:tc>
          <w:tcPr>
            <w:tcW w:w="100" w:type="dxa"/>
            <w:vAlign w:val="bottom"/>
          </w:tcPr>
          <w:p>
            <w:pPr>
              <w:spacing w:after="0"/>
              <w:rPr>
                <w:sz w:val="15"/>
                <w:szCs w:val="15"/>
                <w:color w:val="auto"/>
              </w:rPr>
            </w:pPr>
          </w:p>
        </w:tc>
        <w:tc>
          <w:tcPr>
            <w:tcW w:w="9720" w:type="dxa"/>
            <w:vAlign w:val="bottom"/>
          </w:tcPr>
          <w:p>
            <w:pPr>
              <w:spacing w:after="0"/>
              <w:rPr>
                <w:rFonts w:ascii="Arial" w:cs="Arial" w:eastAsia="Arial" w:hAnsi="Arial"/>
                <w:sz w:val="14"/>
                <w:szCs w:val="14"/>
                <w:u w:val="single" w:color="auto"/>
                <w:color w:val="0000FF"/>
                <w:w w:val="97"/>
              </w:rPr>
            </w:pPr>
            <w:hyperlink w:anchor="page81">
              <w:r>
                <w:rPr>
                  <w:rFonts w:ascii="Arial" w:cs="Arial" w:eastAsia="Arial" w:hAnsi="Arial"/>
                  <w:sz w:val="14"/>
                  <w:szCs w:val="14"/>
                  <w:u w:val="single" w:color="auto"/>
                  <w:color w:val="0000FF"/>
                  <w:w w:val="97"/>
                </w:rPr>
                <w:t>Certification of Principal Financial Officer pursuant to Rule 13a-14(a) of the Exchange Act, as adopted pursuant to Section 302 of the Sarbanes-Oxley Act of 2002</w:t>
              </w:r>
            </w:hyperlink>
          </w:p>
        </w:tc>
      </w:tr>
      <w:tr>
        <w:trPr>
          <w:trHeight w:val="180"/>
        </w:trPr>
        <w:tc>
          <w:tcPr>
            <w:tcW w:w="1320" w:type="dxa"/>
            <w:vAlign w:val="bottom"/>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32.1**</w:t>
              </w:r>
            </w:hyperlink>
          </w:p>
        </w:tc>
        <w:tc>
          <w:tcPr>
            <w:tcW w:w="100" w:type="dxa"/>
            <w:vAlign w:val="bottom"/>
          </w:tcPr>
          <w:p>
            <w:pPr>
              <w:spacing w:after="0"/>
              <w:rPr>
                <w:sz w:val="15"/>
                <w:szCs w:val="15"/>
                <w:color w:val="auto"/>
              </w:rPr>
            </w:pPr>
          </w:p>
        </w:tc>
        <w:tc>
          <w:tcPr>
            <w:tcW w:w="9720" w:type="dxa"/>
            <w:vAlign w:val="bottom"/>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Certification pursuant to 18 U.S.C. Section 1350, as adopted pursuant to Section 906 of the Sarbanes-Oxley Act of 2002</w:t>
              </w:r>
            </w:hyperlink>
          </w:p>
        </w:tc>
      </w:tr>
      <w:tr>
        <w:trPr>
          <w:trHeight w:val="180"/>
        </w:trPr>
        <w:tc>
          <w:tcPr>
            <w:tcW w:w="1320" w:type="dxa"/>
            <w:vAlign w:val="bottom"/>
          </w:tcPr>
          <w:p>
            <w:pPr>
              <w:spacing w:after="0"/>
              <w:rPr>
                <w:rFonts w:ascii="Arial" w:cs="Arial" w:eastAsia="Arial" w:hAnsi="Arial"/>
                <w:sz w:val="14"/>
                <w:szCs w:val="14"/>
                <w:u w:val="single" w:color="auto"/>
                <w:color w:val="0000FF"/>
              </w:rPr>
            </w:pPr>
            <w:hyperlink w:anchor="page68">
              <w:r>
                <w:rPr>
                  <w:rFonts w:ascii="Arial" w:cs="Arial" w:eastAsia="Arial" w:hAnsi="Arial"/>
                  <w:sz w:val="14"/>
                  <w:szCs w:val="14"/>
                  <w:u w:val="single" w:color="auto"/>
                  <w:color w:val="0000FF"/>
                </w:rPr>
                <w:t>10.1**</w:t>
              </w:r>
            </w:hyperlink>
          </w:p>
        </w:tc>
        <w:tc>
          <w:tcPr>
            <w:tcW w:w="100" w:type="dxa"/>
            <w:vAlign w:val="bottom"/>
          </w:tcPr>
          <w:p>
            <w:pPr>
              <w:spacing w:after="0"/>
              <w:rPr>
                <w:sz w:val="15"/>
                <w:szCs w:val="15"/>
                <w:color w:val="auto"/>
              </w:rPr>
            </w:pPr>
          </w:p>
        </w:tc>
        <w:tc>
          <w:tcPr>
            <w:tcW w:w="9720" w:type="dxa"/>
            <w:vAlign w:val="bottom"/>
          </w:tcPr>
          <w:p>
            <w:pPr>
              <w:spacing w:after="0"/>
              <w:rPr>
                <w:rFonts w:ascii="Arial" w:cs="Arial" w:eastAsia="Arial" w:hAnsi="Arial"/>
                <w:sz w:val="14"/>
                <w:szCs w:val="14"/>
                <w:u w:val="single" w:color="auto"/>
                <w:color w:val="0000FF"/>
              </w:rPr>
            </w:pPr>
            <w:hyperlink w:anchor="page68">
              <w:r>
                <w:rPr>
                  <w:rFonts w:ascii="Arial" w:cs="Arial" w:eastAsia="Arial" w:hAnsi="Arial"/>
                  <w:sz w:val="14"/>
                  <w:szCs w:val="14"/>
                  <w:u w:val="single" w:color="auto"/>
                  <w:color w:val="0000FF"/>
                </w:rPr>
                <w:t>Amended and Restated Annual Incentive Plan†</w:t>
              </w:r>
            </w:hyperlink>
          </w:p>
        </w:tc>
      </w:tr>
      <w:tr>
        <w:trPr>
          <w:trHeight w:val="191"/>
        </w:trPr>
        <w:tc>
          <w:tcPr>
            <w:tcW w:w="1420" w:type="dxa"/>
            <w:vAlign w:val="bottom"/>
            <w:gridSpan w:val="2"/>
          </w:tcPr>
          <w:p>
            <w:pPr>
              <w:spacing w:after="0"/>
              <w:rPr>
                <w:sz w:val="20"/>
                <w:szCs w:val="20"/>
                <w:color w:val="auto"/>
              </w:rPr>
            </w:pPr>
            <w:r>
              <w:rPr>
                <w:rFonts w:ascii="Arial" w:cs="Arial" w:eastAsia="Arial" w:hAnsi="Arial"/>
                <w:sz w:val="14"/>
                <w:szCs w:val="14"/>
                <w:color w:val="auto"/>
              </w:rPr>
              <w:t>101.INS*</w:t>
            </w:r>
          </w:p>
        </w:tc>
        <w:tc>
          <w:tcPr>
            <w:tcW w:w="9720" w:type="dxa"/>
            <w:vAlign w:val="bottom"/>
          </w:tcPr>
          <w:p>
            <w:pPr>
              <w:spacing w:after="0"/>
              <w:rPr>
                <w:sz w:val="20"/>
                <w:szCs w:val="20"/>
                <w:color w:val="auto"/>
              </w:rPr>
            </w:pPr>
            <w:r>
              <w:rPr>
                <w:rFonts w:ascii="Arial" w:cs="Arial" w:eastAsia="Arial" w:hAnsi="Arial"/>
                <w:sz w:val="14"/>
                <w:szCs w:val="14"/>
                <w:color w:val="auto"/>
                <w:w w:val="94"/>
              </w:rPr>
              <w:t>XBRL Instance Document - the instance document does not appear in the Interactive Data File because its XBRL tags are embedded within the Inline XBRL document</w:t>
            </w:r>
          </w:p>
        </w:tc>
      </w:tr>
      <w:tr>
        <w:trPr>
          <w:trHeight w:val="212"/>
        </w:trPr>
        <w:tc>
          <w:tcPr>
            <w:tcW w:w="1420" w:type="dxa"/>
            <w:vAlign w:val="bottom"/>
            <w:gridSpan w:val="2"/>
          </w:tcPr>
          <w:p>
            <w:pPr>
              <w:spacing w:after="0"/>
              <w:rPr>
                <w:sz w:val="20"/>
                <w:szCs w:val="20"/>
                <w:color w:val="auto"/>
              </w:rPr>
            </w:pPr>
            <w:r>
              <w:rPr>
                <w:rFonts w:ascii="Arial" w:cs="Arial" w:eastAsia="Arial" w:hAnsi="Arial"/>
                <w:sz w:val="14"/>
                <w:szCs w:val="14"/>
                <w:color w:val="auto"/>
              </w:rPr>
              <w:t>101.SCH*</w:t>
            </w:r>
          </w:p>
        </w:tc>
        <w:tc>
          <w:tcPr>
            <w:tcW w:w="9720" w:type="dxa"/>
            <w:vAlign w:val="bottom"/>
          </w:tcPr>
          <w:p>
            <w:pPr>
              <w:spacing w:after="0"/>
              <w:rPr>
                <w:sz w:val="20"/>
                <w:szCs w:val="20"/>
                <w:color w:val="auto"/>
              </w:rPr>
            </w:pPr>
            <w:r>
              <w:rPr>
                <w:rFonts w:ascii="Arial" w:cs="Arial" w:eastAsia="Arial" w:hAnsi="Arial"/>
                <w:sz w:val="14"/>
                <w:szCs w:val="14"/>
                <w:color w:val="auto"/>
              </w:rPr>
              <w:t>XBRL Taxonomy Extension Schema Document</w:t>
            </w:r>
          </w:p>
        </w:tc>
      </w:tr>
      <w:tr>
        <w:trPr>
          <w:trHeight w:val="212"/>
        </w:trPr>
        <w:tc>
          <w:tcPr>
            <w:tcW w:w="1420" w:type="dxa"/>
            <w:vAlign w:val="bottom"/>
            <w:gridSpan w:val="2"/>
          </w:tcPr>
          <w:p>
            <w:pPr>
              <w:spacing w:after="0"/>
              <w:rPr>
                <w:sz w:val="20"/>
                <w:szCs w:val="20"/>
                <w:color w:val="auto"/>
              </w:rPr>
            </w:pPr>
            <w:r>
              <w:rPr>
                <w:rFonts w:ascii="Arial" w:cs="Arial" w:eastAsia="Arial" w:hAnsi="Arial"/>
                <w:sz w:val="14"/>
                <w:szCs w:val="14"/>
                <w:color w:val="auto"/>
              </w:rPr>
              <w:t>101.CAL*</w:t>
            </w:r>
          </w:p>
        </w:tc>
        <w:tc>
          <w:tcPr>
            <w:tcW w:w="9720" w:type="dxa"/>
            <w:vAlign w:val="bottom"/>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212"/>
        </w:trPr>
        <w:tc>
          <w:tcPr>
            <w:tcW w:w="1420" w:type="dxa"/>
            <w:vAlign w:val="bottom"/>
            <w:gridSpan w:val="2"/>
          </w:tcPr>
          <w:p>
            <w:pPr>
              <w:spacing w:after="0"/>
              <w:rPr>
                <w:sz w:val="20"/>
                <w:szCs w:val="20"/>
                <w:color w:val="auto"/>
              </w:rPr>
            </w:pPr>
            <w:r>
              <w:rPr>
                <w:rFonts w:ascii="Arial" w:cs="Arial" w:eastAsia="Arial" w:hAnsi="Arial"/>
                <w:sz w:val="14"/>
                <w:szCs w:val="14"/>
                <w:color w:val="auto"/>
              </w:rPr>
              <w:t>101.DEF*</w:t>
            </w:r>
          </w:p>
        </w:tc>
        <w:tc>
          <w:tcPr>
            <w:tcW w:w="9720" w:type="dxa"/>
            <w:vAlign w:val="bottom"/>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212"/>
        </w:trPr>
        <w:tc>
          <w:tcPr>
            <w:tcW w:w="1420" w:type="dxa"/>
            <w:vAlign w:val="bottom"/>
            <w:gridSpan w:val="2"/>
          </w:tcPr>
          <w:p>
            <w:pPr>
              <w:spacing w:after="0"/>
              <w:rPr>
                <w:sz w:val="20"/>
                <w:szCs w:val="20"/>
                <w:color w:val="auto"/>
              </w:rPr>
            </w:pPr>
            <w:r>
              <w:rPr>
                <w:rFonts w:ascii="Arial" w:cs="Arial" w:eastAsia="Arial" w:hAnsi="Arial"/>
                <w:sz w:val="14"/>
                <w:szCs w:val="14"/>
                <w:color w:val="auto"/>
              </w:rPr>
              <w:t>101.LAB*</w:t>
            </w:r>
          </w:p>
        </w:tc>
        <w:tc>
          <w:tcPr>
            <w:tcW w:w="9720" w:type="dxa"/>
            <w:vAlign w:val="bottom"/>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212"/>
        </w:trPr>
        <w:tc>
          <w:tcPr>
            <w:tcW w:w="1420" w:type="dxa"/>
            <w:vAlign w:val="bottom"/>
            <w:gridSpan w:val="2"/>
          </w:tcPr>
          <w:p>
            <w:pPr>
              <w:spacing w:after="0"/>
              <w:rPr>
                <w:sz w:val="20"/>
                <w:szCs w:val="20"/>
                <w:color w:val="auto"/>
              </w:rPr>
            </w:pPr>
            <w:r>
              <w:rPr>
                <w:rFonts w:ascii="Arial" w:cs="Arial" w:eastAsia="Arial" w:hAnsi="Arial"/>
                <w:sz w:val="14"/>
                <w:szCs w:val="14"/>
                <w:color w:val="auto"/>
              </w:rPr>
              <w:t>101.PRE*</w:t>
            </w:r>
          </w:p>
        </w:tc>
        <w:tc>
          <w:tcPr>
            <w:tcW w:w="9720" w:type="dxa"/>
            <w:vAlign w:val="bottom"/>
          </w:tcPr>
          <w:p>
            <w:pPr>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200" w:lineRule="exact"/>
        <w:rPr>
          <w:sz w:val="20"/>
          <w:szCs w:val="20"/>
          <w:color w:val="auto"/>
        </w:rPr>
      </w:pPr>
    </w:p>
    <w:p>
      <w:pPr>
        <w:spacing w:after="0" w:line="2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Furnished Herewith</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Indicates a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53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CrossFirst Bankshares Inc.</w:t>
            </w:r>
          </w:p>
        </w:tc>
      </w:tr>
      <w:tr>
        <w:trPr>
          <w:trHeight w:val="721"/>
        </w:trPr>
        <w:tc>
          <w:tcPr>
            <w:tcW w:w="5380" w:type="dxa"/>
            <w:vAlign w:val="bottom"/>
          </w:tcPr>
          <w:p>
            <w:pPr>
              <w:spacing w:after="0"/>
              <w:rPr>
                <w:sz w:val="20"/>
                <w:szCs w:val="20"/>
                <w:color w:val="auto"/>
              </w:rPr>
            </w:pPr>
            <w:r>
              <w:rPr>
                <w:rFonts w:ascii="Arial" w:cs="Arial" w:eastAsia="Arial" w:hAnsi="Arial"/>
                <w:sz w:val="14"/>
                <w:szCs w:val="14"/>
                <w:color w:val="auto"/>
              </w:rPr>
              <w:t>May 14, 2020</w:t>
            </w:r>
          </w:p>
        </w:tc>
        <w:tc>
          <w:tcPr>
            <w:tcW w:w="5580" w:type="dxa"/>
            <w:vAlign w:val="bottom"/>
          </w:tcPr>
          <w:p>
            <w:pPr>
              <w:spacing w:after="0"/>
              <w:rPr>
                <w:sz w:val="20"/>
                <w:szCs w:val="20"/>
                <w:color w:val="auto"/>
              </w:rPr>
            </w:pPr>
            <w:r>
              <w:rPr>
                <w:rFonts w:ascii="Arial" w:cs="Arial" w:eastAsia="Arial" w:hAnsi="Arial"/>
                <w:sz w:val="14"/>
                <w:szCs w:val="14"/>
                <w:color w:val="auto"/>
              </w:rPr>
              <w:t>/s/ David L. O’Toole</w:t>
            </w:r>
          </w:p>
        </w:tc>
      </w:tr>
      <w:tr>
        <w:trPr>
          <w:trHeight w:val="22"/>
        </w:trPr>
        <w:tc>
          <w:tcPr>
            <w:tcW w:w="538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181"/>
        </w:trPr>
        <w:tc>
          <w:tcPr>
            <w:tcW w:w="538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David L. O’Toole</w:t>
            </w:r>
          </w:p>
        </w:tc>
      </w:tr>
      <w:tr>
        <w:trPr>
          <w:trHeight w:val="212"/>
        </w:trPr>
        <w:tc>
          <w:tcPr>
            <w:tcW w:w="53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212"/>
        </w:trPr>
        <w:tc>
          <w:tcPr>
            <w:tcW w:w="53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100"/>
          </w:cols>
          <w:pgMar w:left="300" w:top="129" w:right="499" w:bottom="1440"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center"/>
        <w:ind w:right="-1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Rules 13a-14(a) and 15d-14(a) of the Securities Exchange Act of 1934</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I, George F. Jones, Jr., certify that:</w:t>
      </w:r>
    </w:p>
    <w:p>
      <w:pPr>
        <w:spacing w:after="0" w:line="179" w:lineRule="exact"/>
        <w:rPr>
          <w:sz w:val="20"/>
          <w:szCs w:val="20"/>
          <w:color w:val="auto"/>
        </w:rPr>
      </w:pPr>
    </w:p>
    <w:p>
      <w:pPr>
        <w:ind w:left="1020" w:hanging="506"/>
        <w:spacing w:after="0"/>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CrossFirst Bankshares, Inc.;</w:t>
      </w:r>
    </w:p>
    <w:p>
      <w:pPr>
        <w:spacing w:after="0" w:line="136" w:lineRule="exact"/>
        <w:rPr>
          <w:rFonts w:ascii="Arial" w:cs="Arial" w:eastAsia="Arial" w:hAnsi="Arial"/>
          <w:sz w:val="14"/>
          <w:szCs w:val="14"/>
          <w:color w:val="auto"/>
        </w:rPr>
      </w:pPr>
    </w:p>
    <w:p>
      <w:pPr>
        <w:ind w:left="1020" w:right="200" w:hanging="506"/>
        <w:spacing w:after="0" w:line="281" w:lineRule="auto"/>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1020" w:right="280" w:hanging="506"/>
        <w:spacing w:after="0" w:line="281" w:lineRule="auto"/>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1020" w:hanging="506"/>
        <w:spacing w:after="0"/>
        <w:tabs>
          <w:tab w:leader="none" w:pos="10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0"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15d-15(e)) for the registrant and have:</w:t>
      </w:r>
    </w:p>
    <w:p>
      <w:pPr>
        <w:spacing w:after="0" w:line="189" w:lineRule="exact"/>
        <w:rPr>
          <w:rFonts w:ascii="Arial" w:cs="Arial" w:eastAsia="Arial" w:hAnsi="Arial"/>
          <w:sz w:val="13"/>
          <w:szCs w:val="13"/>
          <w:color w:val="auto"/>
        </w:rPr>
      </w:pPr>
    </w:p>
    <w:p>
      <w:pPr>
        <w:ind w:left="1600" w:right="160" w:hanging="577"/>
        <w:spacing w:after="0" w:line="267" w:lineRule="auto"/>
        <w:tabs>
          <w:tab w:leader="none" w:pos="1598"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ind w:left="1600" w:right="300" w:hanging="577"/>
        <w:spacing w:after="0" w:line="281" w:lineRule="auto"/>
        <w:tabs>
          <w:tab w:leader="none" w:pos="1595"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1600" w:hanging="577"/>
        <w:spacing w:after="0" w:line="267" w:lineRule="auto"/>
        <w:tabs>
          <w:tab w:leader="none" w:pos="1598" w:val="left"/>
        </w:tabs>
        <w:numPr>
          <w:ilvl w:val="1"/>
          <w:numId w:val="2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Arial" w:cs="Arial" w:eastAsia="Arial" w:hAnsi="Arial"/>
          <w:sz w:val="14"/>
          <w:szCs w:val="14"/>
          <w:color w:val="auto"/>
        </w:rPr>
      </w:pPr>
    </w:p>
    <w:p>
      <w:pPr>
        <w:ind w:left="1020" w:hanging="506"/>
        <w:spacing w:after="0" w:line="281" w:lineRule="auto"/>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1600" w:right="140" w:hanging="577"/>
        <w:spacing w:after="0" w:line="281" w:lineRule="auto"/>
        <w:tabs>
          <w:tab w:leader="none" w:pos="1598" w:val="left"/>
        </w:tabs>
        <w:numPr>
          <w:ilvl w:val="1"/>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1600" w:hanging="577"/>
        <w:spacing w:after="0"/>
        <w:tabs>
          <w:tab w:leader="none" w:pos="1600" w:val="left"/>
        </w:tabs>
        <w:numPr>
          <w:ilvl w:val="1"/>
          <w:numId w:val="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Date:  May 14, 2020</w:t>
      </w:r>
    </w:p>
    <w:p>
      <w:pPr>
        <w:spacing w:after="0" w:line="232"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/s/ George F. Jones,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12065</wp:posOffset>
            </wp:positionV>
            <wp:extent cx="229044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90445" cy="6985"/>
                    </a:xfrm>
                    <a:prstGeom prst="rect">
                      <a:avLst/>
                    </a:prstGeom>
                    <a:noFill/>
                  </pic:spPr>
                </pic:pic>
              </a:graphicData>
            </a:graphic>
          </wp:anchor>
        </w:drawing>
      </w:r>
    </w:p>
    <w:p>
      <w:pPr>
        <w:spacing w:after="0" w:line="10"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George F. Jones Jr.</w:t>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Chief Executive Officer</w:t>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60"/>
          </w:cols>
          <w:pgMar w:left="300" w:top="702" w:right="3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Rules 13a-14(a) and 15d-14(a) of the Securities Exchange Act of 1934</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Section 302 of the Sarbanes-Oxley Act of 2002</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I, David O’Toole, certify that:</w:t>
      </w:r>
    </w:p>
    <w:p>
      <w:pPr>
        <w:spacing w:after="0" w:line="189" w:lineRule="exact"/>
        <w:rPr>
          <w:sz w:val="20"/>
          <w:szCs w:val="20"/>
          <w:color w:val="auto"/>
        </w:rPr>
      </w:pPr>
    </w:p>
    <w:p>
      <w:pPr>
        <w:ind w:left="1020" w:hanging="506"/>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CrossFirst Bankshares, Inc.;</w:t>
      </w:r>
    </w:p>
    <w:p>
      <w:pPr>
        <w:spacing w:after="0" w:line="146" w:lineRule="exact"/>
        <w:rPr>
          <w:rFonts w:ascii="Arial" w:cs="Arial" w:eastAsia="Arial" w:hAnsi="Arial"/>
          <w:sz w:val="14"/>
          <w:szCs w:val="14"/>
          <w:color w:val="auto"/>
        </w:rPr>
      </w:pPr>
    </w:p>
    <w:p>
      <w:pPr>
        <w:ind w:left="1020" w:right="220" w:hanging="506"/>
        <w:spacing w:after="0" w:line="297" w:lineRule="auto"/>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1020" w:right="300" w:hanging="506"/>
        <w:spacing w:after="0" w:line="297" w:lineRule="auto"/>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1020" w:hanging="506"/>
        <w:spacing w:after="0"/>
        <w:tabs>
          <w:tab w:leader="none" w:pos="10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0"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15d-15(e)) for the registrant and have:</w:t>
      </w:r>
    </w:p>
    <w:p>
      <w:pPr>
        <w:spacing w:after="0" w:line="178" w:lineRule="exact"/>
        <w:rPr>
          <w:rFonts w:ascii="Arial" w:cs="Arial" w:eastAsia="Arial" w:hAnsi="Arial"/>
          <w:sz w:val="13"/>
          <w:szCs w:val="13"/>
          <w:color w:val="auto"/>
        </w:rPr>
      </w:pPr>
    </w:p>
    <w:p>
      <w:pPr>
        <w:ind w:left="1660" w:right="120" w:hanging="637"/>
        <w:spacing w:after="0" w:line="267" w:lineRule="auto"/>
        <w:tabs>
          <w:tab w:leader="none" w:pos="1658"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ind w:left="1660" w:right="260" w:hanging="637"/>
        <w:spacing w:after="0" w:line="281" w:lineRule="auto"/>
        <w:tabs>
          <w:tab w:leader="none" w:pos="1655"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1660" w:right="240" w:hanging="637"/>
        <w:spacing w:after="0" w:line="267" w:lineRule="auto"/>
        <w:tabs>
          <w:tab w:leader="none" w:pos="1658" w:val="left"/>
        </w:tabs>
        <w:numPr>
          <w:ilvl w:val="1"/>
          <w:numId w:val="2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4"/>
          <w:szCs w:val="14"/>
          <w:color w:val="auto"/>
        </w:rPr>
      </w:pPr>
    </w:p>
    <w:p>
      <w:pPr>
        <w:ind w:left="1020" w:right="20" w:hanging="506"/>
        <w:spacing w:after="0" w:line="297" w:lineRule="auto"/>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1660" w:hanging="637"/>
        <w:spacing w:after="0" w:line="297" w:lineRule="auto"/>
        <w:tabs>
          <w:tab w:leader="none" w:pos="1658"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1660" w:hanging="637"/>
        <w:spacing w:after="0"/>
        <w:tabs>
          <w:tab w:leader="none" w:pos="166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Date:  May 14, 2020</w:t>
      </w:r>
    </w:p>
    <w:p>
      <w:pPr>
        <w:spacing w:after="0" w:line="232"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12065</wp:posOffset>
            </wp:positionV>
            <wp:extent cx="229044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90445" cy="6985"/>
                    </a:xfrm>
                    <a:prstGeom prst="rect">
                      <a:avLst/>
                    </a:prstGeom>
                    <a:noFill/>
                  </pic:spPr>
                </pic:pic>
              </a:graphicData>
            </a:graphic>
          </wp:anchor>
        </w:drawing>
      </w:r>
    </w:p>
    <w:p>
      <w:pPr>
        <w:spacing w:after="0" w:line="10"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David L. O’Toole</w:t>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702"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Exhibit 32.1</w:t>
      </w:r>
    </w:p>
    <w:p>
      <w:pPr>
        <w:spacing w:after="0" w:line="204"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b w:val="1"/>
          <w:bCs w:val="1"/>
          <w:color w:val="auto"/>
        </w:rPr>
        <w:t>CERTIFICATION OF PRINCIPAL EXECUTIVE OFFICER AND PRINCIPAL FINANCIAL OFFICER UNDER 18 U.S.C. § 1350 FURNISHED PURSUANT TO SECURITIES EXCHANGE ACT RULE 13a-14(b)</w:t>
      </w:r>
    </w:p>
    <w:p>
      <w:pPr>
        <w:spacing w:after="0" w:line="123" w:lineRule="exact"/>
        <w:rPr>
          <w:sz w:val="20"/>
          <w:szCs w:val="20"/>
          <w:color w:val="auto"/>
        </w:rPr>
      </w:pPr>
    </w:p>
    <w:p>
      <w:pPr>
        <w:ind w:right="40"/>
        <w:spacing w:after="0" w:line="301" w:lineRule="auto"/>
        <w:rPr>
          <w:sz w:val="20"/>
          <w:szCs w:val="20"/>
          <w:color w:val="auto"/>
        </w:rPr>
      </w:pPr>
      <w:r>
        <w:rPr>
          <w:rFonts w:ascii="Arial" w:cs="Arial" w:eastAsia="Arial" w:hAnsi="Arial"/>
          <w:sz w:val="12"/>
          <w:szCs w:val="12"/>
          <w:color w:val="auto"/>
        </w:rPr>
        <w:t>In connection with the Quarterly Report of CrossFirst Bankshares, Inc. (the “Company”) on Form 10-Q for the period ended on March 31, 2020,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 (1) the Report fully complies with the requirements of Section 13(a) or 15(d) of the Securities Exchange Act of 1934, as amended, and</w:t>
      </w:r>
    </w:p>
    <w:p>
      <w:pPr>
        <w:ind w:right="2900" w:firstLine="5"/>
        <w:spacing w:after="0" w:line="550" w:lineRule="auto"/>
        <w:tabs>
          <w:tab w:leader="none" w:pos="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Date: May 14, 2020</w:t>
      </w:r>
    </w:p>
    <w:p>
      <w:pPr>
        <w:spacing w:after="0" w:line="16" w:lineRule="exact"/>
        <w:rPr>
          <w:sz w:val="20"/>
          <w:szCs w:val="20"/>
          <w:color w:val="auto"/>
        </w:rPr>
      </w:pPr>
    </w:p>
    <w:p>
      <w:pPr>
        <w:ind w:left="10000"/>
        <w:spacing w:after="0"/>
        <w:rPr>
          <w:sz w:val="20"/>
          <w:szCs w:val="20"/>
          <w:color w:val="auto"/>
        </w:rPr>
      </w:pPr>
      <w:r>
        <w:rPr>
          <w:rFonts w:ascii="Arial" w:cs="Arial" w:eastAsia="Arial" w:hAnsi="Arial"/>
          <w:sz w:val="12"/>
          <w:szCs w:val="12"/>
          <w:color w:val="auto"/>
        </w:rPr>
        <w:t>/s/ George F. Jones,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40640</wp:posOffset>
            </wp:positionV>
            <wp:extent cx="4076065"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76065" cy="1333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George F. Jones, Jr.</w:t>
      </w:r>
    </w:p>
    <w:p>
      <w:pPr>
        <w:spacing w:after="0" w:line="51" w:lineRule="exact"/>
        <w:rPr>
          <w:sz w:val="20"/>
          <w:szCs w:val="20"/>
          <w:color w:val="auto"/>
        </w:rPr>
      </w:pPr>
    </w:p>
    <w:p>
      <w:pPr>
        <w:ind w:left="7440"/>
        <w:spacing w:after="0"/>
        <w:rPr>
          <w:sz w:val="20"/>
          <w:szCs w:val="20"/>
          <w:color w:val="auto"/>
        </w:rPr>
      </w:pPr>
      <w:r>
        <w:rPr>
          <w:rFonts w:ascii="Arial" w:cs="Arial" w:eastAsia="Arial" w:hAnsi="Arial"/>
          <w:sz w:val="13"/>
          <w:szCs w:val="13"/>
          <w:color w:val="auto"/>
        </w:rPr>
        <w:t>President and Chief Executive Officer (Principal Executive Officer)</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26035</wp:posOffset>
            </wp:positionV>
            <wp:extent cx="4076065"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76065" cy="13335"/>
                    </a:xfrm>
                    <a:prstGeom prst="rect">
                      <a:avLst/>
                    </a:prstGeom>
                    <a:noFill/>
                  </pic:spPr>
                </pic:pic>
              </a:graphicData>
            </a:graphic>
          </wp:anchor>
        </w:drawing>
      </w:r>
    </w:p>
    <w:p>
      <w:pPr>
        <w:spacing w:after="0" w:line="52" w:lineRule="exact"/>
        <w:rPr>
          <w:sz w:val="20"/>
          <w:szCs w:val="20"/>
          <w:color w:val="auto"/>
        </w:rPr>
      </w:pPr>
    </w:p>
    <w:p>
      <w:pPr>
        <w:ind w:left="10280"/>
        <w:spacing w:after="0"/>
        <w:rPr>
          <w:sz w:val="20"/>
          <w:szCs w:val="20"/>
          <w:color w:val="auto"/>
        </w:rPr>
      </w:pPr>
      <w:r>
        <w:rPr>
          <w:rFonts w:ascii="Arial" w:cs="Arial" w:eastAsia="Arial" w:hAnsi="Arial"/>
          <w:sz w:val="13"/>
          <w:szCs w:val="13"/>
          <w:color w:val="auto"/>
        </w:rPr>
        <w:t>David L. O'Toole</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Chief Financial Officer (Principal Financial Officer and</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Principal Accounting Officer)</w:t>
      </w:r>
    </w:p>
    <w:sectPr>
      <w:pgSz w:w="11900" w:h="16838" w:orient="portrait"/>
      <w:cols w:equalWidth="0" w:num="1">
        <w:col w:w="11260"/>
      </w:cols>
      <w:pgMar w:left="30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upperLetter"/>
      <w:start w:val="1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lowerRoman"/>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2020-05-14T14:35:05Z</dcterms:created>
  <dcterms:modified xsi:type="dcterms:W3CDTF">2020-05-14T14:35:05Z</dcterms:modified>
</cp:coreProperties>
</file>