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108" w:lineRule="exact"/>
        <w:rPr>
          <w:sz w:val="24"/>
          <w:szCs w:val="24"/>
          <w:color w:val="auto"/>
        </w:rPr>
      </w:pPr>
    </w:p>
    <w:p>
      <w:pPr>
        <w:ind w:left="800" w:hanging="204"/>
        <w:spacing w:after="0"/>
        <w:tabs>
          <w:tab w:leader="none" w:pos="800" w:val="left"/>
        </w:tabs>
        <w:numPr>
          <w:ilvl w:val="0"/>
          <w:numId w:val="1"/>
        </w:numPr>
        <w:rPr>
          <w:rFonts w:ascii="MS PGothic" w:cs="MS PGothic" w:eastAsia="MS PGothic" w:hAnsi="MS PGothic"/>
          <w:sz w:val="30"/>
          <w:szCs w:val="30"/>
          <w:color w:val="auto"/>
          <w:vertAlign w:val="superscript"/>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2021</w:t>
      </w:r>
    </w:p>
    <w:p>
      <w:pPr>
        <w:jc w:val="center"/>
        <w:spacing w:after="0" w:line="237" w:lineRule="auto"/>
        <w:rPr>
          <w:sz w:val="20"/>
          <w:szCs w:val="20"/>
          <w:color w:val="auto"/>
        </w:rPr>
      </w:pPr>
      <w:r>
        <w:rPr>
          <w:rFonts w:ascii="Times New Roman" w:cs="Times New Roman" w:eastAsia="Times New Roman" w:hAnsi="Times New Roman"/>
          <w:sz w:val="18"/>
          <w:szCs w:val="18"/>
          <w:color w:val="auto"/>
        </w:rPr>
        <w:t>or</w:t>
      </w:r>
    </w:p>
    <w:p>
      <w:pPr>
        <w:spacing w:after="0" w:line="14" w:lineRule="exact"/>
        <w:rPr>
          <w:sz w:val="24"/>
          <w:szCs w:val="24"/>
          <w:color w:val="auto"/>
        </w:rPr>
      </w:pPr>
    </w:p>
    <w:p>
      <w:pPr>
        <w:jc w:val="center"/>
        <w:ind w:left="3260" w:right="620" w:hanging="2664"/>
        <w:spacing w:after="0" w:line="391" w:lineRule="auto"/>
        <w:tabs>
          <w:tab w:leader="none" w:pos="7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3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001-39028</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CROSSFIRST BANKSHARES, INC.</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4940" w:type="dxa"/>
            <w:vAlign w:val="bottom"/>
          </w:tcPr>
          <w:p>
            <w:pPr>
              <w:jc w:val="center"/>
              <w:ind w:right="974"/>
              <w:spacing w:after="0"/>
              <w:rPr>
                <w:sz w:val="20"/>
                <w:szCs w:val="20"/>
                <w:color w:val="auto"/>
              </w:rPr>
            </w:pPr>
            <w:r>
              <w:rPr>
                <w:rFonts w:ascii="Times New Roman" w:cs="Times New Roman" w:eastAsia="Times New Roman" w:hAnsi="Times New Roman"/>
                <w:sz w:val="18"/>
                <w:szCs w:val="18"/>
                <w:color w:val="auto"/>
                <w:w w:val="99"/>
              </w:rPr>
              <w:t>Kansas</w:t>
            </w:r>
          </w:p>
        </w:tc>
        <w:tc>
          <w:tcPr>
            <w:tcW w:w="340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8"/>
              </w:rPr>
              <w:t>26-3212879</w:t>
            </w:r>
          </w:p>
        </w:tc>
      </w:tr>
      <w:tr>
        <w:trPr>
          <w:trHeight w:val="210"/>
        </w:trPr>
        <w:tc>
          <w:tcPr>
            <w:tcW w:w="4940" w:type="dxa"/>
            <w:vAlign w:val="bottom"/>
          </w:tcPr>
          <w:p>
            <w:pPr>
              <w:jc w:val="center"/>
              <w:ind w:right="97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400" w:type="dxa"/>
            <w:vAlign w:val="bottom"/>
          </w:tcPr>
          <w:p>
            <w:pPr>
              <w:jc w:val="center"/>
              <w:ind w:left="95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6"/>
        </w:trPr>
        <w:tc>
          <w:tcPr>
            <w:tcW w:w="4940" w:type="dxa"/>
            <w:vAlign w:val="bottom"/>
          </w:tcPr>
          <w:p>
            <w:pPr>
              <w:jc w:val="center"/>
              <w:ind w:right="994"/>
              <w:spacing w:after="0"/>
              <w:rPr>
                <w:sz w:val="20"/>
                <w:szCs w:val="20"/>
                <w:color w:val="auto"/>
              </w:rPr>
            </w:pPr>
            <w:r>
              <w:rPr>
                <w:rFonts w:ascii="Times New Roman" w:cs="Times New Roman" w:eastAsia="Times New Roman" w:hAnsi="Times New Roman"/>
                <w:sz w:val="18"/>
                <w:szCs w:val="18"/>
                <w:color w:val="auto"/>
                <w:w w:val="98"/>
              </w:rPr>
              <w:t>11440 Tomahawk Creek Parkway</w:t>
            </w:r>
          </w:p>
        </w:tc>
        <w:tc>
          <w:tcPr>
            <w:tcW w:w="3400" w:type="dxa"/>
            <w:vAlign w:val="bottom"/>
          </w:tcPr>
          <w:p>
            <w:pPr>
              <w:spacing w:after="0"/>
              <w:rPr>
                <w:sz w:val="24"/>
                <w:szCs w:val="24"/>
                <w:color w:val="auto"/>
              </w:rPr>
            </w:pPr>
          </w:p>
        </w:tc>
      </w:tr>
      <w:tr>
        <w:trPr>
          <w:trHeight w:val="20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Leawood,  KS</w:t>
            </w:r>
          </w:p>
        </w:tc>
        <w:tc>
          <w:tcPr>
            <w:tcW w:w="3400" w:type="dxa"/>
            <w:vAlign w:val="bottom"/>
          </w:tcPr>
          <w:p>
            <w:pPr>
              <w:jc w:val="center"/>
              <w:ind w:left="955"/>
              <w:spacing w:after="0"/>
              <w:rPr>
                <w:sz w:val="20"/>
                <w:szCs w:val="20"/>
                <w:color w:val="auto"/>
              </w:rPr>
            </w:pPr>
            <w:r>
              <w:rPr>
                <w:rFonts w:ascii="Times New Roman" w:cs="Times New Roman" w:eastAsia="Times New Roman" w:hAnsi="Times New Roman"/>
                <w:sz w:val="18"/>
                <w:szCs w:val="18"/>
                <w:color w:val="auto"/>
                <w:w w:val="97"/>
              </w:rPr>
              <w:t>66211</w:t>
            </w:r>
          </w:p>
        </w:tc>
      </w:tr>
      <w:tr>
        <w:trPr>
          <w:trHeight w:val="210"/>
        </w:trPr>
        <w:tc>
          <w:tcPr>
            <w:tcW w:w="4940" w:type="dxa"/>
            <w:vAlign w:val="bottom"/>
          </w:tcPr>
          <w:p>
            <w:pPr>
              <w:jc w:val="center"/>
              <w:ind w:right="97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(913) 312-6822</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80" w:type="dxa"/>
            <w:vAlign w:val="bottom"/>
          </w:tcPr>
          <w:p>
            <w:pPr>
              <w:spacing w:after="0"/>
              <w:rPr>
                <w:sz w:val="19"/>
                <w:szCs w:val="19"/>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7"/>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CFB</w:t>
            </w:r>
          </w:p>
        </w:tc>
        <w:tc>
          <w:tcPr>
            <w:tcW w:w="18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1" w:lineRule="exact"/>
        <w:rPr>
          <w:sz w:val="24"/>
          <w:szCs w:val="24"/>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right="5140" w:firstLine="2"/>
        <w:spacing w:after="0" w:line="223" w:lineRule="exact"/>
        <w:tabs>
          <w:tab w:leader="none" w:pos="2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w:t>
      </w:r>
    </w:p>
    <w:p>
      <w:pPr>
        <w:spacing w:after="0" w:line="1" w:lineRule="exact"/>
        <w:rPr>
          <w:sz w:val="24"/>
          <w:szCs w:val="24"/>
          <w:color w:val="auto"/>
        </w:rPr>
      </w:pPr>
    </w:p>
    <w:p>
      <w:pPr>
        <w:spacing w:after="0" w:line="207" w:lineRule="exact"/>
        <w:tabs>
          <w:tab w:leader="none" w:pos="2660" w:val="left"/>
          <w:tab w:leader="none" w:pos="3340" w:val="left"/>
        </w:tabs>
        <w:rPr>
          <w:sz w:val="20"/>
          <w:szCs w:val="20"/>
          <w:color w:val="auto"/>
        </w:rPr>
      </w:pPr>
      <w:r>
        <w:rPr>
          <w:rFonts w:ascii="Times New Roman" w:cs="Times New Roman" w:eastAsia="Times New Roman" w:hAnsi="Times New Roman"/>
          <w:sz w:val="18"/>
          <w:szCs w:val="18"/>
          <w:color w:val="auto"/>
        </w:rPr>
        <w:t>was required to submit such 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24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20" w:lineRule="exact"/>
        <w:rPr>
          <w:sz w:val="24"/>
          <w:szCs w:val="24"/>
          <w:color w:val="auto"/>
        </w:rPr>
      </w:pPr>
    </w:p>
    <w:p>
      <w:pPr>
        <w:ind w:right="84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4"/>
          <w:szCs w:val="24"/>
          <w:color w:val="auto"/>
        </w:rPr>
      </w:pPr>
    </w:p>
    <w:p>
      <w:pPr>
        <w:ind w:right="54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 2021, the registrant had 50,918,788 shares of common stock, par value $0.01, outstanding.</w:t>
      </w:r>
    </w:p>
    <w:p>
      <w:pPr>
        <w:sectPr>
          <w:pgSz w:w="11900" w:h="16838" w:orient="portrait"/>
          <w:cols w:equalWidth="0" w:num="1">
            <w:col w:w="10040"/>
          </w:cols>
          <w:pgMar w:left="920" w:top="1155" w:right="9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EXPLANATORY NOTE</w:t>
      </w:r>
    </w:p>
    <w:p>
      <w:pPr>
        <w:spacing w:after="0" w:line="20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CrossFirst Bankshares, Inc. (the “Company”) is filing this Amendment No. 1 (the Amendment”) on Form 10-Q/A to amend its Quarterly Report on Form 10-Q for the quarter ended September 30, 2021, filed with the Securities and Exchange Commission on November 2, 2021 (the “Original 10-Q”), for the purpose of filing revised versions of Exhibits 31.1 and 31.2 filed with the Original 10-Q.</w:t>
      </w:r>
    </w:p>
    <w:p>
      <w:pPr>
        <w:spacing w:after="0" w:line="15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are filing revised exhibits solely in order to include in the certifications set forth in the Exhibits the language added to the introductory portion of paragraph 4 and the language of revised paragraph 4(b), which language was inadvertently omitted from the certifications when originally filed. The Amendment does not reflect events occurring after the date of the filing of the Original 10-Q or modify or update any of the other disclosures contained therein in any way. Accordingly, the Amendment should be read in conjunction with the Original 10-Q. The Amendment consists solely of the preceding cover page, this explanatory note, the exhibit index for the Amendment, the signature page and paragraphs 1, 2, 4 and 5 of each of the revised certifications filed as exhibits to the Amendment.</w:t>
      </w:r>
    </w:p>
    <w:p>
      <w:pPr>
        <w:sectPr>
          <w:pgSz w:w="11900" w:h="16838" w:orient="portrait"/>
          <w:cols w:equalWidth="0" w:num="1">
            <w:col w:w="9920"/>
          </w:cols>
          <w:pgMar w:left="920" w:top="1049" w:right="10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 –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exhibits listed in the exhibit index below are filed with this Amendment No. 1 to Quarterly Report on Form 10-Q/A.</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34"/>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76"/>
        </w:trPr>
        <w:tc>
          <w:tcPr>
            <w:tcW w:w="1260" w:type="dxa"/>
            <w:vAlign w:val="bottom"/>
            <w:gridSpan w:val="3"/>
          </w:tcPr>
          <w:p>
            <w:pPr>
              <w:ind w:left="40"/>
              <w:spacing w:after="0" w:line="17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80" w:type="dxa"/>
            <w:vAlign w:val="bottom"/>
            <w:gridSpan w:val="6"/>
          </w:tcPr>
          <w:p>
            <w:pPr>
              <w:spacing w:after="0" w:line="17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Certification of Principal Executive Officer pursuant to Rule 13a-14(a) of the Exchange Act, as adopted pursuant to</w:t>
              </w:r>
            </w:hyperlink>
          </w:p>
        </w:tc>
      </w:tr>
      <w:tr>
        <w:trPr>
          <w:trHeight w:val="223"/>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Section 302 of the Sarbanes-Oxley Act of 2002</w:t>
              </w:r>
            </w:hyperlink>
          </w:p>
        </w:tc>
        <w:tc>
          <w:tcPr>
            <w:tcW w:w="20" w:type="dxa"/>
            <w:vAlign w:val="bottom"/>
          </w:tcPr>
          <w:p>
            <w:pPr>
              <w:spacing w:after="0"/>
              <w:rPr>
                <w:sz w:val="19"/>
                <w:szCs w:val="19"/>
                <w:color w:val="auto"/>
              </w:rPr>
            </w:pPr>
          </w:p>
        </w:tc>
        <w:tc>
          <w:tcPr>
            <w:tcW w:w="2720" w:type="dxa"/>
            <w:vAlign w:val="bottom"/>
            <w:tcBorders>
              <w:top w:val="single" w:sz="8" w:color="0000FF"/>
            </w:tcBorders>
            <w:gridSpan w:val="2"/>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1260" w:type="dxa"/>
            <w:vAlign w:val="bottom"/>
            <w:gridSpan w:val="3"/>
          </w:tcPr>
          <w:p>
            <w:pPr>
              <w:ind w:left="4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80" w:type="dxa"/>
            <w:vAlign w:val="bottom"/>
            <w:gridSpan w:val="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Certification of Principal Financial Officer pursuant to Rule 13a-14(a) of the Exchange Act, as adopted pursuant to</w:t>
              </w:r>
            </w:hyperlink>
          </w:p>
        </w:tc>
      </w:tr>
      <w:tr>
        <w:trPr>
          <w:trHeight w:val="223"/>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Section 302 of the Sarbanes-Oxley Act of 2002</w:t>
              </w:r>
            </w:hyperlink>
          </w:p>
        </w:tc>
        <w:tc>
          <w:tcPr>
            <w:tcW w:w="440" w:type="dxa"/>
            <w:vAlign w:val="bottom"/>
            <w:gridSpan w:val="2"/>
          </w:tcPr>
          <w:p>
            <w:pPr>
              <w:spacing w:after="0"/>
              <w:rPr>
                <w:sz w:val="19"/>
                <w:szCs w:val="19"/>
                <w:color w:val="auto"/>
              </w:rPr>
            </w:pPr>
          </w:p>
        </w:tc>
      </w:tr>
      <w:tr>
        <w:trPr>
          <w:trHeight w:val="20"/>
        </w:trPr>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r>
      <w:tr>
        <w:trPr>
          <w:trHeight w:val="277"/>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(formation in Inline XBRL and contained in Exhibit 101)</w:t>
            </w:r>
          </w:p>
        </w:tc>
      </w:tr>
      <w:tr>
        <w:trPr>
          <w:trHeight w:val="743"/>
        </w:trPr>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040"/>
          </w:cols>
          <w:pgMar w:left="920" w:top="1040" w:right="9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SIGNATURE</w:t>
      </w:r>
    </w:p>
    <w:p>
      <w:pPr>
        <w:spacing w:after="0" w:line="220" w:lineRule="exact"/>
        <w:rPr>
          <w:sz w:val="20"/>
          <w:szCs w:val="20"/>
          <w:color w:val="auto"/>
        </w:rPr>
      </w:pPr>
    </w:p>
    <w:p>
      <w:pPr>
        <w:ind w:firstLine="486"/>
        <w:spacing w:after="0" w:line="31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212"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18"/>
          <w:szCs w:val="18"/>
          <w:color w:val="auto"/>
        </w:rPr>
        <w:t>April 12, 2022</w:t>
      </w:r>
      <w:r>
        <w:rPr>
          <w:sz w:val="20"/>
          <w:szCs w:val="20"/>
          <w:color w:val="auto"/>
        </w:rPr>
        <w:tab/>
      </w:r>
      <w:r>
        <w:rPr>
          <w:rFonts w:ascii="Times New Roman" w:cs="Times New Roman" w:eastAsia="Times New Roman" w:hAnsi="Times New Roman"/>
          <w:sz w:val="17"/>
          <w:szCs w:val="17"/>
          <w:color w:val="auto"/>
        </w:rPr>
        <w:t>/s/ Benjamin R. Clouse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Benjamin R. Clouse</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ind w:left="50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9780"/>
          </w:cols>
          <w:pgMar w:left="1100" w:top="1040" w:right="1019" w:bottom="1440" w:gutter="0" w:footer="0" w:header="0"/>
        </w:sectPr>
      </w:pPr>
    </w:p>
    <w:bookmarkStart w:id="4" w:name="page5"/>
    <w:bookmarkEnd w:id="4"/>
    <w:p>
      <w:pPr>
        <w:ind w:left="3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Certification of Chief Executive Officer</w:t>
      </w:r>
    </w:p>
    <w:p>
      <w:pPr>
        <w:spacing w:after="0" w:line="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 as adopted pursuant to</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Maddox, certify that:</w:t>
      </w:r>
    </w:p>
    <w:p>
      <w:pPr>
        <w:spacing w:after="0" w:line="266" w:lineRule="exact"/>
        <w:rPr>
          <w:sz w:val="20"/>
          <w:szCs w:val="20"/>
          <w:color w:val="auto"/>
        </w:rPr>
      </w:pPr>
    </w:p>
    <w:p>
      <w:pPr>
        <w:ind w:left="1300" w:hanging="64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CrossFirst Bankshares, Inc.;</w:t>
      </w:r>
    </w:p>
    <w:p>
      <w:pPr>
        <w:spacing w:after="0" w:line="198"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w:t>
      </w:r>
    </w:p>
    <w:p>
      <w:pPr>
        <w:spacing w:after="0" w:line="49" w:lineRule="exact"/>
        <w:rPr>
          <w:rFonts w:ascii="Times New Roman" w:cs="Times New Roman" w:eastAsia="Times New Roman" w:hAnsi="Times New Roman"/>
          <w:sz w:val="18"/>
          <w:szCs w:val="18"/>
          <w:color w:val="auto"/>
        </w:rPr>
      </w:pPr>
    </w:p>
    <w:p>
      <w:pPr>
        <w:ind w:left="1300" w:right="1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11" w:lineRule="exact"/>
        <w:rPr>
          <w:rFonts w:ascii="Times New Roman" w:cs="Times New Roman" w:eastAsia="Times New Roman" w:hAnsi="Times New Roman"/>
          <w:sz w:val="18"/>
          <w:szCs w:val="18"/>
          <w:color w:val="auto"/>
        </w:rPr>
      </w:pPr>
    </w:p>
    <w:p>
      <w:pPr>
        <w:ind w:left="1300" w:right="60" w:hanging="643"/>
        <w:spacing w:after="0" w:line="305" w:lineRule="auto"/>
        <w:tabs>
          <w:tab w:leader="none" w:pos="1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ind w:left="1960" w:right="360" w:hanging="655"/>
        <w:spacing w:after="0" w:line="306" w:lineRule="auto"/>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w:t>
      </w:r>
    </w:p>
    <w:p>
      <w:pPr>
        <w:spacing w:after="0" w:line="1" w:lineRule="exact"/>
        <w:rPr>
          <w:rFonts w:ascii="Times New Roman" w:cs="Times New Roman" w:eastAsia="Times New Roman" w:hAnsi="Times New Roman"/>
          <w:sz w:val="17"/>
          <w:szCs w:val="17"/>
          <w:color w:val="auto"/>
        </w:rPr>
      </w:pPr>
    </w:p>
    <w:p>
      <w:pPr>
        <w:ind w:left="1960" w:right="8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7"/>
          <w:szCs w:val="17"/>
          <w:color w:val="auto"/>
        </w:rPr>
      </w:pPr>
    </w:p>
    <w:p>
      <w:pPr>
        <w:ind w:left="1960" w:right="60" w:hanging="655"/>
        <w:spacing w:after="0" w:line="297"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w:t>
      </w:r>
    </w:p>
    <w:p>
      <w:pPr>
        <w:spacing w:after="0" w:line="49" w:lineRule="exact"/>
        <w:rPr>
          <w:rFonts w:ascii="Times New Roman" w:cs="Times New Roman" w:eastAsia="Times New Roman" w:hAnsi="Times New Roman"/>
          <w:sz w:val="18"/>
          <w:szCs w:val="18"/>
          <w:color w:val="auto"/>
        </w:rPr>
      </w:pPr>
    </w:p>
    <w:p>
      <w:pPr>
        <w:ind w:left="1960" w:right="2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w:t>
      </w:r>
    </w:p>
    <w:p>
      <w:pPr>
        <w:spacing w:after="0" w:line="49" w:lineRule="exact"/>
        <w:rPr>
          <w:rFonts w:ascii="Times New Roman" w:cs="Times New Roman" w:eastAsia="Times New Roman" w:hAnsi="Times New Roman"/>
          <w:sz w:val="18"/>
          <w:szCs w:val="18"/>
          <w:color w:val="auto"/>
        </w:rPr>
      </w:pPr>
    </w:p>
    <w:p>
      <w:pPr>
        <w:jc w:val="both"/>
        <w:ind w:left="1960" w:right="1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1300" w:hanging="643"/>
        <w:spacing w:after="0" w:line="305" w:lineRule="auto"/>
        <w:tabs>
          <w:tab w:leader="none" w:pos="1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w:t>
      </w:r>
    </w:p>
    <w:p>
      <w:pPr>
        <w:spacing w:after="0" w:line="61" w:lineRule="exact"/>
        <w:rPr>
          <w:rFonts w:ascii="Times New Roman" w:cs="Times New Roman" w:eastAsia="Times New Roman" w:hAnsi="Times New Roman"/>
          <w:sz w:val="17"/>
          <w:szCs w:val="17"/>
          <w:color w:val="auto"/>
        </w:rPr>
      </w:pPr>
    </w:p>
    <w:p>
      <w:pPr>
        <w:ind w:left="1960" w:right="16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7"/>
          <w:szCs w:val="17"/>
          <w:color w:val="auto"/>
        </w:rPr>
      </w:pPr>
    </w:p>
    <w:p>
      <w:pPr>
        <w:ind w:left="1960" w:right="140" w:hanging="655"/>
        <w:spacing w:after="0" w:line="31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Date: April 11, 2022</w:t>
      </w:r>
    </w:p>
    <w:p>
      <w:pPr>
        <w:spacing w:after="0" w:line="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Michael J. Maddox</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J. Maddox</w:t>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9980"/>
          </w:cols>
          <w:pgMar w:left="920" w:top="955" w:right="999" w:bottom="1440" w:gutter="0" w:footer="0" w:header="0"/>
        </w:sectPr>
      </w:pPr>
    </w:p>
    <w:bookmarkStart w:id="5" w:name="page6"/>
    <w:bookmarkEnd w:id="5"/>
    <w:p>
      <w:pPr>
        <w:ind w:left="3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Certification of Chief Financial Officer</w:t>
      </w:r>
    </w:p>
    <w:p>
      <w:pPr>
        <w:spacing w:after="0" w:line="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 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R. Clouse, certify that:</w:t>
      </w:r>
    </w:p>
    <w:p>
      <w:pPr>
        <w:spacing w:after="0" w:line="266" w:lineRule="exact"/>
        <w:rPr>
          <w:sz w:val="20"/>
          <w:szCs w:val="20"/>
          <w:color w:val="auto"/>
        </w:rPr>
      </w:pPr>
    </w:p>
    <w:p>
      <w:pPr>
        <w:ind w:left="1300" w:hanging="64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CrossFirst Bankshares, Inc.;</w:t>
      </w:r>
    </w:p>
    <w:p>
      <w:pPr>
        <w:spacing w:after="0" w:line="225" w:lineRule="exact"/>
        <w:rPr>
          <w:rFonts w:ascii="Times New Roman" w:cs="Times New Roman" w:eastAsia="Times New Roman" w:hAnsi="Times New Roman"/>
          <w:sz w:val="18"/>
          <w:szCs w:val="18"/>
          <w:color w:val="auto"/>
        </w:rPr>
      </w:pPr>
    </w:p>
    <w:p>
      <w:pPr>
        <w:jc w:val="both"/>
        <w:ind w:left="1300" w:right="220" w:hanging="643"/>
        <w:spacing w:after="0" w:line="328" w:lineRule="auto"/>
        <w:tabs>
          <w:tab w:leader="none" w:pos="1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w:t>
      </w:r>
    </w:p>
    <w:p>
      <w:pPr>
        <w:spacing w:after="0" w:line="49" w:lineRule="exact"/>
        <w:rPr>
          <w:rFonts w:ascii="Times New Roman" w:cs="Times New Roman" w:eastAsia="Times New Roman" w:hAnsi="Times New Roman"/>
          <w:sz w:val="18"/>
          <w:szCs w:val="18"/>
          <w:color w:val="auto"/>
        </w:rPr>
      </w:pPr>
    </w:p>
    <w:p>
      <w:pPr>
        <w:ind w:left="1300" w:right="1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960" w:right="420" w:hanging="655"/>
        <w:spacing w:after="0" w:line="306" w:lineRule="auto"/>
        <w:tabs>
          <w:tab w:leader="none" w:pos="19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w:t>
      </w:r>
    </w:p>
    <w:p>
      <w:pPr>
        <w:spacing w:after="0" w:line="1" w:lineRule="exact"/>
        <w:rPr>
          <w:rFonts w:ascii="Times New Roman" w:cs="Times New Roman" w:eastAsia="Times New Roman" w:hAnsi="Times New Roman"/>
          <w:sz w:val="17"/>
          <w:szCs w:val="17"/>
          <w:color w:val="auto"/>
        </w:rPr>
      </w:pPr>
    </w:p>
    <w:p>
      <w:pPr>
        <w:ind w:left="1960" w:right="14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960" w:hanging="655"/>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w:t>
      </w:r>
    </w:p>
    <w:p>
      <w:pPr>
        <w:spacing w:after="0" w:line="49" w:lineRule="exact"/>
        <w:rPr>
          <w:rFonts w:ascii="Times New Roman" w:cs="Times New Roman" w:eastAsia="Times New Roman" w:hAnsi="Times New Roman"/>
          <w:sz w:val="18"/>
          <w:szCs w:val="18"/>
          <w:color w:val="auto"/>
        </w:rPr>
      </w:pPr>
    </w:p>
    <w:p>
      <w:pPr>
        <w:ind w:left="1960" w:right="4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1960" w:right="280" w:hanging="655"/>
        <w:spacing w:after="0" w:line="305"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w:t>
      </w:r>
    </w:p>
    <w:p>
      <w:pPr>
        <w:spacing w:after="0" w:line="49" w:lineRule="exact"/>
        <w:rPr>
          <w:rFonts w:ascii="Times New Roman" w:cs="Times New Roman" w:eastAsia="Times New Roman" w:hAnsi="Times New Roman"/>
          <w:sz w:val="18"/>
          <w:szCs w:val="18"/>
          <w:color w:val="auto"/>
        </w:rPr>
      </w:pPr>
    </w:p>
    <w:p>
      <w:pPr>
        <w:jc w:val="both"/>
        <w:ind w:left="1960" w:right="2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1300" w:right="60" w:hanging="643"/>
        <w:spacing w:after="0" w:line="328" w:lineRule="auto"/>
        <w:tabs>
          <w:tab w:leader="none" w:pos="12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jc w:val="both"/>
        <w:ind w:left="2120" w:hanging="815"/>
        <w:spacing w:after="0" w:line="328" w:lineRule="auto"/>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2120" w:right="20" w:hanging="815"/>
        <w:spacing w:after="0" w:line="344" w:lineRule="auto"/>
        <w:tabs>
          <w:tab w:leader="none" w:pos="21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2022</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Benjamin R. Clouse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Benjamin R. Clouse</w:t>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ind w:left="6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040"/>
          </w:cols>
          <w:pgMar w:left="920" w:top="955" w:right="9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2022-04-12T13:57:23Z</dcterms:created>
  <dcterms:modified xsi:type="dcterms:W3CDTF">2022-04-12T13:57:23Z</dcterms:modified>
</cp:coreProperties>
</file>