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WASHINGTON, DC 20549</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58" w:lineRule="exact"/>
        <w:rPr>
          <w:sz w:val="24"/>
          <w:szCs w:val="24"/>
          <w:color w:val="auto"/>
        </w:rPr>
      </w:pPr>
    </w:p>
    <w:p>
      <w:pPr>
        <w:jc w:val="center"/>
        <w:ind w:left="4000" w:right="1340" w:hanging="2660"/>
        <w:spacing w:after="0" w:line="543" w:lineRule="auto"/>
        <w:tabs>
          <w:tab w:leader="none" w:pos="1545"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247" w:lineRule="exact"/>
        <w:rPr>
          <w:sz w:val="24"/>
          <w:szCs w:val="24"/>
          <w:color w:val="auto"/>
        </w:rPr>
      </w:pPr>
    </w:p>
    <w:p>
      <w:pPr>
        <w:jc w:val="center"/>
        <w:ind w:left="3940" w:right="1320" w:hanging="2609"/>
        <w:spacing w:after="0" w:line="543" w:lineRule="auto"/>
        <w:tabs>
          <w:tab w:leader="none" w:pos="1532"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7"/>
          <w:szCs w:val="17"/>
          <w:color w:val="auto"/>
        </w:rPr>
      </w:pPr>
    </w:p>
    <w:p>
      <w:pPr>
        <w:ind w:left="4360"/>
        <w:spacing w:after="0"/>
        <w:rPr>
          <w:rFonts w:ascii="MS PGothic" w:cs="MS PGothic" w:eastAsia="MS PGothic" w:hAnsi="MS PGothic"/>
          <w:sz w:val="17"/>
          <w:szCs w:val="17"/>
          <w:color w:val="auto"/>
        </w:rPr>
      </w:pPr>
      <w:r>
        <w:rPr>
          <w:rFonts w:ascii="Arial" w:cs="Arial" w:eastAsia="Arial" w:hAnsi="Arial"/>
          <w:sz w:val="17"/>
          <w:szCs w:val="17"/>
          <w:color w:val="auto"/>
        </w:rPr>
        <w:t>Commission file number 001-39028</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CROSSFIRST BANKSHARES,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285" w:lineRule="exact"/>
        <w:rPr>
          <w:sz w:val="24"/>
          <w:szCs w:val="24"/>
          <w:color w:val="auto"/>
        </w:rPr>
      </w:pPr>
    </w:p>
    <w:tbl>
      <w:tblPr>
        <w:tblLayout w:type="fixed"/>
        <w:tblInd w:w="1240" w:type="dxa"/>
        <w:tblCellMar>
          <w:top w:w="0" w:type="dxa"/>
          <w:left w:w="0" w:type="dxa"/>
          <w:bottom w:w="0" w:type="dxa"/>
          <w:right w:w="0" w:type="dxa"/>
        </w:tblCellMar>
      </w:tblPr>
      <w:tr>
        <w:trPr>
          <w:trHeight w:val="221"/>
        </w:trPr>
        <w:tc>
          <w:tcPr>
            <w:tcW w:w="4720" w:type="dxa"/>
            <w:vAlign w:val="bottom"/>
          </w:tcPr>
          <w:p>
            <w:pPr>
              <w:jc w:val="center"/>
              <w:ind w:right="897"/>
              <w:spacing w:after="0"/>
              <w:rPr>
                <w:sz w:val="20"/>
                <w:szCs w:val="20"/>
                <w:color w:val="auto"/>
              </w:rPr>
            </w:pPr>
            <w:r>
              <w:rPr>
                <w:rFonts w:ascii="Arial" w:cs="Arial" w:eastAsia="Arial" w:hAnsi="Arial"/>
                <w:sz w:val="17"/>
                <w:szCs w:val="17"/>
                <w:color w:val="auto"/>
                <w:w w:val="88"/>
              </w:rPr>
              <w:t>Kansas</w:t>
            </w:r>
          </w:p>
        </w:tc>
        <w:tc>
          <w:tcPr>
            <w:tcW w:w="3260" w:type="dxa"/>
            <w:vAlign w:val="bottom"/>
          </w:tcPr>
          <w:p>
            <w:pPr>
              <w:jc w:val="right"/>
              <w:ind w:right="618"/>
              <w:spacing w:after="0"/>
              <w:rPr>
                <w:sz w:val="20"/>
                <w:szCs w:val="20"/>
                <w:color w:val="auto"/>
              </w:rPr>
            </w:pPr>
            <w:r>
              <w:rPr>
                <w:rFonts w:ascii="Arial" w:cs="Arial" w:eastAsia="Arial" w:hAnsi="Arial"/>
                <w:sz w:val="17"/>
                <w:szCs w:val="17"/>
                <w:color w:val="auto"/>
              </w:rPr>
              <w:t>26-3212879</w:t>
            </w:r>
          </w:p>
        </w:tc>
      </w:tr>
      <w:tr>
        <w:trPr>
          <w:trHeight w:val="241"/>
        </w:trPr>
        <w:tc>
          <w:tcPr>
            <w:tcW w:w="4720" w:type="dxa"/>
            <w:vAlign w:val="bottom"/>
          </w:tcPr>
          <w:p>
            <w:pPr>
              <w:jc w:val="center"/>
              <w:ind w:right="897"/>
              <w:spacing w:after="0"/>
              <w:rPr>
                <w:sz w:val="20"/>
                <w:szCs w:val="20"/>
                <w:color w:val="auto"/>
              </w:rPr>
            </w:pPr>
            <w:r>
              <w:rPr>
                <w:rFonts w:ascii="Arial" w:cs="Arial" w:eastAsia="Arial" w:hAnsi="Arial"/>
                <w:sz w:val="16"/>
                <w:szCs w:val="16"/>
                <w:color w:val="auto"/>
                <w:w w:val="90"/>
              </w:rPr>
              <w:t>(State or other jurisdiction of incorporation or organization)</w:t>
            </w:r>
          </w:p>
        </w:tc>
        <w:tc>
          <w:tcPr>
            <w:tcW w:w="3260" w:type="dxa"/>
            <w:vAlign w:val="bottom"/>
          </w:tcPr>
          <w:p>
            <w:pPr>
              <w:jc w:val="center"/>
              <w:ind w:left="918"/>
              <w:spacing w:after="0"/>
              <w:rPr>
                <w:sz w:val="20"/>
                <w:szCs w:val="20"/>
                <w:color w:val="auto"/>
              </w:rPr>
            </w:pPr>
            <w:r>
              <w:rPr>
                <w:rFonts w:ascii="Arial" w:cs="Arial" w:eastAsia="Arial" w:hAnsi="Arial"/>
                <w:sz w:val="16"/>
                <w:szCs w:val="16"/>
                <w:color w:val="auto"/>
                <w:w w:val="91"/>
              </w:rPr>
              <w:t>(I.R.S. Employer Identification No.)</w:t>
            </w:r>
          </w:p>
        </w:tc>
      </w:tr>
      <w:tr>
        <w:trPr>
          <w:trHeight w:val="306"/>
        </w:trPr>
        <w:tc>
          <w:tcPr>
            <w:tcW w:w="4720" w:type="dxa"/>
            <w:vAlign w:val="bottom"/>
          </w:tcPr>
          <w:p>
            <w:pPr>
              <w:jc w:val="center"/>
              <w:ind w:right="917"/>
              <w:spacing w:after="0"/>
              <w:rPr>
                <w:sz w:val="20"/>
                <w:szCs w:val="20"/>
                <w:color w:val="auto"/>
              </w:rPr>
            </w:pPr>
            <w:r>
              <w:rPr>
                <w:rFonts w:ascii="Arial" w:cs="Arial" w:eastAsia="Arial" w:hAnsi="Arial"/>
                <w:sz w:val="17"/>
                <w:szCs w:val="17"/>
                <w:color w:val="auto"/>
                <w:w w:val="92"/>
              </w:rPr>
              <w:t>11440 Tomahawk Creek Parkway</w:t>
            </w:r>
          </w:p>
        </w:tc>
        <w:tc>
          <w:tcPr>
            <w:tcW w:w="3260" w:type="dxa"/>
            <w:vAlign w:val="bottom"/>
          </w:tcPr>
          <w:p>
            <w:pPr>
              <w:spacing w:after="0"/>
              <w:rPr>
                <w:sz w:val="24"/>
                <w:szCs w:val="24"/>
                <w:color w:val="auto"/>
              </w:rPr>
            </w:pPr>
          </w:p>
        </w:tc>
      </w:tr>
      <w:tr>
        <w:trPr>
          <w:trHeight w:val="260"/>
        </w:trPr>
        <w:tc>
          <w:tcPr>
            <w:tcW w:w="4720" w:type="dxa"/>
            <w:vAlign w:val="bottom"/>
          </w:tcPr>
          <w:p>
            <w:pPr>
              <w:ind w:left="1100"/>
              <w:spacing w:after="0"/>
              <w:rPr>
                <w:sz w:val="20"/>
                <w:szCs w:val="20"/>
                <w:color w:val="auto"/>
              </w:rPr>
            </w:pPr>
            <w:r>
              <w:rPr>
                <w:rFonts w:ascii="Arial" w:cs="Arial" w:eastAsia="Arial" w:hAnsi="Arial"/>
                <w:sz w:val="17"/>
                <w:szCs w:val="17"/>
                <w:color w:val="auto"/>
              </w:rPr>
              <w:t>Leawood,  KS</w:t>
            </w:r>
          </w:p>
        </w:tc>
        <w:tc>
          <w:tcPr>
            <w:tcW w:w="3260" w:type="dxa"/>
            <w:vAlign w:val="bottom"/>
          </w:tcPr>
          <w:p>
            <w:pPr>
              <w:jc w:val="right"/>
              <w:ind w:right="838"/>
              <w:spacing w:after="0"/>
              <w:rPr>
                <w:sz w:val="20"/>
                <w:szCs w:val="20"/>
                <w:color w:val="auto"/>
              </w:rPr>
            </w:pPr>
            <w:r>
              <w:rPr>
                <w:rFonts w:ascii="Arial" w:cs="Arial" w:eastAsia="Arial" w:hAnsi="Arial"/>
                <w:sz w:val="17"/>
                <w:szCs w:val="17"/>
                <w:color w:val="auto"/>
              </w:rPr>
              <w:t>66211</w:t>
            </w:r>
          </w:p>
        </w:tc>
      </w:tr>
      <w:tr>
        <w:trPr>
          <w:trHeight w:val="241"/>
        </w:trPr>
        <w:tc>
          <w:tcPr>
            <w:tcW w:w="4720" w:type="dxa"/>
            <w:vAlign w:val="bottom"/>
          </w:tcPr>
          <w:p>
            <w:pPr>
              <w:jc w:val="center"/>
              <w:ind w:right="917"/>
              <w:spacing w:after="0"/>
              <w:rPr>
                <w:sz w:val="20"/>
                <w:szCs w:val="20"/>
                <w:color w:val="auto"/>
              </w:rPr>
            </w:pPr>
            <w:r>
              <w:rPr>
                <w:rFonts w:ascii="Arial" w:cs="Arial" w:eastAsia="Arial" w:hAnsi="Arial"/>
                <w:sz w:val="16"/>
                <w:szCs w:val="16"/>
                <w:color w:val="auto"/>
                <w:w w:val="90"/>
              </w:rPr>
              <w:t>(Address of principal executive offices)</w:t>
            </w:r>
          </w:p>
        </w:tc>
        <w:tc>
          <w:tcPr>
            <w:tcW w:w="3260" w:type="dxa"/>
            <w:vAlign w:val="bottom"/>
          </w:tcPr>
          <w:p>
            <w:pPr>
              <w:jc w:val="center"/>
              <w:ind w:left="918"/>
              <w:spacing w:after="0"/>
              <w:rPr>
                <w:sz w:val="20"/>
                <w:szCs w:val="20"/>
                <w:color w:val="auto"/>
              </w:rPr>
            </w:pPr>
            <w:r>
              <w:rPr>
                <w:rFonts w:ascii="Arial" w:cs="Arial" w:eastAsia="Arial" w:hAnsi="Arial"/>
                <w:sz w:val="16"/>
                <w:szCs w:val="16"/>
                <w:color w:val="auto"/>
                <w:w w:val="92"/>
              </w:rPr>
              <w:t>(Zip Code)</w:t>
            </w:r>
          </w:p>
        </w:tc>
      </w:tr>
    </w:tbl>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(913) 312-6822</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N/A</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15" w:lineRule="exact"/>
        <w:rPr>
          <w:sz w:val="24"/>
          <w:szCs w:val="24"/>
          <w:color w:val="auto"/>
        </w:rPr>
      </w:pPr>
    </w:p>
    <w:tbl>
      <w:tblPr>
        <w:tblLayout w:type="fixed"/>
        <w:tblInd w:w="280" w:type="dxa"/>
        <w:tblCellMar>
          <w:top w:w="0" w:type="dxa"/>
          <w:left w:w="0" w:type="dxa"/>
          <w:bottom w:w="0" w:type="dxa"/>
          <w:right w:w="0" w:type="dxa"/>
        </w:tblCellMar>
      </w:tblPr>
      <w:tr>
        <w:trPr>
          <w:trHeight w:val="227"/>
        </w:trPr>
        <w:tc>
          <w:tcPr>
            <w:tcW w:w="4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Title of each class</w:t>
            </w:r>
          </w:p>
        </w:tc>
        <w:tc>
          <w:tcPr>
            <w:tcW w:w="20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Trading Symbol</w:t>
            </w:r>
          </w:p>
        </w:tc>
        <w:tc>
          <w:tcPr>
            <w:tcW w:w="4460" w:type="dxa"/>
            <w:vAlign w:val="bottom"/>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6"/>
        </w:trPr>
        <w:tc>
          <w:tcPr>
            <w:tcW w:w="4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27"/>
        </w:trPr>
        <w:tc>
          <w:tcPr>
            <w:tcW w:w="422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Common Stock, par value $0.01 per share</w:t>
            </w:r>
          </w:p>
        </w:tc>
        <w:tc>
          <w:tcPr>
            <w:tcW w:w="2020" w:type="dxa"/>
            <w:vAlign w:val="bottom"/>
            <w:gridSpan w:val="2"/>
          </w:tcPr>
          <w:p>
            <w:pPr>
              <w:jc w:val="center"/>
              <w:ind w:right="240"/>
              <w:spacing w:after="0"/>
              <w:rPr>
                <w:sz w:val="20"/>
                <w:szCs w:val="20"/>
                <w:color w:val="auto"/>
              </w:rPr>
            </w:pPr>
            <w:r>
              <w:rPr>
                <w:rFonts w:ascii="Arial" w:cs="Arial" w:eastAsia="Arial" w:hAnsi="Arial"/>
                <w:sz w:val="17"/>
                <w:szCs w:val="17"/>
                <w:color w:val="auto"/>
                <w:w w:val="99"/>
              </w:rPr>
              <w:t>CFB</w:t>
            </w:r>
          </w:p>
        </w:tc>
        <w:tc>
          <w:tcPr>
            <w:tcW w:w="4460" w:type="dxa"/>
            <w:vAlign w:val="bottom"/>
          </w:tcPr>
          <w:p>
            <w:pPr>
              <w:jc w:val="center"/>
              <w:spacing w:after="0"/>
              <w:rPr>
                <w:sz w:val="20"/>
                <w:szCs w:val="20"/>
                <w:color w:val="auto"/>
              </w:rPr>
            </w:pPr>
            <w:r>
              <w:rPr>
                <w:rFonts w:ascii="Arial" w:cs="Arial" w:eastAsia="Arial" w:hAnsi="Arial"/>
                <w:sz w:val="17"/>
                <w:szCs w:val="17"/>
                <w:color w:val="auto"/>
                <w:w w:val="94"/>
              </w:rPr>
              <w:t>The Nasdaq Stock Market LLC</w:t>
            </w:r>
          </w:p>
        </w:tc>
      </w:tr>
    </w:tbl>
    <w:p>
      <w:pPr>
        <w:spacing w:after="0" w:line="248" w:lineRule="exact"/>
        <w:rPr>
          <w:sz w:val="24"/>
          <w:szCs w:val="24"/>
          <w:color w:val="auto"/>
        </w:rPr>
      </w:pPr>
    </w:p>
    <w:p>
      <w:pPr>
        <w:jc w:val="both"/>
        <w:ind w:right="140"/>
        <w:spacing w:after="0" w:line="25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0" w:lineRule="exact"/>
        <w:rPr>
          <w:sz w:val="24"/>
          <w:szCs w:val="24"/>
          <w:color w:val="auto"/>
        </w:rPr>
      </w:pPr>
    </w:p>
    <w:p>
      <w:pPr>
        <w:ind w:right="480"/>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26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7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820"/>
              <w:spacing w:after="0"/>
              <w:rPr>
                <w:sz w:val="20"/>
                <w:szCs w:val="20"/>
                <w:color w:val="auto"/>
              </w:rPr>
            </w:pPr>
            <w:r>
              <w:rPr>
                <w:rFonts w:ascii="Arial" w:cs="Arial" w:eastAsia="Arial" w:hAnsi="Arial"/>
                <w:sz w:val="17"/>
                <w:szCs w:val="17"/>
                <w:color w:val="auto"/>
              </w:rPr>
              <w:t>Accelerated filer</w:t>
            </w:r>
          </w:p>
        </w:tc>
        <w:tc>
          <w:tcPr>
            <w:tcW w:w="920" w:type="dxa"/>
            <w:vAlign w:val="bottom"/>
          </w:tcPr>
          <w:p>
            <w:pPr>
              <w:ind w:left="7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0"/>
        </w:trPr>
        <w:tc>
          <w:tcPr>
            <w:tcW w:w="2640" w:type="dxa"/>
            <w:vAlign w:val="bottom"/>
          </w:tcPr>
          <w:p>
            <w:pPr>
              <w:spacing w:after="0"/>
              <w:rPr>
                <w:sz w:val="20"/>
                <w:szCs w:val="20"/>
                <w:color w:val="auto"/>
              </w:rPr>
            </w:pPr>
            <w:r>
              <w:rPr>
                <w:rFonts w:ascii="Arial" w:cs="Arial" w:eastAsia="Arial" w:hAnsi="Arial"/>
                <w:sz w:val="17"/>
                <w:szCs w:val="17"/>
                <w:color w:val="auto"/>
              </w:rPr>
              <w:t>Non-accelerated filer</w:t>
            </w:r>
          </w:p>
        </w:tc>
        <w:tc>
          <w:tcPr>
            <w:tcW w:w="17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820"/>
              <w:spacing w:after="0"/>
              <w:rPr>
                <w:sz w:val="20"/>
                <w:szCs w:val="20"/>
                <w:color w:val="auto"/>
              </w:rPr>
            </w:pPr>
            <w:r>
              <w:rPr>
                <w:rFonts w:ascii="Arial" w:cs="Arial" w:eastAsia="Arial" w:hAnsi="Arial"/>
                <w:sz w:val="17"/>
                <w:szCs w:val="17"/>
                <w:color w:val="auto"/>
              </w:rPr>
              <w:t>Smaller reporting company</w:t>
            </w:r>
          </w:p>
        </w:tc>
        <w:tc>
          <w:tcPr>
            <w:tcW w:w="920" w:type="dxa"/>
            <w:vAlign w:val="bottom"/>
          </w:tcPr>
          <w:p>
            <w:pPr>
              <w:ind w:left="7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64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7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321" w:lineRule="exact"/>
        <w:rPr>
          <w:sz w:val="24"/>
          <w:szCs w:val="24"/>
          <w:color w:val="auto"/>
        </w:rPr>
      </w:pPr>
    </w:p>
    <w:p>
      <w:pPr>
        <w:ind w:right="38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80" w:lineRule="exact"/>
        <w:rPr>
          <w:sz w:val="24"/>
          <w:szCs w:val="24"/>
          <w:color w:val="auto"/>
        </w:rPr>
      </w:pPr>
    </w:p>
    <w:p>
      <w:pPr>
        <w:spacing w:after="0"/>
        <w:rPr>
          <w:sz w:val="20"/>
          <w:szCs w:val="20"/>
          <w:color w:val="auto"/>
        </w:rPr>
      </w:pPr>
      <w:r>
        <w:rPr>
          <w:rFonts w:ascii="Arial" w:cs="Arial" w:eastAsia="Arial" w:hAnsi="Arial"/>
          <w:sz w:val="17"/>
          <w:szCs w:val="17"/>
          <w:color w:val="auto"/>
        </w:rPr>
        <w:t>As of May 5, 2021, the registrant had 51,580,761 shares of common stock, par value $0.01,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716280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00" w:type="dxa"/>
            <w:vAlign w:val="bottom"/>
            <w:gridSpan w:val="8"/>
          </w:tcPr>
          <w:p>
            <w:pPr>
              <w:jc w:val="center"/>
              <w:ind w:right="3820"/>
              <w:spacing w:after="0"/>
              <w:rPr>
                <w:sz w:val="20"/>
                <w:szCs w:val="20"/>
                <w:color w:val="auto"/>
              </w:rPr>
            </w:pPr>
            <w:r>
              <w:rPr>
                <w:rFonts w:ascii="Arial" w:cs="Arial" w:eastAsia="Arial" w:hAnsi="Arial"/>
                <w:sz w:val="21"/>
                <w:szCs w:val="21"/>
                <w:color w:val="auto"/>
                <w:w w:val="88"/>
              </w:rPr>
              <w:t>CrossFirst Bankshares, Inc.</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3"/>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0" w:type="dxa"/>
            <w:vAlign w:val="bottom"/>
            <w:gridSpan w:val="14"/>
          </w:tcPr>
          <w:p>
            <w:pPr>
              <w:jc w:val="center"/>
              <w:ind w:right="2900"/>
              <w:spacing w:after="0" w:line="233" w:lineRule="exact"/>
              <w:rPr>
                <w:sz w:val="20"/>
                <w:szCs w:val="20"/>
                <w:color w:val="auto"/>
              </w:rPr>
            </w:pPr>
            <w:r>
              <w:rPr>
                <w:rFonts w:ascii="Arial" w:cs="Arial" w:eastAsia="Arial" w:hAnsi="Arial"/>
                <w:sz w:val="21"/>
                <w:szCs w:val="21"/>
                <w:color w:val="auto"/>
                <w:w w:val="90"/>
              </w:rPr>
              <w:t>Form 10-Q for the Quarter Ended March 31, 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7"/>
        </w:trPr>
        <w:tc>
          <w:tcPr>
            <w:tcW w:w="10680" w:type="dxa"/>
            <w:vAlign w:val="bottom"/>
            <w:gridSpan w:val="42"/>
          </w:tcPr>
          <w:p>
            <w:pPr>
              <w:spacing w:after="0"/>
              <w:rPr>
                <w:sz w:val="20"/>
                <w:szCs w:val="20"/>
                <w:color w:val="auto"/>
              </w:rPr>
            </w:pPr>
            <w:r>
              <w:rPr>
                <w:rFonts w:ascii="Arial" w:cs="Arial" w:eastAsia="Arial" w:hAnsi="Arial"/>
                <w:sz w:val="24"/>
                <w:szCs w:val="24"/>
                <w:b w:val="1"/>
                <w:bCs w:val="1"/>
                <w:color w:val="auto"/>
              </w:rPr>
              <w:t>Index</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10680" w:type="dxa"/>
            <w:vAlign w:val="bottom"/>
            <w:gridSpan w:val="42"/>
          </w:tcPr>
          <w:p>
            <w:pPr>
              <w:ind w:left="120"/>
              <w:spacing w:after="0"/>
              <w:rPr>
                <w:sz w:val="20"/>
                <w:szCs w:val="20"/>
                <w:color w:val="auto"/>
              </w:rPr>
            </w:pPr>
            <w:r>
              <w:rPr>
                <w:rFonts w:ascii="Arial" w:cs="Arial" w:eastAsia="Arial" w:hAnsi="Arial"/>
                <w:sz w:val="17"/>
                <w:szCs w:val="17"/>
                <w:color w:val="auto"/>
              </w:rPr>
              <w:t>Part I. Financial Information</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0"/>
        </w:trPr>
        <w:tc>
          <w:tcPr>
            <w:tcW w:w="220" w:type="dxa"/>
            <w:vAlign w:val="bottom"/>
          </w:tcPr>
          <w:p>
            <w:pPr>
              <w:spacing w:after="0"/>
              <w:rPr>
                <w:sz w:val="22"/>
                <w:szCs w:val="22"/>
                <w:color w:val="auto"/>
              </w:rPr>
            </w:pPr>
          </w:p>
        </w:tc>
        <w:tc>
          <w:tcPr>
            <w:tcW w:w="10460" w:type="dxa"/>
            <w:vAlign w:val="bottom"/>
            <w:gridSpan w:val="41"/>
          </w:tcPr>
          <w:p>
            <w:pPr>
              <w:spacing w:after="0"/>
              <w:rPr>
                <w:sz w:val="20"/>
                <w:szCs w:val="20"/>
                <w:color w:val="auto"/>
              </w:rPr>
            </w:pPr>
            <w:r>
              <w:rPr>
                <w:rFonts w:ascii="Arial" w:cs="Arial" w:eastAsia="Arial" w:hAnsi="Arial"/>
                <w:sz w:val="17"/>
                <w:szCs w:val="17"/>
                <w:color w:val="auto"/>
              </w:rPr>
              <w:t>Item 1. Financial Statements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2"/>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18"/>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Forward-Looking Information</w:t>
              </w:r>
            </w:hyperlink>
          </w:p>
        </w:tc>
        <w:tc>
          <w:tcPr>
            <w:tcW w:w="8140" w:type="dxa"/>
            <w:vAlign w:val="bottom"/>
            <w:gridSpan w:val="22"/>
          </w:tcPr>
          <w:p>
            <w:pPr>
              <w:spacing w:after="0"/>
              <w:rPr>
                <w:sz w:val="19"/>
                <w:szCs w:val="19"/>
                <w:color w:val="auto"/>
              </w:rPr>
            </w:pPr>
          </w:p>
        </w:tc>
        <w:tc>
          <w:tcPr>
            <w:tcW w:w="16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3</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4"/>
          </w:tcPr>
          <w:p>
            <w:pPr>
              <w:spacing w:after="0"/>
              <w:rPr>
                <w:rFonts w:ascii="Arial" w:cs="Arial" w:eastAsia="Arial" w:hAnsi="Arial"/>
                <w:sz w:val="17"/>
                <w:szCs w:val="17"/>
                <w:color w:val="0000FF"/>
                <w:w w:val="89"/>
              </w:rPr>
            </w:pPr>
            <w:hyperlink w:anchor="page3">
              <w:r>
                <w:rPr>
                  <w:rFonts w:ascii="Arial" w:cs="Arial" w:eastAsia="Arial" w:hAnsi="Arial"/>
                  <w:sz w:val="17"/>
                  <w:szCs w:val="17"/>
                  <w:color w:val="0000FF"/>
                  <w:w w:val="89"/>
                </w:rPr>
                <w:t>Consolidated Balance Sheets - Unaudited</w:t>
              </w:r>
            </w:hyperlink>
          </w:p>
        </w:tc>
        <w:tc>
          <w:tcPr>
            <w:tcW w:w="7480" w:type="dxa"/>
            <w:vAlign w:val="bottom"/>
            <w:gridSpan w:val="16"/>
          </w:tcPr>
          <w:p>
            <w:pPr>
              <w:spacing w:after="0"/>
              <w:rPr>
                <w:sz w:val="20"/>
                <w:szCs w:val="20"/>
                <w:color w:val="auto"/>
              </w:rPr>
            </w:pPr>
          </w:p>
        </w:tc>
        <w:tc>
          <w:tcPr>
            <w:tcW w:w="160" w:type="dxa"/>
            <w:vAlign w:val="bottom"/>
            <w:gridSpan w:val="2"/>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gridSpan w:val="27"/>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Consolidated Statements of Income - Unaudited</w:t>
              </w:r>
            </w:hyperlink>
          </w:p>
        </w:tc>
        <w:tc>
          <w:tcPr>
            <w:tcW w:w="7000" w:type="dxa"/>
            <w:vAlign w:val="bottom"/>
            <w:gridSpan w:val="13"/>
          </w:tcPr>
          <w:p>
            <w:pPr>
              <w:spacing w:after="0"/>
              <w:rPr>
                <w:sz w:val="20"/>
                <w:szCs w:val="20"/>
                <w:color w:val="auto"/>
              </w:rPr>
            </w:pPr>
          </w:p>
        </w:tc>
        <w:tc>
          <w:tcPr>
            <w:tcW w:w="160" w:type="dxa"/>
            <w:vAlign w:val="bottom"/>
            <w:gridSpan w:val="2"/>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5"/>
          </w:tcPr>
          <w:p>
            <w:pPr>
              <w:spacing w:after="0"/>
              <w:rPr>
                <w:rFonts w:ascii="Arial" w:cs="Arial" w:eastAsia="Arial" w:hAnsi="Arial"/>
                <w:sz w:val="17"/>
                <w:szCs w:val="17"/>
                <w:color w:val="0000FF"/>
                <w:w w:val="91"/>
              </w:rPr>
            </w:pPr>
            <w:hyperlink w:anchor="page5">
              <w:r>
                <w:rPr>
                  <w:rFonts w:ascii="Arial" w:cs="Arial" w:eastAsia="Arial" w:hAnsi="Arial"/>
                  <w:sz w:val="17"/>
                  <w:szCs w:val="17"/>
                  <w:color w:val="0000FF"/>
                  <w:w w:val="91"/>
                </w:rPr>
                <w:t>Consolidated Statements of Comprehensive Income - Unaudited</w:t>
              </w:r>
            </w:hyperlink>
          </w:p>
        </w:tc>
        <w:tc>
          <w:tcPr>
            <w:tcW w:w="5860" w:type="dxa"/>
            <w:vAlign w:val="bottom"/>
            <w:gridSpan w:val="5"/>
          </w:tcPr>
          <w:p>
            <w:pPr>
              <w:spacing w:after="0"/>
              <w:rPr>
                <w:sz w:val="20"/>
                <w:szCs w:val="20"/>
                <w:color w:val="auto"/>
              </w:rPr>
            </w:pPr>
          </w:p>
        </w:tc>
        <w:tc>
          <w:tcPr>
            <w:tcW w:w="160" w:type="dxa"/>
            <w:vAlign w:val="bottom"/>
            <w:gridSpan w:val="2"/>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5"/>
          </w:tcPr>
          <w:p>
            <w:pPr>
              <w:spacing w:after="0"/>
              <w:rPr>
                <w:rFonts w:ascii="Arial" w:cs="Arial" w:eastAsia="Arial" w:hAnsi="Arial"/>
                <w:sz w:val="17"/>
                <w:szCs w:val="17"/>
                <w:color w:val="0000FF"/>
                <w:w w:val="96"/>
              </w:rPr>
            </w:pPr>
            <w:hyperlink w:anchor="page6">
              <w:r>
                <w:rPr>
                  <w:rFonts w:ascii="Arial" w:cs="Arial" w:eastAsia="Arial" w:hAnsi="Arial"/>
                  <w:sz w:val="17"/>
                  <w:szCs w:val="17"/>
                  <w:color w:val="0000FF"/>
                  <w:w w:val="96"/>
                </w:rPr>
                <w:t>Consolidated Statements of Stockholders’ Equity - Unaudited</w:t>
              </w:r>
            </w:hyperlink>
          </w:p>
        </w:tc>
        <w:tc>
          <w:tcPr>
            <w:tcW w:w="5860" w:type="dxa"/>
            <w:vAlign w:val="bottom"/>
            <w:gridSpan w:val="5"/>
          </w:tcPr>
          <w:p>
            <w:pPr>
              <w:spacing w:after="0"/>
              <w:rPr>
                <w:sz w:val="20"/>
                <w:szCs w:val="20"/>
                <w:color w:val="auto"/>
              </w:rPr>
            </w:pPr>
          </w:p>
        </w:tc>
        <w:tc>
          <w:tcPr>
            <w:tcW w:w="160" w:type="dxa"/>
            <w:vAlign w:val="bottom"/>
            <w:gridSpan w:val="2"/>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35"/>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Consolidated Statements of Cash Flows - Unaudited</w:t>
              </w:r>
            </w:hyperlink>
          </w:p>
        </w:tc>
        <w:tc>
          <w:tcPr>
            <w:tcW w:w="5860" w:type="dxa"/>
            <w:vAlign w:val="bottom"/>
            <w:gridSpan w:val="5"/>
          </w:tcPr>
          <w:p>
            <w:pPr>
              <w:spacing w:after="0"/>
              <w:rPr>
                <w:sz w:val="20"/>
                <w:szCs w:val="20"/>
                <w:color w:val="auto"/>
              </w:rPr>
            </w:pPr>
          </w:p>
        </w:tc>
        <w:tc>
          <w:tcPr>
            <w:tcW w:w="160" w:type="dxa"/>
            <w:vAlign w:val="bottom"/>
            <w:gridSpan w:val="2"/>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9"/>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40" w:type="dxa"/>
            <w:vAlign w:val="bottom"/>
            <w:gridSpan w:val="40"/>
          </w:tcPr>
          <w:p>
            <w:pPr>
              <w:spacing w:after="0"/>
              <w:rPr>
                <w:sz w:val="20"/>
                <w:szCs w:val="20"/>
                <w:color w:val="auto"/>
              </w:rPr>
            </w:pPr>
            <w:r>
              <w:rPr>
                <w:rFonts w:ascii="Arial" w:cs="Arial" w:eastAsia="Arial" w:hAnsi="Arial"/>
                <w:sz w:val="17"/>
                <w:szCs w:val="17"/>
                <w:color w:val="auto"/>
              </w:rPr>
              <w:t>Notes to Consolidated Financial Statements (unaudited)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40" w:type="dxa"/>
            <w:vAlign w:val="bottom"/>
            <w:gridSpan w:val="39"/>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Note 1: Nature of Operations and Summary of Significant Accounting Policies</w:t>
              </w:r>
            </w:hyperlink>
          </w:p>
        </w:tc>
        <w:tc>
          <w:tcPr>
            <w:tcW w:w="160" w:type="dxa"/>
            <w:vAlign w:val="bottom"/>
            <w:gridSpan w:val="2"/>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gridSpan w:val="39"/>
          </w:tcPr>
          <w:p>
            <w:pPr>
              <w:spacing w:after="0"/>
              <w:rPr>
                <w:rFonts w:ascii="Arial" w:cs="Arial" w:eastAsia="Arial" w:hAnsi="Arial"/>
                <w:sz w:val="17"/>
                <w:szCs w:val="17"/>
                <w:color w:val="0000FF"/>
              </w:rPr>
            </w:pPr>
            <w:hyperlink w:anchor="page10">
              <w:r>
                <w:rPr>
                  <w:rFonts w:ascii="Arial" w:cs="Arial" w:eastAsia="Arial" w:hAnsi="Arial"/>
                  <w:sz w:val="17"/>
                  <w:szCs w:val="17"/>
                  <w:color w:val="0000FF"/>
                </w:rPr>
                <w:t>Note 2: Earnings Per Share</w:t>
              </w:r>
            </w:hyperlink>
          </w:p>
        </w:tc>
        <w:tc>
          <w:tcPr>
            <w:tcW w:w="160" w:type="dxa"/>
            <w:vAlign w:val="bottom"/>
            <w:gridSpan w:val="2"/>
          </w:tcPr>
          <w:p>
            <w:pPr>
              <w:spacing w:after="0"/>
              <w:rPr>
                <w:rFonts w:ascii="Arial" w:cs="Arial" w:eastAsia="Arial" w:hAnsi="Arial"/>
                <w:sz w:val="17"/>
                <w:szCs w:val="17"/>
                <w:color w:val="0000FF"/>
                <w:w w:val="73"/>
              </w:rPr>
            </w:pPr>
            <w:hyperlink w:anchor="page10">
              <w:r>
                <w:rPr>
                  <w:rFonts w:ascii="Arial" w:cs="Arial" w:eastAsia="Arial" w:hAnsi="Arial"/>
                  <w:sz w:val="17"/>
                  <w:szCs w:val="17"/>
                  <w:color w:val="0000FF"/>
                  <w:w w:val="73"/>
                </w:rPr>
                <w:t>11</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0000FF"/>
              <w:bottom w:val="single" w:sz="8" w:color="0000FF"/>
            </w:tcBorders>
            <w:gridSpan w:val="6"/>
          </w:tcPr>
          <w:p>
            <w:pPr>
              <w:spacing w:after="0"/>
              <w:rPr>
                <w:rFonts w:ascii="Arial" w:cs="Arial" w:eastAsia="Arial" w:hAnsi="Arial"/>
                <w:sz w:val="17"/>
                <w:szCs w:val="17"/>
                <w:color w:val="0000FF"/>
                <w:w w:val="92"/>
              </w:rPr>
            </w:pPr>
            <w:hyperlink w:anchor="page11">
              <w:r>
                <w:rPr>
                  <w:rFonts w:ascii="Arial" w:cs="Arial" w:eastAsia="Arial" w:hAnsi="Arial"/>
                  <w:sz w:val="17"/>
                  <w:szCs w:val="17"/>
                  <w:color w:val="0000FF"/>
                  <w:w w:val="92"/>
                </w:rPr>
                <w:t>Note 3: Securities</w:t>
              </w:r>
            </w:hyperlink>
          </w:p>
        </w:tc>
        <w:tc>
          <w:tcPr>
            <w:tcW w:w="620" w:type="dxa"/>
            <w:vAlign w:val="bottom"/>
            <w:tcBorders>
              <w:top w:val="single" w:sz="8" w:color="0000FF"/>
            </w:tcBorders>
            <w:gridSpan w:val="7"/>
          </w:tcPr>
          <w:p>
            <w:pPr>
              <w:spacing w:after="0"/>
              <w:rPr>
                <w:sz w:val="20"/>
                <w:szCs w:val="20"/>
                <w:color w:val="auto"/>
              </w:rPr>
            </w:pPr>
          </w:p>
        </w:tc>
        <w:tc>
          <w:tcPr>
            <w:tcW w:w="8360" w:type="dxa"/>
            <w:vAlign w:val="bottom"/>
            <w:gridSpan w:val="26"/>
          </w:tcPr>
          <w:p>
            <w:pPr>
              <w:spacing w:after="0"/>
              <w:rPr>
                <w:sz w:val="20"/>
                <w:szCs w:val="20"/>
                <w:color w:val="auto"/>
              </w:rPr>
            </w:pPr>
          </w:p>
        </w:tc>
        <w:tc>
          <w:tcPr>
            <w:tcW w:w="16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11">
              <w:r>
                <w:rPr>
                  <w:rFonts w:ascii="Arial" w:cs="Arial" w:eastAsia="Arial" w:hAnsi="Arial"/>
                  <w:sz w:val="17"/>
                  <w:szCs w:val="17"/>
                  <w:color w:val="0000FF"/>
                  <w:w w:val="73"/>
                </w:rPr>
                <w:t>12</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Borders>
              <w:bottom w:val="single" w:sz="8" w:color="0000FF"/>
            </w:tcBorders>
            <w:gridSpan w:val="34"/>
          </w:tcPr>
          <w:p>
            <w:pPr>
              <w:spacing w:after="0"/>
              <w:rPr>
                <w:rFonts w:ascii="Arial" w:cs="Arial" w:eastAsia="Arial" w:hAnsi="Arial"/>
                <w:sz w:val="17"/>
                <w:szCs w:val="17"/>
                <w:color w:val="0000FF"/>
              </w:rPr>
            </w:pPr>
            <w:hyperlink w:anchor="page15">
              <w:r>
                <w:rPr>
                  <w:rFonts w:ascii="Arial" w:cs="Arial" w:eastAsia="Arial" w:hAnsi="Arial"/>
                  <w:sz w:val="17"/>
                  <w:szCs w:val="17"/>
                  <w:color w:val="0000FF"/>
                </w:rPr>
                <w:t>Note 4: Loans and Allowance for Loan Losses (“ALLL”</w:t>
              </w:r>
            </w:hyperlink>
            <w:r>
              <w:rPr>
                <w:rFonts w:ascii="Arial" w:cs="Arial" w:eastAsia="Arial" w:hAnsi="Arial"/>
                <w:sz w:val="17"/>
                <w:szCs w:val="17"/>
                <w:color w:val="000000"/>
              </w:rPr>
              <w:t>)</w:t>
            </w:r>
          </w:p>
        </w:tc>
        <w:tc>
          <w:tcPr>
            <w:tcW w:w="5860" w:type="dxa"/>
            <w:vAlign w:val="bottom"/>
            <w:gridSpan w:val="5"/>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15</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0000FF"/>
            </w:tcBorders>
            <w:gridSpan w:val="20"/>
          </w:tcPr>
          <w:p>
            <w:pPr>
              <w:spacing w:after="0"/>
              <w:rPr>
                <w:rFonts w:ascii="Arial" w:cs="Arial" w:eastAsia="Arial" w:hAnsi="Arial"/>
                <w:sz w:val="17"/>
                <w:szCs w:val="17"/>
                <w:color w:val="0000FF"/>
                <w:w w:val="93"/>
              </w:rPr>
            </w:pPr>
            <w:hyperlink w:anchor="page24">
              <w:r>
                <w:rPr>
                  <w:rFonts w:ascii="Arial" w:cs="Arial" w:eastAsia="Arial" w:hAnsi="Arial"/>
                  <w:sz w:val="17"/>
                  <w:szCs w:val="17"/>
                  <w:color w:val="0000FF"/>
                  <w:w w:val="93"/>
                </w:rPr>
                <w:t>Note 5: Derivatives and Hedging</w:t>
              </w:r>
            </w:hyperlink>
          </w:p>
        </w:tc>
        <w:tc>
          <w:tcPr>
            <w:tcW w:w="7940" w:type="dxa"/>
            <w:vAlign w:val="bottom"/>
            <w:gridSpan w:val="19"/>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24">
              <w:r>
                <w:rPr>
                  <w:rFonts w:ascii="Arial" w:cs="Arial" w:eastAsia="Arial" w:hAnsi="Arial"/>
                  <w:sz w:val="17"/>
                  <w:szCs w:val="17"/>
                  <w:color w:val="0000FF"/>
                  <w:w w:val="73"/>
                </w:rPr>
                <w:t>24</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gridSpan w:val="39"/>
          </w:tcPr>
          <w:p>
            <w:pPr>
              <w:spacing w:after="0"/>
              <w:rPr>
                <w:rFonts w:ascii="Arial" w:cs="Arial" w:eastAsia="Arial" w:hAnsi="Arial"/>
                <w:sz w:val="17"/>
                <w:szCs w:val="17"/>
                <w:color w:val="0000FF"/>
              </w:rPr>
            </w:pPr>
            <w:hyperlink w:anchor="page25">
              <w:r>
                <w:rPr>
                  <w:rFonts w:ascii="Arial" w:cs="Arial" w:eastAsia="Arial" w:hAnsi="Arial"/>
                  <w:sz w:val="17"/>
                  <w:szCs w:val="17"/>
                  <w:color w:val="0000FF"/>
                </w:rPr>
                <w:t>Note 6: Time Deposits and Borrowings</w:t>
              </w:r>
            </w:hyperlink>
          </w:p>
        </w:tc>
        <w:tc>
          <w:tcPr>
            <w:tcW w:w="160" w:type="dxa"/>
            <w:vAlign w:val="bottom"/>
            <w:gridSpan w:val="2"/>
          </w:tcPr>
          <w:p>
            <w:pPr>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25</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tcBorders>
              <w:bottom w:val="single" w:sz="8" w:color="0000FF"/>
            </w:tcBorders>
            <w:gridSpan w:val="39"/>
          </w:tcPr>
          <w:p>
            <w:pPr>
              <w:spacing w:after="0"/>
              <w:rPr>
                <w:rFonts w:ascii="Arial" w:cs="Arial" w:eastAsia="Arial" w:hAnsi="Arial"/>
                <w:sz w:val="17"/>
                <w:szCs w:val="17"/>
                <w:color w:val="0000FF"/>
              </w:rPr>
            </w:pPr>
            <w:hyperlink w:anchor="page25">
              <w:r>
                <w:rPr>
                  <w:rFonts w:ascii="Arial" w:cs="Arial" w:eastAsia="Arial" w:hAnsi="Arial"/>
                  <w:sz w:val="17"/>
                  <w:szCs w:val="17"/>
                  <w:color w:val="0000FF"/>
                </w:rPr>
                <w:t>Note 7: Change in Accumulated Other Comprehensive Income (“AOCI”)</w:t>
              </w:r>
            </w:hyperlink>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25</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0000FF"/>
            </w:tcBorders>
            <w:gridSpan w:val="15"/>
          </w:tcPr>
          <w:p>
            <w:pPr>
              <w:spacing w:after="0"/>
              <w:rPr>
                <w:rFonts w:ascii="Arial" w:cs="Arial" w:eastAsia="Arial" w:hAnsi="Arial"/>
                <w:sz w:val="17"/>
                <w:szCs w:val="17"/>
                <w:color w:val="0000FF"/>
                <w:w w:val="95"/>
              </w:rPr>
            </w:pPr>
            <w:hyperlink w:anchor="page25">
              <w:r>
                <w:rPr>
                  <w:rFonts w:ascii="Arial" w:cs="Arial" w:eastAsia="Arial" w:hAnsi="Arial"/>
                  <w:sz w:val="17"/>
                  <w:szCs w:val="17"/>
                  <w:color w:val="0000FF"/>
                  <w:w w:val="95"/>
                </w:rPr>
                <w:t>Note 8: Regulatory Matters</w:t>
              </w:r>
            </w:hyperlink>
          </w:p>
        </w:tc>
        <w:tc>
          <w:tcPr>
            <w:tcW w:w="8280" w:type="dxa"/>
            <w:vAlign w:val="bottom"/>
            <w:gridSpan w:val="24"/>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25</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gridSpan w:val="39"/>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Note 9: Stock-Based Compensation</w:t>
              </w:r>
            </w:hyperlink>
          </w:p>
        </w:tc>
        <w:tc>
          <w:tcPr>
            <w:tcW w:w="160" w:type="dxa"/>
            <w:vAlign w:val="bottom"/>
            <w:gridSpan w:val="2"/>
          </w:tcPr>
          <w:p>
            <w:pPr>
              <w:spacing w:after="0"/>
              <w:rPr>
                <w:rFonts w:ascii="Arial" w:cs="Arial" w:eastAsia="Arial" w:hAnsi="Arial"/>
                <w:sz w:val="17"/>
                <w:szCs w:val="17"/>
                <w:color w:val="0000FF"/>
                <w:w w:val="73"/>
              </w:rPr>
            </w:pPr>
            <w:hyperlink w:anchor="page26">
              <w:r>
                <w:rPr>
                  <w:rFonts w:ascii="Arial" w:cs="Arial" w:eastAsia="Arial" w:hAnsi="Arial"/>
                  <w:sz w:val="17"/>
                  <w:szCs w:val="17"/>
                  <w:color w:val="0000FF"/>
                  <w:w w:val="73"/>
                </w:rPr>
                <w:t>26</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Borders>
              <w:top w:val="single" w:sz="8" w:color="0000FF"/>
            </w:tcBorders>
            <w:gridSpan w:val="21"/>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Note 10: Income Tax</w:t>
              </w:r>
            </w:hyperlink>
          </w:p>
        </w:tc>
        <w:tc>
          <w:tcPr>
            <w:tcW w:w="7760" w:type="dxa"/>
            <w:vAlign w:val="bottom"/>
            <w:gridSpan w:val="18"/>
          </w:tcPr>
          <w:p>
            <w:pPr>
              <w:spacing w:after="0"/>
              <w:rPr>
                <w:sz w:val="20"/>
                <w:szCs w:val="20"/>
                <w:color w:val="auto"/>
              </w:rPr>
            </w:pPr>
          </w:p>
        </w:tc>
        <w:tc>
          <w:tcPr>
            <w:tcW w:w="160" w:type="dxa"/>
            <w:vAlign w:val="bottom"/>
            <w:tcBorders>
              <w:top w:val="single" w:sz="8" w:color="0000FF"/>
            </w:tcBorders>
            <w:gridSpan w:val="2"/>
          </w:tcPr>
          <w:p>
            <w:pPr>
              <w:spacing w:after="0"/>
              <w:rPr>
                <w:rFonts w:ascii="Arial" w:cs="Arial" w:eastAsia="Arial" w:hAnsi="Arial"/>
                <w:sz w:val="17"/>
                <w:szCs w:val="17"/>
                <w:color w:val="0000FF"/>
                <w:w w:val="73"/>
              </w:rPr>
            </w:pPr>
            <w:hyperlink w:anchor="page27">
              <w:r>
                <w:rPr>
                  <w:rFonts w:ascii="Arial" w:cs="Arial" w:eastAsia="Arial" w:hAnsi="Arial"/>
                  <w:sz w:val="17"/>
                  <w:szCs w:val="17"/>
                  <w:color w:val="0000FF"/>
                  <w:w w:val="73"/>
                </w:rPr>
                <w:t>28</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Borders>
              <w:bottom w:val="single" w:sz="8" w:color="0000FF"/>
            </w:tcBorders>
            <w:gridSpan w:val="34"/>
          </w:tcPr>
          <w:p>
            <w:pPr>
              <w:spacing w:after="0"/>
              <w:rPr>
                <w:rFonts w:ascii="Arial" w:cs="Arial" w:eastAsia="Arial" w:hAnsi="Arial"/>
                <w:sz w:val="17"/>
                <w:szCs w:val="17"/>
                <w:color w:val="0000FF"/>
                <w:w w:val="92"/>
              </w:rPr>
            </w:pPr>
            <w:hyperlink w:anchor="page28">
              <w:r>
                <w:rPr>
                  <w:rFonts w:ascii="Arial" w:cs="Arial" w:eastAsia="Arial" w:hAnsi="Arial"/>
                  <w:sz w:val="17"/>
                  <w:szCs w:val="17"/>
                  <w:color w:val="0000FF"/>
                  <w:w w:val="92"/>
                </w:rPr>
                <w:t>Note 11: Disclosures about Fair Value of Financial Instruments</w:t>
              </w:r>
            </w:hyperlink>
          </w:p>
        </w:tc>
        <w:tc>
          <w:tcPr>
            <w:tcW w:w="5860" w:type="dxa"/>
            <w:vAlign w:val="bottom"/>
            <w:gridSpan w:val="5"/>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28">
              <w:r>
                <w:rPr>
                  <w:rFonts w:ascii="Arial" w:cs="Arial" w:eastAsia="Arial" w:hAnsi="Arial"/>
                  <w:sz w:val="17"/>
                  <w:szCs w:val="17"/>
                  <w:color w:val="0000FF"/>
                  <w:w w:val="73"/>
                </w:rPr>
                <w:t>28</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gridSpan w:val="39"/>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Note 12: Commitments and Credit Risk</w:t>
              </w:r>
            </w:hyperlink>
          </w:p>
        </w:tc>
        <w:tc>
          <w:tcPr>
            <w:tcW w:w="160" w:type="dxa"/>
            <w:vAlign w:val="bottom"/>
            <w:gridSpan w:val="2"/>
          </w:tcPr>
          <w:p>
            <w:pPr>
              <w:spacing w:after="0"/>
              <w:rPr>
                <w:rFonts w:ascii="Arial" w:cs="Arial" w:eastAsia="Arial" w:hAnsi="Arial"/>
                <w:sz w:val="17"/>
                <w:szCs w:val="17"/>
                <w:color w:val="0000FF"/>
                <w:w w:val="73"/>
              </w:rPr>
            </w:pPr>
            <w:hyperlink w:anchor="page32">
              <w:r>
                <w:rPr>
                  <w:rFonts w:ascii="Arial" w:cs="Arial" w:eastAsia="Arial" w:hAnsi="Arial"/>
                  <w:sz w:val="17"/>
                  <w:szCs w:val="17"/>
                  <w:color w:val="0000FF"/>
                  <w:w w:val="73"/>
                </w:rPr>
                <w:t>32</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Borders>
              <w:bottom w:val="single" w:sz="8" w:color="0000FF"/>
            </w:tcBorders>
            <w:gridSpan w:val="25"/>
          </w:tcPr>
          <w:p>
            <w:pPr>
              <w:spacing w:after="0"/>
              <w:rPr>
                <w:rFonts w:ascii="Arial" w:cs="Arial" w:eastAsia="Arial" w:hAnsi="Arial"/>
                <w:sz w:val="17"/>
                <w:szCs w:val="17"/>
                <w:color w:val="0000FF"/>
                <w:w w:val="91"/>
              </w:rPr>
            </w:pPr>
            <w:hyperlink w:anchor="page32">
              <w:r>
                <w:rPr>
                  <w:rFonts w:ascii="Arial" w:cs="Arial" w:eastAsia="Arial" w:hAnsi="Arial"/>
                  <w:sz w:val="17"/>
                  <w:szCs w:val="17"/>
                  <w:color w:val="0000FF"/>
                  <w:w w:val="91"/>
                </w:rPr>
                <w:t>Note 13: Legal and Regulatory Proceedings</w:t>
              </w:r>
            </w:hyperlink>
          </w:p>
        </w:tc>
        <w:tc>
          <w:tcPr>
            <w:tcW w:w="7200" w:type="dxa"/>
            <w:vAlign w:val="bottom"/>
            <w:gridSpan w:val="14"/>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2">
              <w:r>
                <w:rPr>
                  <w:rFonts w:ascii="Arial" w:cs="Arial" w:eastAsia="Arial" w:hAnsi="Arial"/>
                  <w:sz w:val="17"/>
                  <w:szCs w:val="17"/>
                  <w:color w:val="0000FF"/>
                  <w:w w:val="73"/>
                </w:rPr>
                <w:t>32</w:t>
              </w:r>
            </w:hyperlink>
          </w:p>
        </w:tc>
      </w:tr>
      <w:tr>
        <w:trPr>
          <w:trHeight w:val="240"/>
        </w:trPr>
        <w:tc>
          <w:tcPr>
            <w:tcW w:w="220" w:type="dxa"/>
            <w:vAlign w:val="bottom"/>
          </w:tcPr>
          <w:p>
            <w:pPr>
              <w:spacing w:after="0"/>
              <w:rPr>
                <w:sz w:val="20"/>
                <w:szCs w:val="20"/>
                <w:color w:val="auto"/>
              </w:rPr>
            </w:pPr>
          </w:p>
        </w:tc>
        <w:tc>
          <w:tcPr>
            <w:tcW w:w="10460" w:type="dxa"/>
            <w:vAlign w:val="bottom"/>
            <w:gridSpan w:val="41"/>
          </w:tcPr>
          <w:p>
            <w:pPr>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2">
              <w:r>
                <w:rPr>
                  <w:rFonts w:ascii="Arial" w:cs="Arial" w:eastAsia="Arial" w:hAnsi="Arial"/>
                  <w:sz w:val="17"/>
                  <w:szCs w:val="17"/>
                  <w:color w:val="0000FF"/>
                  <w:w w:val="73"/>
                </w:rPr>
                <w:t>33</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Borders>
              <w:bottom w:val="single" w:sz="8" w:color="0000FF"/>
            </w:tcBorders>
            <w:gridSpan w:val="16"/>
          </w:tcPr>
          <w:p>
            <w:pPr>
              <w:spacing w:after="0"/>
              <w:rPr>
                <w:rFonts w:ascii="Arial" w:cs="Arial" w:eastAsia="Arial" w:hAnsi="Arial"/>
                <w:sz w:val="17"/>
                <w:szCs w:val="17"/>
                <w:color w:val="0000FF"/>
                <w:w w:val="93"/>
              </w:rPr>
            </w:pPr>
            <w:hyperlink w:anchor="page33">
              <w:r>
                <w:rPr>
                  <w:rFonts w:ascii="Arial" w:cs="Arial" w:eastAsia="Arial" w:hAnsi="Arial"/>
                  <w:sz w:val="17"/>
                  <w:szCs w:val="17"/>
                  <w:color w:val="0000FF"/>
                  <w:w w:val="93"/>
                </w:rPr>
                <w:t>First Quarter 2021 Highlights</w:t>
              </w:r>
            </w:hyperlink>
          </w:p>
        </w:tc>
        <w:tc>
          <w:tcPr>
            <w:tcW w:w="8280" w:type="dxa"/>
            <w:vAlign w:val="bottom"/>
            <w:gridSpan w:val="24"/>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3">
              <w:r>
                <w:rPr>
                  <w:rFonts w:ascii="Arial" w:cs="Arial" w:eastAsia="Arial" w:hAnsi="Arial"/>
                  <w:sz w:val="17"/>
                  <w:szCs w:val="17"/>
                  <w:color w:val="0000FF"/>
                  <w:w w:val="73"/>
                </w:rPr>
                <w:t>33</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0000FF"/>
            </w:tcBorders>
            <w:gridSpan w:val="11"/>
          </w:tcPr>
          <w:p>
            <w:pPr>
              <w:spacing w:after="0"/>
              <w:rPr>
                <w:rFonts w:ascii="Arial" w:cs="Arial" w:eastAsia="Arial" w:hAnsi="Arial"/>
                <w:sz w:val="17"/>
                <w:szCs w:val="17"/>
                <w:color w:val="0000FF"/>
                <w:w w:val="92"/>
              </w:rPr>
            </w:pPr>
            <w:hyperlink w:anchor="page35">
              <w:r>
                <w:rPr>
                  <w:rFonts w:ascii="Arial" w:cs="Arial" w:eastAsia="Arial" w:hAnsi="Arial"/>
                  <w:sz w:val="17"/>
                  <w:szCs w:val="17"/>
                  <w:color w:val="0000FF"/>
                  <w:w w:val="92"/>
                </w:rPr>
                <w:t>Results of Operations</w:t>
              </w:r>
            </w:hyperlink>
          </w:p>
        </w:tc>
        <w:tc>
          <w:tcPr>
            <w:tcW w:w="8780" w:type="dxa"/>
            <w:vAlign w:val="bottom"/>
            <w:gridSpan w:val="29"/>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5">
              <w:r>
                <w:rPr>
                  <w:rFonts w:ascii="Arial" w:cs="Arial" w:eastAsia="Arial" w:hAnsi="Arial"/>
                  <w:sz w:val="17"/>
                  <w:szCs w:val="17"/>
                  <w:color w:val="0000FF"/>
                  <w:w w:val="73"/>
                </w:rPr>
                <w:t>35</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0000FF"/>
            </w:tcBorders>
            <w:gridSpan w:val="8"/>
          </w:tcPr>
          <w:p>
            <w:pPr>
              <w:spacing w:after="0"/>
              <w:rPr>
                <w:rFonts w:ascii="Arial" w:cs="Arial" w:eastAsia="Arial" w:hAnsi="Arial"/>
                <w:sz w:val="17"/>
                <w:szCs w:val="17"/>
                <w:color w:val="0000FF"/>
                <w:w w:val="91"/>
              </w:rPr>
            </w:pPr>
            <w:hyperlink w:anchor="page35">
              <w:r>
                <w:rPr>
                  <w:rFonts w:ascii="Arial" w:cs="Arial" w:eastAsia="Arial" w:hAnsi="Arial"/>
                  <w:sz w:val="17"/>
                  <w:szCs w:val="17"/>
                  <w:color w:val="0000FF"/>
                  <w:w w:val="91"/>
                </w:rPr>
                <w:t>Net Interest Income</w:t>
              </w:r>
            </w:hyperlink>
          </w:p>
        </w:tc>
        <w:tc>
          <w:tcPr>
            <w:tcW w:w="8960" w:type="dxa"/>
            <w:vAlign w:val="bottom"/>
            <w:gridSpan w:val="32"/>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5">
              <w:r>
                <w:rPr>
                  <w:rFonts w:ascii="Arial" w:cs="Arial" w:eastAsia="Arial" w:hAnsi="Arial"/>
                  <w:sz w:val="17"/>
                  <w:szCs w:val="17"/>
                  <w:color w:val="0000FF"/>
                  <w:w w:val="73"/>
                </w:rPr>
                <w:t>35</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0000FF"/>
            </w:tcBorders>
            <w:gridSpan w:val="10"/>
          </w:tcPr>
          <w:p>
            <w:pPr>
              <w:spacing w:after="0"/>
              <w:rPr>
                <w:rFonts w:ascii="Arial" w:cs="Arial" w:eastAsia="Arial" w:hAnsi="Arial"/>
                <w:sz w:val="17"/>
                <w:szCs w:val="17"/>
                <w:color w:val="0000FF"/>
                <w:w w:val="92"/>
              </w:rPr>
            </w:pPr>
            <w:hyperlink w:anchor="page37">
              <w:r>
                <w:rPr>
                  <w:rFonts w:ascii="Arial" w:cs="Arial" w:eastAsia="Arial" w:hAnsi="Arial"/>
                  <w:sz w:val="17"/>
                  <w:szCs w:val="17"/>
                  <w:color w:val="0000FF"/>
                  <w:w w:val="92"/>
                </w:rPr>
                <w:t>Non-Interest Income</w:t>
              </w:r>
            </w:hyperlink>
          </w:p>
        </w:tc>
        <w:tc>
          <w:tcPr>
            <w:tcW w:w="8900" w:type="dxa"/>
            <w:vAlign w:val="bottom"/>
            <w:gridSpan w:val="30"/>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7">
              <w:r>
                <w:rPr>
                  <w:rFonts w:ascii="Arial" w:cs="Arial" w:eastAsia="Arial" w:hAnsi="Arial"/>
                  <w:sz w:val="17"/>
                  <w:szCs w:val="17"/>
                  <w:color w:val="0000FF"/>
                  <w:w w:val="73"/>
                </w:rPr>
                <w:t>38</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gridSpan w:val="40"/>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Non-Interest Expense</w:t>
              </w:r>
            </w:hyperlink>
          </w:p>
        </w:tc>
        <w:tc>
          <w:tcPr>
            <w:tcW w:w="160" w:type="dxa"/>
            <w:vAlign w:val="bottom"/>
            <w:gridSpan w:val="2"/>
          </w:tcPr>
          <w:p>
            <w:pPr>
              <w:spacing w:after="0"/>
              <w:rPr>
                <w:rFonts w:ascii="Arial" w:cs="Arial" w:eastAsia="Arial" w:hAnsi="Arial"/>
                <w:sz w:val="17"/>
                <w:szCs w:val="17"/>
                <w:color w:val="0000FF"/>
                <w:w w:val="73"/>
              </w:rPr>
            </w:pPr>
            <w:hyperlink w:anchor="page38">
              <w:r>
                <w:rPr>
                  <w:rFonts w:ascii="Arial" w:cs="Arial" w:eastAsia="Arial" w:hAnsi="Arial"/>
                  <w:sz w:val="17"/>
                  <w:szCs w:val="17"/>
                  <w:color w:val="0000FF"/>
                  <w:w w:val="73"/>
                </w:rPr>
                <w:t>39</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0000FF"/>
            </w:tcBorders>
            <w:gridSpan w:val="11"/>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Income Taxes</w:t>
              </w:r>
            </w:hyperlink>
          </w:p>
        </w:tc>
        <w:tc>
          <w:tcPr>
            <w:tcW w:w="8780" w:type="dxa"/>
            <w:vAlign w:val="bottom"/>
            <w:gridSpan w:val="29"/>
          </w:tcPr>
          <w:p>
            <w:pPr>
              <w:spacing w:after="0"/>
              <w:rPr>
                <w:sz w:val="20"/>
                <w:szCs w:val="20"/>
                <w:color w:val="auto"/>
              </w:rPr>
            </w:pPr>
          </w:p>
        </w:tc>
        <w:tc>
          <w:tcPr>
            <w:tcW w:w="160" w:type="dxa"/>
            <w:vAlign w:val="bottom"/>
            <w:tcBorders>
              <w:top w:val="single" w:sz="8" w:color="0000FF"/>
            </w:tcBorders>
            <w:gridSpan w:val="2"/>
          </w:tcPr>
          <w:p>
            <w:pPr>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40</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Borders>
              <w:bottom w:val="single" w:sz="8" w:color="0000FF"/>
            </w:tcBorders>
            <w:gridSpan w:val="19"/>
          </w:tcPr>
          <w:p>
            <w:pPr>
              <w:spacing w:after="0"/>
              <w:rPr>
                <w:rFonts w:ascii="Arial" w:cs="Arial" w:eastAsia="Arial" w:hAnsi="Arial"/>
                <w:sz w:val="17"/>
                <w:szCs w:val="17"/>
                <w:color w:val="0000FF"/>
                <w:w w:val="95"/>
              </w:rPr>
            </w:pPr>
            <w:hyperlink w:anchor="page40">
              <w:r>
                <w:rPr>
                  <w:rFonts w:ascii="Arial" w:cs="Arial" w:eastAsia="Arial" w:hAnsi="Arial"/>
                  <w:sz w:val="17"/>
                  <w:szCs w:val="17"/>
                  <w:color w:val="0000FF"/>
                  <w:w w:val="95"/>
                </w:rPr>
                <w:t>Analysis of Financial Condition</w:t>
              </w:r>
            </w:hyperlink>
          </w:p>
        </w:tc>
        <w:tc>
          <w:tcPr>
            <w:tcW w:w="8120" w:type="dxa"/>
            <w:vAlign w:val="bottom"/>
            <w:gridSpan w:val="21"/>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40</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0000FF"/>
            </w:tcBorders>
            <w:gridSpan w:val="6"/>
          </w:tcPr>
          <w:p>
            <w:pPr>
              <w:spacing w:after="0"/>
              <w:rPr>
                <w:rFonts w:ascii="Arial" w:cs="Arial" w:eastAsia="Arial" w:hAnsi="Arial"/>
                <w:sz w:val="17"/>
                <w:szCs w:val="17"/>
                <w:color w:val="0000FF"/>
                <w:w w:val="93"/>
              </w:rPr>
            </w:pPr>
            <w:hyperlink w:anchor="page40">
              <w:r>
                <w:rPr>
                  <w:rFonts w:ascii="Arial" w:cs="Arial" w:eastAsia="Arial" w:hAnsi="Arial"/>
                  <w:sz w:val="17"/>
                  <w:szCs w:val="17"/>
                  <w:color w:val="0000FF"/>
                  <w:w w:val="93"/>
                </w:rPr>
                <w:t>Securities Portfolio</w:t>
              </w:r>
            </w:hyperlink>
          </w:p>
        </w:tc>
        <w:tc>
          <w:tcPr>
            <w:tcW w:w="9000" w:type="dxa"/>
            <w:vAlign w:val="bottom"/>
            <w:gridSpan w:val="34"/>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40</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0000FF"/>
            </w:tcBorders>
            <w:gridSpan w:val="5"/>
          </w:tcPr>
          <w:p>
            <w:pPr>
              <w:spacing w:after="0"/>
              <w:rPr>
                <w:rFonts w:ascii="Arial" w:cs="Arial" w:eastAsia="Arial" w:hAnsi="Arial"/>
                <w:sz w:val="17"/>
                <w:szCs w:val="17"/>
                <w:color w:val="0000FF"/>
                <w:w w:val="95"/>
              </w:rPr>
            </w:pPr>
            <w:hyperlink w:anchor="page40">
              <w:r>
                <w:rPr>
                  <w:rFonts w:ascii="Arial" w:cs="Arial" w:eastAsia="Arial" w:hAnsi="Arial"/>
                  <w:sz w:val="17"/>
                  <w:szCs w:val="17"/>
                  <w:color w:val="0000FF"/>
                  <w:w w:val="95"/>
                </w:rPr>
                <w:t>Loan Portfolio</w:t>
              </w:r>
            </w:hyperlink>
          </w:p>
        </w:tc>
        <w:tc>
          <w:tcPr>
            <w:tcW w:w="9320" w:type="dxa"/>
            <w:vAlign w:val="bottom"/>
            <w:gridSpan w:val="35"/>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40</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gridSpan w:val="40"/>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Provision and Allowance for Loan Losses (‘‘ALLL’’)</w:t>
              </w:r>
            </w:hyperlink>
          </w:p>
        </w:tc>
        <w:tc>
          <w:tcPr>
            <w:tcW w:w="160" w:type="dxa"/>
            <w:vAlign w:val="bottom"/>
            <w:gridSpan w:val="2"/>
          </w:tcPr>
          <w:p>
            <w:pPr>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41</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gridSpan w:val="40"/>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Nonperforming Assets and Other Asset Quality Metrics</w:t>
              </w:r>
            </w:hyperlink>
          </w:p>
        </w:tc>
        <w:tc>
          <w:tcPr>
            <w:tcW w:w="160" w:type="dxa"/>
            <w:vAlign w:val="bottom"/>
            <w:gridSpan w:val="2"/>
          </w:tcPr>
          <w:p>
            <w:pPr>
              <w:spacing w:after="0"/>
              <w:rPr>
                <w:rFonts w:ascii="Arial" w:cs="Arial" w:eastAsia="Arial" w:hAnsi="Arial"/>
                <w:sz w:val="17"/>
                <w:szCs w:val="17"/>
                <w:color w:val="0000FF"/>
                <w:w w:val="73"/>
              </w:rPr>
            </w:pPr>
            <w:hyperlink w:anchor="page43">
              <w:r>
                <w:rPr>
                  <w:rFonts w:ascii="Arial" w:cs="Arial" w:eastAsia="Arial" w:hAnsi="Arial"/>
                  <w:sz w:val="17"/>
                  <w:szCs w:val="17"/>
                  <w:color w:val="0000FF"/>
                  <w:w w:val="73"/>
                </w:rPr>
                <w:t>43</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Borders>
              <w:top w:val="single" w:sz="8" w:color="0000FF"/>
              <w:bottom w:val="single" w:sz="8" w:color="0000FF"/>
            </w:tcBorders>
            <w:gridSpan w:val="18"/>
          </w:tcPr>
          <w:p>
            <w:pPr>
              <w:spacing w:after="0"/>
              <w:rPr>
                <w:rFonts w:ascii="Arial" w:cs="Arial" w:eastAsia="Arial" w:hAnsi="Arial"/>
                <w:sz w:val="17"/>
                <w:szCs w:val="17"/>
                <w:color w:val="0000FF"/>
                <w:w w:val="92"/>
              </w:rPr>
            </w:pPr>
            <w:hyperlink w:anchor="page44">
              <w:r>
                <w:rPr>
                  <w:rFonts w:ascii="Arial" w:cs="Arial" w:eastAsia="Arial" w:hAnsi="Arial"/>
                  <w:sz w:val="17"/>
                  <w:szCs w:val="17"/>
                  <w:color w:val="0000FF"/>
                  <w:w w:val="92"/>
                </w:rPr>
                <w:t>Deposits and Other Borrowings</w:t>
              </w:r>
            </w:hyperlink>
          </w:p>
        </w:tc>
        <w:tc>
          <w:tcPr>
            <w:tcW w:w="1660" w:type="dxa"/>
            <w:vAlign w:val="bottom"/>
            <w:tcBorders>
              <w:top w:val="single" w:sz="8" w:color="0000FF"/>
            </w:tcBorders>
            <w:gridSpan w:val="12"/>
          </w:tcPr>
          <w:p>
            <w:pPr>
              <w:spacing w:after="0"/>
              <w:rPr>
                <w:sz w:val="20"/>
                <w:szCs w:val="20"/>
                <w:color w:val="auto"/>
              </w:rPr>
            </w:pPr>
          </w:p>
        </w:tc>
        <w:tc>
          <w:tcPr>
            <w:tcW w:w="6480" w:type="dxa"/>
            <w:vAlign w:val="bottom"/>
            <w:gridSpan w:val="10"/>
          </w:tcPr>
          <w:p>
            <w:pPr>
              <w:spacing w:after="0"/>
              <w:rPr>
                <w:sz w:val="20"/>
                <w:szCs w:val="20"/>
                <w:color w:val="auto"/>
              </w:rPr>
            </w:pPr>
          </w:p>
        </w:tc>
        <w:tc>
          <w:tcPr>
            <w:tcW w:w="16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44">
              <w:r>
                <w:rPr>
                  <w:rFonts w:ascii="Arial" w:cs="Arial" w:eastAsia="Arial" w:hAnsi="Arial"/>
                  <w:sz w:val="17"/>
                  <w:szCs w:val="17"/>
                  <w:color w:val="0000FF"/>
                  <w:w w:val="73"/>
                </w:rPr>
                <w:t>45</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gridSpan w:val="40"/>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Liquidity</w:t>
              </w:r>
            </w:hyperlink>
          </w:p>
        </w:tc>
        <w:tc>
          <w:tcPr>
            <w:tcW w:w="160" w:type="dxa"/>
            <w:vAlign w:val="bottom"/>
            <w:gridSpan w:val="2"/>
          </w:tcPr>
          <w:p>
            <w:pPr>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45</w:t>
              </w:r>
            </w:hyperlink>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Borders>
              <w:bottom w:val="single" w:sz="8" w:color="0000FF"/>
            </w:tcBorders>
            <w:gridSpan w:val="12"/>
          </w:tcPr>
          <w:p>
            <w:pPr>
              <w:spacing w:after="0"/>
              <w:rPr>
                <w:rFonts w:ascii="Arial" w:cs="Arial" w:eastAsia="Arial" w:hAnsi="Arial"/>
                <w:sz w:val="17"/>
                <w:szCs w:val="17"/>
                <w:color w:val="0000FF"/>
                <w:w w:val="92"/>
              </w:rPr>
            </w:pPr>
            <w:hyperlink w:anchor="page45">
              <w:r>
                <w:rPr>
                  <w:rFonts w:ascii="Arial" w:cs="Arial" w:eastAsia="Arial" w:hAnsi="Arial"/>
                  <w:sz w:val="17"/>
                  <w:szCs w:val="17"/>
                  <w:color w:val="0000FF"/>
                  <w:w w:val="92"/>
                </w:rPr>
                <w:t>Contractual Obligations</w:t>
              </w:r>
            </w:hyperlink>
          </w:p>
        </w:tc>
        <w:tc>
          <w:tcPr>
            <w:tcW w:w="8680" w:type="dxa"/>
            <w:vAlign w:val="bottom"/>
            <w:gridSpan w:val="28"/>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45</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Borders>
              <w:bottom w:val="single" w:sz="8" w:color="0000FF"/>
            </w:tcBorders>
            <w:gridSpan w:val="31"/>
          </w:tcPr>
          <w:p>
            <w:pPr>
              <w:spacing w:after="0"/>
              <w:rPr>
                <w:rFonts w:ascii="Arial" w:cs="Arial" w:eastAsia="Arial" w:hAnsi="Arial"/>
                <w:sz w:val="17"/>
                <w:szCs w:val="17"/>
                <w:color w:val="0000FF"/>
                <w:w w:val="90"/>
              </w:rPr>
            </w:pPr>
            <w:hyperlink w:anchor="page46">
              <w:r>
                <w:rPr>
                  <w:rFonts w:ascii="Arial" w:cs="Arial" w:eastAsia="Arial" w:hAnsi="Arial"/>
                  <w:sz w:val="17"/>
                  <w:szCs w:val="17"/>
                  <w:color w:val="0000FF"/>
                  <w:w w:val="90"/>
                </w:rPr>
                <w:t>Capital Resources and Off-Balance Sheet Arrangements</w:t>
              </w:r>
            </w:hyperlink>
          </w:p>
        </w:tc>
        <w:tc>
          <w:tcPr>
            <w:tcW w:w="6440" w:type="dxa"/>
            <w:vAlign w:val="bottom"/>
            <w:gridSpan w:val="9"/>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6">
              <w:r>
                <w:rPr>
                  <w:rFonts w:ascii="Arial" w:cs="Arial" w:eastAsia="Arial" w:hAnsi="Arial"/>
                  <w:sz w:val="17"/>
                  <w:szCs w:val="17"/>
                  <w:color w:val="0000FF"/>
                  <w:w w:val="73"/>
                </w:rPr>
                <w:t>46</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Borders>
              <w:bottom w:val="single" w:sz="8" w:color="0000FF"/>
            </w:tcBorders>
            <w:gridSpan w:val="25"/>
          </w:tcPr>
          <w:p>
            <w:pPr>
              <w:spacing w:after="0"/>
              <w:rPr>
                <w:rFonts w:ascii="Arial" w:cs="Arial" w:eastAsia="Arial" w:hAnsi="Arial"/>
                <w:sz w:val="17"/>
                <w:szCs w:val="17"/>
                <w:color w:val="0000FF"/>
                <w:w w:val="93"/>
              </w:rPr>
            </w:pPr>
            <w:hyperlink w:anchor="page46">
              <w:r>
                <w:rPr>
                  <w:rFonts w:ascii="Arial" w:cs="Arial" w:eastAsia="Arial" w:hAnsi="Arial"/>
                  <w:sz w:val="17"/>
                  <w:szCs w:val="17"/>
                  <w:color w:val="0000FF"/>
                  <w:w w:val="93"/>
                </w:rPr>
                <w:t>Critical Accounting Policies and Estimates</w:t>
              </w:r>
            </w:hyperlink>
          </w:p>
        </w:tc>
        <w:tc>
          <w:tcPr>
            <w:tcW w:w="7360" w:type="dxa"/>
            <w:vAlign w:val="bottom"/>
            <w:gridSpan w:val="15"/>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6">
              <w:r>
                <w:rPr>
                  <w:rFonts w:ascii="Arial" w:cs="Arial" w:eastAsia="Arial" w:hAnsi="Arial"/>
                  <w:sz w:val="17"/>
                  <w:szCs w:val="17"/>
                  <w:color w:val="0000FF"/>
                  <w:w w:val="73"/>
                </w:rPr>
                <w:t>46</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gridSpan w:val="40"/>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Item 3. Quantitative and Qualitative Disclosures about Market Risk</w:t>
              </w:r>
            </w:hyperlink>
          </w:p>
        </w:tc>
        <w:tc>
          <w:tcPr>
            <w:tcW w:w="160" w:type="dxa"/>
            <w:vAlign w:val="bottom"/>
            <w:gridSpan w:val="2"/>
          </w:tcPr>
          <w:p>
            <w:pPr>
              <w:spacing w:after="0"/>
              <w:rPr>
                <w:rFonts w:ascii="Arial" w:cs="Arial" w:eastAsia="Arial" w:hAnsi="Arial"/>
                <w:sz w:val="17"/>
                <w:szCs w:val="17"/>
                <w:color w:val="0000FF"/>
                <w:w w:val="73"/>
              </w:rPr>
            </w:pPr>
            <w:hyperlink w:anchor="page46">
              <w:r>
                <w:rPr>
                  <w:rFonts w:ascii="Arial" w:cs="Arial" w:eastAsia="Arial" w:hAnsi="Arial"/>
                  <w:sz w:val="17"/>
                  <w:szCs w:val="17"/>
                  <w:color w:val="0000FF"/>
                  <w:w w:val="73"/>
                </w:rPr>
                <w:t>46</w:t>
              </w:r>
            </w:hyperlink>
          </w:p>
        </w:tc>
      </w:tr>
      <w:tr>
        <w:trPr>
          <w:trHeight w:val="240"/>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Borders>
              <w:top w:val="single" w:sz="8" w:color="0000FF"/>
              <w:bottom w:val="single" w:sz="8" w:color="0000FF"/>
            </w:tcBorders>
            <w:gridSpan w:val="20"/>
          </w:tcPr>
          <w:p>
            <w:pPr>
              <w:spacing w:after="0"/>
              <w:rPr>
                <w:rFonts w:ascii="Arial" w:cs="Arial" w:eastAsia="Arial" w:hAnsi="Arial"/>
                <w:sz w:val="17"/>
                <w:szCs w:val="17"/>
                <w:color w:val="0000FF"/>
                <w:w w:val="90"/>
              </w:rPr>
            </w:pPr>
            <w:hyperlink w:anchor="page47">
              <w:r>
                <w:rPr>
                  <w:rFonts w:ascii="Arial" w:cs="Arial" w:eastAsia="Arial" w:hAnsi="Arial"/>
                  <w:sz w:val="17"/>
                  <w:szCs w:val="17"/>
                  <w:color w:val="0000FF"/>
                  <w:w w:val="90"/>
                </w:rPr>
                <w:t>Item 4. Controls and Procedures</w:t>
              </w:r>
            </w:hyperlink>
          </w:p>
        </w:tc>
        <w:tc>
          <w:tcPr>
            <w:tcW w:w="2440" w:type="dxa"/>
            <w:vAlign w:val="bottom"/>
            <w:tcBorders>
              <w:top w:val="single" w:sz="8" w:color="0000FF"/>
            </w:tcBorders>
            <w:gridSpan w:val="17"/>
          </w:tcPr>
          <w:p>
            <w:pPr>
              <w:spacing w:after="0"/>
              <w:rPr>
                <w:sz w:val="20"/>
                <w:szCs w:val="20"/>
                <w:color w:val="auto"/>
              </w:rPr>
            </w:pPr>
          </w:p>
        </w:tc>
        <w:tc>
          <w:tcPr>
            <w:tcW w:w="5660" w:type="dxa"/>
            <w:vAlign w:val="bottom"/>
            <w:gridSpan w:val="3"/>
          </w:tcPr>
          <w:p>
            <w:pPr>
              <w:spacing w:after="0"/>
              <w:rPr>
                <w:sz w:val="20"/>
                <w:szCs w:val="20"/>
                <w:color w:val="auto"/>
              </w:rPr>
            </w:pPr>
          </w:p>
        </w:tc>
        <w:tc>
          <w:tcPr>
            <w:tcW w:w="16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47">
              <w:r>
                <w:rPr>
                  <w:rFonts w:ascii="Arial" w:cs="Arial" w:eastAsia="Arial" w:hAnsi="Arial"/>
                  <w:sz w:val="17"/>
                  <w:szCs w:val="17"/>
                  <w:color w:val="0000FF"/>
                  <w:w w:val="73"/>
                </w:rPr>
                <w:t>47</w:t>
              </w:r>
            </w:hyperlink>
          </w:p>
        </w:tc>
      </w:tr>
      <w:tr>
        <w:trPr>
          <w:trHeight w:val="279"/>
        </w:trPr>
        <w:tc>
          <w:tcPr>
            <w:tcW w:w="10680" w:type="dxa"/>
            <w:vAlign w:val="bottom"/>
            <w:gridSpan w:val="42"/>
          </w:tcPr>
          <w:p>
            <w:pPr>
              <w:ind w:left="120"/>
              <w:spacing w:after="0"/>
              <w:rPr>
                <w:sz w:val="20"/>
                <w:szCs w:val="20"/>
                <w:color w:val="auto"/>
              </w:rPr>
            </w:pPr>
            <w:r>
              <w:rPr>
                <w:rFonts w:ascii="Arial" w:cs="Arial" w:eastAsia="Arial" w:hAnsi="Arial"/>
                <w:sz w:val="17"/>
                <w:szCs w:val="17"/>
                <w:color w:val="auto"/>
              </w:rPr>
              <w:t>Part II. Other Information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220" w:type="dxa"/>
            <w:vAlign w:val="bottom"/>
          </w:tcPr>
          <w:p>
            <w:pPr>
              <w:spacing w:after="0"/>
              <w:rPr>
                <w:sz w:val="19"/>
                <w:szCs w:val="19"/>
                <w:color w:val="auto"/>
              </w:rPr>
            </w:pPr>
          </w:p>
        </w:tc>
        <w:tc>
          <w:tcPr>
            <w:tcW w:w="1840" w:type="dxa"/>
            <w:vAlign w:val="bottom"/>
            <w:tcBorders>
              <w:bottom w:val="single" w:sz="8" w:color="0000FF"/>
            </w:tcBorders>
            <w:gridSpan w:val="14"/>
          </w:tcPr>
          <w:p>
            <w:pPr>
              <w:spacing w:after="0"/>
              <w:rPr>
                <w:rFonts w:ascii="Arial" w:cs="Arial" w:eastAsia="Arial" w:hAnsi="Arial"/>
                <w:sz w:val="17"/>
                <w:szCs w:val="17"/>
                <w:color w:val="0000FF"/>
                <w:w w:val="92"/>
              </w:rPr>
            </w:pPr>
            <w:hyperlink w:anchor="page47">
              <w:r>
                <w:rPr>
                  <w:rFonts w:ascii="Arial" w:cs="Arial" w:eastAsia="Arial" w:hAnsi="Arial"/>
                  <w:sz w:val="17"/>
                  <w:szCs w:val="17"/>
                  <w:color w:val="0000FF"/>
                  <w:w w:val="92"/>
                </w:rPr>
                <w:t>Item 1. Legal Proceedings</w:t>
              </w:r>
            </w:hyperlink>
          </w:p>
        </w:tc>
        <w:tc>
          <w:tcPr>
            <w:tcW w:w="8620" w:type="dxa"/>
            <w:vAlign w:val="bottom"/>
            <w:gridSpan w:val="27"/>
          </w:tcPr>
          <w:p>
            <w:pPr>
              <w:spacing w:after="0"/>
              <w:rPr>
                <w:sz w:val="19"/>
                <w:szCs w:val="19"/>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7">
              <w:r>
                <w:rPr>
                  <w:rFonts w:ascii="Arial" w:cs="Arial" w:eastAsia="Arial" w:hAnsi="Arial"/>
                  <w:sz w:val="17"/>
                  <w:szCs w:val="17"/>
                  <w:color w:val="0000FF"/>
                  <w:w w:val="73"/>
                </w:rPr>
                <w:t>48</w:t>
              </w:r>
            </w:hyperlink>
          </w:p>
        </w:tc>
      </w:tr>
      <w:tr>
        <w:trPr>
          <w:trHeight w:val="240"/>
        </w:trPr>
        <w:tc>
          <w:tcPr>
            <w:tcW w:w="220" w:type="dxa"/>
            <w:vAlign w:val="bottom"/>
          </w:tcPr>
          <w:p>
            <w:pPr>
              <w:spacing w:after="0"/>
              <w:rPr>
                <w:sz w:val="20"/>
                <w:szCs w:val="20"/>
                <w:color w:val="auto"/>
              </w:rPr>
            </w:pPr>
          </w:p>
        </w:tc>
        <w:tc>
          <w:tcPr>
            <w:tcW w:w="10460" w:type="dxa"/>
            <w:vAlign w:val="bottom"/>
            <w:gridSpan w:val="41"/>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Item 1A. Risk Factors</w:t>
              </w:r>
            </w:hyperlink>
          </w:p>
        </w:tc>
        <w:tc>
          <w:tcPr>
            <w:tcW w:w="160" w:type="dxa"/>
            <w:vAlign w:val="bottom"/>
            <w:gridSpan w:val="2"/>
          </w:tcPr>
          <w:p>
            <w:pPr>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48</w:t>
              </w:r>
            </w:hyperlink>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3200" w:type="dxa"/>
            <w:vAlign w:val="bottom"/>
            <w:gridSpan w:val="27"/>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40"/>
        </w:trPr>
        <w:tc>
          <w:tcPr>
            <w:tcW w:w="220" w:type="dxa"/>
            <w:vAlign w:val="bottom"/>
          </w:tcPr>
          <w:p>
            <w:pPr>
              <w:spacing w:after="0"/>
              <w:rPr>
                <w:sz w:val="20"/>
                <w:szCs w:val="20"/>
                <w:color w:val="auto"/>
              </w:rPr>
            </w:pPr>
          </w:p>
        </w:tc>
        <w:tc>
          <w:tcPr>
            <w:tcW w:w="4740" w:type="dxa"/>
            <w:vAlign w:val="bottom"/>
            <w:tcBorders>
              <w:bottom w:val="single" w:sz="8" w:color="0000FF"/>
            </w:tcBorders>
            <w:gridSpan w:val="37"/>
          </w:tcPr>
          <w:p>
            <w:pPr>
              <w:spacing w:after="0"/>
              <w:rPr>
                <w:rFonts w:ascii="Arial" w:cs="Arial" w:eastAsia="Arial" w:hAnsi="Arial"/>
                <w:sz w:val="17"/>
                <w:szCs w:val="17"/>
                <w:color w:val="0000FF"/>
                <w:w w:val="91"/>
              </w:rPr>
            </w:pPr>
            <w:hyperlink w:anchor="page48">
              <w:r>
                <w:rPr>
                  <w:rFonts w:ascii="Arial" w:cs="Arial" w:eastAsia="Arial" w:hAnsi="Arial"/>
                  <w:sz w:val="17"/>
                  <w:szCs w:val="17"/>
                  <w:color w:val="0000FF"/>
                  <w:w w:val="91"/>
                </w:rPr>
                <w:t>Item 2. Unregistered Sales of Equity Securities and Use of Proceeds</w:t>
              </w:r>
            </w:hyperlink>
          </w:p>
        </w:tc>
        <w:tc>
          <w:tcPr>
            <w:tcW w:w="5720" w:type="dxa"/>
            <w:vAlign w:val="bottom"/>
            <w:gridSpan w:val="4"/>
          </w:tcPr>
          <w:p>
            <w:pPr>
              <w:spacing w:after="0"/>
              <w:rPr>
                <w:sz w:val="20"/>
                <w:szCs w:val="20"/>
                <w:color w:val="auto"/>
              </w:rPr>
            </w:pPr>
          </w:p>
        </w:tc>
        <w:tc>
          <w:tcPr>
            <w:tcW w:w="16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48</w:t>
              </w:r>
            </w:hyperlink>
          </w:p>
        </w:tc>
      </w:tr>
      <w:tr>
        <w:trPr>
          <w:trHeight w:val="240"/>
        </w:trPr>
        <w:tc>
          <w:tcPr>
            <w:tcW w:w="220" w:type="dxa"/>
            <w:vAlign w:val="bottom"/>
          </w:tcPr>
          <w:p>
            <w:pPr>
              <w:spacing w:after="0"/>
              <w:rPr>
                <w:sz w:val="20"/>
                <w:szCs w:val="20"/>
                <w:color w:val="auto"/>
              </w:rPr>
            </w:pPr>
          </w:p>
        </w:tc>
        <w:tc>
          <w:tcPr>
            <w:tcW w:w="10460" w:type="dxa"/>
            <w:vAlign w:val="bottom"/>
            <w:gridSpan w:val="41"/>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Item 6. Exhibits</w:t>
              </w:r>
            </w:hyperlink>
          </w:p>
        </w:tc>
        <w:tc>
          <w:tcPr>
            <w:tcW w:w="160" w:type="dxa"/>
            <w:vAlign w:val="bottom"/>
            <w:gridSpan w:val="2"/>
          </w:tcPr>
          <w:p>
            <w:pPr>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49</w:t>
              </w:r>
            </w:hyperlink>
          </w:p>
        </w:tc>
      </w:tr>
      <w:tr>
        <w:trPr>
          <w:trHeight w:val="20"/>
        </w:trPr>
        <w:tc>
          <w:tcPr>
            <w:tcW w:w="22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340" w:type="dxa"/>
            <w:vAlign w:val="bottom"/>
            <w:gridSpan w:val="36"/>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79"/>
        </w:trPr>
        <w:tc>
          <w:tcPr>
            <w:tcW w:w="10680" w:type="dxa"/>
            <w:vAlign w:val="bottom"/>
            <w:gridSpan w:val="42"/>
          </w:tcPr>
          <w:p>
            <w:pPr>
              <w:ind w:left="120"/>
              <w:spacing w:after="0"/>
              <w:rPr>
                <w:sz w:val="20"/>
                <w:szCs w:val="20"/>
                <w:color w:val="auto"/>
              </w:rPr>
            </w:pPr>
            <w:r>
              <w:rPr>
                <w:rFonts w:ascii="Arial" w:cs="Arial" w:eastAsia="Arial" w:hAnsi="Arial"/>
                <w:sz w:val="17"/>
                <w:szCs w:val="17"/>
                <w:color w:val="auto"/>
              </w:rPr>
              <w:t>Signatures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840"/>
          </w:cols>
          <w:pgMar w:left="320" w:top="834" w:right="739" w:bottom="1440" w:gutter="0" w:footer="0" w:header="0"/>
        </w:sect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716280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840"/>
          </w:cols>
          <w:pgMar w:left="320" w:top="834" w:right="739" w:bottom="1440" w:gutter="0" w:footer="0" w:header="0"/>
          <w:type w:val="continuous"/>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Forward-Looking Information</w:t>
      </w:r>
    </w:p>
    <w:p>
      <w:pPr>
        <w:spacing w:after="0" w:line="178" w:lineRule="exact"/>
        <w:rPr>
          <w:sz w:val="20"/>
          <w:szCs w:val="20"/>
          <w:color w:val="auto"/>
        </w:rPr>
      </w:pPr>
    </w:p>
    <w:p>
      <w:pPr>
        <w:ind w:left="160" w:right="240" w:firstLine="469"/>
        <w:spacing w:after="0" w:line="263" w:lineRule="auto"/>
        <w:rPr>
          <w:sz w:val="20"/>
          <w:szCs w:val="20"/>
          <w:color w:val="auto"/>
        </w:rPr>
      </w:pPr>
      <w:r>
        <w:rPr>
          <w:rFonts w:ascii="Arial" w:cs="Arial" w:eastAsia="Arial" w:hAnsi="Arial"/>
          <w:sz w:val="17"/>
          <w:szCs w:val="17"/>
          <w:color w:val="auto"/>
        </w:rPr>
        <w:t>This report may contain forward-looking statements that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127" w:lineRule="exact"/>
        <w:rPr>
          <w:sz w:val="20"/>
          <w:szCs w:val="20"/>
          <w:color w:val="auto"/>
        </w:rPr>
      </w:pPr>
    </w:p>
    <w:p>
      <w:pPr>
        <w:ind w:left="160" w:right="100" w:firstLine="469"/>
        <w:spacing w:after="0" w:line="276" w:lineRule="auto"/>
        <w:rPr>
          <w:sz w:val="20"/>
          <w:szCs w:val="20"/>
          <w:color w:val="auto"/>
        </w:rPr>
      </w:pPr>
      <w:r>
        <w:rPr>
          <w:rFonts w:ascii="Arial" w:cs="Arial" w:eastAsia="Arial" w:hAnsi="Arial"/>
          <w:sz w:val="16"/>
          <w:szCs w:val="16"/>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 Such possible events or factors include: risks associated with the current outbreak of the novel coronavirus, or the COVID-19 pandemic, changes in economic conditions in the Company’s market area, changes in policies by regulatory agencies, governmental legislation and regulation, fluctuations in interest rates, changes in liquidity requirements, demand for loans in the Company’s market area, changes in accounting and tax principles, estimates made on income taxes, competition with other entities that offer financial services, cybersecurity threats, and such other factors as discussed in our Annual Report on Form 10-K for the fiscal year ended December 31, 2020, filed with the Securities and Exchange Commission (“SEC”) on February 26, 2021, any subsequent quarterly report on Form 10-Q as well as in our other filings with the SEC.</w:t>
      </w:r>
    </w:p>
    <w:p>
      <w:pPr>
        <w:spacing w:after="0" w:line="121" w:lineRule="exact"/>
        <w:rPr>
          <w:sz w:val="20"/>
          <w:szCs w:val="20"/>
          <w:color w:val="auto"/>
        </w:rPr>
      </w:pPr>
    </w:p>
    <w:p>
      <w:pPr>
        <w:ind w:left="160" w:firstLine="469"/>
        <w:spacing w:after="0" w:line="286" w:lineRule="auto"/>
        <w:rPr>
          <w:sz w:val="20"/>
          <w:szCs w:val="20"/>
          <w:color w:val="auto"/>
        </w:rPr>
      </w:pPr>
      <w:r>
        <w:rPr>
          <w:rFonts w:ascii="Arial" w:cs="Arial" w:eastAsia="Arial" w:hAnsi="Arial"/>
          <w:sz w:val="17"/>
          <w:szCs w:val="17"/>
          <w:color w:val="auto"/>
        </w:rPr>
        <w:t>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color w:val="auto"/>
        </w:rPr>
        <w:t>PART I -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CROSSFIRST BANKSHARES,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SHEETS</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6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b w:val="1"/>
                <w:bCs w:val="1"/>
                <w:color w:val="auto"/>
                <w:w w:val="94"/>
              </w:rPr>
              <w:t>March 31, 2021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96"/>
              </w:rPr>
              <w:t>December 31, 2020</w:t>
            </w:r>
          </w:p>
        </w:tc>
        <w:tc>
          <w:tcPr>
            <w:tcW w:w="0" w:type="dxa"/>
            <w:vAlign w:val="bottom"/>
          </w:tcPr>
          <w:p>
            <w:pPr>
              <w:spacing w:after="0"/>
              <w:rPr>
                <w:sz w:val="1"/>
                <w:szCs w:val="1"/>
                <w:color w:val="auto"/>
              </w:rPr>
            </w:pPr>
          </w:p>
        </w:tc>
      </w:tr>
      <w:tr>
        <w:trPr>
          <w:trHeight w:val="198"/>
        </w:trPr>
        <w:tc>
          <w:tcPr>
            <w:tcW w:w="6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color w:val="auto"/>
                <w:w w:val="88"/>
              </w:rPr>
              <w:t>(Unaudited)</w:t>
            </w: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60" w:type="dxa"/>
            <w:vAlign w:val="bottom"/>
            <w:gridSpan w:val="4"/>
          </w:tcPr>
          <w:p>
            <w:pPr>
              <w:jc w:val="right"/>
              <w:ind w:right="1273"/>
              <w:spacing w:after="0"/>
              <w:rPr>
                <w:sz w:val="20"/>
                <w:szCs w:val="20"/>
                <w:color w:val="auto"/>
              </w:rPr>
            </w:pPr>
            <w:r>
              <w:rPr>
                <w:rFonts w:ascii="Arial" w:cs="Arial" w:eastAsia="Arial" w:hAnsi="Arial"/>
                <w:sz w:val="16"/>
                <w:szCs w:val="16"/>
                <w:i w:val="1"/>
                <w:iCs w:val="1"/>
                <w:color w:val="auto"/>
              </w:rPr>
              <w:t>(Dollars in thousands)</w:t>
            </w:r>
          </w:p>
        </w:tc>
        <w:tc>
          <w:tcPr>
            <w:tcW w:w="0" w:type="dxa"/>
            <w:vAlign w:val="bottom"/>
          </w:tcPr>
          <w:p>
            <w:pPr>
              <w:spacing w:after="0"/>
              <w:rPr>
                <w:sz w:val="1"/>
                <w:szCs w:val="1"/>
                <w:color w:val="auto"/>
              </w:rPr>
            </w:pP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4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630,787</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408,810</w:t>
            </w: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Available-for-sale securities - taxable</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177,238</w:t>
            </w:r>
          </w:p>
        </w:tc>
        <w:tc>
          <w:tcPr>
            <w:tcW w:w="0" w:type="dxa"/>
            <w:vAlign w:val="bottom"/>
          </w:tcPr>
          <w:p>
            <w:pPr>
              <w:spacing w:after="0"/>
              <w:rPr>
                <w:sz w:val="1"/>
                <w:szCs w:val="1"/>
                <w:color w:val="auto"/>
              </w:rPr>
            </w:pPr>
          </w:p>
        </w:tc>
      </w:tr>
      <w:tr>
        <w:trPr>
          <w:trHeight w:val="221"/>
        </w:trPr>
        <w:tc>
          <w:tcPr>
            <w:tcW w:w="6940" w:type="dxa"/>
            <w:vAlign w:val="bottom"/>
          </w:tcPr>
          <w:p>
            <w:pPr>
              <w:ind w:left="220"/>
              <w:spacing w:after="0"/>
              <w:rPr>
                <w:sz w:val="20"/>
                <w:szCs w:val="20"/>
                <w:color w:val="auto"/>
              </w:rPr>
            </w:pPr>
            <w:r>
              <w:rPr>
                <w:rFonts w:ascii="Arial" w:cs="Arial" w:eastAsia="Arial" w:hAnsi="Arial"/>
                <w:sz w:val="17"/>
                <w:szCs w:val="17"/>
                <w:color w:val="auto"/>
              </w:rPr>
              <w:t>Available-for-sale securities - tax-exempt</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493,423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477,350</w:t>
            </w:r>
          </w:p>
        </w:tc>
        <w:tc>
          <w:tcPr>
            <w:tcW w:w="0" w:type="dxa"/>
            <w:vAlign w:val="bottom"/>
          </w:tcPr>
          <w:p>
            <w:pPr>
              <w:spacing w:after="0"/>
              <w:rPr>
                <w:sz w:val="1"/>
                <w:szCs w:val="1"/>
                <w:color w:val="auto"/>
              </w:rPr>
            </w:pPr>
          </w:p>
        </w:tc>
      </w:tr>
      <w:tr>
        <w:trPr>
          <w:trHeight w:val="170"/>
        </w:trPr>
        <w:tc>
          <w:tcPr>
            <w:tcW w:w="6940" w:type="dxa"/>
            <w:vAlign w:val="bottom"/>
            <w:shd w:val="clear" w:color="auto" w:fill="CCEEFF"/>
          </w:tcPr>
          <w:p>
            <w:pPr>
              <w:ind w:left="220"/>
              <w:spacing w:after="0" w:line="170" w:lineRule="exact"/>
              <w:rPr>
                <w:sz w:val="20"/>
                <w:szCs w:val="20"/>
                <w:color w:val="auto"/>
              </w:rPr>
            </w:pPr>
            <w:r>
              <w:rPr>
                <w:rFonts w:ascii="Arial" w:cs="Arial" w:eastAsia="Arial" w:hAnsi="Arial"/>
                <w:sz w:val="17"/>
                <w:szCs w:val="17"/>
                <w:color w:val="auto"/>
              </w:rPr>
              <w:t>Loans, net of allowance for loan losses of $74,551 and $75,295 at March 31, 2021 and</w:t>
            </w:r>
          </w:p>
        </w:tc>
        <w:tc>
          <w:tcPr>
            <w:tcW w:w="28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4,434,049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4,366,602</w:t>
            </w: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December 31, 2020, respectively</w:t>
            </w:r>
          </w:p>
        </w:tc>
        <w:tc>
          <w:tcPr>
            <w:tcW w:w="28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40" w:type="dxa"/>
            <w:vAlign w:val="bottom"/>
          </w:tcPr>
          <w:p>
            <w:pPr>
              <w:ind w:left="220"/>
              <w:spacing w:after="0"/>
              <w:rPr>
                <w:sz w:val="20"/>
                <w:szCs w:val="20"/>
                <w:color w:val="auto"/>
              </w:rPr>
            </w:pPr>
            <w:r>
              <w:rPr>
                <w:rFonts w:ascii="Arial" w:cs="Arial" w:eastAsia="Arial" w:hAnsi="Arial"/>
                <w:sz w:val="17"/>
                <w:szCs w:val="17"/>
                <w:color w:val="auto"/>
              </w:rPr>
              <w:t>Premises and equipment, net</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69,270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70,509</w:t>
            </w: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Restricted equity securities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15,543</w:t>
            </w:r>
          </w:p>
        </w:tc>
        <w:tc>
          <w:tcPr>
            <w:tcW w:w="0" w:type="dxa"/>
            <w:vAlign w:val="bottom"/>
          </w:tcPr>
          <w:p>
            <w:pPr>
              <w:spacing w:after="0"/>
              <w:rPr>
                <w:sz w:val="1"/>
                <w:szCs w:val="1"/>
                <w:color w:val="auto"/>
              </w:rPr>
            </w:pPr>
          </w:p>
        </w:tc>
      </w:tr>
      <w:tr>
        <w:trPr>
          <w:trHeight w:val="221"/>
        </w:trPr>
        <w:tc>
          <w:tcPr>
            <w:tcW w:w="6940" w:type="dxa"/>
            <w:vAlign w:val="bottom"/>
          </w:tcPr>
          <w:p>
            <w:pPr>
              <w:ind w:left="220"/>
              <w:spacing w:after="0"/>
              <w:rPr>
                <w:sz w:val="20"/>
                <w:szCs w:val="20"/>
                <w:color w:val="auto"/>
              </w:rPr>
            </w:pPr>
            <w:r>
              <w:rPr>
                <w:rFonts w:ascii="Arial" w:cs="Arial" w:eastAsia="Arial" w:hAnsi="Arial"/>
                <w:sz w:val="17"/>
                <w:szCs w:val="17"/>
                <w:color w:val="auto"/>
              </w:rPr>
              <w:t>Interest receivable</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17,987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17,236</w:t>
            </w: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Foreclosed assets held for sale</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0" w:type="dxa"/>
            <w:vAlign w:val="bottom"/>
          </w:tcPr>
          <w:p>
            <w:pPr>
              <w:spacing w:after="0"/>
              <w:rPr>
                <w:sz w:val="1"/>
                <w:szCs w:val="1"/>
                <w:color w:val="auto"/>
              </w:rPr>
            </w:pPr>
          </w:p>
        </w:tc>
      </w:tr>
      <w:tr>
        <w:trPr>
          <w:trHeight w:val="221"/>
        </w:trPr>
        <w:tc>
          <w:tcPr>
            <w:tcW w:w="6940" w:type="dxa"/>
            <w:vAlign w:val="bottom"/>
          </w:tcPr>
          <w:p>
            <w:pPr>
              <w:ind w:left="220"/>
              <w:spacing w:after="0"/>
              <w:rPr>
                <w:sz w:val="20"/>
                <w:szCs w:val="20"/>
                <w:color w:val="auto"/>
              </w:rPr>
            </w:pPr>
            <w:r>
              <w:rPr>
                <w:rFonts w:ascii="Arial" w:cs="Arial" w:eastAsia="Arial" w:hAnsi="Arial"/>
                <w:sz w:val="17"/>
                <w:szCs w:val="17"/>
                <w:color w:val="auto"/>
              </w:rPr>
              <w:t>Bank-owned life insurance</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67,914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67,498</w:t>
            </w: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56,170</w:t>
            </w:r>
          </w:p>
        </w:tc>
        <w:tc>
          <w:tcPr>
            <w:tcW w:w="0" w:type="dxa"/>
            <w:vAlign w:val="bottom"/>
          </w:tcPr>
          <w:p>
            <w:pPr>
              <w:spacing w:after="0"/>
              <w:rPr>
                <w:sz w:val="1"/>
                <w:szCs w:val="1"/>
                <w:color w:val="auto"/>
              </w:rPr>
            </w:pPr>
          </w:p>
        </w:tc>
      </w:tr>
      <w:tr>
        <w:trPr>
          <w:trHeight w:val="214"/>
        </w:trPr>
        <w:tc>
          <w:tcPr>
            <w:tcW w:w="694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5,998,074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5,659,303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9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940" w:type="dxa"/>
            <w:vAlign w:val="bottom"/>
          </w:tcPr>
          <w:p>
            <w:pPr>
              <w:ind w:left="220"/>
              <w:spacing w:after="0"/>
              <w:rPr>
                <w:sz w:val="20"/>
                <w:szCs w:val="20"/>
                <w:color w:val="auto"/>
              </w:rPr>
            </w:pPr>
            <w:r>
              <w:rPr>
                <w:rFonts w:ascii="Arial" w:cs="Arial" w:eastAsia="Arial" w:hAnsi="Arial"/>
                <w:sz w:val="17"/>
                <w:szCs w:val="17"/>
                <w:color w:val="auto"/>
              </w:rPr>
              <w:t>Deposits</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Noninterest-bearing</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718,459</w:t>
            </w:r>
          </w:p>
        </w:tc>
        <w:tc>
          <w:tcPr>
            <w:tcW w:w="0" w:type="dxa"/>
            <w:vAlign w:val="bottom"/>
          </w:tcPr>
          <w:p>
            <w:pPr>
              <w:spacing w:after="0"/>
              <w:rPr>
                <w:sz w:val="1"/>
                <w:szCs w:val="1"/>
                <w:color w:val="auto"/>
              </w:rPr>
            </w:pPr>
          </w:p>
        </w:tc>
      </w:tr>
      <w:tr>
        <w:trPr>
          <w:trHeight w:val="221"/>
        </w:trPr>
        <w:tc>
          <w:tcPr>
            <w:tcW w:w="6940" w:type="dxa"/>
            <w:vAlign w:val="bottom"/>
          </w:tcPr>
          <w:p>
            <w:pPr>
              <w:ind w:left="340"/>
              <w:spacing w:after="0"/>
              <w:rPr>
                <w:sz w:val="20"/>
                <w:szCs w:val="20"/>
                <w:color w:val="auto"/>
              </w:rPr>
            </w:pPr>
            <w:r>
              <w:rPr>
                <w:rFonts w:ascii="Arial" w:cs="Arial" w:eastAsia="Arial" w:hAnsi="Arial"/>
                <w:sz w:val="17"/>
                <w:szCs w:val="17"/>
                <w:color w:val="auto"/>
              </w:rPr>
              <w:t>Savings, NOW and money market</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3,325,220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2,932,799</w:t>
            </w: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Time</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931,791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1,043,482</w:t>
            </w:r>
          </w:p>
        </w:tc>
        <w:tc>
          <w:tcPr>
            <w:tcW w:w="0" w:type="dxa"/>
            <w:vAlign w:val="bottom"/>
          </w:tcPr>
          <w:p>
            <w:pPr>
              <w:spacing w:after="0"/>
              <w:rPr>
                <w:sz w:val="1"/>
                <w:szCs w:val="1"/>
                <w:color w:val="auto"/>
              </w:rPr>
            </w:pPr>
          </w:p>
        </w:tc>
      </w:tr>
      <w:tr>
        <w:trPr>
          <w:trHeight w:val="214"/>
        </w:trPr>
        <w:tc>
          <w:tcPr>
            <w:tcW w:w="6940" w:type="dxa"/>
            <w:vAlign w:val="bottom"/>
          </w:tcPr>
          <w:p>
            <w:pPr>
              <w:ind w:left="520"/>
              <w:spacing w:after="0"/>
              <w:rPr>
                <w:sz w:val="20"/>
                <w:szCs w:val="20"/>
                <w:color w:val="auto"/>
              </w:rPr>
            </w:pPr>
            <w:r>
              <w:rPr>
                <w:rFonts w:ascii="Arial" w:cs="Arial" w:eastAsia="Arial" w:hAnsi="Arial"/>
                <w:sz w:val="17"/>
                <w:szCs w:val="17"/>
                <w:color w:val="auto"/>
              </w:rPr>
              <w:t>Total deposits</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5,051,570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4,694,740</w:t>
            </w: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Federal funds purchased and repurchase agreements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w:t>
            </w:r>
          </w:p>
        </w:tc>
        <w:tc>
          <w:tcPr>
            <w:tcW w:w="0" w:type="dxa"/>
            <w:vAlign w:val="bottom"/>
          </w:tcPr>
          <w:p>
            <w:pPr>
              <w:spacing w:after="0"/>
              <w:rPr>
                <w:sz w:val="1"/>
                <w:szCs w:val="1"/>
                <w:color w:val="auto"/>
              </w:rPr>
            </w:pPr>
          </w:p>
        </w:tc>
      </w:tr>
      <w:tr>
        <w:trPr>
          <w:trHeight w:val="221"/>
        </w:trPr>
        <w:tc>
          <w:tcPr>
            <w:tcW w:w="6940" w:type="dxa"/>
            <w:vAlign w:val="bottom"/>
          </w:tcPr>
          <w:p>
            <w:pPr>
              <w:ind w:left="220"/>
              <w:spacing w:after="0"/>
              <w:rPr>
                <w:sz w:val="20"/>
                <w:szCs w:val="20"/>
                <w:color w:val="auto"/>
              </w:rPr>
            </w:pPr>
            <w:r>
              <w:rPr>
                <w:rFonts w:ascii="Arial" w:cs="Arial" w:eastAsia="Arial" w:hAnsi="Arial"/>
                <w:sz w:val="17"/>
                <w:szCs w:val="17"/>
                <w:color w:val="auto"/>
              </w:rPr>
              <w:t>Federal Home Loan Bank advances</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283,100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293,100</w:t>
            </w: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borrowings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Interest payable and other liabilities</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43,766</w:t>
            </w: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5,369,240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5,034,875</w:t>
            </w:r>
          </w:p>
        </w:tc>
        <w:tc>
          <w:tcPr>
            <w:tcW w:w="0" w:type="dxa"/>
            <w:vAlign w:val="bottom"/>
          </w:tcPr>
          <w:p>
            <w:pPr>
              <w:spacing w:after="0"/>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$0.01 par value:</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940" w:type="dxa"/>
            <w:vAlign w:val="bottom"/>
          </w:tcPr>
          <w:p>
            <w:pPr>
              <w:ind w:left="340"/>
              <w:spacing w:after="0" w:line="170" w:lineRule="exact"/>
              <w:rPr>
                <w:sz w:val="20"/>
                <w:szCs w:val="20"/>
                <w:color w:val="auto"/>
              </w:rPr>
            </w:pPr>
            <w:r>
              <w:rPr>
                <w:rFonts w:ascii="Arial" w:cs="Arial" w:eastAsia="Arial" w:hAnsi="Arial"/>
                <w:sz w:val="17"/>
                <w:szCs w:val="17"/>
                <w:color w:val="auto"/>
                <w:w w:val="90"/>
              </w:rPr>
              <w:t>authorized - 200,000,000 shares, issued - 52,376,779 and 52,289,129 shares at March 31, 2021</w:t>
            </w:r>
          </w:p>
        </w:tc>
        <w:tc>
          <w:tcPr>
            <w:tcW w:w="28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21"/>
        </w:trPr>
        <w:tc>
          <w:tcPr>
            <w:tcW w:w="6940" w:type="dxa"/>
            <w:vAlign w:val="bottom"/>
          </w:tcPr>
          <w:p>
            <w:pPr>
              <w:ind w:left="340"/>
              <w:spacing w:after="0"/>
              <w:rPr>
                <w:sz w:val="20"/>
                <w:szCs w:val="20"/>
                <w:color w:val="auto"/>
              </w:rPr>
            </w:pPr>
            <w:r>
              <w:rPr>
                <w:rFonts w:ascii="Arial" w:cs="Arial" w:eastAsia="Arial" w:hAnsi="Arial"/>
                <w:sz w:val="17"/>
                <w:szCs w:val="17"/>
                <w:color w:val="auto"/>
              </w:rPr>
              <w:t>and December 31, 2020, respectively</w:t>
            </w:r>
          </w:p>
        </w:tc>
        <w:tc>
          <w:tcPr>
            <w:tcW w:w="28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40" w:type="dxa"/>
            <w:vAlign w:val="bottom"/>
          </w:tcPr>
          <w:p>
            <w:pPr>
              <w:ind w:left="340"/>
              <w:spacing w:after="0"/>
              <w:rPr>
                <w:sz w:val="20"/>
                <w:szCs w:val="20"/>
                <w:color w:val="auto"/>
              </w:rPr>
            </w:pPr>
            <w:r>
              <w:rPr>
                <w:rFonts w:ascii="Arial" w:cs="Arial" w:eastAsia="Arial" w:hAnsi="Arial"/>
                <w:sz w:val="17"/>
                <w:szCs w:val="17"/>
                <w:color w:val="auto"/>
                <w:w w:val="96"/>
              </w:rPr>
              <w:t>698,110 and 609,613 shares held at March 31, 2021 and December 31, 2020, respectively</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(6,061)</w:t>
            </w: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522,911</w:t>
            </w:r>
          </w:p>
        </w:tc>
        <w:tc>
          <w:tcPr>
            <w:tcW w:w="0" w:type="dxa"/>
            <w:vAlign w:val="bottom"/>
          </w:tcPr>
          <w:p>
            <w:pPr>
              <w:spacing w:after="0"/>
              <w:rPr>
                <w:sz w:val="1"/>
                <w:szCs w:val="1"/>
                <w:color w:val="auto"/>
              </w:rPr>
            </w:pPr>
          </w:p>
        </w:tc>
      </w:tr>
      <w:tr>
        <w:trPr>
          <w:trHeight w:val="221"/>
        </w:trPr>
        <w:tc>
          <w:tcPr>
            <w:tcW w:w="694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89,722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77,652</w:t>
            </w:r>
          </w:p>
        </w:tc>
        <w:tc>
          <w:tcPr>
            <w:tcW w:w="0" w:type="dxa"/>
            <w:vAlign w:val="bottom"/>
          </w:tcPr>
          <w:p>
            <w:pPr>
              <w:spacing w:after="0"/>
              <w:rPr>
                <w:sz w:val="1"/>
                <w:szCs w:val="1"/>
                <w:color w:val="auto"/>
              </w:rPr>
            </w:pPr>
          </w:p>
        </w:tc>
      </w:tr>
      <w:tr>
        <w:trPr>
          <w:trHeight w:val="221"/>
        </w:trPr>
        <w:tc>
          <w:tcPr>
            <w:tcW w:w="6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29,403</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628,834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624,428</w:t>
            </w:r>
          </w:p>
        </w:tc>
        <w:tc>
          <w:tcPr>
            <w:tcW w:w="0" w:type="dxa"/>
            <w:vAlign w:val="bottom"/>
          </w:tcPr>
          <w:p>
            <w:pPr>
              <w:spacing w:after="0"/>
              <w:rPr>
                <w:sz w:val="1"/>
                <w:szCs w:val="1"/>
                <w:color w:val="auto"/>
              </w:rPr>
            </w:pPr>
          </w:p>
        </w:tc>
      </w:tr>
      <w:tr>
        <w:trPr>
          <w:trHeight w:val="239"/>
        </w:trPr>
        <w:tc>
          <w:tcPr>
            <w:tcW w:w="6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5,998,074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5,659,303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61595</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CROSSFIRST BANKSHARES,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STATEMENTS OF INCOME - 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Pr>
          <w:p>
            <w:pPr>
              <w:spacing w:after="0"/>
              <w:rPr>
                <w:sz w:val="19"/>
                <w:szCs w:val="19"/>
                <w:color w:val="auto"/>
              </w:rPr>
            </w:pPr>
          </w:p>
        </w:tc>
        <w:tc>
          <w:tcPr>
            <w:tcW w:w="3040" w:type="dxa"/>
            <w:vAlign w:val="bottom"/>
            <w:gridSpan w:val="4"/>
          </w:tcPr>
          <w:p>
            <w:pPr>
              <w:jc w:val="center"/>
              <w:ind w:left="534"/>
              <w:spacing w:after="0"/>
              <w:rPr>
                <w:sz w:val="20"/>
                <w:szCs w:val="20"/>
                <w:color w:val="auto"/>
              </w:rPr>
            </w:pPr>
            <w:r>
              <w:rPr>
                <w:rFonts w:ascii="Arial" w:cs="Arial" w:eastAsia="Arial" w:hAnsi="Arial"/>
                <w:sz w:val="17"/>
                <w:szCs w:val="17"/>
                <w:b w:val="1"/>
                <w:bCs w:val="1"/>
                <w:color w:val="auto"/>
                <w:w w:val="93"/>
              </w:rPr>
              <w:t>Three Months Ended</w:t>
            </w:r>
          </w:p>
        </w:tc>
        <w:tc>
          <w:tcPr>
            <w:tcW w:w="620" w:type="dxa"/>
            <w:vAlign w:val="bottom"/>
          </w:tcPr>
          <w:p>
            <w:pPr>
              <w:spacing w:after="0"/>
              <w:rPr>
                <w:sz w:val="19"/>
                <w:szCs w:val="19"/>
                <w:color w:val="auto"/>
              </w:rPr>
            </w:pPr>
          </w:p>
        </w:tc>
      </w:tr>
      <w:tr>
        <w:trPr>
          <w:trHeight w:val="260"/>
        </w:trPr>
        <w:tc>
          <w:tcPr>
            <w:tcW w:w="7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900" w:type="dxa"/>
            <w:vAlign w:val="bottom"/>
            <w:gridSpan w:val="3"/>
          </w:tcPr>
          <w:p>
            <w:pPr>
              <w:jc w:val="center"/>
              <w:ind w:right="453"/>
              <w:spacing w:after="0"/>
              <w:rPr>
                <w:sz w:val="20"/>
                <w:szCs w:val="20"/>
                <w:color w:val="auto"/>
              </w:rPr>
            </w:pPr>
            <w:r>
              <w:rPr>
                <w:rFonts w:ascii="Arial" w:cs="Arial" w:eastAsia="Arial" w:hAnsi="Arial"/>
                <w:sz w:val="17"/>
                <w:szCs w:val="17"/>
                <w:b w:val="1"/>
                <w:bCs w:val="1"/>
                <w:color w:val="auto"/>
                <w:w w:val="96"/>
              </w:rPr>
              <w:t>March 31,</w:t>
            </w:r>
          </w:p>
        </w:tc>
        <w:tc>
          <w:tcPr>
            <w:tcW w:w="620" w:type="dxa"/>
            <w:vAlign w:val="bottom"/>
          </w:tcPr>
          <w:p>
            <w:pPr>
              <w:spacing w:after="0"/>
              <w:rPr>
                <w:sz w:val="22"/>
                <w:szCs w:val="22"/>
                <w:color w:val="auto"/>
              </w:rPr>
            </w:pPr>
          </w:p>
        </w:tc>
      </w:tr>
      <w:tr>
        <w:trPr>
          <w:trHeight w:val="26"/>
        </w:trPr>
        <w:tc>
          <w:tcPr>
            <w:tcW w:w="7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7"/>
        </w:trPr>
        <w:tc>
          <w:tcPr>
            <w:tcW w:w="7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620" w:type="dxa"/>
            <w:vAlign w:val="bottom"/>
          </w:tcPr>
          <w:p>
            <w:pPr>
              <w:spacing w:after="0"/>
              <w:rPr>
                <w:sz w:val="19"/>
                <w:szCs w:val="19"/>
                <w:color w:val="auto"/>
              </w:rPr>
            </w:pPr>
          </w:p>
        </w:tc>
      </w:tr>
      <w:tr>
        <w:trPr>
          <w:trHeight w:val="26"/>
        </w:trPr>
        <w:tc>
          <w:tcPr>
            <w:tcW w:w="7580" w:type="dxa"/>
            <w:vAlign w:val="bottom"/>
          </w:tcPr>
          <w:p>
            <w:pPr>
              <w:spacing w:after="0"/>
              <w:rPr>
                <w:sz w:val="2"/>
                <w:szCs w:val="2"/>
                <w:color w:val="auto"/>
              </w:rPr>
            </w:pPr>
          </w:p>
        </w:tc>
        <w:tc>
          <w:tcPr>
            <w:tcW w:w="3660" w:type="dxa"/>
            <w:vAlign w:val="bottom"/>
            <w:tcBorders>
              <w:bottom w:val="single" w:sz="8" w:color="auto"/>
            </w:tcBorders>
            <w:gridSpan w:val="5"/>
          </w:tcPr>
          <w:p>
            <w:pPr>
              <w:spacing w:after="0"/>
              <w:rPr>
                <w:sz w:val="2"/>
                <w:szCs w:val="2"/>
                <w:color w:val="auto"/>
              </w:rPr>
            </w:pPr>
          </w:p>
        </w:tc>
      </w:tr>
      <w:tr>
        <w:trPr>
          <w:trHeight w:val="218"/>
        </w:trPr>
        <w:tc>
          <w:tcPr>
            <w:tcW w:w="7580" w:type="dxa"/>
            <w:vAlign w:val="bottom"/>
          </w:tcPr>
          <w:p>
            <w:pPr>
              <w:spacing w:after="0"/>
              <w:rPr>
                <w:sz w:val="18"/>
                <w:szCs w:val="18"/>
                <w:color w:val="auto"/>
              </w:rPr>
            </w:pPr>
          </w:p>
        </w:tc>
        <w:tc>
          <w:tcPr>
            <w:tcW w:w="3660" w:type="dxa"/>
            <w:vAlign w:val="bottom"/>
            <w:gridSpan w:val="5"/>
          </w:tcPr>
          <w:p>
            <w:pPr>
              <w:jc w:val="center"/>
              <w:spacing w:after="0"/>
              <w:rPr>
                <w:sz w:val="20"/>
                <w:szCs w:val="20"/>
                <w:color w:val="auto"/>
              </w:rPr>
            </w:pPr>
            <w:r>
              <w:rPr>
                <w:rFonts w:ascii="Arial" w:cs="Arial" w:eastAsia="Arial" w:hAnsi="Arial"/>
                <w:sz w:val="16"/>
                <w:szCs w:val="16"/>
                <w:i w:val="1"/>
                <w:iCs w:val="1"/>
                <w:color w:val="auto"/>
                <w:w w:val="88"/>
              </w:rPr>
              <w:t>(Dollars in thousands except per share data)</w:t>
            </w: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Interest Income</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Loans, including fees</w:t>
            </w:r>
          </w:p>
        </w:tc>
        <w:tc>
          <w:tcPr>
            <w:tcW w:w="1140" w:type="dxa"/>
            <w:vAlign w:val="bottom"/>
          </w:tcPr>
          <w:p>
            <w:pPr>
              <w:jc w:val="right"/>
              <w:ind w:right="9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43,758</w:t>
            </w:r>
          </w:p>
        </w:tc>
        <w:tc>
          <w:tcPr>
            <w:tcW w:w="100" w:type="dxa"/>
            <w:vAlign w:val="bottom"/>
          </w:tcPr>
          <w:p>
            <w:pPr>
              <w:spacing w:after="0"/>
              <w:rPr>
                <w:sz w:val="20"/>
                <w:szCs w:val="20"/>
                <w:color w:val="auto"/>
              </w:rPr>
            </w:pPr>
          </w:p>
        </w:tc>
        <w:tc>
          <w:tcPr>
            <w:tcW w:w="1160" w:type="dxa"/>
            <w:vAlign w:val="bottom"/>
          </w:tcPr>
          <w:p>
            <w:pPr>
              <w:jc w:val="right"/>
              <w:ind w:right="973"/>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48,339</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Available-for-sale securities - taxable</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1,774</w:t>
            </w: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Available-for-sale securities - tax-exempt</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3,351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3,312</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Deposits with financial institutions</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w:t>
            </w: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Dividends on bank stocks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292</w:t>
            </w:r>
          </w:p>
        </w:tc>
      </w:tr>
      <w:tr>
        <w:trPr>
          <w:trHeight w:val="26"/>
        </w:trPr>
        <w:tc>
          <w:tcPr>
            <w:tcW w:w="7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4"/>
        </w:trPr>
        <w:tc>
          <w:tcPr>
            <w:tcW w:w="7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interest income</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48,153</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54,208</w:t>
            </w:r>
          </w:p>
        </w:tc>
      </w:tr>
      <w:tr>
        <w:trPr>
          <w:trHeight w:val="234"/>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Interest Expense</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Deposits</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5,728</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14,272</w:t>
            </w: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Fed funds purchased and repurchase agreements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Federal Home Loan Bank Advances</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1,283</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1,611</w:t>
            </w: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Other borrowings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6"/>
        </w:trPr>
        <w:tc>
          <w:tcPr>
            <w:tcW w:w="7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4"/>
        </w:trPr>
        <w:tc>
          <w:tcPr>
            <w:tcW w:w="7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interest expense</w:t>
            </w:r>
          </w:p>
        </w:tc>
        <w:tc>
          <w:tcPr>
            <w:tcW w:w="1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7,036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15,980</w:t>
            </w:r>
          </w:p>
        </w:tc>
      </w:tr>
      <w:tr>
        <w:trPr>
          <w:trHeight w:val="227"/>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Net Interest Income</w:t>
            </w:r>
          </w:p>
        </w:tc>
        <w:tc>
          <w:tcPr>
            <w:tcW w:w="1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41,117</w:t>
            </w: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38,228</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6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Provision for Loan Losses</w:t>
            </w:r>
          </w:p>
        </w:tc>
        <w:tc>
          <w:tcPr>
            <w:tcW w:w="1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13,950</w:t>
            </w:r>
          </w:p>
        </w:tc>
      </w:tr>
      <w:tr>
        <w:trPr>
          <w:trHeight w:val="227"/>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Net Interest Income after Provision for Loan Losses</w:t>
            </w:r>
          </w:p>
        </w:tc>
        <w:tc>
          <w:tcPr>
            <w:tcW w:w="1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33,617</w:t>
            </w: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24,278</w:t>
            </w:r>
          </w:p>
        </w:tc>
      </w:tr>
      <w:tr>
        <w:trPr>
          <w:trHeight w:val="26"/>
        </w:trPr>
        <w:tc>
          <w:tcPr>
            <w:tcW w:w="7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Non-Interest Income</w:t>
            </w:r>
          </w:p>
        </w:tc>
        <w:tc>
          <w:tcPr>
            <w:tcW w:w="1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Service charges and fees on customer accounts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957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508</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Realized gains on available-for-sale securities</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393</w:t>
            </w: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Income from bank-owned life insurance</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456</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Swap fees and credit valuation adjustments, net</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ATM and credit card interchange income</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2,328</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485</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6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Other non-interest income</w:t>
            </w:r>
          </w:p>
        </w:tc>
        <w:tc>
          <w:tcPr>
            <w:tcW w:w="1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w:t>
            </w:r>
          </w:p>
        </w:tc>
      </w:tr>
      <w:tr>
        <w:trPr>
          <w:trHeight w:val="227"/>
        </w:trPr>
        <w:tc>
          <w:tcPr>
            <w:tcW w:w="7580" w:type="dxa"/>
            <w:vAlign w:val="bottom"/>
          </w:tcPr>
          <w:p>
            <w:pPr>
              <w:ind w:left="440"/>
              <w:spacing w:after="0"/>
              <w:rPr>
                <w:sz w:val="20"/>
                <w:szCs w:val="20"/>
                <w:color w:val="auto"/>
              </w:rPr>
            </w:pPr>
            <w:r>
              <w:rPr>
                <w:rFonts w:ascii="Arial" w:cs="Arial" w:eastAsia="Arial" w:hAnsi="Arial"/>
                <w:sz w:val="17"/>
                <w:szCs w:val="17"/>
                <w:color w:val="auto"/>
              </w:rPr>
              <w:t>Total non-interest income</w:t>
            </w:r>
          </w:p>
        </w:tc>
        <w:tc>
          <w:tcPr>
            <w:tcW w:w="1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4,144</w:t>
            </w: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2,087</w:t>
            </w:r>
          </w:p>
        </w:tc>
      </w:tr>
      <w:tr>
        <w:trPr>
          <w:trHeight w:val="26"/>
        </w:trPr>
        <w:tc>
          <w:tcPr>
            <w:tcW w:w="7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Non-Interest Expense</w:t>
            </w:r>
          </w:p>
        </w:tc>
        <w:tc>
          <w:tcPr>
            <w:tcW w:w="1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Salaries and employee benefits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13,553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14,390</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Occupancy</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2,085</w:t>
            </w: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Professional fees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671</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Deposit insurance premiums</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1,016</w:t>
            </w: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Data processing</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716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692</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Advertising</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Software and communication</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1,065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876</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Foreclosed assets, net</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4"/>
        </w:trPr>
        <w:tc>
          <w:tcPr>
            <w:tcW w:w="7580" w:type="dxa"/>
            <w:vAlign w:val="bottom"/>
          </w:tcPr>
          <w:p>
            <w:pPr>
              <w:ind w:left="220"/>
              <w:spacing w:after="0"/>
              <w:rPr>
                <w:sz w:val="20"/>
                <w:szCs w:val="20"/>
                <w:color w:val="auto"/>
              </w:rPr>
            </w:pPr>
            <w:r>
              <w:rPr>
                <w:rFonts w:ascii="Arial" w:cs="Arial" w:eastAsia="Arial" w:hAnsi="Arial"/>
                <w:sz w:val="17"/>
                <w:szCs w:val="17"/>
                <w:color w:val="auto"/>
              </w:rPr>
              <w:t>Other non-interest expense</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2,704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1,975</w:t>
            </w:r>
          </w:p>
        </w:tc>
      </w:tr>
      <w:tr>
        <w:trPr>
          <w:trHeight w:val="26"/>
        </w:trPr>
        <w:tc>
          <w:tcPr>
            <w:tcW w:w="7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4"/>
        </w:trPr>
        <w:tc>
          <w:tcPr>
            <w:tcW w:w="7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non-interest expense</w:t>
            </w:r>
          </w:p>
        </w:tc>
        <w:tc>
          <w:tcPr>
            <w:tcW w:w="1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22,818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22,215</w:t>
            </w:r>
          </w:p>
        </w:tc>
      </w:tr>
      <w:tr>
        <w:trPr>
          <w:trHeight w:val="227"/>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Net Income Before Taxes</w:t>
            </w:r>
          </w:p>
        </w:tc>
        <w:tc>
          <w:tcPr>
            <w:tcW w:w="1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14,943</w:t>
            </w: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4,150</w:t>
            </w:r>
          </w:p>
        </w:tc>
      </w:tr>
      <w:tr>
        <w:trPr>
          <w:trHeight w:val="26"/>
        </w:trPr>
        <w:tc>
          <w:tcPr>
            <w:tcW w:w="7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60"/>
        </w:trPr>
        <w:tc>
          <w:tcPr>
            <w:tcW w:w="7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Income tax expense</w:t>
            </w:r>
          </w:p>
        </w:tc>
        <w:tc>
          <w:tcPr>
            <w:tcW w:w="1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293</w:t>
            </w:r>
          </w:p>
        </w:tc>
      </w:tr>
      <w:tr>
        <w:trPr>
          <w:trHeight w:val="253"/>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1140" w:type="dxa"/>
            <w:vAlign w:val="bottom"/>
            <w:tcBorders>
              <w:top w:val="single" w:sz="8" w:color="auto"/>
              <w:bottom w:val="single" w:sz="8" w:color="auto"/>
            </w:tcBorders>
          </w:tcPr>
          <w:p>
            <w:pPr>
              <w:jc w:val="right"/>
              <w:ind w:right="954"/>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12,035</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3,857</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7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Basic Earnings Per Share</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33"/>
        </w:trPr>
        <w:tc>
          <w:tcPr>
            <w:tcW w:w="7580" w:type="dxa"/>
            <w:vAlign w:val="bottom"/>
          </w:tcPr>
          <w:p>
            <w:pPr>
              <w:ind w:left="20"/>
              <w:spacing w:after="0"/>
              <w:rPr>
                <w:sz w:val="20"/>
                <w:szCs w:val="20"/>
                <w:color w:val="auto"/>
              </w:rPr>
            </w:pPr>
            <w:r>
              <w:rPr>
                <w:rFonts w:ascii="Arial" w:cs="Arial" w:eastAsia="Arial" w:hAnsi="Arial"/>
                <w:sz w:val="17"/>
                <w:szCs w:val="17"/>
                <w:b w:val="1"/>
                <w:bCs w:val="1"/>
                <w:color w:val="auto"/>
              </w:rPr>
              <w:t>Diluted Earnings Per Share</w:t>
            </w:r>
          </w:p>
        </w:tc>
        <w:tc>
          <w:tcPr>
            <w:tcW w:w="114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0.07</w:t>
            </w:r>
          </w:p>
        </w:tc>
      </w:tr>
      <w:tr>
        <w:trPr>
          <w:trHeight w:val="20"/>
        </w:trPr>
        <w:tc>
          <w:tcPr>
            <w:tcW w:w="7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 (unaudited)</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61595</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CROSSFIRST BANKSHARES,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STATEMENTS OF COMPREHENSIVE INCOME - UNAUDITED</w:t>
      </w:r>
    </w:p>
    <w:p>
      <w:pPr>
        <w:spacing w:after="0" w:line="173"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7440" w:type="dxa"/>
            <w:vAlign w:val="bottom"/>
          </w:tcPr>
          <w:p>
            <w:pPr>
              <w:spacing w:after="0"/>
              <w:rPr>
                <w:sz w:val="19"/>
                <w:szCs w:val="19"/>
                <w:color w:val="auto"/>
              </w:rPr>
            </w:pPr>
          </w:p>
        </w:tc>
        <w:tc>
          <w:tcPr>
            <w:tcW w:w="3020" w:type="dxa"/>
            <w:vAlign w:val="bottom"/>
            <w:gridSpan w:val="4"/>
          </w:tcPr>
          <w:p>
            <w:pPr>
              <w:jc w:val="center"/>
              <w:ind w:left="533"/>
              <w:spacing w:after="0"/>
              <w:rPr>
                <w:sz w:val="20"/>
                <w:szCs w:val="20"/>
                <w:color w:val="auto"/>
              </w:rPr>
            </w:pPr>
            <w:r>
              <w:rPr>
                <w:rFonts w:ascii="Arial" w:cs="Arial" w:eastAsia="Arial" w:hAnsi="Arial"/>
                <w:sz w:val="17"/>
                <w:szCs w:val="17"/>
                <w:b w:val="1"/>
                <w:bCs w:val="1"/>
                <w:color w:val="auto"/>
                <w:w w:val="92"/>
              </w:rPr>
              <w:t>Three Months Ended</w:t>
            </w:r>
          </w:p>
        </w:tc>
        <w:tc>
          <w:tcPr>
            <w:tcW w:w="620" w:type="dxa"/>
            <w:vAlign w:val="bottom"/>
          </w:tcPr>
          <w:p>
            <w:pPr>
              <w:spacing w:after="0"/>
              <w:rPr>
                <w:sz w:val="19"/>
                <w:szCs w:val="19"/>
                <w:color w:val="auto"/>
              </w:rPr>
            </w:pPr>
          </w:p>
        </w:tc>
      </w:tr>
      <w:tr>
        <w:trPr>
          <w:trHeight w:val="227"/>
        </w:trPr>
        <w:tc>
          <w:tcPr>
            <w:tcW w:w="74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right="373"/>
              <w:spacing w:after="0"/>
              <w:rPr>
                <w:sz w:val="20"/>
                <w:szCs w:val="20"/>
                <w:color w:val="auto"/>
              </w:rPr>
            </w:pPr>
            <w:r>
              <w:rPr>
                <w:rFonts w:ascii="Arial" w:cs="Arial" w:eastAsia="Arial" w:hAnsi="Arial"/>
                <w:sz w:val="17"/>
                <w:szCs w:val="17"/>
                <w:b w:val="1"/>
                <w:bCs w:val="1"/>
                <w:color w:val="auto"/>
                <w:w w:val="96"/>
              </w:rPr>
              <w:t>March 31,</w:t>
            </w:r>
          </w:p>
        </w:tc>
        <w:tc>
          <w:tcPr>
            <w:tcW w:w="620" w:type="dxa"/>
            <w:vAlign w:val="bottom"/>
            <w:tcBorders>
              <w:bottom w:val="single" w:sz="8" w:color="auto"/>
            </w:tcBorders>
          </w:tcPr>
          <w:p>
            <w:pPr>
              <w:spacing w:after="0"/>
              <w:rPr>
                <w:sz w:val="19"/>
                <w:szCs w:val="19"/>
                <w:color w:val="auto"/>
              </w:rPr>
            </w:pPr>
          </w:p>
        </w:tc>
      </w:tr>
      <w:tr>
        <w:trPr>
          <w:trHeight w:val="214"/>
        </w:trPr>
        <w:tc>
          <w:tcPr>
            <w:tcW w:w="74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198"/>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40" w:type="dxa"/>
            <w:vAlign w:val="bottom"/>
            <w:gridSpan w:val="3"/>
          </w:tcPr>
          <w:p>
            <w:pPr>
              <w:jc w:val="center"/>
              <w:ind w:right="373"/>
              <w:spacing w:after="0"/>
              <w:rPr>
                <w:sz w:val="20"/>
                <w:szCs w:val="20"/>
                <w:color w:val="auto"/>
              </w:rPr>
            </w:pPr>
            <w:r>
              <w:rPr>
                <w:rFonts w:ascii="Arial" w:cs="Arial" w:eastAsia="Arial" w:hAnsi="Arial"/>
                <w:sz w:val="16"/>
                <w:szCs w:val="16"/>
                <w:i w:val="1"/>
                <w:iCs w:val="1"/>
                <w:color w:val="auto"/>
                <w:w w:val="89"/>
              </w:rPr>
              <w:t>(Dollars in thousands)</w:t>
            </w:r>
          </w:p>
        </w:tc>
        <w:tc>
          <w:tcPr>
            <w:tcW w:w="620" w:type="dxa"/>
            <w:vAlign w:val="bottom"/>
          </w:tcPr>
          <w:p>
            <w:pPr>
              <w:spacing w:after="0"/>
              <w:rPr>
                <w:sz w:val="17"/>
                <w:szCs w:val="17"/>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3,857</w:t>
            </w:r>
          </w:p>
        </w:tc>
      </w:tr>
      <w:tr>
        <w:trPr>
          <w:trHeight w:val="201"/>
        </w:trPr>
        <w:tc>
          <w:tcPr>
            <w:tcW w:w="7440" w:type="dxa"/>
            <w:vAlign w:val="bottom"/>
          </w:tcPr>
          <w:p>
            <w:pPr>
              <w:ind w:left="140"/>
              <w:spacing w:after="0"/>
              <w:rPr>
                <w:sz w:val="20"/>
                <w:szCs w:val="20"/>
                <w:color w:val="auto"/>
              </w:rPr>
            </w:pPr>
            <w:r>
              <w:rPr>
                <w:rFonts w:ascii="Arial" w:cs="Arial" w:eastAsia="Arial" w:hAnsi="Arial"/>
                <w:sz w:val="17"/>
                <w:szCs w:val="17"/>
                <w:b w:val="1"/>
                <w:bCs w:val="1"/>
                <w:color w:val="auto"/>
              </w:rPr>
              <w:t>Other Comprehensive Income (Loss)</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1"/>
        </w:trPr>
        <w:tc>
          <w:tcPr>
            <w:tcW w:w="7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gain (loss) on available-for-sale securities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8,532</w:t>
            </w:r>
          </w:p>
        </w:tc>
      </w:tr>
      <w:tr>
        <w:trPr>
          <w:trHeight w:val="221"/>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Less: income tax expense (benefit)</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(2,221)</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w:t>
            </w:r>
          </w:p>
        </w:tc>
      </w:tr>
      <w:tr>
        <w:trPr>
          <w:trHeight w:val="214"/>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Unrealized gain (loss) on available-for-sale securities, net of income tax</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6,448</w:t>
            </w:r>
          </w:p>
        </w:tc>
      </w:tr>
      <w:tr>
        <w:trPr>
          <w:trHeight w:val="221"/>
        </w:trPr>
        <w:tc>
          <w:tcPr>
            <w:tcW w:w="7440" w:type="dxa"/>
            <w:vAlign w:val="bottom"/>
          </w:tcPr>
          <w:p>
            <w:pPr>
              <w:ind w:left="180"/>
              <w:spacing w:after="0"/>
              <w:rPr>
                <w:sz w:val="20"/>
                <w:szCs w:val="20"/>
                <w:color w:val="auto"/>
              </w:rPr>
            </w:pPr>
            <w:r>
              <w:rPr>
                <w:rFonts w:ascii="Arial" w:cs="Arial" w:eastAsia="Arial" w:hAnsi="Arial"/>
                <w:sz w:val="17"/>
                <w:szCs w:val="17"/>
                <w:color w:val="auto"/>
              </w:rPr>
              <w:t>Reclassification adjustment for realized gains included in income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21"/>
        </w:trPr>
        <w:tc>
          <w:tcPr>
            <w:tcW w:w="7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Less: income tax</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14"/>
        </w:trPr>
        <w:tc>
          <w:tcPr>
            <w:tcW w:w="74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Less: reclassification adjustment for realized gains included in income, net of income tax</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r>
      <w:tr>
        <w:trPr>
          <w:trHeight w:val="214"/>
        </w:trPr>
        <w:tc>
          <w:tcPr>
            <w:tcW w:w="7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comprehensive income (loss)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(6,857)</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6,151</w:t>
            </w:r>
          </w:p>
        </w:tc>
      </w:tr>
      <w:tr>
        <w:trPr>
          <w:trHeight w:val="214"/>
        </w:trPr>
        <w:tc>
          <w:tcPr>
            <w:tcW w:w="744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5,178</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10,008</w:t>
            </w: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61595</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CROSSFIRST BANKSHARES,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STATEMENTS OF STOCKHOLDERS’ EQUITY - UNAUDITED</w:t>
      </w:r>
    </w:p>
    <w:p>
      <w:pPr>
        <w:spacing w:after="0" w:line="321"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2680" w:type="dxa"/>
            <w:vAlign w:val="bottom"/>
          </w:tcPr>
          <w:p>
            <w:pPr>
              <w:spacing w:after="0"/>
              <w:rPr>
                <w:sz w:val="18"/>
                <w:szCs w:val="18"/>
                <w:color w:val="auto"/>
              </w:rPr>
            </w:pPr>
          </w:p>
        </w:tc>
        <w:tc>
          <w:tcPr>
            <w:tcW w:w="22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Accumulated Other</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680" w:type="dxa"/>
            <w:vAlign w:val="bottom"/>
          </w:tcPr>
          <w:p>
            <w:pPr>
              <w:spacing w:after="0"/>
              <w:rPr>
                <w:sz w:val="10"/>
                <w:szCs w:val="10"/>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0"/>
                <w:szCs w:val="10"/>
                <w:color w:val="auto"/>
              </w:rPr>
            </w:pPr>
          </w:p>
        </w:tc>
        <w:tc>
          <w:tcPr>
            <w:tcW w:w="920" w:type="dxa"/>
            <w:vAlign w:val="bottom"/>
          </w:tcPr>
          <w:p>
            <w:pPr>
              <w:jc w:val="right"/>
              <w:ind w:right="96"/>
              <w:spacing w:after="0" w:line="123"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60"/>
              <w:spacing w:after="0" w:line="123"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380" w:type="dxa"/>
            <w:vAlign w:val="bottom"/>
            <w:gridSpan w:val="2"/>
          </w:tcPr>
          <w:p>
            <w:pPr>
              <w:jc w:val="center"/>
              <w:ind w:right="260"/>
              <w:spacing w:after="0" w:line="123" w:lineRule="exact"/>
              <w:rPr>
                <w:sz w:val="20"/>
                <w:szCs w:val="20"/>
                <w:color w:val="auto"/>
              </w:rPr>
            </w:pPr>
            <w:r>
              <w:rPr>
                <w:rFonts w:ascii="Arial" w:cs="Arial" w:eastAsia="Arial" w:hAnsi="Arial"/>
                <w:sz w:val="13"/>
                <w:szCs w:val="13"/>
                <w:b w:val="1"/>
                <w:bCs w:val="1"/>
                <w:color w:val="auto"/>
              </w:rPr>
              <w:t>Comprehensive</w:t>
            </w: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88"/>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2680" w:type="dxa"/>
            <w:vAlign w:val="bottom"/>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Paid-in Capital</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Income</w:t>
            </w:r>
          </w:p>
        </w:tc>
        <w:tc>
          <w:tcPr>
            <w:tcW w:w="10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80" w:type="dxa"/>
            <w:vAlign w:val="bottom"/>
            <w:gridSpan w:val="7"/>
          </w:tcPr>
          <w:p>
            <w:pPr>
              <w:ind w:left="10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51,969,203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519,870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601,644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8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6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7"/>
              </w:rPr>
              <w:t>Change in unrealized appreciation</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6,151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6,151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on available-for-sale securities</w:t>
            </w:r>
          </w:p>
        </w:tc>
        <w:tc>
          <w:tcPr>
            <w:tcW w:w="11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140"/>
              <w:spacing w:after="0" w:line="170" w:lineRule="exact"/>
              <w:rPr>
                <w:sz w:val="20"/>
                <w:szCs w:val="20"/>
                <w:color w:val="auto"/>
              </w:rPr>
            </w:pPr>
            <w:r>
              <w:rPr>
                <w:rFonts w:ascii="Arial" w:cs="Arial" w:eastAsia="Arial" w:hAnsi="Arial"/>
                <w:sz w:val="17"/>
                <w:szCs w:val="17"/>
                <w:color w:val="auto"/>
              </w:rPr>
              <w:t>Issuance of shares from equity-</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128,859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740" w:type="dxa"/>
            <w:vAlign w:val="bottom"/>
            <w:vMerge w:val="restart"/>
          </w:tcPr>
          <w:p>
            <w:pPr>
              <w:ind w:left="4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21"/>
        </w:trPr>
        <w:tc>
          <w:tcPr>
            <w:tcW w:w="2680" w:type="dxa"/>
            <w:vAlign w:val="bottom"/>
          </w:tcPr>
          <w:p>
            <w:pPr>
              <w:ind w:left="300"/>
              <w:spacing w:after="0"/>
              <w:rPr>
                <w:sz w:val="20"/>
                <w:szCs w:val="20"/>
                <w:color w:val="auto"/>
              </w:rPr>
            </w:pPr>
            <w:r>
              <w:rPr>
                <w:rFonts w:ascii="Arial" w:cs="Arial" w:eastAsia="Arial" w:hAnsi="Arial"/>
                <w:sz w:val="17"/>
                <w:szCs w:val="17"/>
                <w:color w:val="auto"/>
              </w:rPr>
              <w:t>based awards</w:t>
            </w: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6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6"/>
              </w:rPr>
              <w:t>Employee receivables from sale of</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w:t>
            </w:r>
          </w:p>
        </w:tc>
        <w:tc>
          <w:tcPr>
            <w:tcW w:w="11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Stock-based compensation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March 31, 2020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52,098,062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520,134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611,946</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68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Accumulated Other</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680" w:type="dxa"/>
            <w:vAlign w:val="bottom"/>
          </w:tcPr>
          <w:p>
            <w:pPr>
              <w:spacing w:after="0"/>
              <w:rPr>
                <w:sz w:val="10"/>
                <w:szCs w:val="10"/>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0"/>
                <w:szCs w:val="10"/>
                <w:color w:val="auto"/>
              </w:rPr>
            </w:pPr>
          </w:p>
        </w:tc>
        <w:tc>
          <w:tcPr>
            <w:tcW w:w="920" w:type="dxa"/>
            <w:vAlign w:val="bottom"/>
          </w:tcPr>
          <w:p>
            <w:pPr>
              <w:jc w:val="right"/>
              <w:ind w:right="96"/>
              <w:spacing w:after="0" w:line="123"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60"/>
              <w:spacing w:after="0" w:line="123"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380" w:type="dxa"/>
            <w:vAlign w:val="bottom"/>
            <w:gridSpan w:val="2"/>
          </w:tcPr>
          <w:p>
            <w:pPr>
              <w:jc w:val="center"/>
              <w:ind w:right="260"/>
              <w:spacing w:after="0" w:line="123" w:lineRule="exact"/>
              <w:rPr>
                <w:sz w:val="20"/>
                <w:szCs w:val="20"/>
                <w:color w:val="auto"/>
              </w:rPr>
            </w:pPr>
            <w:r>
              <w:rPr>
                <w:rFonts w:ascii="Arial" w:cs="Arial" w:eastAsia="Arial" w:hAnsi="Arial"/>
                <w:sz w:val="13"/>
                <w:szCs w:val="13"/>
                <w:b w:val="1"/>
                <w:bCs w:val="1"/>
                <w:color w:val="auto"/>
              </w:rPr>
              <w:t>Comprehensive</w:t>
            </w: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88"/>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26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Paid-in Capital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Income</w:t>
            </w:r>
          </w:p>
        </w:tc>
        <w:tc>
          <w:tcPr>
            <w:tcW w:w="10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7"/>
          </w:tcPr>
          <w:p>
            <w:pPr>
              <w:ind w:left="8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51,679,516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522,911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6"/>
              </w:rPr>
              <w:t>(6,061)</w:t>
            </w:r>
          </w:p>
        </w:tc>
        <w:tc>
          <w:tcPr>
            <w:tcW w:w="32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8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12,035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6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7"/>
              </w:rPr>
              <w:t>Change in unrealized depreciation</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on available-for-sale securities</w:t>
            </w:r>
          </w:p>
        </w:tc>
        <w:tc>
          <w:tcPr>
            <w:tcW w:w="11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140"/>
              <w:spacing w:after="0" w:line="170" w:lineRule="exact"/>
              <w:rPr>
                <w:sz w:val="20"/>
                <w:szCs w:val="20"/>
                <w:color w:val="auto"/>
              </w:rPr>
            </w:pPr>
            <w:r>
              <w:rPr>
                <w:rFonts w:ascii="Arial" w:cs="Arial" w:eastAsia="Arial" w:hAnsi="Arial"/>
                <w:sz w:val="17"/>
                <w:szCs w:val="17"/>
                <w:color w:val="auto"/>
              </w:rPr>
              <w:t>Issuance of shares from equity-</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87,650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740" w:type="dxa"/>
            <w:vAlign w:val="bottom"/>
            <w:vMerge w:val="restart"/>
          </w:tcPr>
          <w:p>
            <w:pPr>
              <w:ind w:left="4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(404)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80" w:type="dxa"/>
            <w:vAlign w:val="bottom"/>
          </w:tcPr>
          <w:p>
            <w:pPr>
              <w:ind w:left="300"/>
              <w:spacing w:after="0"/>
              <w:rPr>
                <w:sz w:val="20"/>
                <w:szCs w:val="20"/>
                <w:color w:val="auto"/>
              </w:rPr>
            </w:pPr>
            <w:r>
              <w:rPr>
                <w:rFonts w:ascii="Arial" w:cs="Arial" w:eastAsia="Arial" w:hAnsi="Arial"/>
                <w:sz w:val="17"/>
                <w:szCs w:val="17"/>
                <w:color w:val="auto"/>
              </w:rPr>
              <w:t>based awards</w:t>
            </w: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6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rPr>
              <w:t>Open market common share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(88,497)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200"/>
              <w:spacing w:after="0"/>
              <w:rPr>
                <w:sz w:val="20"/>
                <w:szCs w:val="20"/>
                <w:color w:val="auto"/>
              </w:rPr>
            </w:pPr>
            <w:r>
              <w:rPr>
                <w:rFonts w:ascii="Arial" w:cs="Arial" w:eastAsia="Arial" w:hAnsi="Arial"/>
                <w:sz w:val="17"/>
                <w:szCs w:val="17"/>
                <w:color w:val="auto"/>
                <w:w w:val="96"/>
              </w:rPr>
              <w:t>(1,052)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repurchases</w:t>
            </w: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680" w:type="dxa"/>
            <w:vAlign w:val="bottom"/>
          </w:tcPr>
          <w:p>
            <w:pPr>
              <w:ind w:left="140"/>
              <w:spacing w:after="0" w:line="170" w:lineRule="exact"/>
              <w:rPr>
                <w:sz w:val="20"/>
                <w:szCs w:val="20"/>
                <w:color w:val="auto"/>
              </w:rPr>
            </w:pPr>
            <w:r>
              <w:rPr>
                <w:rFonts w:ascii="Arial" w:cs="Arial" w:eastAsia="Arial" w:hAnsi="Arial"/>
                <w:sz w:val="17"/>
                <w:szCs w:val="17"/>
                <w:color w:val="auto"/>
                <w:w w:val="96"/>
              </w:rPr>
              <w:t>Employee receivables from sale of</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740" w:type="dxa"/>
            <w:vAlign w:val="bottom"/>
            <w:vMerge w:val="restart"/>
          </w:tcPr>
          <w:p>
            <w:pPr>
              <w:ind w:left="4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80" w:type="dxa"/>
            <w:vAlign w:val="bottom"/>
          </w:tcPr>
          <w:p>
            <w:pPr>
              <w:ind w:left="300"/>
              <w:spacing w:after="0"/>
              <w:rPr>
                <w:sz w:val="20"/>
                <w:szCs w:val="20"/>
                <w:color w:val="auto"/>
              </w:rPr>
            </w:pPr>
            <w:r>
              <w:rPr>
                <w:rFonts w:ascii="Arial" w:cs="Arial" w:eastAsia="Arial" w:hAnsi="Arial"/>
                <w:sz w:val="17"/>
                <w:szCs w:val="17"/>
                <w:color w:val="auto"/>
              </w:rPr>
              <w:t>stock</w:t>
            </w: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80" w:type="dxa"/>
            <w:vAlign w:val="bottom"/>
          </w:tcPr>
          <w:p>
            <w:pPr>
              <w:ind w:left="20"/>
              <w:spacing w:after="0"/>
              <w:rPr>
                <w:sz w:val="20"/>
                <w:szCs w:val="20"/>
                <w:color w:val="auto"/>
              </w:rPr>
            </w:pPr>
            <w:r>
              <w:rPr>
                <w:rFonts w:ascii="Arial" w:cs="Arial" w:eastAsia="Arial" w:hAnsi="Arial"/>
                <w:sz w:val="17"/>
                <w:szCs w:val="17"/>
                <w:color w:val="auto"/>
              </w:rPr>
              <w:t>Balance at March 31, 2021</w:t>
            </w:r>
          </w:p>
        </w:tc>
        <w:tc>
          <w:tcPr>
            <w:tcW w:w="1080" w:type="dxa"/>
            <w:vAlign w:val="bottom"/>
          </w:tcPr>
          <w:p>
            <w:pPr>
              <w:jc w:val="right"/>
              <w:spacing w:after="0"/>
              <w:rPr>
                <w:sz w:val="20"/>
                <w:szCs w:val="20"/>
                <w:color w:val="auto"/>
              </w:rPr>
            </w:pPr>
            <w:r>
              <w:rPr>
                <w:rFonts w:ascii="Arial" w:cs="Arial" w:eastAsia="Arial" w:hAnsi="Arial"/>
                <w:sz w:val="17"/>
                <w:szCs w:val="17"/>
                <w:color w:val="auto"/>
              </w:rPr>
              <w:t>51,678,669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523,156</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89,722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22,546</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740" w:type="dxa"/>
            <w:vAlign w:val="bottom"/>
          </w:tcPr>
          <w:p>
            <w:pPr>
              <w:ind w:left="200"/>
              <w:spacing w:after="0"/>
              <w:rPr>
                <w:sz w:val="20"/>
                <w:szCs w:val="20"/>
                <w:color w:val="auto"/>
              </w:rPr>
            </w:pPr>
            <w:r>
              <w:rPr>
                <w:rFonts w:ascii="Arial" w:cs="Arial" w:eastAsia="Arial" w:hAnsi="Arial"/>
                <w:sz w:val="17"/>
                <w:szCs w:val="17"/>
                <w:color w:val="auto"/>
                <w:w w:val="96"/>
              </w:rPr>
              <w:t>(7,113)</w:t>
            </w:r>
          </w:p>
        </w:tc>
        <w:tc>
          <w:tcPr>
            <w:tcW w:w="32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628,834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61595</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CROSSFIRST BANKSHARES,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STATEMENTS OF CASH FLOWS - UNAUDITED</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7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Three Months Ended</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6"/>
              </w:rPr>
              <w:t>March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0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w w:val="95"/>
              </w:rPr>
              <w:t>2020</w:t>
            </w:r>
          </w:p>
        </w:tc>
        <w:tc>
          <w:tcPr>
            <w:tcW w:w="0" w:type="dxa"/>
            <w:vAlign w:val="bottom"/>
          </w:tcPr>
          <w:p>
            <w:pPr>
              <w:spacing w:after="0"/>
              <w:rPr>
                <w:sz w:val="1"/>
                <w:szCs w:val="1"/>
                <w:color w:val="auto"/>
              </w:rPr>
            </w:pPr>
          </w:p>
        </w:tc>
      </w:tr>
      <w:tr>
        <w:trPr>
          <w:trHeight w:val="198"/>
        </w:trPr>
        <w:tc>
          <w:tcPr>
            <w:tcW w:w="7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40" w:type="dxa"/>
            <w:vAlign w:val="bottom"/>
            <w:gridSpan w:val="3"/>
          </w:tcPr>
          <w:p>
            <w:pPr>
              <w:jc w:val="center"/>
              <w:spacing w:after="0"/>
              <w:rPr>
                <w:sz w:val="20"/>
                <w:szCs w:val="20"/>
                <w:color w:val="auto"/>
              </w:rPr>
            </w:pPr>
            <w:r>
              <w:rPr>
                <w:rFonts w:ascii="Arial" w:cs="Arial" w:eastAsia="Arial" w:hAnsi="Arial"/>
                <w:sz w:val="16"/>
                <w:szCs w:val="16"/>
                <w:i w:val="1"/>
                <w:iCs w:val="1"/>
                <w:color w:val="auto"/>
                <w:w w:val="89"/>
              </w:rPr>
              <w:t>(Dollars in thousands)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80" w:type="dxa"/>
            <w:vAlign w:val="bottom"/>
          </w:tcPr>
          <w:p>
            <w:pPr>
              <w:ind w:left="340"/>
              <w:spacing w:after="0"/>
              <w:rPr>
                <w:sz w:val="20"/>
                <w:szCs w:val="20"/>
                <w:color w:val="auto"/>
              </w:rPr>
            </w:pPr>
            <w:r>
              <w:rPr>
                <w:rFonts w:ascii="Arial" w:cs="Arial" w:eastAsia="Arial" w:hAnsi="Arial"/>
                <w:sz w:val="17"/>
                <w:szCs w:val="17"/>
                <w:color w:val="auto"/>
              </w:rPr>
              <w:t>Net income</w:t>
            </w:r>
          </w:p>
        </w:tc>
        <w:tc>
          <w:tcPr>
            <w:tcW w:w="1180" w:type="dxa"/>
            <w:vAlign w:val="bottom"/>
          </w:tcPr>
          <w:p>
            <w:pPr>
              <w:jc w:val="right"/>
              <w:ind w:right="99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12,035</w:t>
            </w:r>
          </w:p>
        </w:tc>
        <w:tc>
          <w:tcPr>
            <w:tcW w:w="12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3,857</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Items not requiring (providing) cash</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80" w:type="dxa"/>
            <w:vAlign w:val="bottom"/>
          </w:tcPr>
          <w:p>
            <w:pPr>
              <w:ind w:left="520"/>
              <w:spacing w:after="0"/>
              <w:rPr>
                <w:sz w:val="20"/>
                <w:szCs w:val="20"/>
                <w:color w:val="auto"/>
              </w:rPr>
            </w:pPr>
            <w:r>
              <w:rPr>
                <w:rFonts w:ascii="Arial" w:cs="Arial" w:eastAsia="Arial" w:hAnsi="Arial"/>
                <w:sz w:val="17"/>
                <w:szCs w:val="17"/>
                <w:color w:val="auto"/>
              </w:rPr>
              <w:t>Depreciation and amortization</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1,375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1,295</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Provision for loan losses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13,950</w:t>
            </w:r>
          </w:p>
        </w:tc>
        <w:tc>
          <w:tcPr>
            <w:tcW w:w="0" w:type="dxa"/>
            <w:vAlign w:val="bottom"/>
          </w:tcPr>
          <w:p>
            <w:pPr>
              <w:spacing w:after="0"/>
              <w:rPr>
                <w:sz w:val="1"/>
                <w:szCs w:val="1"/>
                <w:color w:val="auto"/>
              </w:rPr>
            </w:pPr>
          </w:p>
        </w:tc>
      </w:tr>
      <w:tr>
        <w:trPr>
          <w:trHeight w:val="221"/>
        </w:trPr>
        <w:tc>
          <w:tcPr>
            <w:tcW w:w="7080" w:type="dxa"/>
            <w:vAlign w:val="bottom"/>
          </w:tcPr>
          <w:p>
            <w:pPr>
              <w:ind w:left="520"/>
              <w:spacing w:after="0"/>
              <w:rPr>
                <w:sz w:val="20"/>
                <w:szCs w:val="20"/>
                <w:color w:val="auto"/>
              </w:rPr>
            </w:pPr>
            <w:r>
              <w:rPr>
                <w:rFonts w:ascii="Arial" w:cs="Arial" w:eastAsia="Arial" w:hAnsi="Arial"/>
                <w:sz w:val="17"/>
                <w:szCs w:val="17"/>
                <w:color w:val="auto"/>
              </w:rPr>
              <w:t>Accretion of discounts and amortization of premiums on securities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1,310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Equity based compensation</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21"/>
        </w:trPr>
        <w:tc>
          <w:tcPr>
            <w:tcW w:w="7080" w:type="dxa"/>
            <w:vAlign w:val="bottom"/>
          </w:tcPr>
          <w:p>
            <w:pPr>
              <w:ind w:left="520"/>
              <w:spacing w:after="0"/>
              <w:rPr>
                <w:sz w:val="20"/>
                <w:szCs w:val="20"/>
                <w:color w:val="auto"/>
              </w:rPr>
            </w:pPr>
            <w:r>
              <w:rPr>
                <w:rFonts w:ascii="Arial" w:cs="Arial" w:eastAsia="Arial" w:hAnsi="Arial"/>
                <w:sz w:val="17"/>
                <w:szCs w:val="17"/>
                <w:color w:val="auto"/>
              </w:rPr>
              <w:t>Deferred income taxes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2,881</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Net realized gains on available-for-sale securities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21"/>
        </w:trPr>
        <w:tc>
          <w:tcPr>
            <w:tcW w:w="7080" w:type="dxa"/>
            <w:vAlign w:val="bottom"/>
          </w:tcPr>
          <w:p>
            <w:pPr>
              <w:ind w:left="340"/>
              <w:spacing w:after="0"/>
              <w:rPr>
                <w:sz w:val="20"/>
                <w:szCs w:val="20"/>
                <w:color w:val="auto"/>
              </w:rPr>
            </w:pPr>
            <w:r>
              <w:rPr>
                <w:rFonts w:ascii="Arial" w:cs="Arial" w:eastAsia="Arial" w:hAnsi="Arial"/>
                <w:sz w:val="17"/>
                <w:szCs w:val="17"/>
                <w:color w:val="auto"/>
              </w:rPr>
              <w:t>Changes in</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Interest receivable</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w:t>
            </w:r>
          </w:p>
        </w:tc>
        <w:tc>
          <w:tcPr>
            <w:tcW w:w="0" w:type="dxa"/>
            <w:vAlign w:val="bottom"/>
          </w:tcPr>
          <w:p>
            <w:pPr>
              <w:spacing w:after="0"/>
              <w:rPr>
                <w:sz w:val="1"/>
                <w:szCs w:val="1"/>
                <w:color w:val="auto"/>
              </w:rPr>
            </w:pPr>
          </w:p>
        </w:tc>
      </w:tr>
      <w:tr>
        <w:trPr>
          <w:trHeight w:val="221"/>
        </w:trPr>
        <w:tc>
          <w:tcPr>
            <w:tcW w:w="7080" w:type="dxa"/>
            <w:vAlign w:val="bottom"/>
          </w:tcPr>
          <w:p>
            <w:pPr>
              <w:ind w:left="520"/>
              <w:spacing w:after="0"/>
              <w:rPr>
                <w:sz w:val="20"/>
                <w:szCs w:val="20"/>
                <w:color w:val="auto"/>
              </w:rPr>
            </w:pPr>
            <w:r>
              <w:rPr>
                <w:rFonts w:ascii="Arial" w:cs="Arial" w:eastAsia="Arial" w:hAnsi="Arial"/>
                <w:sz w:val="17"/>
                <w:szCs w:val="17"/>
                <w:color w:val="auto"/>
              </w:rPr>
              <w:t>Other assets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(28,730)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Other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(9,368)</w:t>
            </w:r>
          </w:p>
        </w:tc>
        <w:tc>
          <w:tcPr>
            <w:tcW w:w="0" w:type="dxa"/>
            <w:vAlign w:val="bottom"/>
          </w:tcPr>
          <w:p>
            <w:pPr>
              <w:spacing w:after="0"/>
              <w:rPr>
                <w:sz w:val="1"/>
                <w:szCs w:val="1"/>
                <w:color w:val="auto"/>
              </w:rPr>
            </w:pPr>
          </w:p>
        </w:tc>
      </w:tr>
      <w:tr>
        <w:trPr>
          <w:trHeight w:val="214"/>
        </w:trPr>
        <w:tc>
          <w:tcPr>
            <w:tcW w:w="7080" w:type="dxa"/>
            <w:vAlign w:val="bottom"/>
            <w:tcBorders>
              <w:bottom w:val="single" w:sz="8" w:color="CCEEFF"/>
            </w:tcBorders>
          </w:tcPr>
          <w:p>
            <w:pPr>
              <w:ind w:left="840"/>
              <w:spacing w:after="0"/>
              <w:rPr>
                <w:sz w:val="20"/>
                <w:szCs w:val="20"/>
                <w:color w:val="auto"/>
              </w:rPr>
            </w:pPr>
            <w:r>
              <w:rPr>
                <w:rFonts w:ascii="Arial" w:cs="Arial" w:eastAsia="Arial" w:hAnsi="Arial"/>
                <w:sz w:val="17"/>
                <w:szCs w:val="17"/>
                <w:color w:val="auto"/>
              </w:rPr>
              <w:t>Net cash provided by (used in) operating activities</w:t>
            </w:r>
          </w:p>
        </w:tc>
        <w:tc>
          <w:tcPr>
            <w:tcW w:w="1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(9,735)</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12,670</w:t>
            </w:r>
          </w:p>
        </w:tc>
        <w:tc>
          <w:tcPr>
            <w:tcW w:w="0" w:type="dxa"/>
            <w:vAlign w:val="bottom"/>
          </w:tcPr>
          <w:p>
            <w:pPr>
              <w:spacing w:after="0"/>
              <w:rPr>
                <w:sz w:val="1"/>
                <w:szCs w:val="1"/>
                <w:color w:val="auto"/>
              </w:rPr>
            </w:pPr>
          </w:p>
        </w:tc>
      </w:tr>
      <w:tr>
        <w:trPr>
          <w:trHeight w:val="201"/>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80" w:type="dxa"/>
            <w:vAlign w:val="bottom"/>
          </w:tcPr>
          <w:p>
            <w:pPr>
              <w:ind w:left="340"/>
              <w:spacing w:after="0"/>
              <w:rPr>
                <w:sz w:val="20"/>
                <w:szCs w:val="20"/>
                <w:color w:val="auto"/>
              </w:rPr>
            </w:pPr>
            <w:r>
              <w:rPr>
                <w:rFonts w:ascii="Arial" w:cs="Arial" w:eastAsia="Arial" w:hAnsi="Arial"/>
                <w:sz w:val="17"/>
                <w:szCs w:val="17"/>
                <w:color w:val="auto"/>
              </w:rPr>
              <w:t>Net change in loans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(74,947)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(169,595)</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Purchases of available-for-sale securities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(74,575)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(11,861)</w:t>
            </w:r>
          </w:p>
        </w:tc>
        <w:tc>
          <w:tcPr>
            <w:tcW w:w="0" w:type="dxa"/>
            <w:vAlign w:val="bottom"/>
          </w:tcPr>
          <w:p>
            <w:pPr>
              <w:spacing w:after="0"/>
              <w:rPr>
                <w:sz w:val="1"/>
                <w:szCs w:val="1"/>
                <w:color w:val="auto"/>
              </w:rPr>
            </w:pPr>
          </w:p>
        </w:tc>
      </w:tr>
      <w:tr>
        <w:trPr>
          <w:trHeight w:val="221"/>
        </w:trPr>
        <w:tc>
          <w:tcPr>
            <w:tcW w:w="7080" w:type="dxa"/>
            <w:vAlign w:val="bottom"/>
          </w:tcPr>
          <w:p>
            <w:pPr>
              <w:ind w:left="340"/>
              <w:spacing w:after="0"/>
              <w:rPr>
                <w:sz w:val="20"/>
                <w:szCs w:val="20"/>
                <w:color w:val="auto"/>
              </w:rPr>
            </w:pPr>
            <w:r>
              <w:rPr>
                <w:rFonts w:ascii="Arial" w:cs="Arial" w:eastAsia="Arial" w:hAnsi="Arial"/>
                <w:sz w:val="17"/>
                <w:szCs w:val="17"/>
                <w:color w:val="auto"/>
              </w:rPr>
              <w:t>Proceeds from maturities of available-for-sale securities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33,329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21,528</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sale of available-for-sale securities</w:t>
            </w:r>
          </w:p>
        </w:tc>
        <w:tc>
          <w:tcPr>
            <w:tcW w:w="1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3,841</w:t>
            </w:r>
          </w:p>
        </w:tc>
        <w:tc>
          <w:tcPr>
            <w:tcW w:w="0" w:type="dxa"/>
            <w:vAlign w:val="bottom"/>
          </w:tcPr>
          <w:p>
            <w:pPr>
              <w:spacing w:after="0"/>
              <w:rPr>
                <w:sz w:val="1"/>
                <w:szCs w:val="1"/>
                <w:color w:val="auto"/>
              </w:rPr>
            </w:pPr>
          </w:p>
        </w:tc>
      </w:tr>
      <w:tr>
        <w:trPr>
          <w:trHeight w:val="221"/>
        </w:trPr>
        <w:tc>
          <w:tcPr>
            <w:tcW w:w="7080" w:type="dxa"/>
            <w:vAlign w:val="bottom"/>
          </w:tcPr>
          <w:p>
            <w:pPr>
              <w:ind w:left="340"/>
              <w:spacing w:after="0"/>
              <w:rPr>
                <w:sz w:val="20"/>
                <w:szCs w:val="20"/>
                <w:color w:val="auto"/>
              </w:rPr>
            </w:pPr>
            <w:r>
              <w:rPr>
                <w:rFonts w:ascii="Arial" w:cs="Arial" w:eastAsia="Arial" w:hAnsi="Arial"/>
                <w:sz w:val="17"/>
                <w:szCs w:val="17"/>
                <w:color w:val="auto"/>
              </w:rPr>
              <w:t>Purchase of premises and equipment</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restricted equity securities</w:t>
            </w:r>
          </w:p>
        </w:tc>
        <w:tc>
          <w:tcPr>
            <w:tcW w:w="1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21"/>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Proceeds from sale of restricted equity securities</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Net cash used in investing activities</w:t>
            </w:r>
          </w:p>
        </w:tc>
        <w:tc>
          <w:tcPr>
            <w:tcW w:w="1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(114,685)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(157,388)</w:t>
            </w:r>
          </w:p>
        </w:tc>
        <w:tc>
          <w:tcPr>
            <w:tcW w:w="0" w:type="dxa"/>
            <w:vAlign w:val="bottom"/>
          </w:tcPr>
          <w:p>
            <w:pPr>
              <w:spacing w:after="0"/>
              <w:rPr>
                <w:sz w:val="1"/>
                <w:szCs w:val="1"/>
                <w:color w:val="auto"/>
              </w:rPr>
            </w:pPr>
          </w:p>
        </w:tc>
      </w:tr>
      <w:tr>
        <w:trPr>
          <w:trHeight w:val="201"/>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increase in demand deposits, savings, NOW and money market accounts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468,521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185,747</w:t>
            </w:r>
          </w:p>
        </w:tc>
        <w:tc>
          <w:tcPr>
            <w:tcW w:w="0" w:type="dxa"/>
            <w:vAlign w:val="bottom"/>
          </w:tcPr>
          <w:p>
            <w:pPr>
              <w:spacing w:after="0"/>
              <w:rPr>
                <w:sz w:val="1"/>
                <w:szCs w:val="1"/>
                <w:color w:val="auto"/>
              </w:rPr>
            </w:pPr>
          </w:p>
        </w:tc>
      </w:tr>
      <w:tr>
        <w:trPr>
          <w:trHeight w:val="221"/>
        </w:trPr>
        <w:tc>
          <w:tcPr>
            <w:tcW w:w="7080" w:type="dxa"/>
            <w:vAlign w:val="bottom"/>
          </w:tcPr>
          <w:p>
            <w:pPr>
              <w:ind w:left="340"/>
              <w:spacing w:after="0"/>
              <w:rPr>
                <w:sz w:val="20"/>
                <w:szCs w:val="20"/>
                <w:color w:val="auto"/>
              </w:rPr>
            </w:pPr>
            <w:r>
              <w:rPr>
                <w:rFonts w:ascii="Arial" w:cs="Arial" w:eastAsia="Arial" w:hAnsi="Arial"/>
                <w:sz w:val="17"/>
                <w:szCs w:val="17"/>
                <w:color w:val="auto"/>
              </w:rPr>
              <w:t>Net decrease in time deposits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8"/>
              </w:rPr>
              <w:t>(111,691)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(136,684)</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increase in fed funds purchased and repurchase agreements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24,025</w:t>
            </w:r>
          </w:p>
        </w:tc>
        <w:tc>
          <w:tcPr>
            <w:tcW w:w="0" w:type="dxa"/>
            <w:vAlign w:val="bottom"/>
          </w:tcPr>
          <w:p>
            <w:pPr>
              <w:spacing w:after="0"/>
              <w:rPr>
                <w:sz w:val="1"/>
                <w:szCs w:val="1"/>
                <w:color w:val="auto"/>
              </w:rPr>
            </w:pPr>
          </w:p>
        </w:tc>
      </w:tr>
      <w:tr>
        <w:trPr>
          <w:trHeight w:val="221"/>
        </w:trPr>
        <w:tc>
          <w:tcPr>
            <w:tcW w:w="7080" w:type="dxa"/>
            <w:vAlign w:val="bottom"/>
          </w:tcPr>
          <w:p>
            <w:pPr>
              <w:ind w:left="340"/>
              <w:spacing w:after="0"/>
              <w:rPr>
                <w:sz w:val="20"/>
                <w:szCs w:val="20"/>
                <w:color w:val="auto"/>
              </w:rPr>
            </w:pPr>
            <w:r>
              <w:rPr>
                <w:rFonts w:ascii="Arial" w:cs="Arial" w:eastAsia="Arial" w:hAnsi="Arial"/>
                <w:sz w:val="17"/>
                <w:szCs w:val="17"/>
                <w:color w:val="auto"/>
              </w:rPr>
              <w:t>Proceeds from Federal Home Loan Bank advances</w:t>
            </w:r>
          </w:p>
        </w:tc>
        <w:tc>
          <w:tcPr>
            <w:tcW w:w="1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70,000</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Repayment of Federal Home Loan Bank advances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(26,063)</w:t>
            </w:r>
          </w:p>
        </w:tc>
        <w:tc>
          <w:tcPr>
            <w:tcW w:w="0" w:type="dxa"/>
            <w:vAlign w:val="bottom"/>
          </w:tcPr>
          <w:p>
            <w:pPr>
              <w:spacing w:after="0"/>
              <w:rPr>
                <w:sz w:val="1"/>
                <w:szCs w:val="1"/>
                <w:color w:val="auto"/>
              </w:rPr>
            </w:pPr>
          </w:p>
        </w:tc>
      </w:tr>
      <w:tr>
        <w:trPr>
          <w:trHeight w:val="221"/>
        </w:trPr>
        <w:tc>
          <w:tcPr>
            <w:tcW w:w="7080" w:type="dxa"/>
            <w:vAlign w:val="bottom"/>
          </w:tcPr>
          <w:p>
            <w:pPr>
              <w:ind w:left="340"/>
              <w:spacing w:after="0"/>
              <w:rPr>
                <w:sz w:val="20"/>
                <w:szCs w:val="20"/>
                <w:color w:val="auto"/>
              </w:rPr>
            </w:pPr>
            <w:r>
              <w:rPr>
                <w:rFonts w:ascii="Arial" w:cs="Arial" w:eastAsia="Arial" w:hAnsi="Arial"/>
                <w:sz w:val="17"/>
                <w:szCs w:val="17"/>
                <w:color w:val="auto"/>
              </w:rPr>
              <w:t>Issuance of common shares, net of issuance cost</w:t>
            </w:r>
          </w:p>
        </w:tc>
        <w:tc>
          <w:tcPr>
            <w:tcW w:w="1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Repurchase of common stock</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7080" w:type="dxa"/>
            <w:vAlign w:val="bottom"/>
          </w:tcPr>
          <w:p>
            <w:pPr>
              <w:ind w:left="340"/>
              <w:spacing w:after="0"/>
              <w:rPr>
                <w:sz w:val="20"/>
                <w:szCs w:val="20"/>
                <w:color w:val="auto"/>
              </w:rPr>
            </w:pPr>
            <w:r>
              <w:rPr>
                <w:rFonts w:ascii="Arial" w:cs="Arial" w:eastAsia="Arial" w:hAnsi="Arial"/>
                <w:sz w:val="17"/>
                <w:szCs w:val="17"/>
                <w:color w:val="auto"/>
              </w:rPr>
              <w:t>Acquisition of common stock for tax withholding obligations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(671)</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decrease in employee receivables</w:t>
            </w:r>
          </w:p>
        </w:tc>
        <w:tc>
          <w:tcPr>
            <w:tcW w:w="1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4"/>
        </w:trPr>
        <w:tc>
          <w:tcPr>
            <w:tcW w:w="7080" w:type="dxa"/>
            <w:vAlign w:val="bottom"/>
            <w:tcBorders>
              <w:bottom w:val="single" w:sz="8" w:color="CCEEFF"/>
            </w:tcBorders>
          </w:tcPr>
          <w:p>
            <w:pPr>
              <w:ind w:left="840"/>
              <w:spacing w:after="0"/>
              <w:rPr>
                <w:sz w:val="20"/>
                <w:szCs w:val="20"/>
                <w:color w:val="auto"/>
              </w:rPr>
            </w:pPr>
            <w:r>
              <w:rPr>
                <w:rFonts w:ascii="Arial" w:cs="Arial" w:eastAsia="Arial" w:hAnsi="Arial"/>
                <w:sz w:val="17"/>
                <w:szCs w:val="17"/>
                <w:color w:val="auto"/>
              </w:rPr>
              <w:t>Net cash provided by financing activities</w:t>
            </w:r>
          </w:p>
        </w:tc>
        <w:tc>
          <w:tcPr>
            <w:tcW w:w="1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346,397</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116,385</w:t>
            </w: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Cash and Cash Equivalents</w:t>
            </w: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221,977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(28,333)</w:t>
            </w:r>
          </w:p>
        </w:tc>
        <w:tc>
          <w:tcPr>
            <w:tcW w:w="0" w:type="dxa"/>
            <w:vAlign w:val="bottom"/>
          </w:tcPr>
          <w:p>
            <w:pPr>
              <w:spacing w:after="0"/>
              <w:rPr>
                <w:sz w:val="1"/>
                <w:szCs w:val="1"/>
                <w:color w:val="auto"/>
              </w:rPr>
            </w:pPr>
          </w:p>
        </w:tc>
      </w:tr>
      <w:tr>
        <w:trPr>
          <w:trHeight w:val="221"/>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408,810</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187,320</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 End of Period</w:t>
            </w:r>
          </w:p>
        </w:tc>
        <w:tc>
          <w:tcPr>
            <w:tcW w:w="1180" w:type="dxa"/>
            <w:vAlign w:val="bottom"/>
            <w:tcBorders>
              <w:bottom w:val="single" w:sz="8" w:color="auto"/>
            </w:tcBorders>
            <w:shd w:val="clear" w:color="auto" w:fill="CCEEFF"/>
          </w:tcPr>
          <w:p>
            <w:pPr>
              <w:jc w:val="right"/>
              <w:ind w:right="993"/>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630,787</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3"/>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158,987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Supplemental Cash Flows Information</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paid</w:t>
            </w: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17,199</w:t>
            </w:r>
          </w:p>
        </w:tc>
        <w:tc>
          <w:tcPr>
            <w:tcW w:w="0" w:type="dxa"/>
            <w:vAlign w:val="bottom"/>
          </w:tcPr>
          <w:p>
            <w:pPr>
              <w:spacing w:after="0"/>
              <w:rPr>
                <w:sz w:val="1"/>
                <w:szCs w:val="1"/>
                <w:color w:val="auto"/>
              </w:rPr>
            </w:pPr>
          </w:p>
        </w:tc>
      </w:tr>
      <w:tr>
        <w:trPr>
          <w:trHeight w:val="221"/>
        </w:trPr>
        <w:tc>
          <w:tcPr>
            <w:tcW w:w="7080" w:type="dxa"/>
            <w:vAlign w:val="bottom"/>
          </w:tcPr>
          <w:p>
            <w:pPr>
              <w:ind w:left="340"/>
              <w:spacing w:after="0"/>
              <w:rPr>
                <w:sz w:val="20"/>
                <w:szCs w:val="20"/>
                <w:color w:val="auto"/>
              </w:rPr>
            </w:pPr>
            <w:r>
              <w:rPr>
                <w:rFonts w:ascii="Arial" w:cs="Arial" w:eastAsia="Arial" w:hAnsi="Arial"/>
                <w:sz w:val="17"/>
                <w:szCs w:val="17"/>
                <w:color w:val="auto"/>
              </w:rPr>
              <w:t>Income taxes paid</w:t>
            </w:r>
          </w:p>
        </w:tc>
        <w:tc>
          <w:tcPr>
            <w:tcW w:w="1180" w:type="dxa"/>
            <w:vAlign w:val="bottom"/>
          </w:tcPr>
          <w:p>
            <w:pPr>
              <w:jc w:val="right"/>
              <w:ind w:right="99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61595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2"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1:</w:t>
      </w:r>
      <w:r>
        <w:rPr>
          <w:sz w:val="20"/>
          <w:szCs w:val="20"/>
          <w:color w:val="auto"/>
        </w:rPr>
        <w:tab/>
      </w:r>
      <w:r>
        <w:rPr>
          <w:rFonts w:ascii="Arial" w:cs="Arial" w:eastAsia="Arial" w:hAnsi="Arial"/>
          <w:sz w:val="18"/>
          <w:szCs w:val="18"/>
          <w:b w:val="1"/>
          <w:bCs w:val="1"/>
          <w:color w:val="auto"/>
        </w:rPr>
        <w:t>Nature of Operations and Summary of Significant Accounting Policies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Organization and Nature of Operations</w:t>
      </w:r>
    </w:p>
    <w:p>
      <w:pPr>
        <w:spacing w:after="0" w:line="164" w:lineRule="exact"/>
        <w:rPr>
          <w:sz w:val="20"/>
          <w:szCs w:val="20"/>
          <w:color w:val="auto"/>
        </w:rPr>
      </w:pPr>
    </w:p>
    <w:p>
      <w:pPr>
        <w:ind w:left="160" w:right="240" w:firstLine="469"/>
        <w:spacing w:after="0" w:line="295" w:lineRule="auto"/>
        <w:rPr>
          <w:sz w:val="20"/>
          <w:szCs w:val="20"/>
          <w:color w:val="auto"/>
        </w:rPr>
      </w:pPr>
      <w:r>
        <w:rPr>
          <w:rFonts w:ascii="Arial" w:cs="Arial" w:eastAsia="Arial" w:hAnsi="Arial"/>
          <w:sz w:val="16"/>
          <w:szCs w:val="16"/>
          <w:color w:val="auto"/>
        </w:rPr>
        <w:t>CrossFirst Bankshares, Inc. (the “Company”) is a bank holding company whose principal activities are the ownership and management of its wholly-owned subsidiary, CrossFirst Bank (the “Bank”). In addition, the Bank has three subsidiaries including CrossFirst Investments, Inc. (“CFI”) that holds investments in marketable securities, CFBSA I, LLC that holds foreclosed assets and CFBSA II, LLC that holds foreclosed assets.</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Basis of Presentation</w:t>
      </w:r>
    </w:p>
    <w:p>
      <w:pPr>
        <w:spacing w:after="0" w:line="164" w:lineRule="exact"/>
        <w:rPr>
          <w:sz w:val="20"/>
          <w:szCs w:val="20"/>
          <w:color w:val="auto"/>
        </w:rPr>
      </w:pPr>
    </w:p>
    <w:p>
      <w:pPr>
        <w:ind w:left="160" w:right="400" w:firstLine="469"/>
        <w:spacing w:after="0" w:line="271" w:lineRule="auto"/>
        <w:rPr>
          <w:sz w:val="20"/>
          <w:szCs w:val="20"/>
          <w:color w:val="auto"/>
        </w:rPr>
      </w:pPr>
      <w:r>
        <w:rPr>
          <w:rFonts w:ascii="Arial" w:cs="Arial" w:eastAsia="Arial" w:hAnsi="Arial"/>
          <w:sz w:val="17"/>
          <w:szCs w:val="17"/>
          <w:color w:val="auto"/>
        </w:rPr>
        <w:t>The Company’s accounting and reporting policies conform to accounting principles generally accepted in the United States (“GAAP”). The consolidated financial statements include the accounts of the Company, the Bank, CFI, CFBSA I, LLC and CFBSA II, LLC. All significant intercompany accounts and transactions have been eliminated in consolidation.</w:t>
      </w:r>
    </w:p>
    <w:p>
      <w:pPr>
        <w:spacing w:after="0" w:line="119" w:lineRule="exact"/>
        <w:rPr>
          <w:sz w:val="20"/>
          <w:szCs w:val="20"/>
          <w:color w:val="auto"/>
        </w:rPr>
      </w:pPr>
    </w:p>
    <w:p>
      <w:pPr>
        <w:ind w:left="160" w:firstLine="469"/>
        <w:spacing w:after="0" w:line="266" w:lineRule="auto"/>
        <w:rPr>
          <w:sz w:val="20"/>
          <w:szCs w:val="20"/>
          <w:color w:val="auto"/>
        </w:rPr>
      </w:pPr>
      <w:r>
        <w:rPr>
          <w:rFonts w:ascii="Arial" w:cs="Arial" w:eastAsia="Arial" w:hAnsi="Arial"/>
          <w:sz w:val="17"/>
          <w:szCs w:val="17"/>
          <w:color w:val="auto"/>
        </w:rPr>
        <w:t>The consolidated interim financial statements are unaudited and certain information and footnote disclosures presented in accordance with GAAP have been condensed or omitted and should be read in conjunction with the Company’s consolidated financial statements and footnotes included in the Company’s Annual Report on Form 10-K for the year ended December 31, 2020 (the “2020 Form 10-K”), filed with the Securities and Exchange Commission (the “SEC”) on February 26, 2021.</w:t>
      </w:r>
    </w:p>
    <w:p>
      <w:pPr>
        <w:spacing w:after="0" w:line="123" w:lineRule="exact"/>
        <w:rPr>
          <w:sz w:val="20"/>
          <w:szCs w:val="20"/>
          <w:color w:val="auto"/>
        </w:rPr>
      </w:pPr>
    </w:p>
    <w:p>
      <w:pPr>
        <w:ind w:left="160" w:right="20" w:firstLine="469"/>
        <w:spacing w:after="0" w:line="266" w:lineRule="auto"/>
        <w:rPr>
          <w:sz w:val="20"/>
          <w:szCs w:val="20"/>
          <w:color w:val="auto"/>
        </w:rPr>
      </w:pPr>
      <w:r>
        <w:rPr>
          <w:rFonts w:ascii="Arial" w:cs="Arial" w:eastAsia="Arial" w:hAnsi="Arial"/>
          <w:sz w:val="17"/>
          <w:szCs w:val="17"/>
          <w:color w:val="auto"/>
        </w:rPr>
        <w:t>In the opinion of management, the interim financial statements include all adjustments which are of a normal, recurring nature necessary for the fair presentation of the financial position, results of operations, and cash flows of the Company and the disclosures made are adequate to make the interim financial information not misleading. The consolidated financial statements have been prepared in accordance with GAAP for interim financial information and the instructions to Form 10-Q adopted by the SEC.</w:t>
      </w:r>
    </w:p>
    <w:p>
      <w:pPr>
        <w:spacing w:after="0" w:line="123" w:lineRule="exact"/>
        <w:rPr>
          <w:sz w:val="20"/>
          <w:szCs w:val="20"/>
          <w:color w:val="auto"/>
        </w:rPr>
      </w:pPr>
    </w:p>
    <w:p>
      <w:pPr>
        <w:jc w:val="both"/>
        <w:ind w:left="160" w:right="300" w:firstLine="469"/>
        <w:spacing w:after="0" w:line="271" w:lineRule="auto"/>
        <w:rPr>
          <w:sz w:val="20"/>
          <w:szCs w:val="20"/>
          <w:color w:val="auto"/>
        </w:rPr>
      </w:pPr>
      <w:r>
        <w:rPr>
          <w:rFonts w:ascii="Arial" w:cs="Arial" w:eastAsia="Arial" w:hAnsi="Arial"/>
          <w:sz w:val="17"/>
          <w:szCs w:val="17"/>
          <w:color w:val="auto"/>
        </w:rPr>
        <w:t>No significant changes in the accounting policies of the Company occurred since December 31, 2020, the most recent date financial statements were provided within the Company’s 2020 Form 10-K. Operating results for the interim periods disclosed herein are not necessarily indicative of the results that may be expected for a full year or any future period.</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Use of Estimates</w:t>
      </w:r>
    </w:p>
    <w:p>
      <w:pPr>
        <w:spacing w:after="0" w:line="164" w:lineRule="exact"/>
        <w:rPr>
          <w:sz w:val="20"/>
          <w:szCs w:val="20"/>
          <w:color w:val="auto"/>
        </w:rPr>
      </w:pPr>
    </w:p>
    <w:p>
      <w:pPr>
        <w:ind w:left="160" w:right="60" w:firstLine="469"/>
        <w:spacing w:after="0" w:line="283" w:lineRule="auto"/>
        <w:rPr>
          <w:sz w:val="20"/>
          <w:szCs w:val="20"/>
          <w:color w:val="auto"/>
        </w:rPr>
      </w:pPr>
      <w:r>
        <w:rPr>
          <w:rFonts w:ascii="Arial" w:cs="Arial" w:eastAsia="Arial" w:hAnsi="Arial"/>
          <w:sz w:val="16"/>
          <w:szCs w:val="16"/>
          <w:color w:val="auto"/>
        </w:rPr>
        <w:t>The Company identified accounting policies and estimates that, due to the difficult, subjective or complex judgments and assumptions inherent in those policies and estimates and the potential sensitivity of the Company’s financial statements to those judgments and assumptions, are critical to an understanding of the Company’s financial condition and results of operations. Actual results could differ from those estimates. In particular, the novel coronavirus (“COVID-19”) pandemic and resulting impacts to economic conditions, as well as adverse impacts to the Company’s operations, may impact future estimates. The allowance for loan losses, deferred tax asset, and fair value of financial instruments are particularly susceptible to significant change.</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Cash Equivalents</w:t>
      </w:r>
    </w:p>
    <w:p>
      <w:pPr>
        <w:spacing w:after="0" w:line="164" w:lineRule="exact"/>
        <w:rPr>
          <w:sz w:val="20"/>
          <w:szCs w:val="20"/>
          <w:color w:val="auto"/>
        </w:rPr>
      </w:pPr>
    </w:p>
    <w:p>
      <w:pPr>
        <w:ind w:left="160" w:right="80" w:firstLine="469"/>
        <w:spacing w:after="0" w:line="286" w:lineRule="auto"/>
        <w:rPr>
          <w:sz w:val="20"/>
          <w:szCs w:val="20"/>
          <w:color w:val="auto"/>
        </w:rPr>
      </w:pPr>
      <w:r>
        <w:rPr>
          <w:rFonts w:ascii="Arial" w:cs="Arial" w:eastAsia="Arial" w:hAnsi="Arial"/>
          <w:sz w:val="17"/>
          <w:szCs w:val="17"/>
          <w:color w:val="auto"/>
        </w:rPr>
        <w:t>The Company had $541 million of cash and cash equivalents at the Federal Reserve Bank of Kansas City as of March 31, 2021. The reserve required at March 31, 2021 was $0.</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Coronavirus Aid, Relief, and Economic Security Act (“CARES Act”)</w:t>
      </w:r>
    </w:p>
    <w:p>
      <w:pPr>
        <w:spacing w:after="0" w:line="164" w:lineRule="exact"/>
        <w:rPr>
          <w:sz w:val="20"/>
          <w:szCs w:val="20"/>
          <w:color w:val="auto"/>
        </w:rPr>
      </w:pPr>
    </w:p>
    <w:p>
      <w:pPr>
        <w:ind w:left="160" w:right="120" w:firstLine="469"/>
        <w:spacing w:after="0" w:line="283" w:lineRule="auto"/>
        <w:rPr>
          <w:sz w:val="20"/>
          <w:szCs w:val="20"/>
          <w:color w:val="auto"/>
        </w:rPr>
      </w:pPr>
      <w:r>
        <w:rPr>
          <w:rFonts w:ascii="Arial" w:cs="Arial" w:eastAsia="Arial" w:hAnsi="Arial"/>
          <w:sz w:val="16"/>
          <w:szCs w:val="16"/>
          <w:color w:val="auto"/>
        </w:rPr>
        <w:t>The CARES Act gave financial institutions the right to elect to suspend GAAP principles and regulatory determinations for loan modifications relating to COVID-19 that would otherwise be categorized as TDRs from March 1, 2020, through December 31, 2020. On December 27, 2020, the Consolidated Appropriations Act, 2021 was signed into law, which extended the period during which the Company may suspend GAAP principles and regulatory determinations for loan modifications relating to COVID-19 that would otherwise be categorized as TDRs through January 1, 2022 or 60 days after the date when the national emergency concerning COVID-19 terminates. The Company elected to apply the guidance starting in the first quarter of 2020.</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Changes Affecting Comparability</w:t>
      </w:r>
    </w:p>
    <w:p>
      <w:pPr>
        <w:spacing w:after="0" w:line="164" w:lineRule="exact"/>
        <w:rPr>
          <w:sz w:val="20"/>
          <w:szCs w:val="20"/>
          <w:color w:val="auto"/>
        </w:rPr>
      </w:pPr>
    </w:p>
    <w:p>
      <w:pPr>
        <w:jc w:val="both"/>
        <w:ind w:left="160" w:right="80" w:firstLine="469"/>
        <w:spacing w:after="0" w:line="357" w:lineRule="auto"/>
        <w:rPr>
          <w:sz w:val="20"/>
          <w:szCs w:val="20"/>
          <w:color w:val="auto"/>
        </w:rPr>
      </w:pPr>
      <w:r>
        <w:rPr>
          <w:rFonts w:ascii="Arial" w:cs="Arial" w:eastAsia="Arial" w:hAnsi="Arial"/>
          <w:sz w:val="15"/>
          <w:szCs w:val="15"/>
          <w:color w:val="auto"/>
        </w:rPr>
        <w:t>Beginning with the quarter ended March 31, 2021, the Company consolidated the “Goodwill and other intangible assets, net” into “other assets” within the Consolidated Balance Sheets. The consolidation was due to the immateriality of the remaining intangible assets. The change had no impact on net income.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4" w:lineRule="exact"/>
        <w:rPr>
          <w:sz w:val="20"/>
          <w:szCs w:val="20"/>
          <w:color w:val="auto"/>
        </w:rPr>
      </w:pPr>
    </w:p>
    <w:p>
      <w:pPr>
        <w:jc w:val="both"/>
        <w:ind w:left="160" w:right="160" w:firstLine="469"/>
        <w:spacing w:after="0" w:line="312" w:lineRule="auto"/>
        <w:rPr>
          <w:sz w:val="20"/>
          <w:szCs w:val="20"/>
          <w:color w:val="auto"/>
        </w:rPr>
      </w:pPr>
      <w:r>
        <w:rPr>
          <w:rFonts w:ascii="Arial" w:cs="Arial" w:eastAsia="Arial" w:hAnsi="Arial"/>
          <w:sz w:val="15"/>
          <w:szCs w:val="15"/>
          <w:color w:val="auto"/>
        </w:rPr>
        <w:t>For the quarter ended March 31, 2021, the Company consolidated “equipment costs, other asset depreciation and amortization” into “other noninterest expense” within the Consolidated Statements of Income. In addition, the Company broke out “foreclosed assets, net” that was previously consolidated. As a result, changes within the Consolidated Statements of Income in the prior periods were made to conform to the current period presentation. The changes: (i) consolidate lower balance line items or (ii) provide additional detail about the Company’s operations. The changes had no impact on net income.</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Emerging Growth Company (“EGC”)</w:t>
      </w:r>
    </w:p>
    <w:p>
      <w:pPr>
        <w:spacing w:after="0" w:line="164" w:lineRule="exact"/>
        <w:rPr>
          <w:sz w:val="20"/>
          <w:szCs w:val="20"/>
          <w:color w:val="auto"/>
        </w:rPr>
      </w:pPr>
    </w:p>
    <w:p>
      <w:pPr>
        <w:ind w:left="160" w:right="300" w:firstLine="469"/>
        <w:spacing w:after="0" w:line="306" w:lineRule="auto"/>
        <w:rPr>
          <w:sz w:val="20"/>
          <w:szCs w:val="20"/>
          <w:color w:val="auto"/>
        </w:rPr>
      </w:pPr>
      <w:r>
        <w:rPr>
          <w:rFonts w:ascii="Arial" w:cs="Arial" w:eastAsia="Arial" w:hAnsi="Arial"/>
          <w:sz w:val="15"/>
          <w:szCs w:val="15"/>
          <w:color w:val="auto"/>
        </w:rPr>
        <w:t>The Company is currently an EGC. An EGC may take advantage of reduced reporting requirements and is relieved of certain other significant requirements that are otherwise generally applicable to public companies. Among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Recent Accounting Pronouncements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information about Accounting Standard Updates (“ASUs”) the Company anticipates to adopt in the future:</w:t>
      </w:r>
    </w:p>
    <w:p>
      <w:pPr>
        <w:spacing w:after="0" w:line="59" w:lineRule="exact"/>
        <w:rPr>
          <w:sz w:val="20"/>
          <w:szCs w:val="20"/>
          <w:color w:val="auto"/>
        </w:rPr>
      </w:pPr>
    </w:p>
    <w:tbl>
      <w:tblPr>
        <w:tblLayout w:type="fixed"/>
        <w:tblInd w:w="160" w:type="dxa"/>
        <w:tblCellMar>
          <w:top w:w="0" w:type="dxa"/>
          <w:left w:w="0" w:type="dxa"/>
          <w:bottom w:w="0" w:type="dxa"/>
          <w:right w:w="0" w:type="dxa"/>
        </w:tblCellMar>
      </w:tblPr>
      <w:tr>
        <w:trPr>
          <w:trHeight w:val="208"/>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Arial" w:cs="Arial" w:eastAsia="Arial" w:hAnsi="Arial"/>
                <w:sz w:val="17"/>
                <w:szCs w:val="17"/>
                <w:b w:val="1"/>
                <w:bCs w:val="1"/>
                <w:color w:val="auto"/>
              </w:rPr>
              <w:t>Anticipated Date of</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27"/>
        </w:trPr>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Standard</w:t>
            </w:r>
          </w:p>
        </w:tc>
        <w:tc>
          <w:tcPr>
            <w:tcW w:w="1940" w:type="dxa"/>
            <w:vAlign w:val="bottom"/>
            <w:gridSpan w:val="2"/>
          </w:tcPr>
          <w:p>
            <w:pPr>
              <w:ind w:left="20"/>
              <w:spacing w:after="0"/>
              <w:rPr>
                <w:sz w:val="20"/>
                <w:szCs w:val="20"/>
                <w:color w:val="auto"/>
              </w:rPr>
            </w:pPr>
            <w:r>
              <w:rPr>
                <w:rFonts w:ascii="Arial" w:cs="Arial" w:eastAsia="Arial" w:hAnsi="Arial"/>
                <w:sz w:val="17"/>
                <w:szCs w:val="17"/>
                <w:b w:val="1"/>
                <w:bCs w:val="1"/>
                <w:color w:val="auto"/>
              </w:rPr>
              <w:t>Adoption</w:t>
            </w:r>
          </w:p>
        </w:tc>
        <w:tc>
          <w:tcPr>
            <w:tcW w:w="2760" w:type="dxa"/>
            <w:vAlign w:val="bottom"/>
            <w:gridSpan w:val="2"/>
          </w:tcPr>
          <w:p>
            <w:pPr>
              <w:ind w:left="20"/>
              <w:spacing w:after="0"/>
              <w:rPr>
                <w:sz w:val="20"/>
                <w:szCs w:val="20"/>
                <w:color w:val="auto"/>
              </w:rPr>
            </w:pPr>
            <w:r>
              <w:rPr>
                <w:rFonts w:ascii="Arial" w:cs="Arial" w:eastAsia="Arial" w:hAnsi="Arial"/>
                <w:sz w:val="17"/>
                <w:szCs w:val="17"/>
                <w:b w:val="1"/>
                <w:bCs w:val="1"/>
                <w:color w:val="auto"/>
              </w:rPr>
              <w:t>Description</w:t>
            </w:r>
          </w:p>
        </w:tc>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Effect on Financial Statements or Other Significant Matters</w:t>
            </w:r>
          </w:p>
        </w:tc>
      </w:tr>
      <w:tr>
        <w:trPr>
          <w:trHeight w:val="26"/>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15"/>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ASU 2016-13</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If the Company</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Requires an entity to utilize a new</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The Company established a committee of individuals from applicable</w:t>
            </w:r>
          </w:p>
        </w:tc>
      </w:tr>
      <w:tr>
        <w:trPr>
          <w:trHeight w:val="208"/>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maintains its EGC status,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impairment model known as the</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departments to oversee the implementation process. The Company</w:t>
            </w:r>
          </w:p>
        </w:tc>
      </w:tr>
      <w:tr>
        <w:trPr>
          <w:trHeight w:val="208"/>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Financial</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the Company is not</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current expected credit loss model to</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completed the third-party software implementation phase that included</w:t>
            </w:r>
          </w:p>
        </w:tc>
      </w:tr>
      <w:tr>
        <w:trPr>
          <w:trHeight w:val="208"/>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Instruments-</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required to implement</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estimate its lifetime expected credit</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data capture and portfolio segmentation amongst other items.</w:t>
            </w:r>
          </w:p>
        </w:tc>
      </w:tr>
      <w:tr>
        <w:trPr>
          <w:trHeight w:val="208"/>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Credit Losses</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this standard until</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and record an allowance that,</w:t>
            </w:r>
          </w:p>
        </w:tc>
        <w:tc>
          <w:tcPr>
            <w:tcW w:w="5040" w:type="dxa"/>
            <w:vAlign w:val="bottom"/>
            <w:shd w:val="clear" w:color="auto" w:fill="CCEEFF"/>
          </w:tcPr>
          <w:p>
            <w:pPr>
              <w:spacing w:after="0"/>
              <w:rPr>
                <w:sz w:val="18"/>
                <w:szCs w:val="18"/>
                <w:color w:val="auto"/>
              </w:rPr>
            </w:pPr>
          </w:p>
        </w:tc>
      </w:tr>
      <w:tr>
        <w:trPr>
          <w:trHeight w:val="208"/>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January 2023. The</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when deducted from amortized cost</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 Company completed parallel runs in 2019. During the period</w:t>
            </w:r>
          </w:p>
        </w:tc>
      </w:tr>
      <w:tr>
        <w:trPr>
          <w:trHeight w:val="208"/>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Company anticipates an</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basis of the financial asset, presents</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ended December 31, 2020, the Company continued to perform parallel</w:t>
            </w:r>
          </w:p>
        </w:tc>
      </w:tr>
      <w:tr>
        <w:trPr>
          <w:trHeight w:val="208"/>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adoption date of January</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the net amount expected to be</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runs using 2020 data and continued to recalibrate inputs as necessary.</w:t>
            </w:r>
          </w:p>
        </w:tc>
      </w:tr>
      <w:tr>
        <w:trPr>
          <w:trHeight w:val="208"/>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collected on the financial asset.</w:t>
            </w: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The Company is evaluating the internal control changes that will be</w:t>
            </w:r>
          </w:p>
        </w:tc>
      </w:tr>
      <w:tr>
        <w:trPr>
          <w:trHeight w:val="208"/>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necessary to transition to the third-party platform and third-party testing</w:t>
            </w:r>
          </w:p>
        </w:tc>
      </w:tr>
      <w:tr>
        <w:trPr>
          <w:trHeight w:val="221"/>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is anticipated later in 2021.</w:t>
            </w:r>
          </w:p>
        </w:tc>
      </w:tr>
      <w:tr>
        <w:trPr>
          <w:trHeight w:val="404"/>
        </w:trPr>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At this time, an estimate of the impact cannot be established as the</w:t>
            </w:r>
          </w:p>
        </w:tc>
      </w:tr>
      <w:tr>
        <w:trPr>
          <w:trHeight w:val="208"/>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Company continues to evaluate the inputs into the model. The actual</w:t>
            </w:r>
          </w:p>
        </w:tc>
      </w:tr>
      <w:tr>
        <w:trPr>
          <w:trHeight w:val="208"/>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 could be significantly affected by the composition,</w:t>
            </w:r>
          </w:p>
        </w:tc>
      </w:tr>
      <w:tr>
        <w:trPr>
          <w:trHeight w:val="208"/>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characteristics, and quality of the underlying loan portfolio at the time</w:t>
            </w:r>
          </w:p>
        </w:tc>
      </w:tr>
      <w:tr>
        <w:trPr>
          <w:trHeight w:val="221"/>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 adoption.</w:t>
            </w:r>
          </w:p>
        </w:tc>
      </w:tr>
      <w:tr>
        <w:trPr>
          <w:trHeight w:val="26"/>
        </w:trPr>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r>
    </w:tbl>
    <w:p>
      <w:pPr>
        <w:spacing w:after="0" w:line="14" w:lineRule="exact"/>
        <w:rPr>
          <w:sz w:val="20"/>
          <w:szCs w:val="20"/>
          <w:color w:val="auto"/>
        </w:rPr>
      </w:pPr>
    </w:p>
    <w:p>
      <w:pPr>
        <w:sectPr>
          <w:pgSz w:w="11900" w:h="16838" w:orient="portrait"/>
          <w:cols w:equalWidth="0" w:num="1">
            <w:col w:w="11240"/>
          </w:cols>
          <w:pgMar w:left="320" w:top="179" w:right="339" w:bottom="1440" w:gutter="0" w:footer="0" w:header="0"/>
        </w:sectPr>
      </w:pPr>
    </w:p>
    <w:p>
      <w:pPr>
        <w:ind w:left="180"/>
        <w:spacing w:after="0"/>
        <w:rPr>
          <w:sz w:val="20"/>
          <w:szCs w:val="20"/>
          <w:color w:val="auto"/>
        </w:rPr>
      </w:pPr>
      <w:r>
        <w:rPr>
          <w:rFonts w:ascii="Arial" w:cs="Arial" w:eastAsia="Arial" w:hAnsi="Arial"/>
          <w:sz w:val="15"/>
          <w:szCs w:val="15"/>
          <w:color w:val="auto"/>
        </w:rPr>
        <w:t>ASU 2016-02</w:t>
      </w:r>
    </w:p>
    <w:p>
      <w:pPr>
        <w:spacing w:after="0" w:line="270" w:lineRule="exact"/>
        <w:rPr>
          <w:sz w:val="20"/>
          <w:szCs w:val="20"/>
          <w:color w:val="auto"/>
        </w:rPr>
      </w:pPr>
    </w:p>
    <w:p>
      <w:pPr>
        <w:ind w:left="180"/>
        <w:spacing w:after="0" w:line="286" w:lineRule="auto"/>
        <w:rPr>
          <w:sz w:val="20"/>
          <w:szCs w:val="20"/>
          <w:color w:val="auto"/>
        </w:rPr>
      </w:pPr>
      <w:r>
        <w:rPr>
          <w:rFonts w:ascii="Arial" w:cs="Arial" w:eastAsia="Arial" w:hAnsi="Arial"/>
          <w:sz w:val="17"/>
          <w:szCs w:val="17"/>
          <w:i w:val="1"/>
          <w:iCs w:val="1"/>
          <w:color w:val="auto"/>
        </w:rPr>
        <w:t>Leases (Topic 842)</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6"/>
          <w:szCs w:val="16"/>
          <w:color w:val="auto"/>
        </w:rPr>
        <w:t>The Company expects to implement this standard on January 1, 2022, unless the Company loses its EGC status during 2021. If EGC status changes, the Company would therefore be required to implement the ASU as of the beginning of 2021.</w:t>
      </w:r>
    </w:p>
    <w:p>
      <w:pPr>
        <w:spacing w:after="0" w:line="20" w:lineRule="exact"/>
        <w:rPr>
          <w:sz w:val="20"/>
          <w:szCs w:val="20"/>
          <w:color w:val="auto"/>
        </w:rPr>
      </w:pPr>
      <w:r>
        <w:rPr>
          <w:sz w:val="20"/>
          <w:szCs w:val="20"/>
          <w:color w:val="auto"/>
        </w:rPr>
        <w:br w:type="column"/>
      </w:r>
    </w:p>
    <w:p>
      <w:pPr>
        <w:ind w:right="180"/>
        <w:spacing w:after="0" w:line="283" w:lineRule="auto"/>
        <w:rPr>
          <w:sz w:val="20"/>
          <w:szCs w:val="20"/>
          <w:color w:val="auto"/>
        </w:rPr>
      </w:pPr>
      <w:r>
        <w:rPr>
          <w:rFonts w:ascii="Arial" w:cs="Arial" w:eastAsia="Arial" w:hAnsi="Arial"/>
          <w:sz w:val="16"/>
          <w:szCs w:val="16"/>
          <w:color w:val="auto"/>
        </w:rPr>
        <w:t>Requires lessees and lessors to recognize lease assets and lease liabilities on the balance sheet and disclose key information about leasing arrangements.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update requires lessees and lessors to recognize and measure leases at the beginning of the earliest period presented using a modified retrospective approach with the option to elect certain practical expedients. The update will also increase disclosures around leases, including qualitative and specific quantitative measures.</w:t>
      </w:r>
    </w:p>
    <w:p>
      <w:pPr>
        <w:spacing w:after="0" w:line="20" w:lineRule="exact"/>
        <w:rPr>
          <w:sz w:val="20"/>
          <w:szCs w:val="20"/>
          <w:color w:val="auto"/>
        </w:rPr>
      </w:pPr>
      <w:r>
        <w:rPr>
          <w:sz w:val="20"/>
          <w:szCs w:val="20"/>
          <w:color w:val="auto"/>
        </w:rPr>
        <w:br w:type="column"/>
      </w:r>
    </w:p>
    <w:p>
      <w:pPr>
        <w:ind w:right="280"/>
        <w:spacing w:after="0" w:line="266" w:lineRule="auto"/>
        <w:rPr>
          <w:sz w:val="20"/>
          <w:szCs w:val="20"/>
          <w:color w:val="auto"/>
        </w:rPr>
      </w:pPr>
      <w:r>
        <w:rPr>
          <w:rFonts w:ascii="Arial" w:cs="Arial" w:eastAsia="Arial" w:hAnsi="Arial"/>
          <w:sz w:val="17"/>
          <w:szCs w:val="17"/>
          <w:color w:val="auto"/>
        </w:rPr>
        <w:t>The Company expects to apply the update as of the beginning of the period of adoption and the Company does not plan to restate comparative periods. The Company expects to elect certain optional practical expedients.</w:t>
      </w:r>
    </w:p>
    <w:p>
      <w:pPr>
        <w:spacing w:after="0" w:line="175" w:lineRule="exact"/>
        <w:rPr>
          <w:sz w:val="20"/>
          <w:szCs w:val="20"/>
          <w:color w:val="auto"/>
        </w:rPr>
      </w:pPr>
    </w:p>
    <w:p>
      <w:pPr>
        <w:ind w:right="600"/>
        <w:spacing w:after="0" w:line="271" w:lineRule="auto"/>
        <w:rPr>
          <w:sz w:val="20"/>
          <w:szCs w:val="20"/>
          <w:color w:val="auto"/>
        </w:rPr>
      </w:pPr>
      <w:r>
        <w:rPr>
          <w:rFonts w:ascii="Arial" w:cs="Arial" w:eastAsia="Arial" w:hAnsi="Arial"/>
          <w:sz w:val="17"/>
          <w:szCs w:val="17"/>
          <w:color w:val="auto"/>
        </w:rPr>
        <w:t>The Company gathered all potential lease and embedded lease agreements and is evaluating the applicability and impact to the financial statements.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Company’s current operating leases relate primarily to four branch locations. Based on the current leases, the Company anticipates recognizing a lease liability and related right-to-use asset on its balance sheet, with an immaterial impact to its income statement compared to the current lease accounting model. However, the ultimate impact of the standard will depend on the Company's lease portfolio as of the adoption date.</w:t>
      </w:r>
    </w:p>
    <w:p>
      <w:pPr>
        <w:spacing w:after="0" w:line="210" w:lineRule="exact"/>
        <w:rPr>
          <w:sz w:val="20"/>
          <w:szCs w:val="20"/>
          <w:color w:val="auto"/>
        </w:rPr>
      </w:pPr>
    </w:p>
    <w:p>
      <w:pPr>
        <w:sectPr>
          <w:pgSz w:w="11900" w:h="16838" w:orient="portrait"/>
          <w:cols w:equalWidth="0" w:num="4">
            <w:col w:w="1140" w:space="380"/>
            <w:col w:w="1800" w:space="140"/>
            <w:col w:w="2560" w:space="200"/>
            <w:col w:w="502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0" w:name="page11"/>
    <w:bookmarkEnd w:id="10"/>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940" w:type="dxa"/>
            <w:vAlign w:val="bottom"/>
            <w:gridSpan w:val="2"/>
          </w:tcPr>
          <w:p>
            <w:pPr>
              <w:spacing w:after="0"/>
              <w:rPr>
                <w:sz w:val="20"/>
                <w:szCs w:val="20"/>
                <w:color w:val="auto"/>
              </w:rPr>
            </w:pPr>
            <w:r>
              <w:rPr>
                <w:rFonts w:ascii="Arial" w:cs="Arial" w:eastAsia="Arial" w:hAnsi="Arial"/>
                <w:sz w:val="21"/>
                <w:szCs w:val="21"/>
                <w:b w:val="1"/>
                <w:bCs w:val="1"/>
                <w:color w:val="auto"/>
              </w:rPr>
              <w:t>Note 2:</w:t>
            </w:r>
          </w:p>
        </w:tc>
        <w:tc>
          <w:tcPr>
            <w:tcW w:w="6920" w:type="dxa"/>
            <w:vAlign w:val="bottom"/>
          </w:tcPr>
          <w:p>
            <w:pPr>
              <w:ind w:left="300"/>
              <w:spacing w:after="0"/>
              <w:rPr>
                <w:sz w:val="20"/>
                <w:szCs w:val="20"/>
                <w:color w:val="auto"/>
              </w:rPr>
            </w:pPr>
            <w:r>
              <w:rPr>
                <w:rFonts w:ascii="Arial" w:cs="Arial" w:eastAsia="Arial" w:hAnsi="Arial"/>
                <w:sz w:val="21"/>
                <w:szCs w:val="21"/>
                <w:b w:val="1"/>
                <w:bCs w:val="1"/>
                <w:color w:val="auto"/>
              </w:rPr>
              <w:t>Earnings Per Share</w:t>
            </w: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55"/>
        </w:trPr>
        <w:tc>
          <w:tcPr>
            <w:tcW w:w="160" w:type="dxa"/>
            <w:vAlign w:val="bottom"/>
          </w:tcPr>
          <w:p>
            <w:pPr>
              <w:spacing w:after="0"/>
              <w:rPr>
                <w:sz w:val="24"/>
                <w:szCs w:val="24"/>
                <w:color w:val="auto"/>
              </w:rPr>
            </w:pPr>
          </w:p>
        </w:tc>
        <w:tc>
          <w:tcPr>
            <w:tcW w:w="7700" w:type="dxa"/>
            <w:vAlign w:val="bottom"/>
            <w:gridSpan w:val="2"/>
          </w:tcPr>
          <w:p>
            <w:pPr>
              <w:ind w:left="460"/>
              <w:spacing w:after="0"/>
              <w:rPr>
                <w:sz w:val="20"/>
                <w:szCs w:val="20"/>
                <w:color w:val="auto"/>
              </w:rPr>
            </w:pPr>
            <w:r>
              <w:rPr>
                <w:rFonts w:ascii="Arial" w:cs="Arial" w:eastAsia="Arial" w:hAnsi="Arial"/>
                <w:sz w:val="17"/>
                <w:szCs w:val="17"/>
                <w:color w:val="auto"/>
              </w:rPr>
              <w:t>The following table presents the computation of basic and diluted earnings per share:</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8"/>
        </w:trPr>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4"/>
          </w:tcPr>
          <w:p>
            <w:pPr>
              <w:jc w:val="center"/>
              <w:ind w:right="113"/>
              <w:spacing w:after="0"/>
              <w:rPr>
                <w:sz w:val="20"/>
                <w:szCs w:val="20"/>
                <w:color w:val="auto"/>
              </w:rPr>
            </w:pPr>
            <w:r>
              <w:rPr>
                <w:rFonts w:ascii="Arial" w:cs="Arial" w:eastAsia="Arial" w:hAnsi="Arial"/>
                <w:sz w:val="17"/>
                <w:szCs w:val="17"/>
                <w:b w:val="1"/>
                <w:bCs w:val="1"/>
                <w:color w:val="auto"/>
                <w:w w:val="93"/>
              </w:rPr>
              <w:t>Three Months Ended</w:t>
            </w:r>
          </w:p>
        </w:tc>
      </w:tr>
      <w:tr>
        <w:trPr>
          <w:trHeight w:val="227"/>
        </w:trPr>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7"/>
                <w:szCs w:val="17"/>
                <w:b w:val="1"/>
                <w:bCs w:val="1"/>
                <w:color w:val="auto"/>
                <w:w w:val="94"/>
              </w:rPr>
              <w:t>March 31,</w:t>
            </w:r>
          </w:p>
        </w:tc>
        <w:tc>
          <w:tcPr>
            <w:tcW w:w="1140" w:type="dxa"/>
            <w:vAlign w:val="bottom"/>
            <w:tcBorders>
              <w:bottom w:val="single" w:sz="8" w:color="auto"/>
            </w:tcBorders>
          </w:tcPr>
          <w:p>
            <w:pPr>
              <w:spacing w:after="0"/>
              <w:rPr>
                <w:sz w:val="19"/>
                <w:szCs w:val="19"/>
                <w:color w:val="auto"/>
              </w:rPr>
            </w:pPr>
          </w:p>
        </w:tc>
      </w:tr>
      <w:tr>
        <w:trPr>
          <w:trHeight w:val="214"/>
        </w:trPr>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gridSpan w:val="4"/>
          </w:tcPr>
          <w:p>
            <w:pPr>
              <w:jc w:val="center"/>
              <w:ind w:right="113"/>
              <w:spacing w:after="0"/>
              <w:rPr>
                <w:sz w:val="20"/>
                <w:szCs w:val="20"/>
                <w:color w:val="auto"/>
              </w:rPr>
            </w:pPr>
            <w:r>
              <w:rPr>
                <w:rFonts w:ascii="Arial" w:cs="Arial" w:eastAsia="Arial" w:hAnsi="Arial"/>
                <w:sz w:val="16"/>
                <w:szCs w:val="16"/>
                <w:i w:val="1"/>
                <w:iCs w:val="1"/>
                <w:color w:val="auto"/>
                <w:w w:val="88"/>
              </w:rPr>
              <w:t>(Dollars in thousands except per share data)</w:t>
            </w:r>
          </w:p>
        </w:tc>
      </w:tr>
      <w:tr>
        <w:trPr>
          <w:trHeight w:val="224"/>
        </w:trPr>
        <w:tc>
          <w:tcPr>
            <w:tcW w:w="160" w:type="dxa"/>
            <w:vAlign w:val="bottom"/>
          </w:tcPr>
          <w:p>
            <w:pPr>
              <w:spacing w:after="0"/>
              <w:rPr>
                <w:sz w:val="19"/>
                <w:szCs w:val="19"/>
                <w:color w:val="auto"/>
              </w:rPr>
            </w:pPr>
          </w:p>
        </w:tc>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1"/>
        </w:trPr>
        <w:tc>
          <w:tcPr>
            <w:tcW w:w="160" w:type="dxa"/>
            <w:vAlign w:val="bottom"/>
          </w:tcPr>
          <w:p>
            <w:pPr>
              <w:spacing w:after="0"/>
              <w:rPr>
                <w:sz w:val="19"/>
                <w:szCs w:val="19"/>
                <w:color w:val="auto"/>
              </w:rPr>
            </w:pPr>
          </w:p>
        </w:tc>
        <w:tc>
          <w:tcPr>
            <w:tcW w:w="7700" w:type="dxa"/>
            <w:vAlign w:val="bottom"/>
            <w:gridSpan w:val="2"/>
          </w:tcPr>
          <w:p>
            <w:pPr>
              <w:ind w:left="180"/>
              <w:spacing w:after="0"/>
              <w:rPr>
                <w:sz w:val="20"/>
                <w:szCs w:val="20"/>
                <w:color w:val="auto"/>
              </w:rPr>
            </w:pPr>
            <w:r>
              <w:rPr>
                <w:rFonts w:ascii="Arial" w:cs="Arial" w:eastAsia="Arial" w:hAnsi="Arial"/>
                <w:sz w:val="17"/>
                <w:szCs w:val="17"/>
                <w:color w:val="auto"/>
              </w:rPr>
              <w:t>Net income available to common stockholders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12,035</w:t>
            </w:r>
          </w:p>
        </w:tc>
        <w:tc>
          <w:tcPr>
            <w:tcW w:w="14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3,857</w:t>
            </w:r>
          </w:p>
        </w:tc>
      </w:tr>
      <w:tr>
        <w:trPr>
          <w:trHeight w:val="221"/>
        </w:trPr>
        <w:tc>
          <w:tcPr>
            <w:tcW w:w="160" w:type="dxa"/>
            <w:vAlign w:val="bottom"/>
          </w:tcPr>
          <w:p>
            <w:pPr>
              <w:spacing w:after="0"/>
              <w:rPr>
                <w:sz w:val="19"/>
                <w:szCs w:val="19"/>
                <w:color w:val="auto"/>
              </w:rPr>
            </w:pPr>
          </w:p>
        </w:tc>
        <w:tc>
          <w:tcPr>
            <w:tcW w:w="7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Weighted average common shares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51,657,204</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52,071,484</w:t>
            </w:r>
          </w:p>
        </w:tc>
      </w:tr>
      <w:tr>
        <w:trPr>
          <w:trHeight w:val="214"/>
        </w:trPr>
        <w:tc>
          <w:tcPr>
            <w:tcW w:w="16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7"/>
                <w:szCs w:val="17"/>
                <w:color w:val="auto"/>
              </w:rPr>
              <w:t>Earnings per share</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0.23</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0.07</w:t>
            </w:r>
          </w:p>
        </w:tc>
      </w:tr>
      <w:tr>
        <w:trPr>
          <w:trHeight w:val="20"/>
        </w:trPr>
        <w:tc>
          <w:tcPr>
            <w:tcW w:w="16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7"/>
        </w:trPr>
        <w:tc>
          <w:tcPr>
            <w:tcW w:w="160" w:type="dxa"/>
            <w:vAlign w:val="bottom"/>
          </w:tcPr>
          <w:p>
            <w:pPr>
              <w:spacing w:after="0"/>
              <w:rPr>
                <w:sz w:val="16"/>
                <w:szCs w:val="16"/>
                <w:color w:val="auto"/>
              </w:rPr>
            </w:pPr>
          </w:p>
        </w:tc>
        <w:tc>
          <w:tcPr>
            <w:tcW w:w="770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7"/>
                <w:szCs w:val="17"/>
                <w:b w:val="1"/>
                <w:bCs w:val="1"/>
                <w:color w:val="auto"/>
              </w:rPr>
              <w:t>Dilutive Earnings Per Share</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1"/>
        </w:trPr>
        <w:tc>
          <w:tcPr>
            <w:tcW w:w="160" w:type="dxa"/>
            <w:vAlign w:val="bottom"/>
          </w:tcPr>
          <w:p>
            <w:pPr>
              <w:spacing w:after="0"/>
              <w:rPr>
                <w:sz w:val="19"/>
                <w:szCs w:val="19"/>
                <w:color w:val="auto"/>
              </w:rPr>
            </w:pPr>
          </w:p>
        </w:tc>
        <w:tc>
          <w:tcPr>
            <w:tcW w:w="7700" w:type="dxa"/>
            <w:vAlign w:val="bottom"/>
            <w:gridSpan w:val="2"/>
          </w:tcPr>
          <w:p>
            <w:pPr>
              <w:ind w:left="180"/>
              <w:spacing w:after="0"/>
              <w:rPr>
                <w:sz w:val="20"/>
                <w:szCs w:val="20"/>
                <w:color w:val="auto"/>
              </w:rPr>
            </w:pPr>
            <w:r>
              <w:rPr>
                <w:rFonts w:ascii="Arial" w:cs="Arial" w:eastAsia="Arial" w:hAnsi="Arial"/>
                <w:sz w:val="17"/>
                <w:szCs w:val="17"/>
                <w:color w:val="auto"/>
              </w:rPr>
              <w:t>Net income available to common stockholders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12,035</w:t>
            </w:r>
          </w:p>
        </w:tc>
        <w:tc>
          <w:tcPr>
            <w:tcW w:w="14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3,857</w:t>
            </w:r>
          </w:p>
        </w:tc>
      </w:tr>
      <w:tr>
        <w:trPr>
          <w:trHeight w:val="221"/>
        </w:trPr>
        <w:tc>
          <w:tcPr>
            <w:tcW w:w="160" w:type="dxa"/>
            <w:vAlign w:val="bottom"/>
          </w:tcPr>
          <w:p>
            <w:pPr>
              <w:spacing w:after="0"/>
              <w:rPr>
                <w:sz w:val="19"/>
                <w:szCs w:val="19"/>
                <w:color w:val="auto"/>
              </w:rPr>
            </w:pPr>
          </w:p>
        </w:tc>
        <w:tc>
          <w:tcPr>
            <w:tcW w:w="7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Weighted average common shares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51,657,204</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52,071,484</w:t>
            </w:r>
          </w:p>
        </w:tc>
      </w:tr>
      <w:tr>
        <w:trPr>
          <w:trHeight w:val="221"/>
        </w:trPr>
        <w:tc>
          <w:tcPr>
            <w:tcW w:w="160" w:type="dxa"/>
            <w:vAlign w:val="bottom"/>
          </w:tcPr>
          <w:p>
            <w:pPr>
              <w:spacing w:after="0"/>
              <w:rPr>
                <w:sz w:val="19"/>
                <w:szCs w:val="19"/>
                <w:color w:val="auto"/>
              </w:rPr>
            </w:pPr>
          </w:p>
        </w:tc>
        <w:tc>
          <w:tcPr>
            <w:tcW w:w="7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Effect of dilutive shares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724,270</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588,786</w:t>
            </w:r>
          </w:p>
        </w:tc>
      </w:tr>
      <w:tr>
        <w:trPr>
          <w:trHeight w:val="214"/>
        </w:trPr>
        <w:tc>
          <w:tcPr>
            <w:tcW w:w="160" w:type="dxa"/>
            <w:vAlign w:val="bottom"/>
          </w:tcPr>
          <w:p>
            <w:pPr>
              <w:spacing w:after="0"/>
              <w:rPr>
                <w:sz w:val="18"/>
                <w:szCs w:val="18"/>
                <w:color w:val="auto"/>
              </w:rPr>
            </w:pPr>
          </w:p>
        </w:tc>
        <w:tc>
          <w:tcPr>
            <w:tcW w:w="7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Weighted average dilutive common shares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52,381,474</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52,660,270</w:t>
            </w:r>
          </w:p>
        </w:tc>
      </w:tr>
      <w:tr>
        <w:trPr>
          <w:trHeight w:val="188"/>
        </w:trPr>
        <w:tc>
          <w:tcPr>
            <w:tcW w:w="160" w:type="dxa"/>
            <w:vAlign w:val="bottom"/>
          </w:tcPr>
          <w:p>
            <w:pPr>
              <w:spacing w:after="0"/>
              <w:rPr>
                <w:sz w:val="16"/>
                <w:szCs w:val="16"/>
                <w:color w:val="auto"/>
              </w:rPr>
            </w:pPr>
          </w:p>
        </w:tc>
        <w:tc>
          <w:tcPr>
            <w:tcW w:w="770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Diluted earnings per share</w:t>
            </w:r>
          </w:p>
        </w:tc>
        <w:tc>
          <w:tcPr>
            <w:tcW w:w="2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0.23</w:t>
            </w:r>
          </w:p>
        </w:tc>
        <w:tc>
          <w:tcPr>
            <w:tcW w:w="140" w:type="dxa"/>
            <w:vAlign w:val="bottom"/>
          </w:tcPr>
          <w:p>
            <w:pPr>
              <w:spacing w:after="0"/>
              <w:rPr>
                <w:sz w:val="16"/>
                <w:szCs w:val="16"/>
                <w:color w:val="auto"/>
              </w:rPr>
            </w:pPr>
          </w:p>
        </w:tc>
        <w:tc>
          <w:tcPr>
            <w:tcW w:w="480" w:type="dxa"/>
            <w:vAlign w:val="bottom"/>
            <w:tcBorders>
              <w:bottom w:val="single" w:sz="8" w:color="auto"/>
            </w:tcBorders>
          </w:tcPr>
          <w:p>
            <w:pPr>
              <w:jc w:val="right"/>
              <w:ind w:right="293"/>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0.07</w:t>
            </w:r>
          </w:p>
        </w:tc>
      </w:tr>
      <w:tr>
        <w:trPr>
          <w:trHeight w:val="20"/>
        </w:trPr>
        <w:tc>
          <w:tcPr>
            <w:tcW w:w="16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4"/>
        </w:trPr>
        <w:tc>
          <w:tcPr>
            <w:tcW w:w="160" w:type="dxa"/>
            <w:vAlign w:val="bottom"/>
          </w:tcPr>
          <w:p>
            <w:pPr>
              <w:spacing w:after="0"/>
              <w:rPr>
                <w:sz w:val="18"/>
                <w:szCs w:val="18"/>
                <w:color w:val="auto"/>
              </w:rPr>
            </w:pPr>
          </w:p>
        </w:tc>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Stock-based awards not included because to do so would be antidilutive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669,112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905,406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2"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3:</w:t>
      </w:r>
      <w:r>
        <w:rPr>
          <w:sz w:val="20"/>
          <w:szCs w:val="20"/>
          <w:color w:val="auto"/>
        </w:rPr>
        <w:tab/>
      </w:r>
      <w:r>
        <w:rPr>
          <w:rFonts w:ascii="Arial" w:cs="Arial" w:eastAsia="Arial" w:hAnsi="Arial"/>
          <w:sz w:val="18"/>
          <w:szCs w:val="18"/>
          <w:b w:val="1"/>
          <w:bCs w:val="1"/>
          <w:color w:val="auto"/>
        </w:rPr>
        <w:t>Securities</w:t>
      </w:r>
    </w:p>
    <w:p>
      <w:pPr>
        <w:spacing w:after="0" w:line="164" w:lineRule="exact"/>
        <w:rPr>
          <w:sz w:val="20"/>
          <w:szCs w:val="20"/>
          <w:color w:val="auto"/>
        </w:rPr>
      </w:pPr>
    </w:p>
    <w:p>
      <w:pPr>
        <w:ind w:left="160" w:right="120" w:firstLine="469"/>
        <w:spacing w:after="0" w:line="286" w:lineRule="auto"/>
        <w:rPr>
          <w:sz w:val="20"/>
          <w:szCs w:val="20"/>
          <w:color w:val="auto"/>
        </w:rPr>
      </w:pPr>
      <w:r>
        <w:rPr>
          <w:rFonts w:ascii="Arial" w:cs="Arial" w:eastAsia="Arial" w:hAnsi="Arial"/>
          <w:sz w:val="17"/>
          <w:szCs w:val="17"/>
          <w:color w:val="auto"/>
        </w:rPr>
        <w:t>The amortized cost and approximate fair values, together with gross unrealized gains and losses, of period end available-for-sale securities consisted of the following:</w:t>
      </w:r>
    </w:p>
    <w:p>
      <w:pPr>
        <w:spacing w:after="0" w:line="140" w:lineRule="exact"/>
        <w:rPr>
          <w:sz w:val="20"/>
          <w:szCs w:val="20"/>
          <w:color w:val="auto"/>
        </w:rPr>
      </w:pPr>
    </w:p>
    <w:p>
      <w:pPr>
        <w:ind w:left="7300"/>
        <w:spacing w:after="0"/>
        <w:rPr>
          <w:sz w:val="20"/>
          <w:szCs w:val="20"/>
          <w:color w:val="auto"/>
        </w:rPr>
      </w:pPr>
      <w:r>
        <w:rPr>
          <w:rFonts w:ascii="Arial" w:cs="Arial" w:eastAsia="Arial" w:hAnsi="Arial"/>
          <w:sz w:val="17"/>
          <w:szCs w:val="17"/>
          <w:b w:val="1"/>
          <w:bCs w:val="1"/>
          <w:color w:val="auto"/>
        </w:rPr>
        <w:t>March 31, 2021</w:t>
      </w:r>
    </w:p>
    <w:p>
      <w:pPr>
        <w:spacing w:after="0" w:line="31" w:lineRule="exact"/>
        <w:rPr>
          <w:sz w:val="20"/>
          <w:szCs w:val="20"/>
          <w:color w:val="auto"/>
        </w:rPr>
      </w:pPr>
    </w:p>
    <w:tbl>
      <w:tblPr>
        <w:tblLayout w:type="fixed"/>
        <w:tblInd w:w="4520" w:type="dxa"/>
        <w:tblCellMar>
          <w:top w:w="0" w:type="dxa"/>
          <w:left w:w="0" w:type="dxa"/>
          <w:bottom w:w="0" w:type="dxa"/>
          <w:right w:w="0" w:type="dxa"/>
        </w:tblCellMar>
      </w:tblPr>
      <w:tr>
        <w:trPr>
          <w:trHeight w:val="162"/>
        </w:trPr>
        <w:tc>
          <w:tcPr>
            <w:tcW w:w="1620" w:type="dxa"/>
            <w:vAlign w:val="bottom"/>
            <w:tcBorders>
              <w:top w:val="single" w:sz="8" w:color="auto"/>
            </w:tcBorders>
            <w:vMerge w:val="restart"/>
          </w:tcPr>
          <w:p>
            <w:pPr>
              <w:ind w:left="200"/>
              <w:spacing w:after="0"/>
              <w:rPr>
                <w:sz w:val="20"/>
                <w:szCs w:val="20"/>
                <w:color w:val="auto"/>
              </w:rPr>
            </w:pPr>
            <w:r>
              <w:rPr>
                <w:rFonts w:ascii="Arial" w:cs="Arial" w:eastAsia="Arial" w:hAnsi="Arial"/>
                <w:sz w:val="17"/>
                <w:szCs w:val="17"/>
                <w:b w:val="1"/>
                <w:bCs w:val="1"/>
                <w:color w:val="auto"/>
              </w:rPr>
              <w:t>Amortized Cost</w:t>
            </w:r>
          </w:p>
        </w:tc>
        <w:tc>
          <w:tcPr>
            <w:tcW w:w="174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1"/>
              </w:rPr>
              <w:t>Gross Unrealized</w:t>
            </w:r>
          </w:p>
        </w:tc>
        <w:tc>
          <w:tcPr>
            <w:tcW w:w="168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1"/>
              </w:rPr>
              <w:t>Gross Unrealized</w:t>
            </w:r>
          </w:p>
        </w:tc>
        <w:tc>
          <w:tcPr>
            <w:tcW w:w="168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5"/>
              </w:rPr>
              <w:t>Approximate Fair</w:t>
            </w:r>
          </w:p>
        </w:tc>
        <w:tc>
          <w:tcPr>
            <w:tcW w:w="0" w:type="dxa"/>
            <w:vAlign w:val="bottom"/>
          </w:tcPr>
          <w:p>
            <w:pPr>
              <w:spacing w:after="0"/>
              <w:rPr>
                <w:sz w:val="1"/>
                <w:szCs w:val="1"/>
                <w:color w:val="auto"/>
              </w:rPr>
            </w:pPr>
          </w:p>
        </w:tc>
      </w:tr>
      <w:tr>
        <w:trPr>
          <w:trHeight w:val="227"/>
        </w:trPr>
        <w:tc>
          <w:tcPr>
            <w:tcW w:w="16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3"/>
              </w:rPr>
              <w:t>Gains</w:t>
            </w: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81"/>
              </w:rPr>
              <w:t>Losses</w:t>
            </w: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92"/>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-2540</wp:posOffset>
            </wp:positionV>
            <wp:extent cx="4275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5455" cy="8255"/>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6"/>
          <w:szCs w:val="16"/>
          <w:i w:val="1"/>
          <w:iCs w:val="1"/>
          <w:color w:val="auto"/>
        </w:rPr>
        <w:t>(Dollars in thousands)</w:t>
      </w:r>
    </w:p>
    <w:p>
      <w:pPr>
        <w:sectPr>
          <w:pgSz w:w="11900" w:h="16838" w:orient="portrait"/>
          <w:cols w:equalWidth="0" w:num="1">
            <w:col w:w="11240"/>
          </w:cols>
          <w:pgMar w:left="320" w:top="179" w:right="339" w:bottom="1440" w:gutter="0" w:footer="0" w:header="0"/>
        </w:sectPr>
      </w:pPr>
    </w:p>
    <w:p>
      <w:pPr>
        <w:spacing w:after="0" w:line="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Available-for-sale securities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Mortgage-backed - GSE residential</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Collateralized mortgage obligations - GSE residential</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State and political subdivisions</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Corporate bonds</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 available-for-sale securities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138,231</w:t>
            </w:r>
          </w:p>
        </w:tc>
        <w:tc>
          <w:tcPr>
            <w:tcW w:w="100" w:type="dxa"/>
            <w:vAlign w:val="bottom"/>
          </w:tcPr>
          <w:p>
            <w:pPr>
              <w:spacing w:after="0"/>
              <w:rPr>
                <w:sz w:val="19"/>
                <w:szCs w:val="19"/>
                <w:color w:val="auto"/>
              </w:rPr>
            </w:pPr>
          </w:p>
        </w:tc>
        <w:tc>
          <w:tcPr>
            <w:tcW w:w="580" w:type="dxa"/>
            <w:vAlign w:val="bottom"/>
          </w:tcPr>
          <w:p>
            <w:pPr>
              <w:jc w:val="right"/>
              <w:ind w:right="39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2,912</w:t>
            </w:r>
          </w:p>
        </w:tc>
        <w:tc>
          <w:tcPr>
            <w:tcW w:w="100" w:type="dxa"/>
            <w:vAlign w:val="bottom"/>
          </w:tcPr>
          <w:p>
            <w:pPr>
              <w:spacing w:after="0"/>
              <w:rPr>
                <w:sz w:val="19"/>
                <w:szCs w:val="19"/>
                <w:color w:val="auto"/>
              </w:rPr>
            </w:pPr>
          </w:p>
        </w:tc>
        <w:tc>
          <w:tcPr>
            <w:tcW w:w="620" w:type="dxa"/>
            <w:vAlign w:val="bottom"/>
          </w:tcPr>
          <w:p>
            <w:pPr>
              <w:jc w:val="right"/>
              <w:ind w:right="43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1,464</w:t>
            </w:r>
          </w:p>
        </w:tc>
        <w:tc>
          <w:tcPr>
            <w:tcW w:w="100" w:type="dxa"/>
            <w:vAlign w:val="bottom"/>
          </w:tcPr>
          <w:p>
            <w:pPr>
              <w:spacing w:after="0"/>
              <w:rPr>
                <w:sz w:val="19"/>
                <w:szCs w:val="19"/>
                <w:color w:val="auto"/>
              </w:rPr>
            </w:pPr>
          </w:p>
        </w:tc>
        <w:tc>
          <w:tcPr>
            <w:tcW w:w="560" w:type="dxa"/>
            <w:vAlign w:val="bottom"/>
          </w:tcPr>
          <w:p>
            <w:pPr>
              <w:jc w:val="right"/>
              <w:ind w:right="35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139,679</w:t>
            </w:r>
          </w:p>
        </w:tc>
      </w:tr>
      <w:tr>
        <w:trPr>
          <w:trHeight w:val="221"/>
        </w:trPr>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38,206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38,965</w:t>
            </w:r>
          </w:p>
        </w:tc>
      </w:tr>
      <w:tr>
        <w:trPr>
          <w:trHeight w:val="221"/>
        </w:trPr>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474,912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28,517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502,567</w:t>
            </w:r>
          </w:p>
        </w:tc>
      </w:tr>
      <w:tr>
        <w:trPr>
          <w:trHeight w:val="221"/>
        </w:trPr>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4,251</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4,243</w:t>
            </w:r>
          </w:p>
        </w:tc>
      </w:tr>
      <w:tr>
        <w:trPr>
          <w:trHeight w:val="214"/>
        </w:trPr>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655,600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32,288</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2,434</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685,454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-884555</wp:posOffset>
            </wp:positionV>
            <wp:extent cx="7037705" cy="14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14033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-603250</wp:posOffset>
            </wp:positionV>
            <wp:extent cx="7037705" cy="14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14033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-321945</wp:posOffset>
            </wp:positionV>
            <wp:extent cx="7037705" cy="14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1403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December 31,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Borders>
              <w:top w:val="single" w:sz="8" w:color="auto"/>
            </w:tcBorders>
            <w:vMerge w:val="restart"/>
          </w:tcPr>
          <w:p>
            <w:pPr>
              <w:ind w:left="200"/>
              <w:spacing w:after="0"/>
              <w:rPr>
                <w:sz w:val="20"/>
                <w:szCs w:val="20"/>
                <w:color w:val="auto"/>
              </w:rPr>
            </w:pPr>
            <w:r>
              <w:rPr>
                <w:rFonts w:ascii="Arial" w:cs="Arial" w:eastAsia="Arial" w:hAnsi="Arial"/>
                <w:sz w:val="17"/>
                <w:szCs w:val="17"/>
                <w:b w:val="1"/>
                <w:bCs w:val="1"/>
                <w:color w:val="auto"/>
              </w:rPr>
              <w:t>Amortized Cost</w:t>
            </w:r>
          </w:p>
        </w:tc>
        <w:tc>
          <w:tcPr>
            <w:tcW w:w="174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1"/>
              </w:rPr>
              <w:t>Gross Unrealized</w:t>
            </w:r>
          </w:p>
        </w:tc>
        <w:tc>
          <w:tcPr>
            <w:tcW w:w="168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1"/>
              </w:rPr>
              <w:t>Gross Unrealized</w:t>
            </w:r>
          </w:p>
        </w:tc>
        <w:tc>
          <w:tcPr>
            <w:tcW w:w="168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5"/>
              </w:rPr>
              <w:t>Approximate Fair</w:t>
            </w:r>
          </w:p>
        </w:tc>
        <w:tc>
          <w:tcPr>
            <w:tcW w:w="0" w:type="dxa"/>
            <w:vAlign w:val="bottom"/>
          </w:tcPr>
          <w:p>
            <w:pPr>
              <w:spacing w:after="0"/>
              <w:rPr>
                <w:sz w:val="1"/>
                <w:szCs w:val="1"/>
                <w:color w:val="auto"/>
              </w:rPr>
            </w:pPr>
          </w:p>
        </w:tc>
      </w:tr>
      <w:tr>
        <w:trPr>
          <w:trHeight w:val="227"/>
        </w:trPr>
        <w:tc>
          <w:tcPr>
            <w:tcW w:w="16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3"/>
              </w:rPr>
              <w:t>Gains</w:t>
            </w: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81"/>
              </w:rPr>
              <w:t>Losses</w:t>
            </w: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92"/>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42754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75455" cy="825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6"/>
          <w:szCs w:val="16"/>
          <w:i w:val="1"/>
          <w:iCs w:val="1"/>
          <w:color w:val="auto"/>
        </w:rPr>
        <w:t>(Dollars in thousands)</w:t>
      </w:r>
    </w:p>
    <w:p>
      <w:pPr>
        <w:spacing w:after="0" w:line="35" w:lineRule="exact"/>
        <w:rPr>
          <w:sz w:val="20"/>
          <w:szCs w:val="20"/>
          <w:color w:val="auto"/>
        </w:rPr>
      </w:pPr>
    </w:p>
    <w:p>
      <w:pPr>
        <w:sectPr>
          <w:pgSz w:w="11900" w:h="16838" w:orient="portrait"/>
          <w:cols w:equalWidth="0" w:num="2">
            <w:col w:w="4100" w:space="420"/>
            <w:col w:w="672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Available-for-sale securities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1"/>
        </w:trPr>
        <w:tc>
          <w:tcPr>
            <w:tcW w:w="16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Arial" w:cs="Arial" w:eastAsia="Arial" w:hAnsi="Arial"/>
                <w:sz w:val="17"/>
                <w:szCs w:val="17"/>
                <w:color w:val="auto"/>
              </w:rPr>
              <w:t>Mortgage-backed - GSE residential</w:t>
            </w: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104,839</w:t>
            </w:r>
          </w:p>
        </w:tc>
        <w:tc>
          <w:tcPr>
            <w:tcW w:w="100" w:type="dxa"/>
            <w:vAlign w:val="bottom"/>
          </w:tcPr>
          <w:p>
            <w:pPr>
              <w:spacing w:after="0"/>
              <w:rPr>
                <w:sz w:val="19"/>
                <w:szCs w:val="19"/>
                <w:color w:val="auto"/>
              </w:rPr>
            </w:pPr>
          </w:p>
        </w:tc>
        <w:tc>
          <w:tcPr>
            <w:tcW w:w="580" w:type="dxa"/>
            <w:vAlign w:val="bottom"/>
          </w:tcPr>
          <w:p>
            <w:pPr>
              <w:jc w:val="right"/>
              <w:ind w:right="39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4,277</w:t>
            </w:r>
          </w:p>
        </w:tc>
        <w:tc>
          <w:tcPr>
            <w:tcW w:w="100" w:type="dxa"/>
            <w:vAlign w:val="bottom"/>
          </w:tcPr>
          <w:p>
            <w:pPr>
              <w:spacing w:after="0"/>
              <w:rPr>
                <w:sz w:val="19"/>
                <w:szCs w:val="19"/>
                <w:color w:val="auto"/>
              </w:rPr>
            </w:pPr>
          </w:p>
        </w:tc>
        <w:tc>
          <w:tcPr>
            <w:tcW w:w="740" w:type="dxa"/>
            <w:vAlign w:val="bottom"/>
          </w:tcPr>
          <w:p>
            <w:pPr>
              <w:jc w:val="right"/>
              <w:ind w:right="553"/>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5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109,116</w:t>
            </w:r>
          </w:p>
        </w:tc>
      </w:tr>
      <w:tr>
        <w:trPr>
          <w:trHeight w:val="221"/>
        </w:trPr>
        <w:tc>
          <w:tcPr>
            <w:tcW w:w="160" w:type="dxa"/>
            <w:vAlign w:val="bottom"/>
          </w:tcPr>
          <w:p>
            <w:pPr>
              <w:spacing w:after="0"/>
              <w:rPr>
                <w:sz w:val="19"/>
                <w:szCs w:val="19"/>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Collateralized mortgage obligations - GSE residential</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53,012</w:t>
            </w:r>
          </w:p>
        </w:tc>
      </w:tr>
      <w:tr>
        <w:trPr>
          <w:trHeight w:val="221"/>
        </w:trPr>
        <w:tc>
          <w:tcPr>
            <w:tcW w:w="16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Arial" w:cs="Arial" w:eastAsia="Arial" w:hAnsi="Arial"/>
                <w:sz w:val="17"/>
                <w:szCs w:val="17"/>
                <w:color w:val="auto"/>
              </w:rPr>
              <w:t>State and political subdivisions</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454,486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33,642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488,097</w:t>
            </w:r>
          </w:p>
        </w:tc>
      </w:tr>
      <w:tr>
        <w:trPr>
          <w:trHeight w:val="221"/>
        </w:trPr>
        <w:tc>
          <w:tcPr>
            <w:tcW w:w="160" w:type="dxa"/>
            <w:vAlign w:val="bottom"/>
          </w:tcPr>
          <w:p>
            <w:pPr>
              <w:spacing w:after="0"/>
              <w:rPr>
                <w:sz w:val="19"/>
                <w:szCs w:val="19"/>
                <w:color w:val="auto"/>
              </w:rPr>
            </w:pPr>
          </w:p>
        </w:tc>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bonds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w:t>
            </w:r>
          </w:p>
        </w:tc>
      </w:tr>
      <w:tr>
        <w:trPr>
          <w:trHeight w:val="214"/>
        </w:trPr>
        <w:tc>
          <w:tcPr>
            <w:tcW w:w="16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7"/>
                <w:szCs w:val="17"/>
                <w:color w:val="auto"/>
              </w:rPr>
              <w:t>Total available-for-sale securities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615,654</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39,007</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654,588</w:t>
            </w:r>
          </w:p>
        </w:tc>
      </w:tr>
      <w:tr>
        <w:trPr>
          <w:trHeight w:val="20"/>
        </w:trPr>
        <w:tc>
          <w:tcPr>
            <w:tcW w:w="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04"/>
        </w:trPr>
        <w:tc>
          <w:tcPr>
            <w:tcW w:w="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ind w:right="313"/>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0"/>
        </w:trPr>
        <w:tc>
          <w:tcPr>
            <w:tcW w:w="160" w:type="dxa"/>
            <w:vAlign w:val="bottom"/>
            <w:tcBorders>
              <w:bottom w:val="single" w:sz="8" w:color="9A9A9A"/>
            </w:tcBorders>
          </w:tcPr>
          <w:p>
            <w:pPr>
              <w:spacing w:after="0"/>
              <w:rPr>
                <w:sz w:val="9"/>
                <w:szCs w:val="9"/>
                <w:color w:val="auto"/>
              </w:rPr>
            </w:pPr>
          </w:p>
        </w:tc>
        <w:tc>
          <w:tcPr>
            <w:tcW w:w="4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2" w:name="page13"/>
    <w:bookmarkEnd w:id="12"/>
    <w:p>
      <w:pPr>
        <w:spacing w:after="0"/>
        <w:tabs>
          <w:tab w:leader="none" w:pos="364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amortized cost and fair value of available-for-sale securities at March 31, 2021, by contractual maturity, are shown below:</w:t>
      </w:r>
    </w:p>
    <w:p>
      <w:pPr>
        <w:spacing w:after="0" w:line="202"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March 31, 2021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09"/>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Within</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After One to</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After Five to</w:t>
            </w: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After</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3"/>
              </w:rPr>
              <w:t>One Year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89"/>
              </w:rPr>
              <w:t>Five Years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1"/>
              </w:rPr>
              <w:t>Ten Years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88"/>
              </w:rPr>
              <w:t>Ten Years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Total</w:t>
            </w:r>
          </w:p>
        </w:tc>
      </w:tr>
      <w:tr>
        <w:trPr>
          <w:trHeight w:val="198"/>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i w:val="1"/>
                <w:iCs w:val="1"/>
                <w:color w:val="auto"/>
                <w:w w:val="93"/>
              </w:rPr>
              <w:t>(Dollars in thousands)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Available-for-sale securities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3760" w:type="dxa"/>
            <w:vAlign w:val="bottom"/>
          </w:tcPr>
          <w:p>
            <w:pPr>
              <w:ind w:left="140"/>
              <w:spacing w:after="0" w:line="222" w:lineRule="exact"/>
              <w:rPr>
                <w:sz w:val="20"/>
                <w:szCs w:val="20"/>
                <w:color w:val="auto"/>
              </w:rPr>
            </w:pPr>
            <w:r>
              <w:rPr>
                <w:rFonts w:ascii="Arial" w:cs="Arial" w:eastAsia="Arial" w:hAnsi="Arial"/>
                <w:sz w:val="17"/>
                <w:szCs w:val="17"/>
                <w:color w:val="auto"/>
              </w:rPr>
              <w:t>Mortgage-backed - GSE residential</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3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Amortized cost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138,002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138,231</w:t>
            </w:r>
          </w:p>
        </w:tc>
      </w:tr>
      <w:tr>
        <w:trPr>
          <w:trHeight w:val="221"/>
        </w:trPr>
        <w:tc>
          <w:tcPr>
            <w:tcW w:w="3760" w:type="dxa"/>
            <w:vAlign w:val="bottom"/>
          </w:tcPr>
          <w:p>
            <w:pPr>
              <w:ind w:left="320"/>
              <w:spacing w:after="0"/>
              <w:rPr>
                <w:sz w:val="20"/>
                <w:szCs w:val="20"/>
                <w:color w:val="auto"/>
              </w:rPr>
            </w:pPr>
            <w:r>
              <w:rPr>
                <w:rFonts w:ascii="Arial" w:cs="Arial" w:eastAsia="Arial" w:hAnsi="Arial"/>
                <w:sz w:val="17"/>
                <w:szCs w:val="17"/>
                <w:color w:val="auto"/>
              </w:rPr>
              <w:t>Estimated fair value</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3"/>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139,436</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139,679</w:t>
            </w:r>
          </w:p>
        </w:tc>
      </w:tr>
      <w:tr>
        <w:trPr>
          <w:trHeight w:val="221"/>
        </w:trPr>
        <w:tc>
          <w:tcPr>
            <w:tcW w:w="3760" w:type="dxa"/>
            <w:vAlign w:val="bottom"/>
            <w:shd w:val="clear" w:color="auto" w:fill="CCEEFF"/>
          </w:tcPr>
          <w:p>
            <w:pPr>
              <w:ind w:left="320"/>
              <w:spacing w:after="0" w:line="222" w:lineRule="exact"/>
              <w:rPr>
                <w:sz w:val="20"/>
                <w:szCs w:val="20"/>
                <w:color w:val="auto"/>
              </w:rPr>
            </w:pPr>
            <w:r>
              <w:rPr>
                <w:rFonts w:ascii="Arial" w:cs="Arial" w:eastAsia="Arial" w:hAnsi="Arial"/>
                <w:sz w:val="17"/>
                <w:szCs w:val="17"/>
                <w:color w:val="auto"/>
              </w:rPr>
              <w:t>Weighted average yield</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1.72 %</w:t>
            </w:r>
          </w:p>
        </w:tc>
      </w:tr>
      <w:tr>
        <w:trPr>
          <w:trHeight w:val="169"/>
        </w:trPr>
        <w:tc>
          <w:tcPr>
            <w:tcW w:w="3760" w:type="dxa"/>
            <w:vAlign w:val="bottom"/>
          </w:tcPr>
          <w:p>
            <w:pPr>
              <w:ind w:left="140"/>
              <w:spacing w:after="0" w:line="169" w:lineRule="exact"/>
              <w:rPr>
                <w:sz w:val="20"/>
                <w:szCs w:val="20"/>
                <w:color w:val="auto"/>
              </w:rPr>
            </w:pPr>
            <w:r>
              <w:rPr>
                <w:rFonts w:ascii="Arial" w:cs="Arial" w:eastAsia="Arial" w:hAnsi="Arial"/>
                <w:sz w:val="17"/>
                <w:szCs w:val="17"/>
                <w:color w:val="auto"/>
              </w:rPr>
              <w:t>Collateralized mortgage obligations - GSE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1"/>
        </w:trPr>
        <w:tc>
          <w:tcPr>
            <w:tcW w:w="3760" w:type="dxa"/>
            <w:vAlign w:val="bottom"/>
          </w:tcPr>
          <w:p>
            <w:pPr>
              <w:ind w:left="300"/>
              <w:spacing w:after="0" w:line="222" w:lineRule="exact"/>
              <w:rPr>
                <w:sz w:val="20"/>
                <w:szCs w:val="20"/>
                <w:color w:val="auto"/>
              </w:rPr>
            </w:pPr>
            <w:r>
              <w:rPr>
                <w:rFonts w:ascii="Arial" w:cs="Arial" w:eastAsia="Arial" w:hAnsi="Arial"/>
                <w:sz w:val="17"/>
                <w:szCs w:val="17"/>
                <w:color w:val="auto"/>
              </w:rPr>
              <w:t>residential</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3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Amortized cost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2,469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35,737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38,206</w:t>
            </w:r>
          </w:p>
        </w:tc>
      </w:tr>
      <w:tr>
        <w:trPr>
          <w:trHeight w:val="221"/>
        </w:trPr>
        <w:tc>
          <w:tcPr>
            <w:tcW w:w="3760" w:type="dxa"/>
            <w:vAlign w:val="bottom"/>
          </w:tcPr>
          <w:p>
            <w:pPr>
              <w:ind w:left="320"/>
              <w:spacing w:after="0"/>
              <w:rPr>
                <w:sz w:val="20"/>
                <w:szCs w:val="20"/>
                <w:color w:val="auto"/>
              </w:rPr>
            </w:pPr>
            <w:r>
              <w:rPr>
                <w:rFonts w:ascii="Arial" w:cs="Arial" w:eastAsia="Arial" w:hAnsi="Arial"/>
                <w:sz w:val="17"/>
                <w:szCs w:val="17"/>
                <w:color w:val="auto"/>
              </w:rPr>
              <w:t>Estimated fair value</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2,645</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36,320</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38,965</w:t>
            </w:r>
          </w:p>
        </w:tc>
      </w:tr>
      <w:tr>
        <w:trPr>
          <w:trHeight w:val="221"/>
        </w:trPr>
        <w:tc>
          <w:tcPr>
            <w:tcW w:w="3760" w:type="dxa"/>
            <w:vAlign w:val="bottom"/>
            <w:shd w:val="clear" w:color="auto" w:fill="CCEEFF"/>
          </w:tcPr>
          <w:p>
            <w:pPr>
              <w:ind w:left="320"/>
              <w:spacing w:after="0" w:line="222" w:lineRule="exact"/>
              <w:rPr>
                <w:sz w:val="20"/>
                <w:szCs w:val="20"/>
                <w:color w:val="auto"/>
              </w:rPr>
            </w:pPr>
            <w:r>
              <w:rPr>
                <w:rFonts w:ascii="Arial" w:cs="Arial" w:eastAsia="Arial" w:hAnsi="Arial"/>
                <w:sz w:val="17"/>
                <w:szCs w:val="17"/>
                <w:color w:val="auto"/>
              </w:rPr>
              <w:t>Weighted average yield</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1.66 %</w:t>
            </w:r>
          </w:p>
        </w:tc>
      </w:tr>
      <w:tr>
        <w:trPr>
          <w:trHeight w:val="221"/>
        </w:trPr>
        <w:tc>
          <w:tcPr>
            <w:tcW w:w="3760" w:type="dxa"/>
            <w:vAlign w:val="bottom"/>
          </w:tcPr>
          <w:p>
            <w:pPr>
              <w:ind w:left="140"/>
              <w:spacing w:after="0"/>
              <w:rPr>
                <w:sz w:val="20"/>
                <w:szCs w:val="20"/>
                <w:color w:val="auto"/>
              </w:rPr>
            </w:pPr>
            <w:r>
              <w:rPr>
                <w:rFonts w:ascii="Arial" w:cs="Arial" w:eastAsia="Arial" w:hAnsi="Arial"/>
                <w:sz w:val="17"/>
                <w:szCs w:val="17"/>
                <w:color w:val="auto"/>
              </w:rPr>
              <w:t>State and political subdivisions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3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Amortized cost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5,947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65,518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402,795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474,912</w:t>
            </w:r>
          </w:p>
        </w:tc>
      </w:tr>
      <w:tr>
        <w:trPr>
          <w:trHeight w:val="221"/>
        </w:trPr>
        <w:tc>
          <w:tcPr>
            <w:tcW w:w="3760" w:type="dxa"/>
            <w:vAlign w:val="bottom"/>
          </w:tcPr>
          <w:p>
            <w:pPr>
              <w:ind w:left="320"/>
              <w:spacing w:after="0"/>
              <w:rPr>
                <w:sz w:val="20"/>
                <w:szCs w:val="20"/>
                <w:color w:val="auto"/>
              </w:rPr>
            </w:pPr>
            <w:r>
              <w:rPr>
                <w:rFonts w:ascii="Arial" w:cs="Arial" w:eastAsia="Arial" w:hAnsi="Arial"/>
                <w:sz w:val="17"/>
                <w:szCs w:val="17"/>
                <w:color w:val="auto"/>
              </w:rPr>
              <w:t>Estimated fair value</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654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3"/>
              <w:spacing w:after="0"/>
              <w:rPr>
                <w:sz w:val="20"/>
                <w:szCs w:val="20"/>
                <w:color w:val="auto"/>
              </w:rPr>
            </w:pPr>
            <w:r>
              <w:rPr>
                <w:rFonts w:ascii="Arial" w:cs="Arial" w:eastAsia="Arial" w:hAnsi="Arial"/>
                <w:sz w:val="17"/>
                <w:szCs w:val="17"/>
                <w:color w:val="auto"/>
              </w:rPr>
              <w:t>6,024</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70,889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425,000</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502,567</w:t>
            </w:r>
          </w:p>
        </w:tc>
      </w:tr>
      <w:tr>
        <w:trPr>
          <w:trHeight w:val="221"/>
        </w:trPr>
        <w:tc>
          <w:tcPr>
            <w:tcW w:w="3760" w:type="dxa"/>
            <w:vAlign w:val="bottom"/>
            <w:shd w:val="clear" w:color="auto" w:fill="CCEEFF"/>
          </w:tcPr>
          <w:p>
            <w:pPr>
              <w:ind w:left="320"/>
              <w:spacing w:after="0" w:line="222" w:lineRule="exact"/>
              <w:rPr>
                <w:sz w:val="20"/>
                <w:szCs w:val="20"/>
                <w:color w:val="auto"/>
              </w:rPr>
            </w:pPr>
            <w:r>
              <w:rPr>
                <w:rFonts w:ascii="Arial" w:cs="Arial" w:eastAsia="Arial" w:hAnsi="Arial"/>
                <w:sz w:val="17"/>
                <w:szCs w:val="17"/>
                <w:color w:val="auto"/>
              </w:rPr>
              <w:t>Weighted average yield</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2.90 %</w:t>
            </w:r>
          </w:p>
        </w:tc>
      </w:tr>
      <w:tr>
        <w:trPr>
          <w:trHeight w:val="221"/>
        </w:trPr>
        <w:tc>
          <w:tcPr>
            <w:tcW w:w="3760" w:type="dxa"/>
            <w:vAlign w:val="bottom"/>
          </w:tcPr>
          <w:p>
            <w:pPr>
              <w:ind w:left="140"/>
              <w:spacing w:after="0"/>
              <w:rPr>
                <w:sz w:val="20"/>
                <w:szCs w:val="20"/>
                <w:color w:val="auto"/>
              </w:rPr>
            </w:pPr>
            <w:r>
              <w:rPr>
                <w:rFonts w:ascii="Arial" w:cs="Arial" w:eastAsia="Arial" w:hAnsi="Arial"/>
                <w:sz w:val="17"/>
                <w:szCs w:val="17"/>
                <w:color w:val="auto"/>
              </w:rPr>
              <w:t>Corporate bonds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3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Amortized cost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4,251</w:t>
            </w:r>
          </w:p>
        </w:tc>
      </w:tr>
      <w:tr>
        <w:trPr>
          <w:trHeight w:val="221"/>
        </w:trPr>
        <w:tc>
          <w:tcPr>
            <w:tcW w:w="3760" w:type="dxa"/>
            <w:vAlign w:val="bottom"/>
          </w:tcPr>
          <w:p>
            <w:pPr>
              <w:ind w:left="320"/>
              <w:spacing w:after="0"/>
              <w:rPr>
                <w:sz w:val="20"/>
                <w:szCs w:val="20"/>
                <w:color w:val="auto"/>
              </w:rPr>
            </w:pPr>
            <w:r>
              <w:rPr>
                <w:rFonts w:ascii="Arial" w:cs="Arial" w:eastAsia="Arial" w:hAnsi="Arial"/>
                <w:sz w:val="17"/>
                <w:szCs w:val="17"/>
                <w:color w:val="auto"/>
              </w:rPr>
              <w:t>Estimated fair value</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3"/>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3,877</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4,243</w:t>
            </w:r>
          </w:p>
        </w:tc>
      </w:tr>
      <w:tr>
        <w:trPr>
          <w:trHeight w:val="221"/>
        </w:trPr>
        <w:tc>
          <w:tcPr>
            <w:tcW w:w="3760" w:type="dxa"/>
            <w:vAlign w:val="bottom"/>
            <w:shd w:val="clear" w:color="auto" w:fill="CCEEFF"/>
          </w:tcPr>
          <w:p>
            <w:pPr>
              <w:ind w:left="320"/>
              <w:spacing w:after="0" w:line="222" w:lineRule="exact"/>
              <w:rPr>
                <w:sz w:val="20"/>
                <w:szCs w:val="20"/>
                <w:color w:val="auto"/>
              </w:rPr>
            </w:pPr>
            <w:r>
              <w:rPr>
                <w:rFonts w:ascii="Arial" w:cs="Arial" w:eastAsia="Arial" w:hAnsi="Arial"/>
                <w:sz w:val="17"/>
                <w:szCs w:val="17"/>
                <w:color w:val="auto"/>
              </w:rPr>
              <w:t>Weighted average yield</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 %</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4.51 %</w:t>
            </w:r>
          </w:p>
        </w:tc>
      </w:tr>
      <w:tr>
        <w:trPr>
          <w:trHeight w:val="221"/>
        </w:trPr>
        <w:tc>
          <w:tcPr>
            <w:tcW w:w="3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available-for-sale securities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39"/>
        </w:trPr>
        <w:tc>
          <w:tcPr>
            <w:tcW w:w="3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Amortized cost</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6,352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72,062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576,534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655,600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3760" w:type="dxa"/>
            <w:vAlign w:val="bottom"/>
          </w:tcPr>
          <w:p>
            <w:pPr>
              <w:ind w:left="320"/>
              <w:spacing w:after="0" w:line="194" w:lineRule="exact"/>
              <w:rPr>
                <w:sz w:val="20"/>
                <w:szCs w:val="20"/>
                <w:color w:val="auto"/>
              </w:rPr>
            </w:pPr>
            <w:r>
              <w:rPr>
                <w:rFonts w:ascii="Arial" w:cs="Arial" w:eastAsia="Arial" w:hAnsi="Arial"/>
                <w:sz w:val="17"/>
                <w:szCs w:val="17"/>
                <w:color w:val="auto"/>
              </w:rPr>
              <w:t>Estimated fair value</w:t>
            </w:r>
          </w:p>
        </w:tc>
        <w:tc>
          <w:tcPr>
            <w:tcW w:w="200" w:type="dxa"/>
            <w:vAlign w:val="bottom"/>
            <w:tcBorders>
              <w:bottom w:val="single" w:sz="8" w:color="auto"/>
            </w:tcBorders>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13"/>
              <w:spacing w:after="0" w:line="194" w:lineRule="exact"/>
              <w:rPr>
                <w:sz w:val="20"/>
                <w:szCs w:val="20"/>
                <w:color w:val="auto"/>
              </w:rPr>
            </w:pPr>
            <w:r>
              <w:rPr>
                <w:rFonts w:ascii="Arial" w:cs="Arial" w:eastAsia="Arial" w:hAnsi="Arial"/>
                <w:sz w:val="17"/>
                <w:szCs w:val="17"/>
                <w:color w:val="auto"/>
              </w:rPr>
              <w:t>654</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33"/>
              <w:spacing w:after="0" w:line="194" w:lineRule="exact"/>
              <w:rPr>
                <w:sz w:val="20"/>
                <w:szCs w:val="20"/>
                <w:color w:val="auto"/>
              </w:rPr>
            </w:pPr>
            <w:r>
              <w:rPr>
                <w:rFonts w:ascii="Arial" w:cs="Arial" w:eastAsia="Arial" w:hAnsi="Arial"/>
                <w:sz w:val="17"/>
                <w:szCs w:val="17"/>
                <w:color w:val="auto"/>
              </w:rPr>
              <w:t>6,440</w:t>
            </w:r>
          </w:p>
        </w:tc>
        <w:tc>
          <w:tcPr>
            <w:tcW w:w="100" w:type="dxa"/>
            <w:vAlign w:val="bottom"/>
          </w:tcPr>
          <w:p>
            <w:pPr>
              <w:spacing w:after="0"/>
              <w:rPr>
                <w:sz w:val="16"/>
                <w:szCs w:val="16"/>
                <w:color w:val="auto"/>
              </w:rPr>
            </w:pPr>
          </w:p>
        </w:tc>
        <w:tc>
          <w:tcPr>
            <w:tcW w:w="120" w:type="dxa"/>
            <w:vAlign w:val="bottom"/>
            <w:tcBorders>
              <w:bottom w:val="single" w:sz="8" w:color="auto"/>
            </w:tcBorders>
          </w:tcPr>
          <w:p>
            <w:pPr>
              <w:ind w:left="20"/>
              <w:spacing w:after="0" w:line="194"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33"/>
              <w:spacing w:after="0" w:line="194" w:lineRule="exact"/>
              <w:rPr>
                <w:sz w:val="20"/>
                <w:szCs w:val="20"/>
                <w:color w:val="auto"/>
              </w:rPr>
            </w:pPr>
            <w:r>
              <w:rPr>
                <w:rFonts w:ascii="Arial" w:cs="Arial" w:eastAsia="Arial" w:hAnsi="Arial"/>
                <w:sz w:val="17"/>
                <w:szCs w:val="17"/>
                <w:color w:val="auto"/>
              </w:rPr>
              <w:t>77,604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3"/>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3"/>
              <w:spacing w:after="0" w:line="194" w:lineRule="exact"/>
              <w:rPr>
                <w:sz w:val="20"/>
                <w:szCs w:val="20"/>
                <w:color w:val="auto"/>
              </w:rPr>
            </w:pPr>
            <w:r>
              <w:rPr>
                <w:rFonts w:ascii="Arial" w:cs="Arial" w:eastAsia="Arial" w:hAnsi="Arial"/>
                <w:sz w:val="17"/>
                <w:szCs w:val="17"/>
                <w:color w:val="auto"/>
              </w:rPr>
              <w:t>600,756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113"/>
              <w:spacing w:after="0" w:line="194" w:lineRule="exact"/>
              <w:rPr>
                <w:sz w:val="20"/>
                <w:szCs w:val="20"/>
                <w:color w:val="auto"/>
              </w:rPr>
            </w:pPr>
            <w:r>
              <w:rPr>
                <w:rFonts w:ascii="Arial" w:cs="Arial" w:eastAsia="Arial" w:hAnsi="Arial"/>
                <w:sz w:val="17"/>
                <w:szCs w:val="17"/>
                <w:color w:val="auto"/>
              </w:rPr>
              <w:t>685,454</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0"/>
        </w:trPr>
        <w:tc>
          <w:tcPr>
            <w:tcW w:w="3760" w:type="dxa"/>
            <w:vAlign w:val="bottom"/>
            <w:tcBorders>
              <w:bottom w:val="single" w:sz="8" w:color="CCEEFF"/>
            </w:tcBorders>
            <w:shd w:val="clear" w:color="auto" w:fill="CCEEFF"/>
          </w:tcPr>
          <w:p>
            <w:pPr>
              <w:ind w:left="320"/>
              <w:spacing w:after="0" w:line="213" w:lineRule="exact"/>
              <w:rPr>
                <w:sz w:val="20"/>
                <w:szCs w:val="20"/>
                <w:color w:val="auto"/>
              </w:rPr>
            </w:pPr>
            <w:r>
              <w:rPr>
                <w:rFonts w:ascii="Arial" w:cs="Arial" w:eastAsia="Arial" w:hAnsi="Arial"/>
                <w:sz w:val="17"/>
                <w:szCs w:val="17"/>
                <w:color w:val="auto"/>
              </w:rPr>
              <w:t>Weighted average yield</w:t>
            </w:r>
            <w:r>
              <w:rPr>
                <w:rFonts w:ascii="Arial" w:cs="Arial" w:eastAsia="Arial" w:hAnsi="Arial"/>
                <w:sz w:val="22"/>
                <w:szCs w:val="22"/>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2.59 %</w:t>
            </w:r>
          </w:p>
        </w:tc>
      </w:tr>
    </w:tbl>
    <w:p>
      <w:pPr>
        <w:ind w:left="320" w:hanging="162"/>
        <w:spacing w:after="0" w:line="222" w:lineRule="auto"/>
        <w:tabs>
          <w:tab w:leader="none" w:pos="32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Actual maturities may differ from contractual maturities because issuers may have the rights to call or prepay obligations with or without prepayment penalties.</w:t>
      </w:r>
    </w:p>
    <w:p>
      <w:pPr>
        <w:spacing w:after="0" w:line="23" w:lineRule="exact"/>
        <w:rPr>
          <w:rFonts w:ascii="Arial" w:cs="Arial" w:eastAsia="Arial" w:hAnsi="Arial"/>
          <w:sz w:val="19"/>
          <w:szCs w:val="19"/>
          <w:color w:val="auto"/>
          <w:vertAlign w:val="superscript"/>
        </w:rPr>
      </w:pPr>
    </w:p>
    <w:p>
      <w:pPr>
        <w:ind w:left="300" w:hanging="142"/>
        <w:spacing w:after="0" w:line="227" w:lineRule="auto"/>
        <w:tabs>
          <w:tab w:leader="none" w:pos="30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Yields are calculated based on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-251460</wp:posOffset>
            </wp:positionV>
            <wp:extent cx="46558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55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69215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sectPr>
      </w:pPr>
    </w:p>
    <w:bookmarkStart w:id="13" w:name="page14"/>
    <w:bookmarkEnd w:id="13"/>
    <w:p>
      <w:pPr>
        <w:spacing w:after="0"/>
        <w:tabs>
          <w:tab w:leader="none" w:pos="364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4" w:lineRule="exact"/>
        <w:rPr>
          <w:sz w:val="20"/>
          <w:szCs w:val="20"/>
          <w:color w:val="auto"/>
        </w:rPr>
      </w:pPr>
    </w:p>
    <w:p>
      <w:pPr>
        <w:ind w:left="140" w:firstLine="469"/>
        <w:spacing w:after="0" w:line="271" w:lineRule="auto"/>
        <w:rPr>
          <w:sz w:val="20"/>
          <w:szCs w:val="20"/>
          <w:color w:val="auto"/>
        </w:rPr>
      </w:pPr>
      <w:r>
        <w:rPr>
          <w:rFonts w:ascii="Arial" w:cs="Arial" w:eastAsia="Arial" w:hAnsi="Arial"/>
          <w:sz w:val="17"/>
          <w:szCs w:val="17"/>
          <w:color w:val="auto"/>
        </w:rPr>
        <w:t>The following tables show the number of securities, unrealized loss, and fair value of the Company’s investments with unrealized losses that are not deemed to be other-than-temporarily impaired (“OTTI”), aggregated by investment class and length of time that individual securities have been in a continuous unrealized loss position at March 31, 2021 and December 31, 2020:</w:t>
      </w:r>
    </w:p>
    <w:p>
      <w:pPr>
        <w:spacing w:after="0" w:line="152"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1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5"/>
              </w:rPr>
              <w:t>March 31, 2021</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8"/>
          </w:tcPr>
          <w:p>
            <w:pPr>
              <w:ind w:left="580"/>
              <w:spacing w:after="0"/>
              <w:rPr>
                <w:sz w:val="20"/>
                <w:szCs w:val="20"/>
                <w:color w:val="auto"/>
              </w:rPr>
            </w:pPr>
            <w:r>
              <w:rPr>
                <w:rFonts w:ascii="Arial" w:cs="Arial" w:eastAsia="Arial" w:hAnsi="Arial"/>
                <w:sz w:val="17"/>
                <w:szCs w:val="17"/>
                <w:b w:val="1"/>
                <w:bCs w:val="1"/>
                <w:color w:val="auto"/>
              </w:rPr>
              <w:t>Less than 12 Months</w:t>
            </w:r>
          </w:p>
        </w:tc>
        <w:tc>
          <w:tcPr>
            <w:tcW w:w="360" w:type="dxa"/>
            <w:vAlign w:val="bottom"/>
          </w:tcPr>
          <w:p>
            <w:pPr>
              <w:spacing w:after="0"/>
              <w:rPr>
                <w:sz w:val="18"/>
                <w:szCs w:val="18"/>
                <w:color w:val="auto"/>
              </w:rPr>
            </w:pPr>
          </w:p>
        </w:tc>
        <w:tc>
          <w:tcPr>
            <w:tcW w:w="2800" w:type="dxa"/>
            <w:vAlign w:val="bottom"/>
            <w:gridSpan w:val="9"/>
          </w:tcPr>
          <w:p>
            <w:pPr>
              <w:jc w:val="center"/>
              <w:ind w:right="460"/>
              <w:spacing w:after="0"/>
              <w:rPr>
                <w:sz w:val="20"/>
                <w:szCs w:val="20"/>
                <w:color w:val="auto"/>
              </w:rPr>
            </w:pPr>
            <w:r>
              <w:rPr>
                <w:rFonts w:ascii="Arial" w:cs="Arial" w:eastAsia="Arial" w:hAnsi="Arial"/>
                <w:sz w:val="17"/>
                <w:szCs w:val="17"/>
                <w:b w:val="1"/>
                <w:bCs w:val="1"/>
                <w:color w:val="auto"/>
                <w:w w:val="93"/>
              </w:rPr>
              <w:t>12 Months or More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00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7"/>
                <w:szCs w:val="17"/>
                <w:b w:val="1"/>
                <w:bCs w:val="1"/>
                <w:color w:val="auto"/>
              </w:rPr>
              <w:t>Fair Value</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20"/>
              <w:spacing w:after="0" w:line="163" w:lineRule="exact"/>
              <w:rPr>
                <w:sz w:val="20"/>
                <w:szCs w:val="20"/>
                <w:color w:val="auto"/>
              </w:rPr>
            </w:pPr>
            <w:r>
              <w:rPr>
                <w:rFonts w:ascii="Arial" w:cs="Arial" w:eastAsia="Arial" w:hAnsi="Arial"/>
                <w:sz w:val="17"/>
                <w:szCs w:val="17"/>
                <w:b w:val="1"/>
                <w:bCs w:val="1"/>
                <w:color w:val="auto"/>
                <w:w w:val="92"/>
              </w:rPr>
              <w:t>Unrealized</w:t>
            </w:r>
          </w:p>
        </w:tc>
        <w:tc>
          <w:tcPr>
            <w:tcW w:w="94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6"/>
              </w:rPr>
              <w:t>Number of</w:t>
            </w:r>
          </w:p>
        </w:tc>
        <w:tc>
          <w:tcPr>
            <w:tcW w:w="100" w:type="dxa"/>
            <w:vAlign w:val="bottom"/>
          </w:tcPr>
          <w:p>
            <w:pPr>
              <w:spacing w:after="0"/>
              <w:rPr>
                <w:sz w:val="14"/>
                <w:szCs w:val="14"/>
                <w:color w:val="auto"/>
              </w:rPr>
            </w:pPr>
          </w:p>
        </w:tc>
        <w:tc>
          <w:tcPr>
            <w:tcW w:w="8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7"/>
                <w:szCs w:val="17"/>
                <w:b w:val="1"/>
                <w:bCs w:val="1"/>
                <w:color w:val="auto"/>
                <w:w w:val="93"/>
              </w:rPr>
              <w:t>Fair Value</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center"/>
              <w:ind w:right="240"/>
              <w:spacing w:after="0" w:line="163" w:lineRule="exact"/>
              <w:rPr>
                <w:sz w:val="20"/>
                <w:szCs w:val="20"/>
                <w:color w:val="auto"/>
              </w:rPr>
            </w:pPr>
            <w:r>
              <w:rPr>
                <w:rFonts w:ascii="Arial" w:cs="Arial" w:eastAsia="Arial" w:hAnsi="Arial"/>
                <w:sz w:val="17"/>
                <w:szCs w:val="17"/>
                <w:b w:val="1"/>
                <w:bCs w:val="1"/>
                <w:color w:val="auto"/>
                <w:w w:val="95"/>
              </w:rPr>
              <w:t>Unrealized</w:t>
            </w:r>
          </w:p>
        </w:tc>
        <w:tc>
          <w:tcPr>
            <w:tcW w:w="92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4"/>
              </w:rPr>
              <w:t>Number of</w:t>
            </w:r>
          </w:p>
        </w:tc>
        <w:tc>
          <w:tcPr>
            <w:tcW w:w="100" w:type="dxa"/>
            <w:vAlign w:val="bottom"/>
          </w:tcPr>
          <w:p>
            <w:pPr>
              <w:spacing w:after="0"/>
              <w:rPr>
                <w:sz w:val="14"/>
                <w:szCs w:val="14"/>
                <w:color w:val="auto"/>
              </w:rPr>
            </w:pPr>
          </w:p>
        </w:tc>
        <w:tc>
          <w:tcPr>
            <w:tcW w:w="10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7"/>
                <w:szCs w:val="17"/>
                <w:b w:val="1"/>
                <w:bCs w:val="1"/>
                <w:color w:val="auto"/>
              </w:rPr>
              <w:t>Fair Value</w:t>
            </w: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20"/>
              <w:spacing w:after="0" w:line="163" w:lineRule="exact"/>
              <w:rPr>
                <w:sz w:val="20"/>
                <w:szCs w:val="20"/>
                <w:color w:val="auto"/>
              </w:rPr>
            </w:pPr>
            <w:r>
              <w:rPr>
                <w:rFonts w:ascii="Arial" w:cs="Arial" w:eastAsia="Arial" w:hAnsi="Arial"/>
                <w:sz w:val="17"/>
                <w:szCs w:val="17"/>
                <w:b w:val="1"/>
                <w:bCs w:val="1"/>
                <w:color w:val="auto"/>
                <w:w w:val="92"/>
              </w:rPr>
              <w:t>Unrealized</w:t>
            </w:r>
          </w:p>
        </w:tc>
        <w:tc>
          <w:tcPr>
            <w:tcW w:w="94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4"/>
              </w:rPr>
              <w:t>Number of</w:t>
            </w:r>
          </w:p>
        </w:tc>
        <w:tc>
          <w:tcPr>
            <w:tcW w:w="0" w:type="dxa"/>
            <w:vAlign w:val="bottom"/>
          </w:tcPr>
          <w:p>
            <w:pPr>
              <w:spacing w:after="0"/>
              <w:rPr>
                <w:sz w:val="1"/>
                <w:szCs w:val="1"/>
                <w:color w:val="auto"/>
              </w:rPr>
            </w:pPr>
          </w:p>
        </w:tc>
      </w:tr>
      <w:tr>
        <w:trPr>
          <w:trHeight w:val="221"/>
        </w:trPr>
        <w:tc>
          <w:tcPr>
            <w:tcW w:w="1680" w:type="dxa"/>
            <w:vAlign w:val="bottom"/>
          </w:tcPr>
          <w:p>
            <w:pPr>
              <w:spacing w:after="0"/>
              <w:rPr>
                <w:sz w:val="19"/>
                <w:szCs w:val="19"/>
                <w:color w:val="auto"/>
              </w:rPr>
            </w:pPr>
          </w:p>
        </w:tc>
        <w:tc>
          <w:tcPr>
            <w:tcW w:w="100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1"/>
              </w:rPr>
              <w:t>Losses</w:t>
            </w:r>
          </w:p>
        </w:tc>
        <w:tc>
          <w:tcPr>
            <w:tcW w:w="10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7"/>
                <w:szCs w:val="17"/>
                <w:b w:val="1"/>
                <w:bCs w:val="1"/>
                <w:color w:val="auto"/>
                <w:w w:val="88"/>
              </w:rPr>
              <w:t>Securities</w:t>
            </w:r>
          </w:p>
        </w:tc>
        <w:tc>
          <w:tcPr>
            <w:tcW w:w="82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b w:val="1"/>
                <w:bCs w:val="1"/>
                <w:color w:val="auto"/>
                <w:w w:val="85"/>
              </w:rPr>
              <w:t>Losses</w:t>
            </w:r>
          </w:p>
        </w:tc>
        <w:tc>
          <w:tcPr>
            <w:tcW w:w="10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7"/>
                <w:szCs w:val="17"/>
                <w:b w:val="1"/>
                <w:bCs w:val="1"/>
                <w:color w:val="auto"/>
                <w:w w:val="88"/>
              </w:rPr>
              <w:t>Securities</w:t>
            </w:r>
          </w:p>
        </w:tc>
        <w:tc>
          <w:tcPr>
            <w:tcW w:w="100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1"/>
              </w:rPr>
              <w:t>Losses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Securities</w:t>
            </w:r>
          </w:p>
        </w:tc>
        <w:tc>
          <w:tcPr>
            <w:tcW w:w="0" w:type="dxa"/>
            <w:vAlign w:val="bottom"/>
          </w:tcPr>
          <w:p>
            <w:pPr>
              <w:spacing w:after="0"/>
              <w:rPr>
                <w:sz w:val="1"/>
                <w:szCs w:val="1"/>
                <w:color w:val="auto"/>
              </w:rPr>
            </w:pPr>
          </w:p>
        </w:tc>
      </w:tr>
      <w:tr>
        <w:trPr>
          <w:trHeight w:val="198"/>
        </w:trPr>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8"/>
          </w:tcPr>
          <w:p>
            <w:pPr>
              <w:jc w:val="center"/>
              <w:ind w:right="900"/>
              <w:spacing w:after="0"/>
              <w:rPr>
                <w:sz w:val="20"/>
                <w:szCs w:val="20"/>
                <w:color w:val="auto"/>
              </w:rPr>
            </w:pPr>
            <w:r>
              <w:rPr>
                <w:rFonts w:ascii="Arial" w:cs="Arial" w:eastAsia="Arial" w:hAnsi="Arial"/>
                <w:sz w:val="16"/>
                <w:szCs w:val="16"/>
                <w:i w:val="1"/>
                <w:iCs w:val="1"/>
                <w:color w:val="auto"/>
                <w:w w:val="89"/>
              </w:rPr>
              <w:t>(Dollars in thousands)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80" w:type="dxa"/>
            <w:vAlign w:val="bottom"/>
            <w:gridSpan w:val="5"/>
            <w:shd w:val="clear" w:color="auto" w:fill="CCEEFF"/>
          </w:tcPr>
          <w:p>
            <w:pPr>
              <w:ind w:left="20"/>
              <w:spacing w:after="0"/>
              <w:rPr>
                <w:sz w:val="20"/>
                <w:szCs w:val="20"/>
                <w:color w:val="auto"/>
              </w:rPr>
            </w:pPr>
            <w:r>
              <w:rPr>
                <w:rFonts w:ascii="Arial" w:cs="Arial" w:eastAsia="Arial" w:hAnsi="Arial"/>
                <w:sz w:val="17"/>
                <w:szCs w:val="17"/>
                <w:b w:val="1"/>
                <w:bCs w:val="1"/>
                <w:color w:val="auto"/>
              </w:rPr>
              <w:t>Available-for-sale securities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680" w:type="dxa"/>
            <w:vAlign w:val="bottom"/>
          </w:tcPr>
          <w:p>
            <w:pPr>
              <w:ind w:left="140"/>
              <w:spacing w:after="0" w:line="170" w:lineRule="exact"/>
              <w:rPr>
                <w:sz w:val="20"/>
                <w:szCs w:val="20"/>
                <w:color w:val="auto"/>
              </w:rPr>
            </w:pPr>
            <w:r>
              <w:rPr>
                <w:rFonts w:ascii="Arial" w:cs="Arial" w:eastAsia="Arial" w:hAnsi="Arial"/>
                <w:sz w:val="17"/>
                <w:szCs w:val="17"/>
                <w:color w:val="auto"/>
              </w:rPr>
              <w:t>Mortgage-backed -</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55,185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1,464</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4"/>
                <w:szCs w:val="14"/>
                <w:color w:val="auto"/>
              </w:rPr>
            </w:pPr>
          </w:p>
        </w:tc>
        <w:tc>
          <w:tcPr>
            <w:tcW w:w="3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auto"/>
              </w:rPr>
              <w:t>—</w:t>
            </w:r>
          </w:p>
        </w:tc>
        <w:tc>
          <w:tcPr>
            <w:tcW w:w="26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55,185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1,464</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1"/>
        </w:trPr>
        <w:tc>
          <w:tcPr>
            <w:tcW w:w="1680" w:type="dxa"/>
            <w:vAlign w:val="bottom"/>
          </w:tcPr>
          <w:p>
            <w:pPr>
              <w:ind w:left="300"/>
              <w:spacing w:after="0"/>
              <w:rPr>
                <w:sz w:val="20"/>
                <w:szCs w:val="20"/>
                <w:color w:val="auto"/>
              </w:rPr>
            </w:pPr>
            <w:r>
              <w:rPr>
                <w:rFonts w:ascii="Arial" w:cs="Arial" w:eastAsia="Arial" w:hAnsi="Arial"/>
                <w:sz w:val="17"/>
                <w:szCs w:val="17"/>
                <w:color w:val="auto"/>
              </w:rPr>
              <w:t>GSE residential</w:t>
            </w:r>
          </w:p>
        </w:tc>
        <w:tc>
          <w:tcPr>
            <w:tcW w:w="1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60" w:type="dxa"/>
            <w:vAlign w:val="bottom"/>
            <w:gridSpan w:val="3"/>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6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rPr>
              <w:t>Collateralized</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80" w:type="dxa"/>
            <w:vAlign w:val="bottom"/>
            <w:shd w:val="clear" w:color="auto" w:fill="CCEEFF"/>
          </w:tcPr>
          <w:p>
            <w:pPr>
              <w:ind w:left="300"/>
              <w:spacing w:after="0" w:line="169" w:lineRule="exact"/>
              <w:rPr>
                <w:sz w:val="20"/>
                <w:szCs w:val="20"/>
                <w:color w:val="auto"/>
              </w:rPr>
            </w:pPr>
            <w:r>
              <w:rPr>
                <w:rFonts w:ascii="Arial" w:cs="Arial" w:eastAsia="Arial" w:hAnsi="Arial"/>
                <w:sz w:val="17"/>
                <w:szCs w:val="17"/>
                <w:color w:val="auto"/>
              </w:rPr>
              <w:t>mortgage</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80" w:type="dxa"/>
            <w:vAlign w:val="bottom"/>
            <w:shd w:val="clear" w:color="auto" w:fill="CCEEFF"/>
          </w:tcPr>
          <w:p>
            <w:pPr>
              <w:ind w:left="300"/>
              <w:spacing w:after="0" w:line="169" w:lineRule="exact"/>
              <w:rPr>
                <w:sz w:val="20"/>
                <w:szCs w:val="20"/>
                <w:color w:val="auto"/>
              </w:rPr>
            </w:pPr>
            <w:r>
              <w:rPr>
                <w:rFonts w:ascii="Arial" w:cs="Arial" w:eastAsia="Arial" w:hAnsi="Arial"/>
                <w:sz w:val="17"/>
                <w:szCs w:val="17"/>
                <w:color w:val="auto"/>
              </w:rPr>
              <w:t>obligations - GSE</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7,591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1"/>
        </w:trPr>
        <w:tc>
          <w:tcPr>
            <w:tcW w:w="1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residential</w:t>
            </w: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680" w:type="dxa"/>
            <w:vAlign w:val="bottom"/>
          </w:tcPr>
          <w:p>
            <w:pPr>
              <w:ind w:left="140"/>
              <w:spacing w:after="0" w:line="170" w:lineRule="exact"/>
              <w:rPr>
                <w:sz w:val="20"/>
                <w:szCs w:val="20"/>
                <w:color w:val="auto"/>
              </w:rPr>
            </w:pPr>
            <w:r>
              <w:rPr>
                <w:rFonts w:ascii="Arial" w:cs="Arial" w:eastAsia="Arial" w:hAnsi="Arial"/>
                <w:sz w:val="17"/>
                <w:szCs w:val="17"/>
                <w:color w:val="auto"/>
              </w:rPr>
              <w:t>State and political</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44,008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861</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auto"/>
                <w:w w:val="94"/>
              </w:rPr>
              <w:t>24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44,032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1"/>
        </w:trPr>
        <w:tc>
          <w:tcPr>
            <w:tcW w:w="1680" w:type="dxa"/>
            <w:vAlign w:val="bottom"/>
          </w:tcPr>
          <w:p>
            <w:pPr>
              <w:ind w:left="300"/>
              <w:spacing w:after="0"/>
              <w:rPr>
                <w:sz w:val="20"/>
                <w:szCs w:val="20"/>
                <w:color w:val="auto"/>
              </w:rPr>
            </w:pPr>
            <w:r>
              <w:rPr>
                <w:rFonts w:ascii="Arial" w:cs="Arial" w:eastAsia="Arial" w:hAnsi="Arial"/>
                <w:sz w:val="17"/>
                <w:szCs w:val="17"/>
                <w:color w:val="auto"/>
              </w:rPr>
              <w:t>subdivisions</w:t>
            </w: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bonds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50"/>
        </w:trPr>
        <w:tc>
          <w:tcPr>
            <w:tcW w:w="1680" w:type="dxa"/>
            <w:vAlign w:val="bottom"/>
          </w:tcPr>
          <w:p>
            <w:pPr>
              <w:ind w:left="20"/>
              <w:spacing w:after="0" w:line="150" w:lineRule="exact"/>
              <w:rPr>
                <w:sz w:val="20"/>
                <w:szCs w:val="20"/>
                <w:color w:val="auto"/>
              </w:rPr>
            </w:pPr>
            <w:r>
              <w:rPr>
                <w:rFonts w:ascii="Arial" w:cs="Arial" w:eastAsia="Arial" w:hAnsi="Arial"/>
                <w:sz w:val="17"/>
                <w:szCs w:val="17"/>
                <w:color w:val="auto"/>
              </w:rPr>
              <w:t>Total temporarily</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110,202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2,433</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3"/>
                <w:szCs w:val="13"/>
                <w:color w:val="auto"/>
              </w:rPr>
            </w:pPr>
          </w:p>
        </w:tc>
        <w:tc>
          <w:tcPr>
            <w:tcW w:w="3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auto"/>
                <w:w w:val="94"/>
              </w:rPr>
              <w:t>24</w:t>
            </w:r>
          </w:p>
        </w:tc>
        <w:tc>
          <w:tcPr>
            <w:tcW w:w="26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110,226</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2,434</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95"/>
        </w:trPr>
        <w:tc>
          <w:tcPr>
            <w:tcW w:w="1680" w:type="dxa"/>
            <w:vAlign w:val="bottom"/>
          </w:tcPr>
          <w:p>
            <w:pPr>
              <w:ind w:left="180"/>
              <w:spacing w:after="0"/>
              <w:rPr>
                <w:sz w:val="20"/>
                <w:szCs w:val="20"/>
                <w:color w:val="auto"/>
              </w:rPr>
            </w:pPr>
            <w:r>
              <w:rPr>
                <w:rFonts w:ascii="Arial" w:cs="Arial" w:eastAsia="Arial" w:hAnsi="Arial"/>
                <w:sz w:val="17"/>
                <w:szCs w:val="17"/>
                <w:color w:val="auto"/>
              </w:rPr>
              <w:t>impaired securities</w:t>
            </w: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1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center"/>
              <w:ind w:right="900"/>
              <w:spacing w:after="0"/>
              <w:rPr>
                <w:sz w:val="20"/>
                <w:szCs w:val="20"/>
                <w:color w:val="auto"/>
              </w:rPr>
            </w:pPr>
            <w:r>
              <w:rPr>
                <w:rFonts w:ascii="Arial" w:cs="Arial" w:eastAsia="Arial" w:hAnsi="Arial"/>
                <w:sz w:val="17"/>
                <w:szCs w:val="17"/>
                <w:b w:val="1"/>
                <w:bCs w:val="1"/>
                <w:color w:val="auto"/>
                <w:w w:val="91"/>
              </w:rPr>
              <w:t>December 31, 2020</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8"/>
          </w:tcPr>
          <w:p>
            <w:pPr>
              <w:ind w:left="580"/>
              <w:spacing w:after="0"/>
              <w:rPr>
                <w:sz w:val="20"/>
                <w:szCs w:val="20"/>
                <w:color w:val="auto"/>
              </w:rPr>
            </w:pPr>
            <w:r>
              <w:rPr>
                <w:rFonts w:ascii="Arial" w:cs="Arial" w:eastAsia="Arial" w:hAnsi="Arial"/>
                <w:sz w:val="17"/>
                <w:szCs w:val="17"/>
                <w:b w:val="1"/>
                <w:bCs w:val="1"/>
                <w:color w:val="auto"/>
              </w:rPr>
              <w:t>Less than 12 Months</w:t>
            </w:r>
          </w:p>
        </w:tc>
        <w:tc>
          <w:tcPr>
            <w:tcW w:w="360" w:type="dxa"/>
            <w:vAlign w:val="bottom"/>
          </w:tcPr>
          <w:p>
            <w:pPr>
              <w:spacing w:after="0"/>
              <w:rPr>
                <w:sz w:val="18"/>
                <w:szCs w:val="18"/>
                <w:color w:val="auto"/>
              </w:rPr>
            </w:pPr>
          </w:p>
        </w:tc>
        <w:tc>
          <w:tcPr>
            <w:tcW w:w="2800" w:type="dxa"/>
            <w:vAlign w:val="bottom"/>
            <w:gridSpan w:val="9"/>
          </w:tcPr>
          <w:p>
            <w:pPr>
              <w:jc w:val="center"/>
              <w:ind w:right="460"/>
              <w:spacing w:after="0"/>
              <w:rPr>
                <w:sz w:val="20"/>
                <w:szCs w:val="20"/>
                <w:color w:val="auto"/>
              </w:rPr>
            </w:pPr>
            <w:r>
              <w:rPr>
                <w:rFonts w:ascii="Arial" w:cs="Arial" w:eastAsia="Arial" w:hAnsi="Arial"/>
                <w:sz w:val="17"/>
                <w:szCs w:val="17"/>
                <w:b w:val="1"/>
                <w:bCs w:val="1"/>
                <w:color w:val="auto"/>
                <w:w w:val="93"/>
              </w:rPr>
              <w:t>12 Months or More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000" w:type="dxa"/>
            <w:vAlign w:val="bottom"/>
            <w:gridSpan w:val="4"/>
            <w:vMerge w:val="restart"/>
          </w:tcPr>
          <w:p>
            <w:pPr>
              <w:ind w:left="40"/>
              <w:spacing w:after="0"/>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line="175" w:lineRule="exact"/>
              <w:rPr>
                <w:sz w:val="20"/>
                <w:szCs w:val="20"/>
                <w:color w:val="auto"/>
              </w:rPr>
            </w:pPr>
            <w:r>
              <w:rPr>
                <w:rFonts w:ascii="Arial" w:cs="Arial" w:eastAsia="Arial" w:hAnsi="Arial"/>
                <w:sz w:val="17"/>
                <w:szCs w:val="17"/>
                <w:b w:val="1"/>
                <w:bCs w:val="1"/>
                <w:color w:val="auto"/>
                <w:w w:val="92"/>
              </w:rPr>
              <w:t>Unrealized</w:t>
            </w:r>
          </w:p>
        </w:tc>
        <w:tc>
          <w:tcPr>
            <w:tcW w:w="1040" w:type="dxa"/>
            <w:vAlign w:val="bottom"/>
            <w:gridSpan w:val="2"/>
          </w:tcPr>
          <w:p>
            <w:pPr>
              <w:jc w:val="center"/>
              <w:ind w:right="100"/>
              <w:spacing w:after="0" w:line="175" w:lineRule="exact"/>
              <w:rPr>
                <w:sz w:val="20"/>
                <w:szCs w:val="20"/>
                <w:color w:val="auto"/>
              </w:rPr>
            </w:pPr>
            <w:r>
              <w:rPr>
                <w:rFonts w:ascii="Arial" w:cs="Arial" w:eastAsia="Arial" w:hAnsi="Arial"/>
                <w:sz w:val="17"/>
                <w:szCs w:val="17"/>
                <w:b w:val="1"/>
                <w:bCs w:val="1"/>
                <w:color w:val="auto"/>
                <w:w w:val="96"/>
              </w:rPr>
              <w:t>Number of</w:t>
            </w:r>
          </w:p>
        </w:tc>
        <w:tc>
          <w:tcPr>
            <w:tcW w:w="8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w w:val="93"/>
              </w:rPr>
              <w:t>Fair Value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240"/>
              <w:spacing w:after="0" w:line="175" w:lineRule="exact"/>
              <w:rPr>
                <w:sz w:val="20"/>
                <w:szCs w:val="20"/>
                <w:color w:val="auto"/>
              </w:rPr>
            </w:pPr>
            <w:r>
              <w:rPr>
                <w:rFonts w:ascii="Arial" w:cs="Arial" w:eastAsia="Arial" w:hAnsi="Arial"/>
                <w:sz w:val="17"/>
                <w:szCs w:val="17"/>
                <w:b w:val="1"/>
                <w:bCs w:val="1"/>
                <w:color w:val="auto"/>
                <w:w w:val="95"/>
              </w:rPr>
              <w:t>Unrealized</w:t>
            </w:r>
          </w:p>
        </w:tc>
        <w:tc>
          <w:tcPr>
            <w:tcW w:w="1020" w:type="dxa"/>
            <w:vAlign w:val="bottom"/>
            <w:gridSpan w:val="2"/>
          </w:tcPr>
          <w:p>
            <w:pPr>
              <w:jc w:val="center"/>
              <w:ind w:right="140"/>
              <w:spacing w:after="0" w:line="175" w:lineRule="exact"/>
              <w:rPr>
                <w:sz w:val="20"/>
                <w:szCs w:val="20"/>
                <w:color w:val="auto"/>
              </w:rPr>
            </w:pPr>
            <w:r>
              <w:rPr>
                <w:rFonts w:ascii="Arial" w:cs="Arial" w:eastAsia="Arial" w:hAnsi="Arial"/>
                <w:sz w:val="17"/>
                <w:szCs w:val="17"/>
                <w:b w:val="1"/>
                <w:bCs w:val="1"/>
                <w:color w:val="auto"/>
                <w:w w:val="94"/>
              </w:rPr>
              <w:t>Number of</w:t>
            </w:r>
          </w:p>
        </w:tc>
        <w:tc>
          <w:tcPr>
            <w:tcW w:w="100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rPr>
              <w:t>Fair Value</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line="175" w:lineRule="exact"/>
              <w:rPr>
                <w:sz w:val="20"/>
                <w:szCs w:val="20"/>
                <w:color w:val="auto"/>
              </w:rPr>
            </w:pPr>
            <w:r>
              <w:rPr>
                <w:rFonts w:ascii="Arial" w:cs="Arial" w:eastAsia="Arial" w:hAnsi="Arial"/>
                <w:sz w:val="17"/>
                <w:szCs w:val="17"/>
                <w:b w:val="1"/>
                <w:bCs w:val="1"/>
                <w:color w:val="auto"/>
                <w:w w:val="92"/>
              </w:rPr>
              <w:t>Unrealized</w:t>
            </w:r>
          </w:p>
        </w:tc>
        <w:tc>
          <w:tcPr>
            <w:tcW w:w="94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4"/>
              </w:rPr>
              <w:t>Number of</w:t>
            </w:r>
          </w:p>
        </w:tc>
        <w:tc>
          <w:tcPr>
            <w:tcW w:w="0" w:type="dxa"/>
            <w:vAlign w:val="bottom"/>
          </w:tcPr>
          <w:p>
            <w:pPr>
              <w:spacing w:after="0"/>
              <w:rPr>
                <w:sz w:val="1"/>
                <w:szCs w:val="1"/>
                <w:color w:val="auto"/>
              </w:rPr>
            </w:pPr>
          </w:p>
        </w:tc>
      </w:tr>
      <w:tr>
        <w:trPr>
          <w:trHeight w:val="221"/>
        </w:trPr>
        <w:tc>
          <w:tcPr>
            <w:tcW w:w="1680" w:type="dxa"/>
            <w:vAlign w:val="bottom"/>
          </w:tcPr>
          <w:p>
            <w:pPr>
              <w:spacing w:after="0"/>
              <w:rPr>
                <w:sz w:val="19"/>
                <w:szCs w:val="19"/>
                <w:color w:val="auto"/>
              </w:rPr>
            </w:pPr>
          </w:p>
        </w:tc>
        <w:tc>
          <w:tcPr>
            <w:tcW w:w="100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1"/>
              </w:rPr>
              <w:t>Losses</w:t>
            </w:r>
          </w:p>
        </w:tc>
        <w:tc>
          <w:tcPr>
            <w:tcW w:w="10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7"/>
                <w:szCs w:val="17"/>
                <w:b w:val="1"/>
                <w:bCs w:val="1"/>
                <w:color w:val="auto"/>
                <w:w w:val="88"/>
              </w:rPr>
              <w:t>Securities</w:t>
            </w:r>
          </w:p>
        </w:tc>
        <w:tc>
          <w:tcPr>
            <w:tcW w:w="82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b w:val="1"/>
                <w:bCs w:val="1"/>
                <w:color w:val="auto"/>
                <w:w w:val="85"/>
              </w:rPr>
              <w:t>Losses</w:t>
            </w:r>
          </w:p>
        </w:tc>
        <w:tc>
          <w:tcPr>
            <w:tcW w:w="10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7"/>
                <w:szCs w:val="17"/>
                <w:b w:val="1"/>
                <w:bCs w:val="1"/>
                <w:color w:val="auto"/>
                <w:w w:val="88"/>
              </w:rPr>
              <w:t>Securities</w:t>
            </w:r>
          </w:p>
        </w:tc>
        <w:tc>
          <w:tcPr>
            <w:tcW w:w="100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1"/>
              </w:rPr>
              <w:t>Losses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Securities</w:t>
            </w:r>
          </w:p>
        </w:tc>
        <w:tc>
          <w:tcPr>
            <w:tcW w:w="0" w:type="dxa"/>
            <w:vAlign w:val="bottom"/>
          </w:tcPr>
          <w:p>
            <w:pPr>
              <w:spacing w:after="0"/>
              <w:rPr>
                <w:sz w:val="1"/>
                <w:szCs w:val="1"/>
                <w:color w:val="auto"/>
              </w:rPr>
            </w:pPr>
          </w:p>
        </w:tc>
      </w:tr>
      <w:tr>
        <w:trPr>
          <w:trHeight w:val="198"/>
        </w:trPr>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8"/>
          </w:tcPr>
          <w:p>
            <w:pPr>
              <w:jc w:val="center"/>
              <w:ind w:right="900"/>
              <w:spacing w:after="0"/>
              <w:rPr>
                <w:sz w:val="20"/>
                <w:szCs w:val="20"/>
                <w:color w:val="auto"/>
              </w:rPr>
            </w:pPr>
            <w:r>
              <w:rPr>
                <w:rFonts w:ascii="Arial" w:cs="Arial" w:eastAsia="Arial" w:hAnsi="Arial"/>
                <w:sz w:val="16"/>
                <w:szCs w:val="16"/>
                <w:i w:val="1"/>
                <w:iCs w:val="1"/>
                <w:color w:val="auto"/>
                <w:w w:val="89"/>
              </w:rPr>
              <w:t>(Dollars in thousands)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80" w:type="dxa"/>
            <w:vAlign w:val="bottom"/>
            <w:gridSpan w:val="5"/>
            <w:shd w:val="clear" w:color="auto" w:fill="CCEEFF"/>
          </w:tcPr>
          <w:p>
            <w:pPr>
              <w:ind w:left="20"/>
              <w:spacing w:after="0"/>
              <w:rPr>
                <w:sz w:val="20"/>
                <w:szCs w:val="20"/>
                <w:color w:val="auto"/>
              </w:rPr>
            </w:pPr>
            <w:r>
              <w:rPr>
                <w:rFonts w:ascii="Arial" w:cs="Arial" w:eastAsia="Arial" w:hAnsi="Arial"/>
                <w:sz w:val="17"/>
                <w:szCs w:val="17"/>
                <w:b w:val="1"/>
                <w:bCs w:val="1"/>
                <w:color w:val="auto"/>
              </w:rPr>
              <w:t>Available-for-sale securities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680" w:type="dxa"/>
            <w:vAlign w:val="bottom"/>
          </w:tcPr>
          <w:p>
            <w:pPr>
              <w:ind w:left="140"/>
              <w:spacing w:after="0" w:line="170" w:lineRule="exact"/>
              <w:rPr>
                <w:sz w:val="20"/>
                <w:szCs w:val="20"/>
                <w:color w:val="auto"/>
              </w:rPr>
            </w:pPr>
            <w:r>
              <w:rPr>
                <w:rFonts w:ascii="Arial" w:cs="Arial" w:eastAsia="Arial" w:hAnsi="Arial"/>
                <w:sz w:val="17"/>
                <w:szCs w:val="17"/>
                <w:color w:val="auto"/>
              </w:rPr>
              <w:t>Mortgage-backed -</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3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auto"/>
              </w:rPr>
              <w:t>—</w:t>
            </w:r>
          </w:p>
        </w:tc>
        <w:tc>
          <w:tcPr>
            <w:tcW w:w="26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680" w:type="dxa"/>
            <w:vAlign w:val="bottom"/>
          </w:tcPr>
          <w:p>
            <w:pPr>
              <w:ind w:left="300"/>
              <w:spacing w:after="0"/>
              <w:rPr>
                <w:sz w:val="20"/>
                <w:szCs w:val="20"/>
                <w:color w:val="auto"/>
              </w:rPr>
            </w:pPr>
            <w:r>
              <w:rPr>
                <w:rFonts w:ascii="Arial" w:cs="Arial" w:eastAsia="Arial" w:hAnsi="Arial"/>
                <w:sz w:val="17"/>
                <w:szCs w:val="17"/>
                <w:color w:val="auto"/>
              </w:rPr>
              <w:t>GSE residential</w:t>
            </w:r>
          </w:p>
        </w:tc>
        <w:tc>
          <w:tcPr>
            <w:tcW w:w="180" w:type="dxa"/>
            <w:vAlign w:val="bottom"/>
            <w:vMerge w:val="continue"/>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60" w:type="dxa"/>
            <w:vAlign w:val="bottom"/>
            <w:gridSpan w:val="3"/>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6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rPr>
              <w:t>Collateralized</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80" w:type="dxa"/>
            <w:vAlign w:val="bottom"/>
            <w:shd w:val="clear" w:color="auto" w:fill="CCEEFF"/>
          </w:tcPr>
          <w:p>
            <w:pPr>
              <w:ind w:left="300"/>
              <w:spacing w:after="0" w:line="169" w:lineRule="exact"/>
              <w:rPr>
                <w:sz w:val="20"/>
                <w:szCs w:val="20"/>
                <w:color w:val="auto"/>
              </w:rPr>
            </w:pPr>
            <w:r>
              <w:rPr>
                <w:rFonts w:ascii="Arial" w:cs="Arial" w:eastAsia="Arial" w:hAnsi="Arial"/>
                <w:sz w:val="17"/>
                <w:szCs w:val="17"/>
                <w:color w:val="auto"/>
              </w:rPr>
              <w:t>mortgage</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80" w:type="dxa"/>
            <w:vAlign w:val="bottom"/>
            <w:shd w:val="clear" w:color="auto" w:fill="CCEEFF"/>
          </w:tcPr>
          <w:p>
            <w:pPr>
              <w:ind w:left="300"/>
              <w:spacing w:after="0" w:line="169" w:lineRule="exact"/>
              <w:rPr>
                <w:sz w:val="20"/>
                <w:szCs w:val="20"/>
                <w:color w:val="auto"/>
              </w:rPr>
            </w:pPr>
            <w:r>
              <w:rPr>
                <w:rFonts w:ascii="Arial" w:cs="Arial" w:eastAsia="Arial" w:hAnsi="Arial"/>
                <w:sz w:val="17"/>
                <w:szCs w:val="17"/>
                <w:color w:val="auto"/>
              </w:rPr>
              <w:t>obligations - GSE</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9,933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9,933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1"/>
        </w:trPr>
        <w:tc>
          <w:tcPr>
            <w:tcW w:w="1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residential</w:t>
            </w: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680" w:type="dxa"/>
            <w:vAlign w:val="bottom"/>
          </w:tcPr>
          <w:p>
            <w:pPr>
              <w:ind w:left="140"/>
              <w:spacing w:after="0" w:line="170" w:lineRule="exact"/>
              <w:rPr>
                <w:sz w:val="20"/>
                <w:szCs w:val="20"/>
                <w:color w:val="auto"/>
              </w:rPr>
            </w:pPr>
            <w:r>
              <w:rPr>
                <w:rFonts w:ascii="Arial" w:cs="Arial" w:eastAsia="Arial" w:hAnsi="Arial"/>
                <w:sz w:val="17"/>
                <w:szCs w:val="17"/>
                <w:color w:val="auto"/>
              </w:rPr>
              <w:t>State and political</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8,525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auto"/>
                <w:w w:val="94"/>
              </w:rPr>
              <w:t>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8,550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1"/>
        </w:trPr>
        <w:tc>
          <w:tcPr>
            <w:tcW w:w="1680" w:type="dxa"/>
            <w:vAlign w:val="bottom"/>
          </w:tcPr>
          <w:p>
            <w:pPr>
              <w:ind w:left="300"/>
              <w:spacing w:after="0"/>
              <w:rPr>
                <w:sz w:val="20"/>
                <w:szCs w:val="20"/>
                <w:color w:val="auto"/>
              </w:rPr>
            </w:pPr>
            <w:r>
              <w:rPr>
                <w:rFonts w:ascii="Arial" w:cs="Arial" w:eastAsia="Arial" w:hAnsi="Arial"/>
                <w:sz w:val="17"/>
                <w:szCs w:val="17"/>
                <w:color w:val="auto"/>
              </w:rPr>
              <w:t>subdivisions</w:t>
            </w: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bonds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0"/>
        </w:trPr>
        <w:tc>
          <w:tcPr>
            <w:tcW w:w="1680" w:type="dxa"/>
            <w:vAlign w:val="bottom"/>
          </w:tcPr>
          <w:p>
            <w:pPr>
              <w:ind w:left="20"/>
              <w:spacing w:after="0" w:line="150" w:lineRule="exact"/>
              <w:rPr>
                <w:sz w:val="20"/>
                <w:szCs w:val="20"/>
                <w:color w:val="auto"/>
              </w:rPr>
            </w:pPr>
            <w:r>
              <w:rPr>
                <w:rFonts w:ascii="Arial" w:cs="Arial" w:eastAsia="Arial" w:hAnsi="Arial"/>
                <w:sz w:val="17"/>
                <w:szCs w:val="17"/>
                <w:color w:val="auto"/>
              </w:rPr>
              <w:t>Total temporarily</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18,458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3"/>
                <w:szCs w:val="13"/>
                <w:color w:val="auto"/>
              </w:rPr>
            </w:pPr>
          </w:p>
        </w:tc>
        <w:tc>
          <w:tcPr>
            <w:tcW w:w="3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auto"/>
                <w:w w:val="94"/>
              </w:rPr>
              <w:t>25</w:t>
            </w:r>
          </w:p>
        </w:tc>
        <w:tc>
          <w:tcPr>
            <w:tcW w:w="26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18,483</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95"/>
        </w:trPr>
        <w:tc>
          <w:tcPr>
            <w:tcW w:w="1680" w:type="dxa"/>
            <w:vAlign w:val="bottom"/>
          </w:tcPr>
          <w:p>
            <w:pPr>
              <w:ind w:left="180"/>
              <w:spacing w:after="0"/>
              <w:rPr>
                <w:sz w:val="20"/>
                <w:szCs w:val="20"/>
                <w:color w:val="auto"/>
              </w:rPr>
            </w:pPr>
            <w:r>
              <w:rPr>
                <w:rFonts w:ascii="Arial" w:cs="Arial" w:eastAsia="Arial" w:hAnsi="Arial"/>
                <w:sz w:val="17"/>
                <w:szCs w:val="17"/>
                <w:color w:val="auto"/>
              </w:rPr>
              <w:t>impaired securities</w:t>
            </w: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40" w:right="140" w:firstLine="469"/>
        <w:spacing w:after="0" w:line="319" w:lineRule="auto"/>
        <w:rPr>
          <w:sz w:val="20"/>
          <w:szCs w:val="20"/>
          <w:color w:val="auto"/>
        </w:rPr>
      </w:pPr>
      <w:r>
        <w:rPr>
          <w:rFonts w:ascii="Arial" w:cs="Arial" w:eastAsia="Arial" w:hAnsi="Arial"/>
          <w:sz w:val="16"/>
          <w:szCs w:val="16"/>
          <w:color w:val="auto"/>
        </w:rPr>
        <w:t>The Company expects to recover the amortized cost basis over the term of the securities. The Company does not intend to sell the investments and it is not more likely than not the Company will be required to sell the investments before recovery of their amortized cost basis, which may be maturity.</w:t>
      </w:r>
    </w:p>
    <w:p>
      <w:pPr>
        <w:spacing w:after="0" w:line="84" w:lineRule="exact"/>
        <w:rPr>
          <w:sz w:val="20"/>
          <w:szCs w:val="20"/>
          <w:color w:val="auto"/>
        </w:rPr>
      </w:pPr>
    </w:p>
    <w:p>
      <w:pPr>
        <w:ind w:left="140" w:right="80" w:firstLine="469"/>
        <w:spacing w:after="0" w:line="266" w:lineRule="auto"/>
        <w:rPr>
          <w:sz w:val="20"/>
          <w:szCs w:val="20"/>
          <w:color w:val="auto"/>
        </w:rPr>
      </w:pPr>
      <w:r>
        <w:rPr>
          <w:rFonts w:ascii="Arial" w:cs="Arial" w:eastAsia="Arial" w:hAnsi="Arial"/>
          <w:sz w:val="17"/>
          <w:szCs w:val="17"/>
          <w:color w:val="auto"/>
        </w:rPr>
        <w:t>Gains and losses on the sale of debt securities are recorded on the trade date and are determined using the specific identification method. Gross gains of $21 thousand and $402 thousand and gross losses of $11 thousand and $9 thousand resulting from sales of available-for-sale securities were realized for the three months ended March 31, 2021 and 2020, respectively. The gross gains as of March 31, 2020, included $75 thousand related to a previously disclosed OTTI municipal security that was settled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69215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sectPr>
      </w:pPr>
    </w:p>
    <w:bookmarkStart w:id="14" w:name="page15"/>
    <w:bookmarkEnd w:id="14"/>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Equity Securities</w:t>
      </w:r>
    </w:p>
    <w:p>
      <w:pPr>
        <w:spacing w:after="0" w:line="164" w:lineRule="exact"/>
        <w:rPr>
          <w:sz w:val="20"/>
          <w:szCs w:val="20"/>
          <w:color w:val="auto"/>
        </w:rPr>
      </w:pPr>
    </w:p>
    <w:p>
      <w:pPr>
        <w:ind w:left="160" w:right="80" w:firstLine="469"/>
        <w:spacing w:after="0" w:line="319" w:lineRule="auto"/>
        <w:rPr>
          <w:sz w:val="20"/>
          <w:szCs w:val="20"/>
          <w:color w:val="auto"/>
        </w:rPr>
      </w:pPr>
      <w:r>
        <w:rPr>
          <w:rFonts w:ascii="Arial" w:cs="Arial" w:eastAsia="Arial" w:hAnsi="Arial"/>
          <w:sz w:val="16"/>
          <w:szCs w:val="16"/>
          <w:color w:val="auto"/>
        </w:rPr>
        <w:t>Equity securities consist of a $2 million investment in a Community Reinvestment Act (“CRA”) mutual fund and an $11 million privately-held security acquired in the fourth quarter of 2020 as part of a debt restructuring. Equity securities are included in “other assets” on the Consolidated Balance Sheets.</w:t>
      </w:r>
    </w:p>
    <w:p>
      <w:pPr>
        <w:spacing w:after="0" w:line="84" w:lineRule="exact"/>
        <w:rPr>
          <w:sz w:val="20"/>
          <w:szCs w:val="20"/>
          <w:color w:val="auto"/>
        </w:rPr>
      </w:pPr>
    </w:p>
    <w:p>
      <w:pPr>
        <w:ind w:left="160" w:firstLine="469"/>
        <w:spacing w:after="0" w:line="283" w:lineRule="auto"/>
        <w:rPr>
          <w:sz w:val="20"/>
          <w:szCs w:val="20"/>
          <w:color w:val="auto"/>
        </w:rPr>
      </w:pPr>
      <w:r>
        <w:rPr>
          <w:rFonts w:ascii="Arial" w:cs="Arial" w:eastAsia="Arial" w:hAnsi="Arial"/>
          <w:sz w:val="16"/>
          <w:szCs w:val="16"/>
          <w:color w:val="auto"/>
        </w:rPr>
        <w:t>The privately-held security was acquired in partial satisfaction of debts previously contracted. The Company elected a measurement alternative that allows the security to remain at cost until an impairment is identified or an observable price change for an identical or similar investment of the same issuer occurs. Impairment is recorded when there is evidence that the expected fair value of the investment has declined to below the recorded cost. No changes to the cost basis occurred during the first quarter of 2021. The Company is required to make good faith efforts to dispose of the security. The shares may be held for a maximum of five years, subject to a five-year extension that would result in a change to Tier 1 capital.</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the unrealized and realized gains and losses recognized in net income on equity securities:</w:t>
      </w:r>
    </w:p>
    <w:p>
      <w:pPr>
        <w:spacing w:after="0" w:line="46"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8500" w:type="dxa"/>
            <w:vAlign w:val="bottom"/>
          </w:tcPr>
          <w:p>
            <w:pPr>
              <w:spacing w:after="0"/>
              <w:rPr>
                <w:sz w:val="19"/>
                <w:szCs w:val="19"/>
                <w:color w:val="auto"/>
              </w:rPr>
            </w:pPr>
          </w:p>
        </w:tc>
        <w:tc>
          <w:tcPr>
            <w:tcW w:w="2240" w:type="dxa"/>
            <w:vAlign w:val="bottom"/>
            <w:gridSpan w:val="4"/>
          </w:tcPr>
          <w:p>
            <w:pPr>
              <w:jc w:val="center"/>
              <w:ind w:left="255"/>
              <w:spacing w:after="0"/>
              <w:rPr>
                <w:sz w:val="20"/>
                <w:szCs w:val="20"/>
                <w:color w:val="auto"/>
              </w:rPr>
            </w:pPr>
            <w:r>
              <w:rPr>
                <w:rFonts w:ascii="Arial" w:cs="Arial" w:eastAsia="Arial" w:hAnsi="Arial"/>
                <w:sz w:val="17"/>
                <w:szCs w:val="17"/>
                <w:b w:val="1"/>
                <w:bCs w:val="1"/>
                <w:color w:val="auto"/>
                <w:w w:val="93"/>
              </w:rPr>
              <w:t>Three Months Ended</w:t>
            </w:r>
          </w:p>
        </w:tc>
        <w:tc>
          <w:tcPr>
            <w:tcW w:w="340" w:type="dxa"/>
            <w:vAlign w:val="bottom"/>
          </w:tcPr>
          <w:p>
            <w:pPr>
              <w:spacing w:after="0"/>
              <w:rPr>
                <w:sz w:val="19"/>
                <w:szCs w:val="19"/>
                <w:color w:val="auto"/>
              </w:rPr>
            </w:pPr>
          </w:p>
        </w:tc>
      </w:tr>
      <w:tr>
        <w:trPr>
          <w:trHeight w:val="227"/>
        </w:trPr>
        <w:tc>
          <w:tcPr>
            <w:tcW w:w="85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413"/>
              <w:spacing w:after="0"/>
              <w:rPr>
                <w:sz w:val="20"/>
                <w:szCs w:val="20"/>
                <w:color w:val="auto"/>
              </w:rPr>
            </w:pPr>
            <w:r>
              <w:rPr>
                <w:rFonts w:ascii="Arial" w:cs="Arial" w:eastAsia="Arial" w:hAnsi="Arial"/>
                <w:sz w:val="17"/>
                <w:szCs w:val="17"/>
                <w:b w:val="1"/>
                <w:bCs w:val="1"/>
                <w:color w:val="auto"/>
                <w:w w:val="96"/>
              </w:rPr>
              <w:t>March 31,</w:t>
            </w:r>
          </w:p>
        </w:tc>
        <w:tc>
          <w:tcPr>
            <w:tcW w:w="340" w:type="dxa"/>
            <w:vAlign w:val="bottom"/>
            <w:tcBorders>
              <w:bottom w:val="single" w:sz="8" w:color="auto"/>
            </w:tcBorders>
          </w:tcPr>
          <w:p>
            <w:pPr>
              <w:spacing w:after="0"/>
              <w:rPr>
                <w:sz w:val="19"/>
                <w:szCs w:val="19"/>
                <w:color w:val="auto"/>
              </w:rPr>
            </w:pPr>
          </w:p>
        </w:tc>
      </w:tr>
      <w:tr>
        <w:trPr>
          <w:trHeight w:val="214"/>
        </w:trPr>
        <w:tc>
          <w:tcPr>
            <w:tcW w:w="85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8"/>
                <w:szCs w:val="18"/>
                <w:color w:val="auto"/>
              </w:rPr>
            </w:pPr>
          </w:p>
        </w:tc>
      </w:tr>
      <w:tr>
        <w:trPr>
          <w:trHeight w:val="198"/>
        </w:trPr>
        <w:tc>
          <w:tcPr>
            <w:tcW w:w="8500" w:type="dxa"/>
            <w:vAlign w:val="bottom"/>
          </w:tcPr>
          <w:p>
            <w:pPr>
              <w:spacing w:after="0"/>
              <w:rPr>
                <w:sz w:val="17"/>
                <w:szCs w:val="17"/>
                <w:color w:val="auto"/>
              </w:rPr>
            </w:pPr>
          </w:p>
        </w:tc>
        <w:tc>
          <w:tcPr>
            <w:tcW w:w="2240" w:type="dxa"/>
            <w:vAlign w:val="bottom"/>
            <w:gridSpan w:val="4"/>
          </w:tcPr>
          <w:p>
            <w:pPr>
              <w:jc w:val="center"/>
              <w:ind w:left="255"/>
              <w:spacing w:after="0"/>
              <w:rPr>
                <w:sz w:val="20"/>
                <w:szCs w:val="20"/>
                <w:color w:val="auto"/>
              </w:rPr>
            </w:pPr>
            <w:r>
              <w:rPr>
                <w:rFonts w:ascii="Arial" w:cs="Arial" w:eastAsia="Arial" w:hAnsi="Arial"/>
                <w:sz w:val="16"/>
                <w:szCs w:val="16"/>
                <w:i w:val="1"/>
                <w:iCs w:val="1"/>
                <w:color w:val="auto"/>
                <w:w w:val="91"/>
              </w:rPr>
              <w:t>(Dollars in thousands)</w:t>
            </w:r>
          </w:p>
        </w:tc>
        <w:tc>
          <w:tcPr>
            <w:tcW w:w="340" w:type="dxa"/>
            <w:vAlign w:val="bottom"/>
          </w:tcPr>
          <w:p>
            <w:pPr>
              <w:spacing w:after="0"/>
              <w:rPr>
                <w:sz w:val="17"/>
                <w:szCs w:val="17"/>
                <w:color w:val="auto"/>
              </w:rPr>
            </w:pP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gains (losses) recognized during the reporting period on equity securities</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1"/>
        </w:trPr>
        <w:tc>
          <w:tcPr>
            <w:tcW w:w="8500" w:type="dxa"/>
            <w:vAlign w:val="bottom"/>
          </w:tcPr>
          <w:p>
            <w:pPr>
              <w:ind w:left="20"/>
              <w:spacing w:after="0"/>
              <w:rPr>
                <w:sz w:val="20"/>
                <w:szCs w:val="20"/>
                <w:color w:val="auto"/>
              </w:rPr>
            </w:pPr>
            <w:r>
              <w:rPr>
                <w:rFonts w:ascii="Arial" w:cs="Arial" w:eastAsia="Arial" w:hAnsi="Arial"/>
                <w:sz w:val="17"/>
                <w:szCs w:val="17"/>
                <w:color w:val="auto"/>
              </w:rPr>
              <w:t>Less: net gains recognized during the reporting period on equity securities sold during the reporting period</w:t>
            </w:r>
          </w:p>
        </w:tc>
        <w:tc>
          <w:tcPr>
            <w:tcW w:w="860" w:type="dxa"/>
            <w:vAlign w:val="bottom"/>
          </w:tcPr>
          <w:p>
            <w:pPr>
              <w:spacing w:after="0"/>
              <w:rPr>
                <w:sz w:val="19"/>
                <w:szCs w:val="19"/>
                <w:color w:val="auto"/>
              </w:rPr>
            </w:pPr>
          </w:p>
        </w:tc>
        <w:tc>
          <w:tcPr>
            <w:tcW w:w="48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8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7"/>
              </w:rPr>
              <w:t>Unrealized gain (losses) recognized during the reporting period on equity securities still held at the reporting date</w:t>
            </w: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180" w:type="dxa"/>
            <w:vAlign w:val="bottom"/>
            <w:gridSpan w:val="2"/>
          </w:tcPr>
          <w:p>
            <w:pPr>
              <w:spacing w:after="0"/>
              <w:rPr>
                <w:sz w:val="20"/>
                <w:szCs w:val="20"/>
                <w:color w:val="auto"/>
              </w:rPr>
            </w:pPr>
            <w:r>
              <w:rPr>
                <w:rFonts w:ascii="Arial" w:cs="Arial" w:eastAsia="Arial" w:hAnsi="Arial"/>
                <w:sz w:val="21"/>
                <w:szCs w:val="21"/>
                <w:b w:val="1"/>
                <w:bCs w:val="1"/>
                <w:color w:val="auto"/>
              </w:rPr>
              <w:t>Note 4:</w:t>
            </w:r>
          </w:p>
        </w:tc>
        <w:tc>
          <w:tcPr>
            <w:tcW w:w="5420" w:type="dxa"/>
            <w:vAlign w:val="bottom"/>
          </w:tcPr>
          <w:p>
            <w:pPr>
              <w:jc w:val="right"/>
              <w:ind w:right="916"/>
              <w:spacing w:after="0"/>
              <w:rPr>
                <w:sz w:val="20"/>
                <w:szCs w:val="20"/>
                <w:color w:val="auto"/>
              </w:rPr>
            </w:pPr>
            <w:r>
              <w:rPr>
                <w:rFonts w:ascii="Arial" w:cs="Arial" w:eastAsia="Arial" w:hAnsi="Arial"/>
                <w:sz w:val="21"/>
                <w:szCs w:val="21"/>
                <w:b w:val="1"/>
                <w:bCs w:val="1"/>
                <w:color w:val="auto"/>
                <w:w w:val="91"/>
              </w:rPr>
              <w:t>Loans and Allowance for Loan Losses (“ALLL”)</w:t>
            </w:r>
          </w:p>
        </w:tc>
        <w:tc>
          <w:tcPr>
            <w:tcW w:w="3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355"/>
        </w:trPr>
        <w:tc>
          <w:tcPr>
            <w:tcW w:w="160" w:type="dxa"/>
            <w:vAlign w:val="bottom"/>
          </w:tcPr>
          <w:p>
            <w:pPr>
              <w:spacing w:after="0"/>
              <w:rPr>
                <w:sz w:val="24"/>
                <w:szCs w:val="24"/>
                <w:color w:val="auto"/>
              </w:rPr>
            </w:pPr>
          </w:p>
        </w:tc>
        <w:tc>
          <w:tcPr>
            <w:tcW w:w="6440" w:type="dxa"/>
            <w:vAlign w:val="bottom"/>
            <w:gridSpan w:val="2"/>
          </w:tcPr>
          <w:p>
            <w:pPr>
              <w:jc w:val="right"/>
              <w:ind w:right="916"/>
              <w:spacing w:after="0"/>
              <w:rPr>
                <w:sz w:val="20"/>
                <w:szCs w:val="20"/>
                <w:color w:val="auto"/>
              </w:rPr>
            </w:pPr>
            <w:r>
              <w:rPr>
                <w:rFonts w:ascii="Arial" w:cs="Arial" w:eastAsia="Arial" w:hAnsi="Arial"/>
                <w:sz w:val="17"/>
                <w:szCs w:val="17"/>
                <w:color w:val="auto"/>
              </w:rPr>
              <w:t>Categories of loans at March 31, 2021 and December 31, 2020 include:</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4"/>
        </w:trPr>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b w:val="1"/>
                <w:bCs w:val="1"/>
                <w:color w:val="auto"/>
              </w:rPr>
              <w:t>March 31, 2021</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December 31, 2020</w:t>
            </w:r>
          </w:p>
        </w:tc>
      </w:tr>
      <w:tr>
        <w:trPr>
          <w:trHeight w:val="198"/>
        </w:trPr>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00" w:type="dxa"/>
            <w:vAlign w:val="bottom"/>
            <w:gridSpan w:val="4"/>
          </w:tcPr>
          <w:p>
            <w:pPr>
              <w:jc w:val="right"/>
              <w:ind w:right="1513"/>
              <w:spacing w:after="0"/>
              <w:rPr>
                <w:sz w:val="20"/>
                <w:szCs w:val="20"/>
                <w:color w:val="auto"/>
              </w:rPr>
            </w:pPr>
            <w:r>
              <w:rPr>
                <w:rFonts w:ascii="Arial" w:cs="Arial" w:eastAsia="Arial" w:hAnsi="Arial"/>
                <w:sz w:val="16"/>
                <w:szCs w:val="16"/>
                <w:i w:val="1"/>
                <w:iCs w:val="1"/>
                <w:color w:val="auto"/>
              </w:rPr>
              <w:t>(Dollars in thousands)</w:t>
            </w:r>
          </w:p>
        </w:tc>
      </w:tr>
      <w:tr>
        <w:trPr>
          <w:trHeight w:val="224"/>
        </w:trPr>
        <w:tc>
          <w:tcPr>
            <w:tcW w:w="160" w:type="dxa"/>
            <w:vAlign w:val="bottom"/>
          </w:tcPr>
          <w:p>
            <w:pPr>
              <w:spacing w:after="0"/>
              <w:rPr>
                <w:sz w:val="19"/>
                <w:szCs w:val="19"/>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w:t>
            </w:r>
          </w:p>
        </w:tc>
        <w:tc>
          <w:tcPr>
            <w:tcW w:w="5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1,338,757</w:t>
            </w:r>
          </w:p>
        </w:tc>
      </w:tr>
      <w:tr>
        <w:trPr>
          <w:trHeight w:val="221"/>
        </w:trPr>
        <w:tc>
          <w:tcPr>
            <w:tcW w:w="16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auto"/>
              </w:rPr>
              <w:t>Energy</w:t>
            </w:r>
          </w:p>
        </w:tc>
        <w:tc>
          <w:tcPr>
            <w:tcW w:w="5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342,899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345,233</w:t>
            </w:r>
          </w:p>
        </w:tc>
      </w:tr>
      <w:tr>
        <w:trPr>
          <w:trHeight w:val="221"/>
        </w:trPr>
        <w:tc>
          <w:tcPr>
            <w:tcW w:w="160" w:type="dxa"/>
            <w:vAlign w:val="bottom"/>
          </w:tcPr>
          <w:p>
            <w:pPr>
              <w:spacing w:after="0"/>
              <w:rPr>
                <w:sz w:val="19"/>
                <w:szCs w:val="19"/>
                <w:color w:val="auto"/>
              </w:rPr>
            </w:pPr>
          </w:p>
        </w:tc>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Commercial real estate</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1,191,634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1,179,534</w:t>
            </w:r>
          </w:p>
        </w:tc>
      </w:tr>
      <w:tr>
        <w:trPr>
          <w:trHeight w:val="221"/>
        </w:trPr>
        <w:tc>
          <w:tcPr>
            <w:tcW w:w="160" w:type="dxa"/>
            <w:vAlign w:val="bottom"/>
          </w:tcPr>
          <w:p>
            <w:pPr>
              <w:spacing w:after="0"/>
              <w:rPr>
                <w:sz w:val="19"/>
                <w:szCs w:val="19"/>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Construction and land development</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617,200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563,144</w:t>
            </w:r>
          </w:p>
        </w:tc>
      </w:tr>
      <w:tr>
        <w:trPr>
          <w:trHeight w:val="221"/>
        </w:trPr>
        <w:tc>
          <w:tcPr>
            <w:tcW w:w="160" w:type="dxa"/>
            <w:vAlign w:val="bottom"/>
          </w:tcPr>
          <w:p>
            <w:pPr>
              <w:spacing w:after="0"/>
              <w:rPr>
                <w:sz w:val="19"/>
                <w:szCs w:val="19"/>
                <w:color w:val="auto"/>
              </w:rPr>
            </w:pPr>
          </w:p>
        </w:tc>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multifamily real estate</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680,932</w:t>
            </w:r>
          </w:p>
        </w:tc>
      </w:tr>
      <w:tr>
        <w:trPr>
          <w:trHeight w:val="221"/>
        </w:trPr>
        <w:tc>
          <w:tcPr>
            <w:tcW w:w="160" w:type="dxa"/>
            <w:vAlign w:val="bottom"/>
          </w:tcPr>
          <w:p>
            <w:pPr>
              <w:spacing w:after="0"/>
              <w:rPr>
                <w:sz w:val="19"/>
                <w:szCs w:val="19"/>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Paycheck Protection Program (“PPP”)</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336,355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292,230</w:t>
            </w:r>
          </w:p>
        </w:tc>
      </w:tr>
      <w:tr>
        <w:trPr>
          <w:trHeight w:val="221"/>
        </w:trPr>
        <w:tc>
          <w:tcPr>
            <w:tcW w:w="160" w:type="dxa"/>
            <w:vAlign w:val="bottom"/>
          </w:tcPr>
          <w:p>
            <w:pPr>
              <w:spacing w:after="0"/>
              <w:rPr>
                <w:sz w:val="19"/>
                <w:szCs w:val="19"/>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w:t>
            </w:r>
          </w:p>
        </w:tc>
        <w:tc>
          <w:tcPr>
            <w:tcW w:w="5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55,270</w:t>
            </w:r>
          </w:p>
        </w:tc>
      </w:tr>
      <w:tr>
        <w:trPr>
          <w:trHeight w:val="214"/>
        </w:trPr>
        <w:tc>
          <w:tcPr>
            <w:tcW w:w="16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7"/>
                <w:szCs w:val="17"/>
                <w:color w:val="auto"/>
                <w:w w:val="94"/>
              </w:rPr>
              <w:t>Gross loans</w:t>
            </w:r>
          </w:p>
        </w:tc>
        <w:tc>
          <w:tcPr>
            <w:tcW w:w="5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4,522,945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4,455,100</w:t>
            </w:r>
          </w:p>
        </w:tc>
      </w:tr>
      <w:tr>
        <w:trPr>
          <w:trHeight w:val="221"/>
        </w:trPr>
        <w:tc>
          <w:tcPr>
            <w:tcW w:w="160" w:type="dxa"/>
            <w:vAlign w:val="bottom"/>
          </w:tcPr>
          <w:p>
            <w:pPr>
              <w:spacing w:after="0"/>
              <w:rPr>
                <w:sz w:val="19"/>
                <w:szCs w:val="19"/>
                <w:color w:val="auto"/>
              </w:rPr>
            </w:pPr>
          </w:p>
        </w:tc>
        <w:tc>
          <w:tcPr>
            <w:tcW w:w="6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Allowance for loan losses</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75,295</w:t>
            </w:r>
          </w:p>
        </w:tc>
      </w:tr>
      <w:tr>
        <w:trPr>
          <w:trHeight w:val="221"/>
        </w:trPr>
        <w:tc>
          <w:tcPr>
            <w:tcW w:w="160" w:type="dxa"/>
            <w:vAlign w:val="bottom"/>
          </w:tcPr>
          <w:p>
            <w:pPr>
              <w:spacing w:after="0"/>
              <w:rPr>
                <w:sz w:val="19"/>
                <w:szCs w:val="19"/>
                <w:color w:val="auto"/>
              </w:rPr>
            </w:pPr>
          </w:p>
        </w:tc>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Net deferred loan fees and costs</w:t>
            </w:r>
          </w:p>
        </w:tc>
        <w:tc>
          <w:tcPr>
            <w:tcW w:w="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13,203</w:t>
            </w:r>
          </w:p>
        </w:tc>
      </w:tr>
      <w:tr>
        <w:trPr>
          <w:trHeight w:val="239"/>
        </w:trPr>
        <w:tc>
          <w:tcPr>
            <w:tcW w:w="160" w:type="dxa"/>
            <w:vAlign w:val="bottom"/>
          </w:tcPr>
          <w:p>
            <w:pPr>
              <w:spacing w:after="0"/>
              <w:rPr>
                <w:sz w:val="20"/>
                <w:szCs w:val="20"/>
                <w:color w:val="auto"/>
              </w:rPr>
            </w:pPr>
          </w:p>
        </w:tc>
        <w:tc>
          <w:tcPr>
            <w:tcW w:w="1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loans</w:t>
            </w:r>
          </w:p>
        </w:tc>
        <w:tc>
          <w:tcPr>
            <w:tcW w:w="5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4,434,049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4,366,602</w:t>
            </w:r>
          </w:p>
        </w:tc>
      </w:tr>
      <w:tr>
        <w:trPr>
          <w:trHeight w:val="20"/>
        </w:trPr>
        <w:tc>
          <w:tcPr>
            <w:tcW w:w="16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Allowance for Loan Losses</w:t>
      </w:r>
    </w:p>
    <w:p>
      <w:pPr>
        <w:spacing w:after="0" w:line="164" w:lineRule="exact"/>
        <w:rPr>
          <w:sz w:val="20"/>
          <w:szCs w:val="20"/>
          <w:color w:val="auto"/>
        </w:rPr>
      </w:pPr>
    </w:p>
    <w:p>
      <w:pPr>
        <w:ind w:left="160" w:right="20" w:firstLine="469"/>
        <w:spacing w:after="0" w:line="319" w:lineRule="auto"/>
        <w:rPr>
          <w:sz w:val="20"/>
          <w:szCs w:val="20"/>
          <w:color w:val="auto"/>
        </w:rPr>
      </w:pPr>
      <w:r>
        <w:rPr>
          <w:rFonts w:ascii="Arial" w:cs="Arial" w:eastAsia="Arial" w:hAnsi="Arial"/>
          <w:sz w:val="16"/>
          <w:szCs w:val="16"/>
          <w:color w:val="auto"/>
        </w:rPr>
        <w:t>The ALLL is established as losses are estimated to have occurred through a provision for loan losses charged to income. Loan losses are charged against the allowance when management believes the loan balance is not collectible. Subsequent recoveries, if any, are credited to the allowance.</w:t>
      </w:r>
    </w:p>
    <w:p>
      <w:pPr>
        <w:spacing w:after="0" w:line="84" w:lineRule="exact"/>
        <w:rPr>
          <w:sz w:val="20"/>
          <w:szCs w:val="20"/>
          <w:color w:val="auto"/>
        </w:rPr>
      </w:pPr>
    </w:p>
    <w:p>
      <w:pPr>
        <w:ind w:left="160" w:right="160" w:firstLine="469"/>
        <w:spacing w:after="0" w:line="266" w:lineRule="auto"/>
        <w:rPr>
          <w:sz w:val="20"/>
          <w:szCs w:val="20"/>
          <w:color w:val="auto"/>
        </w:rPr>
      </w:pPr>
      <w:r>
        <w:rPr>
          <w:rFonts w:ascii="Arial" w:cs="Arial" w:eastAsia="Arial" w:hAnsi="Arial"/>
          <w:sz w:val="17"/>
          <w:szCs w:val="17"/>
          <w:color w:val="auto"/>
        </w:rPr>
        <w:t>The ALLL is evaluated on a regular basis by management and is based upon management’s periodic review of its ability to collect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23" w:lineRule="exact"/>
        <w:rPr>
          <w:sz w:val="20"/>
          <w:szCs w:val="20"/>
          <w:color w:val="auto"/>
        </w:rPr>
      </w:pPr>
    </w:p>
    <w:p>
      <w:pPr>
        <w:jc w:val="both"/>
        <w:ind w:left="160" w:right="180" w:firstLine="469"/>
        <w:spacing w:after="0" w:line="271" w:lineRule="auto"/>
        <w:rPr>
          <w:sz w:val="20"/>
          <w:szCs w:val="20"/>
          <w:color w:val="auto"/>
        </w:rPr>
      </w:pPr>
      <w:r>
        <w:rPr>
          <w:rFonts w:ascii="Arial" w:cs="Arial" w:eastAsia="Arial" w:hAnsi="Arial"/>
          <w:sz w:val="17"/>
          <w:szCs w:val="17"/>
          <w:color w:val="auto"/>
        </w:rPr>
        <w:t>The ALLL consists of allocated and general components. The allocated component relates to loans that are classified as impaired. For those loans that are classified as impaired, an allowance is established when the discounted cash flows (or collateral value or observable market price) of the impaired loan is lower than the carrying value of that loan. The general component covers all loans 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4" w:lineRule="exact"/>
        <w:rPr>
          <w:sz w:val="20"/>
          <w:szCs w:val="20"/>
          <w:color w:val="auto"/>
        </w:rPr>
      </w:pPr>
    </w:p>
    <w:p>
      <w:pPr>
        <w:ind w:left="160" w:right="180"/>
        <w:spacing w:after="0" w:line="271" w:lineRule="auto"/>
        <w:rPr>
          <w:sz w:val="20"/>
          <w:szCs w:val="20"/>
          <w:color w:val="auto"/>
        </w:rPr>
      </w:pPr>
      <w:r>
        <w:rPr>
          <w:rFonts w:ascii="Arial" w:cs="Arial" w:eastAsia="Arial" w:hAnsi="Arial"/>
          <w:sz w:val="17"/>
          <w:szCs w:val="17"/>
          <w:color w:val="auto"/>
        </w:rPr>
        <w:t>accrual and is based on historical charge-off experience and expected loss given default derived from the Company’s internal risk rating process and loan categories. Other adjustments may be made to the allowance for pools of loans after an assessment of internal or external influences on credit quality that are not fully reflected in the historical loss or risk rating data.</w:t>
      </w:r>
    </w:p>
    <w:p>
      <w:pPr>
        <w:spacing w:after="0" w:line="119" w:lineRule="exact"/>
        <w:rPr>
          <w:sz w:val="20"/>
          <w:szCs w:val="20"/>
          <w:color w:val="auto"/>
        </w:rPr>
      </w:pPr>
    </w:p>
    <w:p>
      <w:pPr>
        <w:ind w:left="160" w:right="580" w:firstLine="469"/>
        <w:spacing w:after="0" w:line="286" w:lineRule="auto"/>
        <w:rPr>
          <w:sz w:val="20"/>
          <w:szCs w:val="20"/>
          <w:color w:val="auto"/>
        </w:rPr>
      </w:pPr>
      <w:r>
        <w:rPr>
          <w:rFonts w:ascii="Arial" w:cs="Arial" w:eastAsia="Arial" w:hAnsi="Arial"/>
          <w:sz w:val="17"/>
          <w:szCs w:val="17"/>
          <w:color w:val="auto"/>
        </w:rPr>
        <w:t>The Company evaluates the loan risk grading system definitions, portfolio segment definitions and ALLL methodology on an ongoing basis. No changes to loan definitions, segmentation, and ALLL methodology occurred during the first quarter of 2021.</w:t>
      </w:r>
    </w:p>
    <w:p>
      <w:pPr>
        <w:spacing w:after="0" w:line="10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tables summarize the activity in the ALLL by portfolio segment and disaggregated based on the Company’s impairment methodology.</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allocation in one portfolio segment does not preclude its availability to absorb losses in other segments: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Construction</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Residential and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2"/>
        </w:trPr>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00"/>
              <w:spacing w:after="0" w:line="182" w:lineRule="exact"/>
              <w:rPr>
                <w:sz w:val="20"/>
                <w:szCs w:val="20"/>
                <w:color w:val="auto"/>
              </w:rPr>
            </w:pPr>
            <w:r>
              <w:rPr>
                <w:rFonts w:ascii="Arial" w:cs="Arial" w:eastAsia="Arial" w:hAnsi="Arial"/>
                <w:sz w:val="16"/>
                <w:szCs w:val="16"/>
                <w:b w:val="1"/>
                <w:bCs w:val="1"/>
                <w:color w:val="auto"/>
                <w:w w:val="89"/>
              </w:rPr>
              <w:t>Commercial</w:t>
            </w:r>
          </w:p>
        </w:tc>
        <w:tc>
          <w:tcPr>
            <w:tcW w:w="120" w:type="dxa"/>
            <w:vAlign w:val="bottom"/>
          </w:tcPr>
          <w:p>
            <w:pPr>
              <w:spacing w:after="0"/>
              <w:rPr>
                <w:sz w:val="15"/>
                <w:szCs w:val="15"/>
                <w:color w:val="auto"/>
              </w:rPr>
            </w:pPr>
          </w:p>
        </w:tc>
        <w:tc>
          <w:tcPr>
            <w:tcW w:w="1120" w:type="dxa"/>
            <w:vAlign w:val="bottom"/>
            <w:gridSpan w:val="2"/>
          </w:tcPr>
          <w:p>
            <w:pPr>
              <w:jc w:val="center"/>
              <w:ind w:right="200"/>
              <w:spacing w:after="0" w:line="182" w:lineRule="exact"/>
              <w:rPr>
                <w:sz w:val="20"/>
                <w:szCs w:val="20"/>
                <w:color w:val="auto"/>
              </w:rPr>
            </w:pPr>
            <w:r>
              <w:rPr>
                <w:rFonts w:ascii="Arial" w:cs="Arial" w:eastAsia="Arial" w:hAnsi="Arial"/>
                <w:sz w:val="16"/>
                <w:szCs w:val="16"/>
                <w:b w:val="1"/>
                <w:bCs w:val="1"/>
                <w:color w:val="auto"/>
                <w:w w:val="89"/>
              </w:rPr>
              <w:t>and Land</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95"/>
              </w:rPr>
              <w:t>Multifamily</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5"/>
        </w:trPr>
        <w:tc>
          <w:tcPr>
            <w:tcW w:w="1480" w:type="dxa"/>
            <w:vAlign w:val="bottom"/>
          </w:tcPr>
          <w:p>
            <w:pPr>
              <w:spacing w:after="0"/>
              <w:rPr>
                <w:sz w:val="18"/>
                <w:szCs w:val="18"/>
                <w:color w:val="auto"/>
              </w:rPr>
            </w:pPr>
          </w:p>
        </w:tc>
        <w:tc>
          <w:tcPr>
            <w:tcW w:w="124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Commercial</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Energy</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Real Estate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Development</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Real Estate</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PPP</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Total</w:t>
            </w:r>
          </w:p>
        </w:tc>
      </w:tr>
      <w:tr>
        <w:trPr>
          <w:trHeight w:val="225"/>
        </w:trPr>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5"/>
          </w:tcPr>
          <w:p>
            <w:pPr>
              <w:ind w:left="40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4"/>
        </w:trPr>
        <w:tc>
          <w:tcPr>
            <w:tcW w:w="272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w w:val="97"/>
              </w:rPr>
              <w:t>Three months ended March 31, 2021</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5"/>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Allowance for loan losses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4"/>
        </w:trPr>
        <w:tc>
          <w:tcPr>
            <w:tcW w:w="1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75,295</w:t>
            </w:r>
          </w:p>
        </w:tc>
      </w:tr>
      <w:tr>
        <w:trPr>
          <w:trHeight w:val="198"/>
        </w:trPr>
        <w:tc>
          <w:tcPr>
            <w:tcW w:w="1480" w:type="dxa"/>
            <w:vAlign w:val="bottom"/>
          </w:tcPr>
          <w:p>
            <w:pPr>
              <w:ind w:left="100"/>
              <w:spacing w:after="0"/>
              <w:rPr>
                <w:sz w:val="20"/>
                <w:szCs w:val="20"/>
                <w:color w:val="auto"/>
              </w:rPr>
            </w:pPr>
            <w:r>
              <w:rPr>
                <w:rFonts w:ascii="Arial" w:cs="Arial" w:eastAsia="Arial" w:hAnsi="Arial"/>
                <w:sz w:val="16"/>
                <w:szCs w:val="16"/>
                <w:color w:val="auto"/>
                <w:w w:val="93"/>
              </w:rPr>
              <w:t>Provision charged to</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1480" w:type="dxa"/>
            <w:vAlign w:val="bottom"/>
          </w:tcPr>
          <w:p>
            <w:pPr>
              <w:ind w:left="180"/>
              <w:spacing w:after="0"/>
              <w:rPr>
                <w:sz w:val="20"/>
                <w:szCs w:val="20"/>
                <w:color w:val="auto"/>
              </w:rPr>
            </w:pPr>
            <w:r>
              <w:rPr>
                <w:rFonts w:ascii="Arial" w:cs="Arial" w:eastAsia="Arial" w:hAnsi="Arial"/>
                <w:sz w:val="16"/>
                <w:szCs w:val="16"/>
                <w:color w:val="auto"/>
              </w:rPr>
              <w:t>expense</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44"/>
        </w:trPr>
        <w:tc>
          <w:tcPr>
            <w:tcW w:w="1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Charge-offs</w:t>
            </w: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(8,266)</w:t>
            </w:r>
          </w:p>
        </w:tc>
      </w:tr>
      <w:tr>
        <w:trPr>
          <w:trHeight w:val="227"/>
        </w:trPr>
        <w:tc>
          <w:tcPr>
            <w:tcW w:w="14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Recoveries</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54"/>
        </w:trPr>
        <w:tc>
          <w:tcPr>
            <w:tcW w:w="1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74,551</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Construction</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Residential and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2"/>
        </w:trPr>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89"/>
              </w:rPr>
              <w:t>Commercial</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89"/>
              </w:rPr>
              <w:t>and Land</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5"/>
              </w:rPr>
              <w:t>Multifamily</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5"/>
        </w:trPr>
        <w:tc>
          <w:tcPr>
            <w:tcW w:w="1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Commercial</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Energy</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Real Estate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Development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Real Estate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PPP</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Total</w:t>
            </w:r>
          </w:p>
        </w:tc>
      </w:tr>
      <w:tr>
        <w:trPr>
          <w:trHeight w:val="225"/>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5"/>
          </w:tcPr>
          <w:p>
            <w:pPr>
              <w:ind w:left="40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4"/>
        </w:trPr>
        <w:tc>
          <w:tcPr>
            <w:tcW w:w="274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w w:val="97"/>
              </w:rPr>
              <w:t>Three months ended March 31, 2020</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5"/>
        </w:trPr>
        <w:tc>
          <w:tcPr>
            <w:tcW w:w="1660" w:type="dxa"/>
            <w:vAlign w:val="bottom"/>
            <w:gridSpan w:val="2"/>
          </w:tcPr>
          <w:p>
            <w:pPr>
              <w:ind w:left="20"/>
              <w:spacing w:after="0"/>
              <w:rPr>
                <w:sz w:val="20"/>
                <w:szCs w:val="20"/>
                <w:color w:val="auto"/>
              </w:rPr>
            </w:pPr>
            <w:r>
              <w:rPr>
                <w:rFonts w:ascii="Arial" w:cs="Arial" w:eastAsia="Arial" w:hAnsi="Arial"/>
                <w:sz w:val="16"/>
                <w:szCs w:val="16"/>
                <w:color w:val="auto"/>
                <w:w w:val="89"/>
              </w:rPr>
              <w:t>Allowance for loan losses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4"/>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35,864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8,085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56,896</w:t>
            </w:r>
          </w:p>
        </w:tc>
      </w:tr>
      <w:tr>
        <w:trPr>
          <w:trHeight w:val="198"/>
        </w:trPr>
        <w:tc>
          <w:tcPr>
            <w:tcW w:w="1520" w:type="dxa"/>
            <w:vAlign w:val="bottom"/>
          </w:tcPr>
          <w:p>
            <w:pPr>
              <w:ind w:left="100"/>
              <w:spacing w:after="0"/>
              <w:rPr>
                <w:sz w:val="20"/>
                <w:szCs w:val="20"/>
                <w:color w:val="auto"/>
              </w:rPr>
            </w:pPr>
            <w:r>
              <w:rPr>
                <w:rFonts w:ascii="Arial" w:cs="Arial" w:eastAsia="Arial" w:hAnsi="Arial"/>
                <w:sz w:val="16"/>
                <w:szCs w:val="16"/>
                <w:color w:val="auto"/>
                <w:w w:val="95"/>
              </w:rPr>
              <w:t>Provision charged to</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1520" w:type="dxa"/>
            <w:vAlign w:val="bottom"/>
          </w:tcPr>
          <w:p>
            <w:pPr>
              <w:ind w:left="180"/>
              <w:spacing w:after="0"/>
              <w:rPr>
                <w:sz w:val="20"/>
                <w:szCs w:val="20"/>
                <w:color w:val="auto"/>
              </w:rPr>
            </w:pPr>
            <w:r>
              <w:rPr>
                <w:rFonts w:ascii="Arial" w:cs="Arial" w:eastAsia="Arial" w:hAnsi="Arial"/>
                <w:sz w:val="16"/>
                <w:szCs w:val="16"/>
                <w:color w:val="auto"/>
              </w:rPr>
              <w:t>expense</w:t>
            </w:r>
          </w:p>
        </w:tc>
        <w:tc>
          <w:tcPr>
            <w:tcW w:w="1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2,141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13,950</w:t>
            </w:r>
          </w:p>
        </w:tc>
      </w:tr>
      <w:tr>
        <w:trPr>
          <w:trHeight w:val="244"/>
        </w:trPr>
        <w:tc>
          <w:tcPr>
            <w:tcW w:w="1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Charge-offs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(19,460)</w:t>
            </w:r>
          </w:p>
        </w:tc>
      </w:tr>
      <w:tr>
        <w:trPr>
          <w:trHeight w:val="227"/>
        </w:trPr>
        <w:tc>
          <w:tcPr>
            <w:tcW w:w="15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Recoveries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54"/>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21,129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12,623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51,458</w:t>
            </w: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195"/>
        </w:trPr>
        <w:tc>
          <w:tcPr>
            <w:tcW w:w="284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780" w:type="dxa"/>
            <w:vAlign w:val="bottom"/>
          </w:tcPr>
          <w:p>
            <w:pPr>
              <w:spacing w:after="0"/>
              <w:rPr>
                <w:sz w:val="16"/>
                <w:szCs w:val="16"/>
                <w:color w:val="auto"/>
              </w:rPr>
            </w:pPr>
          </w:p>
        </w:tc>
        <w:tc>
          <w:tcPr>
            <w:tcW w:w="4200" w:type="dxa"/>
            <w:vAlign w:val="bottom"/>
            <w:gridSpan w:val="3"/>
          </w:tcPr>
          <w:p>
            <w:pPr>
              <w:ind w:left="40"/>
              <w:spacing w:after="0"/>
              <w:rPr>
                <w:sz w:val="20"/>
                <w:szCs w:val="20"/>
                <w:color w:val="auto"/>
              </w:rPr>
            </w:pPr>
            <w:r>
              <w:rPr>
                <w:rFonts w:ascii="Arial" w:cs="Arial" w:eastAsia="Arial" w:hAnsi="Arial"/>
                <w:sz w:val="17"/>
                <w:szCs w:val="17"/>
                <w:color w:val="auto"/>
                <w:w w:val="98"/>
              </w:rPr>
              <w:t>Notes to Consolidated Financial Statements (unaudited)</w:t>
            </w: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760"/>
        </w:trPr>
        <w:tc>
          <w:tcPr>
            <w:tcW w:w="1240" w:type="dxa"/>
            <w:vAlign w:val="bottom"/>
            <w:tcBorders>
              <w:top w:val="single" w:sz="8" w:color="0000FF"/>
            </w:tcBorders>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Construction</w:t>
            </w:r>
          </w:p>
        </w:tc>
        <w:tc>
          <w:tcPr>
            <w:tcW w:w="1440" w:type="dxa"/>
            <w:vAlign w:val="bottom"/>
          </w:tcPr>
          <w:p>
            <w:pPr>
              <w:jc w:val="center"/>
              <w:ind w:right="62"/>
              <w:spacing w:after="0"/>
              <w:rPr>
                <w:sz w:val="20"/>
                <w:szCs w:val="20"/>
                <w:color w:val="auto"/>
              </w:rPr>
            </w:pPr>
            <w:r>
              <w:rPr>
                <w:rFonts w:ascii="Arial" w:cs="Arial" w:eastAsia="Arial" w:hAnsi="Arial"/>
                <w:sz w:val="16"/>
                <w:szCs w:val="16"/>
                <w:b w:val="1"/>
                <w:bCs w:val="1"/>
                <w:color w:val="auto"/>
                <w:w w:val="86"/>
              </w:rPr>
              <w:t>Residential and</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2"/>
        </w:trPr>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jc w:val="center"/>
              <w:ind w:left="299"/>
              <w:spacing w:after="0" w:line="182" w:lineRule="exact"/>
              <w:rPr>
                <w:sz w:val="20"/>
                <w:szCs w:val="20"/>
                <w:color w:val="auto"/>
              </w:rPr>
            </w:pPr>
            <w:r>
              <w:rPr>
                <w:rFonts w:ascii="Arial" w:cs="Arial" w:eastAsia="Arial" w:hAnsi="Arial"/>
                <w:sz w:val="16"/>
                <w:szCs w:val="16"/>
                <w:b w:val="1"/>
                <w:bCs w:val="1"/>
                <w:color w:val="auto"/>
                <w:w w:val="89"/>
              </w:rPr>
              <w:t>Commercial</w:t>
            </w:r>
          </w:p>
        </w:tc>
        <w:tc>
          <w:tcPr>
            <w:tcW w:w="12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and Land</w:t>
            </w:r>
          </w:p>
        </w:tc>
        <w:tc>
          <w:tcPr>
            <w:tcW w:w="1440" w:type="dxa"/>
            <w:vAlign w:val="bottom"/>
          </w:tcPr>
          <w:p>
            <w:pPr>
              <w:jc w:val="center"/>
              <w:ind w:right="62"/>
              <w:spacing w:after="0" w:line="182" w:lineRule="exact"/>
              <w:rPr>
                <w:sz w:val="20"/>
                <w:szCs w:val="20"/>
                <w:color w:val="auto"/>
              </w:rPr>
            </w:pPr>
            <w:r>
              <w:rPr>
                <w:rFonts w:ascii="Arial" w:cs="Arial" w:eastAsia="Arial" w:hAnsi="Arial"/>
                <w:sz w:val="16"/>
                <w:szCs w:val="16"/>
                <w:b w:val="1"/>
                <w:bCs w:val="1"/>
                <w:color w:val="auto"/>
                <w:w w:val="93"/>
              </w:rPr>
              <w:t>Multifamily</w:t>
            </w:r>
          </w:p>
        </w:tc>
        <w:tc>
          <w:tcPr>
            <w:tcW w:w="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1240" w:type="dxa"/>
            <w:vAlign w:val="bottom"/>
          </w:tcPr>
          <w:p>
            <w:pPr>
              <w:spacing w:after="0"/>
              <w:rPr>
                <w:sz w:val="17"/>
                <w:szCs w:val="17"/>
                <w:color w:val="auto"/>
              </w:rPr>
            </w:pPr>
          </w:p>
        </w:tc>
        <w:tc>
          <w:tcPr>
            <w:tcW w:w="1600" w:type="dxa"/>
            <w:vAlign w:val="bottom"/>
          </w:tcPr>
          <w:p>
            <w:pPr>
              <w:ind w:left="500"/>
              <w:spacing w:after="0"/>
              <w:rPr>
                <w:sz w:val="20"/>
                <w:szCs w:val="20"/>
                <w:color w:val="auto"/>
              </w:rPr>
            </w:pPr>
            <w:r>
              <w:rPr>
                <w:rFonts w:ascii="Arial" w:cs="Arial" w:eastAsia="Arial" w:hAnsi="Arial"/>
                <w:sz w:val="16"/>
                <w:szCs w:val="16"/>
                <w:b w:val="1"/>
                <w:bCs w:val="1"/>
                <w:color w:val="auto"/>
              </w:rPr>
              <w:t>Commercial</w:t>
            </w:r>
          </w:p>
        </w:tc>
        <w:tc>
          <w:tcPr>
            <w:tcW w:w="780" w:type="dxa"/>
            <w:vAlign w:val="bottom"/>
          </w:tcPr>
          <w:p>
            <w:pPr>
              <w:ind w:left="280"/>
              <w:spacing w:after="0"/>
              <w:rPr>
                <w:sz w:val="20"/>
                <w:szCs w:val="20"/>
                <w:color w:val="auto"/>
              </w:rPr>
            </w:pPr>
            <w:r>
              <w:rPr>
                <w:rFonts w:ascii="Arial" w:cs="Arial" w:eastAsia="Arial" w:hAnsi="Arial"/>
                <w:sz w:val="16"/>
                <w:szCs w:val="16"/>
                <w:b w:val="1"/>
                <w:bCs w:val="1"/>
                <w:color w:val="auto"/>
                <w:w w:val="88"/>
              </w:rPr>
              <w:t>Energy</w:t>
            </w:r>
          </w:p>
        </w:tc>
        <w:tc>
          <w:tcPr>
            <w:tcW w:w="156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Real Estate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Development</w:t>
            </w:r>
          </w:p>
        </w:tc>
        <w:tc>
          <w:tcPr>
            <w:tcW w:w="1440" w:type="dxa"/>
            <w:vAlign w:val="bottom"/>
          </w:tcPr>
          <w:p>
            <w:pPr>
              <w:jc w:val="center"/>
              <w:ind w:right="42"/>
              <w:spacing w:after="0"/>
              <w:rPr>
                <w:sz w:val="20"/>
                <w:szCs w:val="20"/>
                <w:color w:val="auto"/>
              </w:rPr>
            </w:pPr>
            <w:r>
              <w:rPr>
                <w:rFonts w:ascii="Arial" w:cs="Arial" w:eastAsia="Arial" w:hAnsi="Arial"/>
                <w:sz w:val="16"/>
                <w:szCs w:val="16"/>
                <w:b w:val="1"/>
                <w:bCs w:val="1"/>
                <w:color w:val="auto"/>
                <w:w w:val="88"/>
              </w:rPr>
              <w:t>Real Estate</w:t>
            </w: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PPP</w:t>
            </w:r>
          </w:p>
        </w:tc>
        <w:tc>
          <w:tcPr>
            <w:tcW w:w="1400" w:type="dxa"/>
            <w:vAlign w:val="bottom"/>
          </w:tcPr>
          <w:p>
            <w:pPr>
              <w:ind w:left="360"/>
              <w:spacing w:after="0"/>
              <w:rPr>
                <w:sz w:val="20"/>
                <w:szCs w:val="20"/>
                <w:color w:val="auto"/>
              </w:rPr>
            </w:pPr>
            <w:r>
              <w:rPr>
                <w:rFonts w:ascii="Arial" w:cs="Arial" w:eastAsia="Arial" w:hAnsi="Arial"/>
                <w:sz w:val="16"/>
                <w:szCs w:val="16"/>
                <w:b w:val="1"/>
                <w:bCs w:val="1"/>
                <w:color w:val="auto"/>
              </w:rPr>
              <w:t>Consumer</w:t>
            </w:r>
          </w:p>
        </w:tc>
        <w:tc>
          <w:tcPr>
            <w:tcW w:w="700" w:type="dxa"/>
            <w:vAlign w:val="bottom"/>
          </w:tcPr>
          <w:p>
            <w:pPr>
              <w:ind w:left="360"/>
              <w:spacing w:after="0"/>
              <w:rPr>
                <w:sz w:val="20"/>
                <w:szCs w:val="20"/>
                <w:color w:val="auto"/>
              </w:rPr>
            </w:pPr>
            <w:r>
              <w:rPr>
                <w:rFonts w:ascii="Arial" w:cs="Arial" w:eastAsia="Arial" w:hAnsi="Arial"/>
                <w:sz w:val="16"/>
                <w:szCs w:val="16"/>
                <w:b w:val="1"/>
                <w:bCs w:val="1"/>
                <w:color w:val="auto"/>
                <w:w w:val="83"/>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1019810</wp:posOffset>
            </wp:positionH>
            <wp:positionV relativeFrom="paragraph">
              <wp:posOffset>12065</wp:posOffset>
            </wp:positionV>
            <wp:extent cx="6120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0130" cy="8255"/>
                    </a:xfrm>
                    <a:prstGeom prst="rect">
                      <a:avLst/>
                    </a:prstGeom>
                    <a:noFill/>
                  </pic:spPr>
                </pic:pic>
              </a:graphicData>
            </a:graphic>
          </wp:anchor>
        </w:drawing>
      </w:r>
    </w:p>
    <w:p>
      <w:pPr>
        <w:spacing w:after="0" w:line="28" w:lineRule="exact"/>
        <w:rPr>
          <w:sz w:val="20"/>
          <w:szCs w:val="20"/>
          <w:color w:val="auto"/>
        </w:rPr>
      </w:pPr>
    </w:p>
    <w:p>
      <w:pPr>
        <w:jc w:val="right"/>
        <w:ind w:right="410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37400" cy="148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2021</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Period end allowance for loan losses allocated to:</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Individually evaluated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 impairment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8,760</w:t>
            </w:r>
          </w:p>
        </w:tc>
        <w:tc>
          <w:tcPr>
            <w:tcW w:w="0" w:type="dxa"/>
            <w:vAlign w:val="bottom"/>
          </w:tcPr>
          <w:p>
            <w:pPr>
              <w:spacing w:after="0"/>
              <w:rPr>
                <w:sz w:val="1"/>
                <w:szCs w:val="1"/>
                <w:color w:val="auto"/>
              </w:rPr>
            </w:pPr>
          </w:p>
        </w:tc>
      </w:tr>
      <w:tr>
        <w:trPr>
          <w:trHeight w:val="178"/>
        </w:trPr>
        <w:tc>
          <w:tcPr>
            <w:tcW w:w="1600" w:type="dxa"/>
            <w:vAlign w:val="bottom"/>
          </w:tcPr>
          <w:p>
            <w:pPr>
              <w:ind w:left="100"/>
              <w:spacing w:after="0" w:line="178" w:lineRule="exact"/>
              <w:rPr>
                <w:sz w:val="20"/>
                <w:szCs w:val="20"/>
                <w:color w:val="auto"/>
              </w:rPr>
            </w:pPr>
            <w:r>
              <w:rPr>
                <w:rFonts w:ascii="Arial" w:cs="Arial" w:eastAsia="Arial" w:hAnsi="Arial"/>
                <w:sz w:val="16"/>
                <w:szCs w:val="16"/>
                <w:color w:val="auto"/>
                <w:w w:val="95"/>
              </w:rPr>
              <w:t>Collectively evaluated</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6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 impairment</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65,791</w:t>
            </w:r>
          </w:p>
        </w:tc>
        <w:tc>
          <w:tcPr>
            <w:tcW w:w="0" w:type="dxa"/>
            <w:vAlign w:val="bottom"/>
          </w:tcPr>
          <w:p>
            <w:pPr>
              <w:spacing w:after="0"/>
              <w:rPr>
                <w:sz w:val="1"/>
                <w:szCs w:val="1"/>
                <w:color w:val="auto"/>
              </w:rPr>
            </w:pPr>
          </w:p>
        </w:tc>
      </w:tr>
      <w:tr>
        <w:trPr>
          <w:trHeight w:val="228"/>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74,551</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 loans: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6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Individually evaluated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 impairment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109,073</w:t>
            </w:r>
          </w:p>
        </w:tc>
        <w:tc>
          <w:tcPr>
            <w:tcW w:w="0" w:type="dxa"/>
            <w:vAlign w:val="bottom"/>
          </w:tcPr>
          <w:p>
            <w:pPr>
              <w:spacing w:after="0"/>
              <w:rPr>
                <w:sz w:val="1"/>
                <w:szCs w:val="1"/>
                <w:color w:val="auto"/>
              </w:rPr>
            </w:pPr>
          </w:p>
        </w:tc>
      </w:tr>
      <w:tr>
        <w:trPr>
          <w:trHeight w:val="178"/>
        </w:trPr>
        <w:tc>
          <w:tcPr>
            <w:tcW w:w="1600" w:type="dxa"/>
            <w:vAlign w:val="bottom"/>
          </w:tcPr>
          <w:p>
            <w:pPr>
              <w:ind w:left="100"/>
              <w:spacing w:after="0" w:line="178" w:lineRule="exact"/>
              <w:rPr>
                <w:sz w:val="20"/>
                <w:szCs w:val="20"/>
                <w:color w:val="auto"/>
              </w:rPr>
            </w:pPr>
            <w:r>
              <w:rPr>
                <w:rFonts w:ascii="Arial" w:cs="Arial" w:eastAsia="Arial" w:hAnsi="Arial"/>
                <w:sz w:val="16"/>
                <w:szCs w:val="16"/>
                <w:color w:val="auto"/>
                <w:w w:val="95"/>
              </w:rPr>
              <w:t>Collectively evaluated</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6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 impairment</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1,244,760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1,155,606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617,200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681,591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336,355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4,413,872</w:t>
            </w:r>
          </w:p>
        </w:tc>
        <w:tc>
          <w:tcPr>
            <w:tcW w:w="0" w:type="dxa"/>
            <w:vAlign w:val="bottom"/>
          </w:tcPr>
          <w:p>
            <w:pPr>
              <w:spacing w:after="0"/>
              <w:rPr>
                <w:sz w:val="1"/>
                <w:szCs w:val="1"/>
                <w:color w:val="auto"/>
              </w:rPr>
            </w:pPr>
          </w:p>
        </w:tc>
      </w:tr>
      <w:tr>
        <w:trPr>
          <w:trHeight w:val="259"/>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1,284,047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342,899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1,191,634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617,200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687,893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336,355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4,522,945</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Construction</w:t>
            </w:r>
          </w:p>
        </w:tc>
        <w:tc>
          <w:tcPr>
            <w:tcW w:w="1440" w:type="dxa"/>
            <w:vAlign w:val="bottom"/>
          </w:tcPr>
          <w:p>
            <w:pPr>
              <w:jc w:val="center"/>
              <w:ind w:right="82"/>
              <w:spacing w:after="0"/>
              <w:rPr>
                <w:sz w:val="20"/>
                <w:szCs w:val="20"/>
                <w:color w:val="auto"/>
              </w:rPr>
            </w:pPr>
            <w:r>
              <w:rPr>
                <w:rFonts w:ascii="Arial" w:cs="Arial" w:eastAsia="Arial" w:hAnsi="Arial"/>
                <w:sz w:val="16"/>
                <w:szCs w:val="16"/>
                <w:b w:val="1"/>
                <w:bCs w:val="1"/>
                <w:color w:val="auto"/>
                <w:w w:val="87"/>
              </w:rPr>
              <w:t>Residential and</w:t>
            </w: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2"/>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jc w:val="center"/>
              <w:ind w:left="2"/>
              <w:spacing w:after="0" w:line="182" w:lineRule="exact"/>
              <w:rPr>
                <w:sz w:val="20"/>
                <w:szCs w:val="20"/>
                <w:color w:val="auto"/>
              </w:rPr>
            </w:pPr>
            <w:r>
              <w:rPr>
                <w:rFonts w:ascii="Arial" w:cs="Arial" w:eastAsia="Arial" w:hAnsi="Arial"/>
                <w:sz w:val="16"/>
                <w:szCs w:val="16"/>
                <w:b w:val="1"/>
                <w:bCs w:val="1"/>
                <w:color w:val="auto"/>
                <w:w w:val="89"/>
              </w:rPr>
              <w:t>Commercial</w:t>
            </w:r>
          </w:p>
        </w:tc>
        <w:tc>
          <w:tcPr>
            <w:tcW w:w="12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and Land</w:t>
            </w:r>
          </w:p>
        </w:tc>
        <w:tc>
          <w:tcPr>
            <w:tcW w:w="1440" w:type="dxa"/>
            <w:vAlign w:val="bottom"/>
          </w:tcPr>
          <w:p>
            <w:pPr>
              <w:jc w:val="center"/>
              <w:ind w:right="82"/>
              <w:spacing w:after="0" w:line="182" w:lineRule="exact"/>
              <w:rPr>
                <w:sz w:val="20"/>
                <w:szCs w:val="20"/>
                <w:color w:val="auto"/>
              </w:rPr>
            </w:pPr>
            <w:r>
              <w:rPr>
                <w:rFonts w:ascii="Arial" w:cs="Arial" w:eastAsia="Arial" w:hAnsi="Arial"/>
                <w:sz w:val="16"/>
                <w:szCs w:val="16"/>
                <w:b w:val="1"/>
                <w:bCs w:val="1"/>
                <w:color w:val="auto"/>
                <w:w w:val="95"/>
              </w:rPr>
              <w:t>Multifamily</w:t>
            </w: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1120" w:type="dxa"/>
            <w:vAlign w:val="bottom"/>
          </w:tcPr>
          <w:p>
            <w:pPr>
              <w:spacing w:after="0"/>
              <w:rPr>
                <w:sz w:val="20"/>
                <w:szCs w:val="20"/>
                <w:color w:val="auto"/>
              </w:rPr>
            </w:pPr>
            <w:r>
              <w:rPr>
                <w:rFonts w:ascii="Arial" w:cs="Arial" w:eastAsia="Arial" w:hAnsi="Arial"/>
                <w:sz w:val="16"/>
                <w:szCs w:val="16"/>
                <w:b w:val="1"/>
                <w:bCs w:val="1"/>
                <w:color w:val="auto"/>
              </w:rPr>
              <w:t>Commercial</w:t>
            </w:r>
          </w:p>
        </w:tc>
        <w:tc>
          <w:tcPr>
            <w:tcW w:w="1040" w:type="dxa"/>
            <w:vAlign w:val="bottom"/>
          </w:tcPr>
          <w:p>
            <w:pPr>
              <w:ind w:left="280"/>
              <w:spacing w:after="0"/>
              <w:rPr>
                <w:sz w:val="20"/>
                <w:szCs w:val="20"/>
                <w:color w:val="auto"/>
              </w:rPr>
            </w:pPr>
            <w:r>
              <w:rPr>
                <w:rFonts w:ascii="Arial" w:cs="Arial" w:eastAsia="Arial" w:hAnsi="Arial"/>
                <w:sz w:val="16"/>
                <w:szCs w:val="16"/>
                <w:b w:val="1"/>
                <w:bCs w:val="1"/>
                <w:color w:val="auto"/>
              </w:rPr>
              <w:t>Energy</w:t>
            </w:r>
          </w:p>
        </w:tc>
        <w:tc>
          <w:tcPr>
            <w:tcW w:w="1300" w:type="dxa"/>
            <w:vAlign w:val="bottom"/>
          </w:tcPr>
          <w:p>
            <w:pPr>
              <w:jc w:val="center"/>
              <w:ind w:left="22"/>
              <w:spacing w:after="0"/>
              <w:rPr>
                <w:sz w:val="20"/>
                <w:szCs w:val="20"/>
                <w:color w:val="auto"/>
              </w:rPr>
            </w:pPr>
            <w:r>
              <w:rPr>
                <w:rFonts w:ascii="Arial" w:cs="Arial" w:eastAsia="Arial" w:hAnsi="Arial"/>
                <w:sz w:val="16"/>
                <w:szCs w:val="16"/>
                <w:b w:val="1"/>
                <w:bCs w:val="1"/>
                <w:color w:val="auto"/>
                <w:w w:val="88"/>
              </w:rPr>
              <w:t>Real Estate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Development</w:t>
            </w:r>
          </w:p>
        </w:tc>
        <w:tc>
          <w:tcPr>
            <w:tcW w:w="1440" w:type="dxa"/>
            <w:vAlign w:val="bottom"/>
          </w:tcPr>
          <w:p>
            <w:pPr>
              <w:jc w:val="center"/>
              <w:ind w:right="82"/>
              <w:spacing w:after="0"/>
              <w:rPr>
                <w:sz w:val="20"/>
                <w:szCs w:val="20"/>
                <w:color w:val="auto"/>
              </w:rPr>
            </w:pPr>
            <w:r>
              <w:rPr>
                <w:rFonts w:ascii="Arial" w:cs="Arial" w:eastAsia="Arial" w:hAnsi="Arial"/>
                <w:sz w:val="16"/>
                <w:szCs w:val="16"/>
                <w:b w:val="1"/>
                <w:bCs w:val="1"/>
                <w:color w:val="auto"/>
                <w:w w:val="88"/>
              </w:rPr>
              <w:t>Real Estate</w:t>
            </w: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PPP</w:t>
            </w:r>
          </w:p>
        </w:tc>
        <w:tc>
          <w:tcPr>
            <w:tcW w:w="1420" w:type="dxa"/>
            <w:vAlign w:val="bottom"/>
          </w:tcPr>
          <w:p>
            <w:pPr>
              <w:ind w:left="380"/>
              <w:spacing w:after="0"/>
              <w:rPr>
                <w:sz w:val="20"/>
                <w:szCs w:val="20"/>
                <w:color w:val="auto"/>
              </w:rPr>
            </w:pPr>
            <w:r>
              <w:rPr>
                <w:rFonts w:ascii="Arial" w:cs="Arial" w:eastAsia="Arial" w:hAnsi="Arial"/>
                <w:sz w:val="16"/>
                <w:szCs w:val="16"/>
                <w:b w:val="1"/>
                <w:bCs w:val="1"/>
                <w:color w:val="auto"/>
              </w:rPr>
              <w:t>Consumer</w:t>
            </w:r>
          </w:p>
        </w:tc>
        <w:tc>
          <w:tcPr>
            <w:tcW w:w="700" w:type="dxa"/>
            <w:vAlign w:val="bottom"/>
          </w:tcPr>
          <w:p>
            <w:pPr>
              <w:ind w:left="360"/>
              <w:spacing w:after="0"/>
              <w:rPr>
                <w:sz w:val="20"/>
                <w:szCs w:val="20"/>
                <w:color w:val="auto"/>
              </w:rPr>
            </w:pPr>
            <w:r>
              <w:rPr>
                <w:rFonts w:ascii="Arial" w:cs="Arial" w:eastAsia="Arial" w:hAnsi="Arial"/>
                <w:sz w:val="16"/>
                <w:szCs w:val="16"/>
                <w:b w:val="1"/>
                <w:bCs w:val="1"/>
                <w:color w:val="auto"/>
                <w:w w:val="83"/>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12065</wp:posOffset>
            </wp:positionV>
            <wp:extent cx="61366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line="28" w:lineRule="exact"/>
        <w:rPr>
          <w:sz w:val="20"/>
          <w:szCs w:val="20"/>
          <w:color w:val="auto"/>
        </w:rPr>
      </w:pPr>
    </w:p>
    <w:p>
      <w:pPr>
        <w:ind w:left="570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37400" cy="148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Period end allowance for loan losses allocated to:</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Individually evaluated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 impairment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9,533</w:t>
            </w:r>
          </w:p>
        </w:tc>
        <w:tc>
          <w:tcPr>
            <w:tcW w:w="0" w:type="dxa"/>
            <w:vAlign w:val="bottom"/>
          </w:tcPr>
          <w:p>
            <w:pPr>
              <w:spacing w:after="0"/>
              <w:rPr>
                <w:sz w:val="1"/>
                <w:szCs w:val="1"/>
                <w:color w:val="auto"/>
              </w:rPr>
            </w:pPr>
          </w:p>
        </w:tc>
      </w:tr>
      <w:tr>
        <w:trPr>
          <w:trHeight w:val="178"/>
        </w:trPr>
        <w:tc>
          <w:tcPr>
            <w:tcW w:w="1580" w:type="dxa"/>
            <w:vAlign w:val="bottom"/>
          </w:tcPr>
          <w:p>
            <w:pPr>
              <w:ind w:left="100"/>
              <w:spacing w:after="0" w:line="178" w:lineRule="exact"/>
              <w:rPr>
                <w:sz w:val="20"/>
                <w:szCs w:val="20"/>
                <w:color w:val="auto"/>
              </w:rPr>
            </w:pPr>
            <w:r>
              <w:rPr>
                <w:rFonts w:ascii="Arial" w:cs="Arial" w:eastAsia="Arial" w:hAnsi="Arial"/>
                <w:sz w:val="16"/>
                <w:szCs w:val="16"/>
                <w:color w:val="auto"/>
                <w:w w:val="94"/>
              </w:rPr>
              <w:t>Collectively evaluated</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 impairment</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14,971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65,762</w:t>
            </w:r>
          </w:p>
        </w:tc>
        <w:tc>
          <w:tcPr>
            <w:tcW w:w="0" w:type="dxa"/>
            <w:vAlign w:val="bottom"/>
          </w:tcPr>
          <w:p>
            <w:pPr>
              <w:spacing w:after="0"/>
              <w:rPr>
                <w:sz w:val="1"/>
                <w:szCs w:val="1"/>
                <w:color w:val="auto"/>
              </w:rPr>
            </w:pPr>
          </w:p>
        </w:tc>
      </w:tr>
      <w:tr>
        <w:trPr>
          <w:trHeight w:val="254"/>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18,341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75,295</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 loans: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5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Individually evaluated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 impairment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26,045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121,614</w:t>
            </w:r>
          </w:p>
        </w:tc>
        <w:tc>
          <w:tcPr>
            <w:tcW w:w="0" w:type="dxa"/>
            <w:vAlign w:val="bottom"/>
          </w:tcPr>
          <w:p>
            <w:pPr>
              <w:spacing w:after="0"/>
              <w:rPr>
                <w:sz w:val="1"/>
                <w:szCs w:val="1"/>
                <w:color w:val="auto"/>
              </w:rPr>
            </w:pPr>
          </w:p>
        </w:tc>
      </w:tr>
      <w:tr>
        <w:trPr>
          <w:trHeight w:val="178"/>
        </w:trPr>
        <w:tc>
          <w:tcPr>
            <w:tcW w:w="1580" w:type="dxa"/>
            <w:vAlign w:val="bottom"/>
          </w:tcPr>
          <w:p>
            <w:pPr>
              <w:ind w:left="100"/>
              <w:spacing w:after="0" w:line="178" w:lineRule="exact"/>
              <w:rPr>
                <w:sz w:val="20"/>
                <w:szCs w:val="20"/>
                <w:color w:val="auto"/>
              </w:rPr>
            </w:pPr>
            <w:r>
              <w:rPr>
                <w:rFonts w:ascii="Arial" w:cs="Arial" w:eastAsia="Arial" w:hAnsi="Arial"/>
                <w:sz w:val="16"/>
                <w:szCs w:val="16"/>
                <w:color w:val="auto"/>
                <w:w w:val="94"/>
              </w:rPr>
              <w:t>Collectively evaluated</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 impairment</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1,294,079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319,188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1,135,216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563,144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674,603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4,333,486</w:t>
            </w:r>
          </w:p>
        </w:tc>
        <w:tc>
          <w:tcPr>
            <w:tcW w:w="0" w:type="dxa"/>
            <w:vAlign w:val="bottom"/>
          </w:tcPr>
          <w:p>
            <w:pPr>
              <w:spacing w:after="0"/>
              <w:rPr>
                <w:sz w:val="1"/>
                <w:szCs w:val="1"/>
                <w:color w:val="auto"/>
              </w:rPr>
            </w:pPr>
          </w:p>
        </w:tc>
      </w:tr>
      <w:tr>
        <w:trPr>
          <w:trHeight w:val="25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1,338,757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345,233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1,179,534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563,144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680,932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292,230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4,455,100</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65" w:right="339" w:bottom="1440" w:gutter="0" w:footer="0" w:header="0"/>
        </w:sectPr>
      </w:pPr>
    </w:p>
    <w:bookmarkStart w:id="17" w:name="page18"/>
    <w:bookmarkEnd w:id="17"/>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Credit Risk Profile</w:t>
      </w:r>
    </w:p>
    <w:p>
      <w:pPr>
        <w:spacing w:after="0" w:line="164" w:lineRule="exact"/>
        <w:rPr>
          <w:sz w:val="20"/>
          <w:szCs w:val="20"/>
          <w:color w:val="auto"/>
        </w:rPr>
      </w:pPr>
    </w:p>
    <w:p>
      <w:pPr>
        <w:ind w:left="160" w:right="720" w:firstLine="469"/>
        <w:spacing w:after="0" w:line="286" w:lineRule="auto"/>
        <w:rPr>
          <w:sz w:val="20"/>
          <w:szCs w:val="20"/>
          <w:color w:val="auto"/>
        </w:rPr>
      </w:pPr>
      <w:r>
        <w:rPr>
          <w:rFonts w:ascii="Arial" w:cs="Arial" w:eastAsia="Arial" w:hAnsi="Arial"/>
          <w:sz w:val="17"/>
          <w:szCs w:val="17"/>
          <w:color w:val="auto"/>
        </w:rPr>
        <w:t>The Company analyzes its loan portfolio based on internal rating categories (grades 1 - 8), portfolio segmentation and payment activity. These categories are utilized to develop the associated ALLL. A description of the loan grades and segments follows: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Loan Grades</w:t>
      </w:r>
    </w:p>
    <w:p>
      <w:pPr>
        <w:spacing w:after="0" w:line="163" w:lineRule="exact"/>
        <w:rPr>
          <w:sz w:val="20"/>
          <w:szCs w:val="20"/>
          <w:color w:val="auto"/>
        </w:rPr>
      </w:pPr>
    </w:p>
    <w:p>
      <w:pPr>
        <w:ind w:left="1260" w:right="140" w:hanging="631"/>
        <w:spacing w:after="0" w:line="299" w:lineRule="auto"/>
        <w:tabs>
          <w:tab w:leader="none" w:pos="1256"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Pass (risk rating 1-4) </w:t>
      </w:r>
      <w:r>
        <w:rPr>
          <w:rFonts w:ascii="Arial" w:cs="Arial" w:eastAsia="Arial" w:hAnsi="Arial"/>
          <w:sz w:val="16"/>
          <w:szCs w:val="16"/>
          <w:color w:val="auto"/>
        </w:rPr>
        <w:t>- The category includes loans that are considered satisfactory. The category includes borrowers that generally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good liquidity and financial condition or the credit is currently protected with sales trends remaining flat or declining. Most ratios compare favorably with industry norms and Company policies. Debt is programmed and timely repayment is expected.</w:t>
      </w:r>
    </w:p>
    <w:p>
      <w:pPr>
        <w:spacing w:after="0" w:line="41" w:lineRule="exact"/>
        <w:rPr>
          <w:rFonts w:ascii="Arial" w:cs="Arial" w:eastAsia="Arial" w:hAnsi="Arial"/>
          <w:sz w:val="16"/>
          <w:szCs w:val="16"/>
          <w:color w:val="auto"/>
        </w:rPr>
      </w:pPr>
    </w:p>
    <w:p>
      <w:pPr>
        <w:ind w:left="1260" w:right="220" w:hanging="631"/>
        <w:spacing w:after="0" w:line="265" w:lineRule="auto"/>
        <w:tabs>
          <w:tab w:leader="none" w:pos="1256"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Special Mention (risk rating 5) </w:t>
      </w:r>
      <w:r>
        <w:rPr>
          <w:rFonts w:ascii="Arial" w:cs="Arial" w:eastAsia="Arial" w:hAnsi="Arial"/>
          <w:sz w:val="17"/>
          <w:szCs w:val="17"/>
          <w:color w:val="auto"/>
        </w:rPr>
        <w:t>- The category includes borrowers that generally exhibit adverse trends in operations or an imbalanced</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 in their balance sheet that has not reached a point where repayment is jeopardized. Credits are currently protected but, if left uncorrected, the potential weaknesses may result in deterioration of the repayment prospects for the credit or in the Company’s credit or lien position at a future date. These credits are not adversely classified and do not expose the Company to enough risk to warrant adverse classification.</w:t>
      </w:r>
    </w:p>
    <w:p>
      <w:pPr>
        <w:spacing w:after="0" w:line="66" w:lineRule="exact"/>
        <w:rPr>
          <w:rFonts w:ascii="Arial" w:cs="Arial" w:eastAsia="Arial" w:hAnsi="Arial"/>
          <w:sz w:val="17"/>
          <w:szCs w:val="17"/>
          <w:color w:val="auto"/>
        </w:rPr>
      </w:pPr>
    </w:p>
    <w:p>
      <w:pPr>
        <w:ind w:left="1260" w:right="220" w:hanging="631"/>
        <w:spacing w:after="0" w:line="265" w:lineRule="auto"/>
        <w:tabs>
          <w:tab w:leader="none" w:pos="1256"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Substandard (risk rating 6) </w:t>
      </w:r>
      <w:r>
        <w:rPr>
          <w:rFonts w:ascii="Arial" w:cs="Arial" w:eastAsia="Arial" w:hAnsi="Arial"/>
          <w:sz w:val="17"/>
          <w:szCs w:val="17"/>
          <w:color w:val="auto"/>
        </w:rPr>
        <w:t>- The category includes borrowers that generally exhibit well-defined weakness(es) that jeopardize repayment.</w:t>
      </w:r>
      <w:r>
        <w:rPr>
          <w:rFonts w:ascii="Arial" w:cs="Arial" w:eastAsia="Arial" w:hAnsi="Arial"/>
          <w:sz w:val="17"/>
          <w:szCs w:val="17"/>
          <w:b w:val="1"/>
          <w:bCs w:val="1"/>
          <w:color w:val="auto"/>
        </w:rPr>
        <w:t xml:space="preserve"> </w:t>
      </w:r>
      <w:r>
        <w:rPr>
          <w:rFonts w:ascii="Arial" w:cs="Arial" w:eastAsia="Arial" w:hAnsi="Arial"/>
          <w:sz w:val="17"/>
          <w:szCs w:val="17"/>
          <w:color w:val="auto"/>
        </w:rPr>
        <w:t>Credits are inadequately protected by the current worth and paying capacity of the obligor or of the collateral pledged. A distinct possibility exists that the Company will sustain some loss if deficiencies are not corrected. Loss potential, while existing in the aggregate amount of substandard assets, does not have to exist in individual assets classified substandard. Substandard loans include both performing and nonperforming loans and are broken out in the table below.</w:t>
      </w:r>
    </w:p>
    <w:p>
      <w:pPr>
        <w:spacing w:after="0" w:line="66" w:lineRule="exact"/>
        <w:rPr>
          <w:rFonts w:ascii="Arial" w:cs="Arial" w:eastAsia="Arial" w:hAnsi="Arial"/>
          <w:sz w:val="17"/>
          <w:szCs w:val="17"/>
          <w:color w:val="auto"/>
        </w:rPr>
      </w:pPr>
    </w:p>
    <w:p>
      <w:pPr>
        <w:ind w:left="1260" w:right="260" w:hanging="631"/>
        <w:spacing w:after="0" w:line="268" w:lineRule="auto"/>
        <w:tabs>
          <w:tab w:leader="none" w:pos="1256"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Doubtful (risk rating 7) </w:t>
      </w:r>
      <w:r>
        <w:rPr>
          <w:rFonts w:ascii="Arial" w:cs="Arial" w:eastAsia="Arial" w:hAnsi="Arial"/>
          <w:sz w:val="17"/>
          <w:szCs w:val="17"/>
          <w:color w:val="auto"/>
        </w:rPr>
        <w:t>- The category includes borrowers that exhibit weaknesses inherent in a substandard credit and characteristics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these weaknesses make collection or liquidation in full highly questionable or improbable based on existing facts, conditions and values. Because of reasonably specific pending factors, which may work to the advantage and strengthening of the assets, classification as a loss is deferred until its more exact status may be determined.</w:t>
      </w:r>
    </w:p>
    <w:p>
      <w:pPr>
        <w:spacing w:after="0" w:line="64" w:lineRule="exact"/>
        <w:rPr>
          <w:rFonts w:ascii="Arial" w:cs="Arial" w:eastAsia="Arial" w:hAnsi="Arial"/>
          <w:sz w:val="17"/>
          <w:szCs w:val="17"/>
          <w:color w:val="auto"/>
        </w:rPr>
      </w:pPr>
    </w:p>
    <w:p>
      <w:pPr>
        <w:ind w:left="1260" w:right="600" w:hanging="631"/>
        <w:spacing w:after="0" w:line="294" w:lineRule="auto"/>
        <w:tabs>
          <w:tab w:leader="none" w:pos="1256"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Loss (risk rating 8) </w:t>
      </w:r>
      <w:r>
        <w:rPr>
          <w:rFonts w:ascii="Arial" w:cs="Arial" w:eastAsia="Arial" w:hAnsi="Arial"/>
          <w:sz w:val="17"/>
          <w:szCs w:val="17"/>
          <w:color w:val="auto"/>
        </w:rPr>
        <w:t>- Credits which are considered uncollectible or of such little value that their continuance as a bankable asset is not</w:t>
      </w:r>
      <w:r>
        <w:rPr>
          <w:rFonts w:ascii="Arial" w:cs="Arial" w:eastAsia="Arial" w:hAnsi="Arial"/>
          <w:sz w:val="17"/>
          <w:szCs w:val="17"/>
          <w:b w:val="1"/>
          <w:bCs w:val="1"/>
          <w:color w:val="auto"/>
        </w:rPr>
        <w:t xml:space="preserve"> </w:t>
      </w:r>
      <w:r>
        <w:rPr>
          <w:rFonts w:ascii="Arial" w:cs="Arial" w:eastAsia="Arial" w:hAnsi="Arial"/>
          <w:sz w:val="17"/>
          <w:szCs w:val="17"/>
          <w:color w:val="auto"/>
        </w:rPr>
        <w:t>warranted.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Loan Portfolio Segments</w:t>
      </w:r>
    </w:p>
    <w:p>
      <w:pPr>
        <w:spacing w:after="0" w:line="163" w:lineRule="exact"/>
        <w:rPr>
          <w:sz w:val="20"/>
          <w:szCs w:val="20"/>
          <w:color w:val="auto"/>
        </w:rPr>
      </w:pPr>
    </w:p>
    <w:p>
      <w:pPr>
        <w:ind w:left="1260" w:right="140" w:hanging="631"/>
        <w:spacing w:after="0" w:line="275" w:lineRule="auto"/>
        <w:tabs>
          <w:tab w:leader="none" w:pos="125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Commercial </w:t>
      </w:r>
      <w:r>
        <w:rPr>
          <w:rFonts w:ascii="Arial" w:cs="Arial" w:eastAsia="Arial" w:hAnsi="Arial"/>
          <w:sz w:val="17"/>
          <w:szCs w:val="17"/>
          <w:color w:val="auto"/>
        </w:rPr>
        <w:t>- The category includes loans to commercial customers for use in financing working capital, equipment purchases and</w:t>
      </w:r>
      <w:r>
        <w:rPr>
          <w:rFonts w:ascii="Arial" w:cs="Arial" w:eastAsia="Arial" w:hAnsi="Arial"/>
          <w:sz w:val="17"/>
          <w:szCs w:val="17"/>
          <w:b w:val="1"/>
          <w:bCs w:val="1"/>
          <w:color w:val="auto"/>
        </w:rPr>
        <w:t xml:space="preserve"> </w:t>
      </w:r>
      <w:r>
        <w:rPr>
          <w:rFonts w:ascii="Arial" w:cs="Arial" w:eastAsia="Arial" w:hAnsi="Arial"/>
          <w:sz w:val="17"/>
          <w:szCs w:val="17"/>
          <w:color w:val="auto"/>
        </w:rPr>
        <w:t>expansions. Repayment is primarily from the cash flow of a borrower’s principal business operation. Credit risk is driven by creditworthiness of a borrower and the economic conditions that impact the cash flow stability from business operations.</w:t>
      </w:r>
    </w:p>
    <w:p>
      <w:pPr>
        <w:spacing w:after="0" w:line="57" w:lineRule="exact"/>
        <w:rPr>
          <w:rFonts w:ascii="Arial" w:cs="Arial" w:eastAsia="Arial" w:hAnsi="Arial"/>
          <w:sz w:val="17"/>
          <w:szCs w:val="17"/>
          <w:color w:val="auto"/>
        </w:rPr>
      </w:pPr>
    </w:p>
    <w:p>
      <w:pPr>
        <w:ind w:left="1260" w:right="160" w:hanging="631"/>
        <w:spacing w:after="0" w:line="268" w:lineRule="auto"/>
        <w:tabs>
          <w:tab w:leader="none" w:pos="125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Energy </w:t>
      </w:r>
      <w:r>
        <w:rPr>
          <w:rFonts w:ascii="Arial" w:cs="Arial" w:eastAsia="Arial" w:hAnsi="Arial"/>
          <w:sz w:val="17"/>
          <w:szCs w:val="17"/>
          <w:color w:val="auto"/>
        </w:rPr>
        <w:t>- The category includes loans to oil and natural gas customers for use in financing working capital needs, exploration and production</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and acquisitions. The loans are repaid primarily from the conversion of crude oil and 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64" w:lineRule="exact"/>
        <w:rPr>
          <w:rFonts w:ascii="Arial" w:cs="Arial" w:eastAsia="Arial" w:hAnsi="Arial"/>
          <w:sz w:val="17"/>
          <w:szCs w:val="17"/>
          <w:color w:val="auto"/>
        </w:rPr>
      </w:pPr>
    </w:p>
    <w:p>
      <w:pPr>
        <w:ind w:left="1260" w:right="60" w:hanging="631"/>
        <w:spacing w:after="0" w:line="290" w:lineRule="auto"/>
        <w:tabs>
          <w:tab w:leader="none" w:pos="1256"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Commercial Real Estate </w:t>
      </w:r>
      <w:r>
        <w:rPr>
          <w:rFonts w:ascii="Arial" w:cs="Arial" w:eastAsia="Arial" w:hAnsi="Arial"/>
          <w:sz w:val="16"/>
          <w:szCs w:val="16"/>
          <w:color w:val="auto"/>
        </w:rPr>
        <w:t>- The category includes loans that typically involve larger principal amounts and repayment of these loans is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dependent on the successful operations of the property securing the loan or the business conducted on the property securing the loan. These are viewed primarily as cash flow loans and secondarily as loans secured by real estate. Credit risk may be impacted by the creditworthiness of a borrower, property values and the local economies in the borrower’s market areas.</w:t>
      </w:r>
    </w:p>
    <w:p>
      <w:pPr>
        <w:spacing w:after="0" w:line="48" w:lineRule="exact"/>
        <w:rPr>
          <w:rFonts w:ascii="Arial" w:cs="Arial" w:eastAsia="Arial" w:hAnsi="Arial"/>
          <w:sz w:val="16"/>
          <w:szCs w:val="16"/>
          <w:color w:val="auto"/>
        </w:rPr>
      </w:pPr>
    </w:p>
    <w:p>
      <w:pPr>
        <w:ind w:left="1260" w:right="60" w:hanging="631"/>
        <w:spacing w:after="0" w:line="282" w:lineRule="auto"/>
        <w:tabs>
          <w:tab w:leader="none" w:pos="1256"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Construction and Land Development </w:t>
      </w:r>
      <w:r>
        <w:rPr>
          <w:rFonts w:ascii="Arial" w:cs="Arial" w:eastAsia="Arial" w:hAnsi="Arial"/>
          <w:sz w:val="16"/>
          <w:szCs w:val="16"/>
          <w:color w:val="auto"/>
        </w:rPr>
        <w:t>- The category includes loans that are usually based upon estimates of costs and estimated value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project and include independent appraisal reviews and a financial analysis of the developers and property owners. Sources of repayment include permanent loans, sales of developed property or an interim loan commitment from the Company until permanent financing is obtained. These loans are higher risk than 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borrower’s market areas.</w:t>
      </w:r>
    </w:p>
    <w:p>
      <w:pPr>
        <w:spacing w:after="0" w:line="57" w:lineRule="exact"/>
        <w:rPr>
          <w:rFonts w:ascii="Arial" w:cs="Arial" w:eastAsia="Arial" w:hAnsi="Arial"/>
          <w:sz w:val="16"/>
          <w:szCs w:val="16"/>
          <w:color w:val="auto"/>
        </w:rPr>
      </w:pPr>
    </w:p>
    <w:p>
      <w:pPr>
        <w:ind w:left="1260" w:hanging="631"/>
        <w:spacing w:after="0" w:line="275" w:lineRule="auto"/>
        <w:tabs>
          <w:tab w:leader="none" w:pos="125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Residential and Multifamily Real Estate </w:t>
      </w:r>
      <w:r>
        <w:rPr>
          <w:rFonts w:ascii="Arial" w:cs="Arial" w:eastAsia="Arial" w:hAnsi="Arial"/>
          <w:sz w:val="17"/>
          <w:szCs w:val="17"/>
          <w:color w:val="auto"/>
        </w:rPr>
        <w:t>- The category includes loans that are generally secured by owner-occupied 1-4 family residences or</w:t>
      </w:r>
      <w:r>
        <w:rPr>
          <w:rFonts w:ascii="Arial" w:cs="Arial" w:eastAsia="Arial" w:hAnsi="Arial"/>
          <w:sz w:val="17"/>
          <w:szCs w:val="17"/>
          <w:b w:val="1"/>
          <w:bCs w:val="1"/>
          <w:color w:val="auto"/>
        </w:rPr>
        <w:t xml:space="preserve"> </w:t>
      </w:r>
      <w:r>
        <w:rPr>
          <w:rFonts w:ascii="Arial" w:cs="Arial" w:eastAsia="Arial" w:hAnsi="Arial"/>
          <w:sz w:val="17"/>
          <w:szCs w:val="17"/>
          <w:color w:val="auto"/>
        </w:rPr>
        <w:t>multifamily properties. Repayment of these loans is primarily dependent on the personal income and credit rating of the borrowers or underlying tenants. Credit risk in these loans can be impacted by economic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8" w:name="page19"/>
    <w:bookmarkEnd w:id="18"/>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4" w:lineRule="exact"/>
        <w:rPr>
          <w:sz w:val="20"/>
          <w:szCs w:val="20"/>
          <w:color w:val="auto"/>
        </w:rPr>
      </w:pPr>
    </w:p>
    <w:p>
      <w:pPr>
        <w:ind w:left="1260" w:right="140"/>
        <w:spacing w:after="0" w:line="286" w:lineRule="auto"/>
        <w:rPr>
          <w:sz w:val="20"/>
          <w:szCs w:val="20"/>
          <w:color w:val="auto"/>
        </w:rPr>
      </w:pPr>
      <w:r>
        <w:rPr>
          <w:rFonts w:ascii="Arial" w:cs="Arial" w:eastAsia="Arial" w:hAnsi="Arial"/>
          <w:sz w:val="17"/>
          <w:szCs w:val="17"/>
          <w:color w:val="auto"/>
        </w:rPr>
        <w:t>conditions within or outside the borrower’s market areas that might impact either property values, a borrower’s personal income, or residents’ income.</w:t>
      </w:r>
    </w:p>
    <w:p>
      <w:pPr>
        <w:spacing w:after="0" w:line="49" w:lineRule="exact"/>
        <w:rPr>
          <w:sz w:val="20"/>
          <w:szCs w:val="20"/>
          <w:color w:val="auto"/>
        </w:rPr>
      </w:pPr>
    </w:p>
    <w:p>
      <w:pPr>
        <w:ind w:left="1260" w:right="100" w:hanging="631"/>
        <w:spacing w:after="0" w:line="275" w:lineRule="auto"/>
        <w:tabs>
          <w:tab w:leader="none" w:pos="125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PPP </w:t>
      </w:r>
      <w:r>
        <w:rPr>
          <w:rFonts w:ascii="Arial" w:cs="Arial" w:eastAsia="Arial" w:hAnsi="Arial"/>
          <w:sz w:val="17"/>
          <w:szCs w:val="17"/>
          <w:color w:val="auto"/>
        </w:rPr>
        <w:t>- The category includes loans that were established by the CARES Act which authorized forgivable loans to small businesses to pay their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during the COVID-19 pandemic. The loans are 100 percent guaranteed by the SBA and repayment is primarily dependent on the borrower’s cash flow or SBA repayment approval.</w:t>
      </w:r>
    </w:p>
    <w:p>
      <w:pPr>
        <w:spacing w:after="0" w:line="57" w:lineRule="exact"/>
        <w:rPr>
          <w:rFonts w:ascii="Arial" w:cs="Arial" w:eastAsia="Arial" w:hAnsi="Arial"/>
          <w:sz w:val="17"/>
          <w:szCs w:val="17"/>
          <w:color w:val="auto"/>
        </w:rPr>
      </w:pPr>
    </w:p>
    <w:p>
      <w:pPr>
        <w:ind w:left="1260" w:right="460" w:hanging="631"/>
        <w:spacing w:after="0" w:line="268" w:lineRule="auto"/>
        <w:tabs>
          <w:tab w:leader="none" w:pos="125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Consumer </w:t>
      </w:r>
      <w:r>
        <w:rPr>
          <w:rFonts w:ascii="Arial" w:cs="Arial" w:eastAsia="Arial" w:hAnsi="Arial"/>
          <w:sz w:val="17"/>
          <w:szCs w:val="17"/>
          <w:color w:val="auto"/>
        </w:rPr>
        <w:t>- The category includes revolving lines of credit and various term loans such as automobile loans and loans for other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Repayment is primarily dependent on the personal income and credit rating of the borrowers. Credit risk is driven by consumer economic factors (such as unemployment and general economic conditions in the borrower’s market area) and the creditworthiness of a borrower.</w:t>
      </w:r>
    </w:p>
    <w:p>
      <w:pPr>
        <w:spacing w:after="0" w:line="123" w:lineRule="exact"/>
        <w:rPr>
          <w:sz w:val="20"/>
          <w:szCs w:val="20"/>
          <w:color w:val="auto"/>
        </w:rPr>
      </w:pPr>
    </w:p>
    <w:p>
      <w:pPr>
        <w:ind w:left="160" w:right="760" w:firstLine="469"/>
        <w:spacing w:after="0" w:line="284" w:lineRule="auto"/>
        <w:rPr>
          <w:sz w:val="20"/>
          <w:szCs w:val="20"/>
          <w:color w:val="auto"/>
        </w:rPr>
      </w:pPr>
      <w:r>
        <w:rPr>
          <w:rFonts w:ascii="Arial" w:cs="Arial" w:eastAsia="Arial" w:hAnsi="Arial"/>
          <w:sz w:val="17"/>
          <w:szCs w:val="17"/>
          <w:color w:val="auto"/>
        </w:rPr>
        <w:t>The following tables present the credit risk profile of the Company’s loan portfolio based on internal rating categories (grades 1 - 8), portfolio segmentation, and payment activity:</w:t>
      </w:r>
    </w:p>
    <w:tbl>
      <w:tblPr>
        <w:tblLayout w:type="fixed"/>
        <w:tblInd w:w="0" w:type="dxa"/>
        <w:tblCellMar>
          <w:top w:w="0" w:type="dxa"/>
          <w:left w:w="0" w:type="dxa"/>
          <w:bottom w:w="0" w:type="dxa"/>
          <w:right w:w="0" w:type="dxa"/>
        </w:tblCellMar>
      </w:tblPr>
      <w:tr>
        <w:trPr>
          <w:trHeight w:val="208"/>
        </w:trPr>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Special</w:t>
            </w:r>
          </w:p>
        </w:tc>
        <w:tc>
          <w:tcPr>
            <w:tcW w:w="1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7"/>
                <w:szCs w:val="17"/>
                <w:b w:val="1"/>
                <w:bCs w:val="1"/>
                <w:color w:val="auto"/>
                <w:w w:val="92"/>
              </w:rPr>
              <w:t>Substandard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Substandard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7"/>
                <w:szCs w:val="17"/>
                <w:b w:val="1"/>
                <w:bCs w:val="1"/>
                <w:color w:val="auto"/>
              </w:rPr>
              <w:t>Pass</w:t>
            </w:r>
          </w:p>
        </w:tc>
        <w:tc>
          <w:tcPr>
            <w:tcW w:w="2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8"/>
              </w:rPr>
              <w:t>Mention</w:t>
            </w:r>
          </w:p>
        </w:tc>
        <w:tc>
          <w:tcPr>
            <w:tcW w:w="12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b w:val="1"/>
                <w:bCs w:val="1"/>
                <w:color w:val="auto"/>
                <w:w w:val="99"/>
              </w:rPr>
              <w:t>Performing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b w:val="1"/>
                <w:bCs w:val="1"/>
                <w:color w:val="auto"/>
              </w:rPr>
              <w:t>Nonperforming</w:t>
            </w:r>
          </w:p>
        </w:tc>
        <w:tc>
          <w:tcPr>
            <w:tcW w:w="2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Doubtful</w:t>
            </w:r>
          </w:p>
        </w:tc>
        <w:tc>
          <w:tcPr>
            <w:tcW w:w="28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7"/>
                <w:szCs w:val="17"/>
                <w:b w:val="1"/>
                <w:bCs w:val="1"/>
                <w:color w:val="auto"/>
              </w:rPr>
              <w:t>Loss</w:t>
            </w:r>
          </w:p>
        </w:tc>
        <w:tc>
          <w:tcPr>
            <w:tcW w:w="260" w:type="dxa"/>
            <w:vAlign w:val="bottom"/>
          </w:tcPr>
          <w:p>
            <w:pPr>
              <w:spacing w:after="0"/>
              <w:rPr>
                <w:sz w:val="19"/>
                <w:szCs w:val="19"/>
                <w:color w:val="auto"/>
              </w:rPr>
            </w:pPr>
          </w:p>
        </w:tc>
        <w:tc>
          <w:tcPr>
            <w:tcW w:w="920" w:type="dxa"/>
            <w:vAlign w:val="bottom"/>
          </w:tcPr>
          <w:p>
            <w:pPr>
              <w:jc w:val="right"/>
              <w:ind w:right="313"/>
              <w:spacing w:after="0"/>
              <w:rPr>
                <w:sz w:val="20"/>
                <w:szCs w:val="20"/>
                <w:color w:val="auto"/>
              </w:rPr>
            </w:pPr>
            <w:r>
              <w:rPr>
                <w:rFonts w:ascii="Arial" w:cs="Arial" w:eastAsia="Arial" w:hAnsi="Arial"/>
                <w:sz w:val="17"/>
                <w:szCs w:val="17"/>
                <w:b w:val="1"/>
                <w:bCs w:val="1"/>
                <w:color w:val="auto"/>
              </w:rPr>
              <w:t>Total</w:t>
            </w:r>
          </w:p>
        </w:tc>
      </w:tr>
      <w:tr>
        <w:trPr>
          <w:trHeight w:val="26"/>
        </w:trPr>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40" w:type="dxa"/>
            <w:vAlign w:val="bottom"/>
            <w:gridSpan w:val="4"/>
          </w:tcPr>
          <w:p>
            <w:pPr>
              <w:jc w:val="center"/>
              <w:ind w:right="60"/>
              <w:spacing w:after="0"/>
              <w:rPr>
                <w:sz w:val="20"/>
                <w:szCs w:val="20"/>
                <w:color w:val="auto"/>
              </w:rPr>
            </w:pPr>
            <w:r>
              <w:rPr>
                <w:rFonts w:ascii="Arial" w:cs="Arial" w:eastAsia="Arial" w:hAnsi="Arial"/>
                <w:sz w:val="17"/>
                <w:szCs w:val="17"/>
                <w:i w:val="1"/>
                <w:iCs w:val="1"/>
                <w:color w:val="auto"/>
                <w:w w:val="95"/>
              </w:rPr>
              <w:t>(Dollars in thousands)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March 31, 2021</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4"/>
        </w:trPr>
        <w:tc>
          <w:tcPr>
            <w:tcW w:w="1980" w:type="dxa"/>
            <w:vAlign w:val="bottom"/>
          </w:tcPr>
          <w:p>
            <w:pPr>
              <w:ind w:left="20"/>
              <w:spacing w:after="0"/>
              <w:rPr>
                <w:sz w:val="20"/>
                <w:szCs w:val="20"/>
                <w:color w:val="auto"/>
              </w:rPr>
            </w:pPr>
            <w:r>
              <w:rPr>
                <w:rFonts w:ascii="Arial" w:cs="Arial" w:eastAsia="Arial" w:hAnsi="Arial"/>
                <w:sz w:val="17"/>
                <w:szCs w:val="17"/>
                <w:color w:val="auto"/>
              </w:rPr>
              <w:t>Commercial</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1,171,818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43,247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46,912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20,409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1,661</w:t>
            </w:r>
          </w:p>
        </w:tc>
        <w:tc>
          <w:tcPr>
            <w:tcW w:w="100" w:type="dxa"/>
            <w:vAlign w:val="bottom"/>
          </w:tcPr>
          <w:p>
            <w:pPr>
              <w:spacing w:after="0"/>
              <w:rPr>
                <w:sz w:val="20"/>
                <w:szCs w:val="20"/>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1,284,047</w:t>
            </w:r>
          </w:p>
        </w:tc>
      </w:tr>
      <w:tr>
        <w:trPr>
          <w:trHeight w:val="26"/>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Energy</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141,441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82,314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92,032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342,899</w:t>
            </w:r>
          </w:p>
        </w:tc>
      </w:tr>
      <w:tr>
        <w:trPr>
          <w:trHeight w:val="234"/>
        </w:trPr>
        <w:tc>
          <w:tcPr>
            <w:tcW w:w="1980" w:type="dxa"/>
            <w:vAlign w:val="bottom"/>
          </w:tcPr>
          <w:p>
            <w:pPr>
              <w:ind w:left="20"/>
              <w:spacing w:after="0"/>
              <w:rPr>
                <w:sz w:val="20"/>
                <w:szCs w:val="20"/>
                <w:color w:val="auto"/>
              </w:rPr>
            </w:pPr>
            <w:r>
              <w:rPr>
                <w:rFonts w:ascii="Arial" w:cs="Arial" w:eastAsia="Arial" w:hAnsi="Arial"/>
                <w:sz w:val="17"/>
                <w:szCs w:val="17"/>
                <w:color w:val="auto"/>
              </w:rPr>
              <w:t>Commercial real estate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1,054,675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60,037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10,821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1,191,634</w:t>
            </w:r>
          </w:p>
        </w:tc>
      </w:tr>
      <w:tr>
        <w:trPr>
          <w:trHeight w:val="26"/>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2"/>
        </w:trPr>
        <w:tc>
          <w:tcPr>
            <w:tcW w:w="1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and 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development</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616,061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617,200</w:t>
            </w:r>
          </w:p>
        </w:tc>
      </w:tr>
      <w:tr>
        <w:trPr>
          <w:trHeight w:val="222"/>
        </w:trPr>
        <w:tc>
          <w:tcPr>
            <w:tcW w:w="1980" w:type="dxa"/>
            <w:vAlign w:val="bottom"/>
          </w:tcPr>
          <w:p>
            <w:pPr>
              <w:ind w:left="20"/>
              <w:spacing w:after="0"/>
              <w:rPr>
                <w:sz w:val="20"/>
                <w:szCs w:val="20"/>
                <w:color w:val="auto"/>
              </w:rPr>
            </w:pPr>
            <w:r>
              <w:rPr>
                <w:rFonts w:ascii="Arial" w:cs="Arial" w:eastAsia="Arial" w:hAnsi="Arial"/>
                <w:sz w:val="17"/>
                <w:szCs w:val="17"/>
                <w:color w:val="auto"/>
                <w:w w:val="95"/>
              </w:rPr>
              <w:t>Residential and multifamily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1"/>
        </w:trPr>
        <w:tc>
          <w:tcPr>
            <w:tcW w:w="1980" w:type="dxa"/>
            <w:vAlign w:val="bottom"/>
          </w:tcPr>
          <w:p>
            <w:pPr>
              <w:ind w:left="180"/>
              <w:spacing w:after="0"/>
              <w:rPr>
                <w:sz w:val="20"/>
                <w:szCs w:val="20"/>
                <w:color w:val="auto"/>
              </w:rPr>
            </w:pPr>
            <w:r>
              <w:rPr>
                <w:rFonts w:ascii="Arial" w:cs="Arial" w:eastAsia="Arial" w:hAnsi="Arial"/>
                <w:sz w:val="17"/>
                <w:szCs w:val="17"/>
                <w:color w:val="auto"/>
              </w:rPr>
              <w:t>real estate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679,335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687,893</w:t>
            </w:r>
          </w:p>
        </w:tc>
      </w:tr>
      <w:tr>
        <w:trPr>
          <w:trHeight w:val="26"/>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1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PPP</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336,355</w:t>
            </w:r>
          </w:p>
        </w:tc>
      </w:tr>
      <w:tr>
        <w:trPr>
          <w:trHeight w:val="234"/>
        </w:trPr>
        <w:tc>
          <w:tcPr>
            <w:tcW w:w="1980" w:type="dxa"/>
            <w:vAlign w:val="bottom"/>
          </w:tcPr>
          <w:p>
            <w:pPr>
              <w:ind w:left="20"/>
              <w:spacing w:after="0"/>
              <w:rPr>
                <w:sz w:val="20"/>
                <w:szCs w:val="20"/>
                <w:color w:val="auto"/>
              </w:rPr>
            </w:pPr>
            <w:r>
              <w:rPr>
                <w:rFonts w:ascii="Arial" w:cs="Arial" w:eastAsia="Arial" w:hAnsi="Arial"/>
                <w:sz w:val="17"/>
                <w:szCs w:val="17"/>
                <w:color w:val="auto"/>
              </w:rPr>
              <w:t>Consumer</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62,676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62,917</w:t>
            </w:r>
          </w:p>
        </w:tc>
      </w:tr>
      <w:tr>
        <w:trPr>
          <w:trHeight w:val="26"/>
        </w:trPr>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9"/>
        </w:trPr>
        <w:tc>
          <w:tcPr>
            <w:tcW w:w="1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4,062,361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191,705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205,560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57,967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4,522,945</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Special</w:t>
            </w:r>
          </w:p>
        </w:tc>
        <w:tc>
          <w:tcPr>
            <w:tcW w:w="1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7"/>
                <w:szCs w:val="17"/>
                <w:b w:val="1"/>
                <w:bCs w:val="1"/>
                <w:color w:val="auto"/>
                <w:w w:val="92"/>
              </w:rPr>
              <w:t>Substandard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Substandard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7"/>
                <w:szCs w:val="17"/>
                <w:b w:val="1"/>
                <w:bCs w:val="1"/>
                <w:color w:val="auto"/>
              </w:rPr>
              <w:t>Pass</w:t>
            </w:r>
          </w:p>
        </w:tc>
        <w:tc>
          <w:tcPr>
            <w:tcW w:w="2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8"/>
              </w:rPr>
              <w:t>Mention</w:t>
            </w:r>
          </w:p>
        </w:tc>
        <w:tc>
          <w:tcPr>
            <w:tcW w:w="12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b w:val="1"/>
                <w:bCs w:val="1"/>
                <w:color w:val="auto"/>
                <w:w w:val="99"/>
              </w:rPr>
              <w:t>Performing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b w:val="1"/>
                <w:bCs w:val="1"/>
                <w:color w:val="auto"/>
              </w:rPr>
              <w:t>Nonperforming</w:t>
            </w:r>
          </w:p>
        </w:tc>
        <w:tc>
          <w:tcPr>
            <w:tcW w:w="2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Doubtful</w:t>
            </w:r>
          </w:p>
        </w:tc>
        <w:tc>
          <w:tcPr>
            <w:tcW w:w="28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7"/>
                <w:szCs w:val="17"/>
                <w:b w:val="1"/>
                <w:bCs w:val="1"/>
                <w:color w:val="auto"/>
              </w:rPr>
              <w:t>Loss</w:t>
            </w:r>
          </w:p>
        </w:tc>
        <w:tc>
          <w:tcPr>
            <w:tcW w:w="260" w:type="dxa"/>
            <w:vAlign w:val="bottom"/>
          </w:tcPr>
          <w:p>
            <w:pPr>
              <w:spacing w:after="0"/>
              <w:rPr>
                <w:sz w:val="19"/>
                <w:szCs w:val="19"/>
                <w:color w:val="auto"/>
              </w:rPr>
            </w:pPr>
          </w:p>
        </w:tc>
        <w:tc>
          <w:tcPr>
            <w:tcW w:w="920" w:type="dxa"/>
            <w:vAlign w:val="bottom"/>
          </w:tcPr>
          <w:p>
            <w:pPr>
              <w:jc w:val="right"/>
              <w:ind w:right="313"/>
              <w:spacing w:after="0"/>
              <w:rPr>
                <w:sz w:val="20"/>
                <w:szCs w:val="20"/>
                <w:color w:val="auto"/>
              </w:rPr>
            </w:pPr>
            <w:r>
              <w:rPr>
                <w:rFonts w:ascii="Arial" w:cs="Arial" w:eastAsia="Arial" w:hAnsi="Arial"/>
                <w:sz w:val="17"/>
                <w:szCs w:val="17"/>
                <w:b w:val="1"/>
                <w:bCs w:val="1"/>
                <w:color w:val="auto"/>
              </w:rPr>
              <w:t>Total</w:t>
            </w:r>
          </w:p>
        </w:tc>
      </w:tr>
      <w:tr>
        <w:trPr>
          <w:trHeight w:val="26"/>
        </w:trPr>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gridSpan w:val="4"/>
          </w:tcPr>
          <w:p>
            <w:pPr>
              <w:jc w:val="center"/>
              <w:ind w:right="60"/>
              <w:spacing w:after="0"/>
              <w:rPr>
                <w:sz w:val="20"/>
                <w:szCs w:val="20"/>
                <w:color w:val="auto"/>
              </w:rPr>
            </w:pPr>
            <w:r>
              <w:rPr>
                <w:rFonts w:ascii="Arial" w:cs="Arial" w:eastAsia="Arial" w:hAnsi="Arial"/>
                <w:sz w:val="16"/>
                <w:szCs w:val="16"/>
                <w:i w:val="1"/>
                <w:iCs w:val="1"/>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4"/>
        </w:trPr>
        <w:tc>
          <w:tcPr>
            <w:tcW w:w="1980" w:type="dxa"/>
            <w:vAlign w:val="bottom"/>
          </w:tcPr>
          <w:p>
            <w:pPr>
              <w:ind w:left="20"/>
              <w:spacing w:after="0"/>
              <w:rPr>
                <w:sz w:val="20"/>
                <w:szCs w:val="20"/>
                <w:color w:val="auto"/>
              </w:rPr>
            </w:pPr>
            <w:r>
              <w:rPr>
                <w:rFonts w:ascii="Arial" w:cs="Arial" w:eastAsia="Arial" w:hAnsi="Arial"/>
                <w:sz w:val="17"/>
                <w:szCs w:val="17"/>
                <w:color w:val="auto"/>
              </w:rPr>
              <w:t>Commercial</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1,182,519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66,142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63,407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26,124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20"/>
                <w:szCs w:val="20"/>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1,338,757</w:t>
            </w:r>
          </w:p>
        </w:tc>
      </w:tr>
      <w:tr>
        <w:trPr>
          <w:trHeight w:val="26"/>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Energy</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145,598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83,574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345,233</w:t>
            </w:r>
          </w:p>
        </w:tc>
      </w:tr>
      <w:tr>
        <w:trPr>
          <w:trHeight w:val="234"/>
        </w:trPr>
        <w:tc>
          <w:tcPr>
            <w:tcW w:w="1980" w:type="dxa"/>
            <w:vAlign w:val="bottom"/>
          </w:tcPr>
          <w:p>
            <w:pPr>
              <w:ind w:left="20"/>
              <w:spacing w:after="0"/>
              <w:rPr>
                <w:sz w:val="20"/>
                <w:szCs w:val="20"/>
                <w:color w:val="auto"/>
              </w:rPr>
            </w:pPr>
            <w:r>
              <w:rPr>
                <w:rFonts w:ascii="Arial" w:cs="Arial" w:eastAsia="Arial" w:hAnsi="Arial"/>
                <w:sz w:val="17"/>
                <w:szCs w:val="17"/>
                <w:color w:val="auto"/>
              </w:rPr>
              <w:t>Commercial real estate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1,035,056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67,710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57,680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19,088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1,179,534</w:t>
            </w:r>
          </w:p>
        </w:tc>
      </w:tr>
      <w:tr>
        <w:trPr>
          <w:trHeight w:val="26"/>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2"/>
        </w:trPr>
        <w:tc>
          <w:tcPr>
            <w:tcW w:w="1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and 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development</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561,871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563,144</w:t>
            </w:r>
          </w:p>
        </w:tc>
      </w:tr>
      <w:tr>
        <w:trPr>
          <w:trHeight w:val="222"/>
        </w:trPr>
        <w:tc>
          <w:tcPr>
            <w:tcW w:w="1980" w:type="dxa"/>
            <w:vAlign w:val="bottom"/>
          </w:tcPr>
          <w:p>
            <w:pPr>
              <w:ind w:left="20"/>
              <w:spacing w:after="0"/>
              <w:rPr>
                <w:sz w:val="20"/>
                <w:szCs w:val="20"/>
                <w:color w:val="auto"/>
              </w:rPr>
            </w:pPr>
            <w:r>
              <w:rPr>
                <w:rFonts w:ascii="Arial" w:cs="Arial" w:eastAsia="Arial" w:hAnsi="Arial"/>
                <w:sz w:val="17"/>
                <w:szCs w:val="17"/>
                <w:color w:val="auto"/>
                <w:w w:val="95"/>
              </w:rPr>
              <w:t>Residential and multifamily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1"/>
        </w:trPr>
        <w:tc>
          <w:tcPr>
            <w:tcW w:w="1980" w:type="dxa"/>
            <w:vAlign w:val="bottom"/>
          </w:tcPr>
          <w:p>
            <w:pPr>
              <w:ind w:left="180"/>
              <w:spacing w:after="0"/>
              <w:rPr>
                <w:sz w:val="20"/>
                <w:szCs w:val="20"/>
                <w:color w:val="auto"/>
              </w:rPr>
            </w:pPr>
            <w:r>
              <w:rPr>
                <w:rFonts w:ascii="Arial" w:cs="Arial" w:eastAsia="Arial" w:hAnsi="Arial"/>
                <w:sz w:val="17"/>
                <w:szCs w:val="17"/>
                <w:color w:val="auto"/>
              </w:rPr>
              <w:t>real estate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672,327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680,932</w:t>
            </w:r>
          </w:p>
        </w:tc>
      </w:tr>
      <w:tr>
        <w:trPr>
          <w:trHeight w:val="26"/>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PPP</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292,230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292,230</w:t>
            </w:r>
          </w:p>
        </w:tc>
      </w:tr>
      <w:tr>
        <w:trPr>
          <w:trHeight w:val="234"/>
        </w:trPr>
        <w:tc>
          <w:tcPr>
            <w:tcW w:w="1980" w:type="dxa"/>
            <w:vAlign w:val="bottom"/>
          </w:tcPr>
          <w:p>
            <w:pPr>
              <w:ind w:left="20"/>
              <w:spacing w:after="0"/>
              <w:rPr>
                <w:sz w:val="20"/>
                <w:szCs w:val="20"/>
                <w:color w:val="auto"/>
              </w:rPr>
            </w:pPr>
            <w:r>
              <w:rPr>
                <w:rFonts w:ascii="Arial" w:cs="Arial" w:eastAsia="Arial" w:hAnsi="Arial"/>
                <w:sz w:val="17"/>
                <w:szCs w:val="17"/>
                <w:color w:val="auto"/>
              </w:rPr>
              <w:t>Consumer</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55,270</w:t>
            </w:r>
          </w:p>
        </w:tc>
      </w:tr>
      <w:tr>
        <w:trPr>
          <w:trHeight w:val="26"/>
        </w:trPr>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9"/>
        </w:trPr>
        <w:tc>
          <w:tcPr>
            <w:tcW w:w="1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3,944,627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224,416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211,008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70,734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4,455,100</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Loan Portfolio Aging Analysis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the Company’s loan portfolio aging analysis as of March 31, 2021 and December 31, 2020:</w:t>
      </w:r>
    </w:p>
    <w:p>
      <w:pPr>
        <w:spacing w:after="0" w:line="181"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7"/>
                <w:szCs w:val="17"/>
                <w:b w:val="1"/>
                <w:bCs w:val="1"/>
                <w:color w:val="auto"/>
                <w:w w:val="92"/>
              </w:rPr>
              <w:t>30-59 Days</w:t>
            </w:r>
          </w:p>
        </w:tc>
        <w:tc>
          <w:tcPr>
            <w:tcW w:w="14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2"/>
              </w:rPr>
              <w:t>60-89 Days</w:t>
            </w:r>
          </w:p>
        </w:tc>
        <w:tc>
          <w:tcPr>
            <w:tcW w:w="160" w:type="dxa"/>
            <w:vAlign w:val="bottom"/>
          </w:tcPr>
          <w:p>
            <w:pPr>
              <w:spacing w:after="0"/>
              <w:rPr>
                <w:sz w:val="16"/>
                <w:szCs w:val="16"/>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w w:val="95"/>
              </w:rPr>
              <w:t>90 Days or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2"/>
              </w:rPr>
              <w:t>Total Loans</w:t>
            </w:r>
          </w:p>
        </w:tc>
        <w:tc>
          <w:tcPr>
            <w:tcW w:w="12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7"/>
                <w:szCs w:val="17"/>
                <w:b w:val="1"/>
                <w:bCs w:val="1"/>
                <w:color w:val="auto"/>
                <w:w w:val="93"/>
              </w:rPr>
              <w:t>Loans &gt;= 90</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vMerge w:val="restart"/>
          </w:tcPr>
          <w:p>
            <w:pPr>
              <w:jc w:val="center"/>
              <w:ind w:right="140"/>
              <w:spacing w:after="0"/>
              <w:rPr>
                <w:sz w:val="20"/>
                <w:szCs w:val="20"/>
                <w:color w:val="auto"/>
              </w:rPr>
            </w:pPr>
            <w:r>
              <w:rPr>
                <w:rFonts w:ascii="Arial" w:cs="Arial" w:eastAsia="Arial" w:hAnsi="Arial"/>
                <w:sz w:val="17"/>
                <w:szCs w:val="17"/>
                <w:b w:val="1"/>
                <w:bCs w:val="1"/>
                <w:color w:val="auto"/>
                <w:w w:val="91"/>
              </w:rPr>
              <w:t>Total Past Due</w:t>
            </w:r>
          </w:p>
        </w:tc>
        <w:tc>
          <w:tcPr>
            <w:tcW w:w="18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Current</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73"/>
              <w:spacing w:after="0" w:line="169" w:lineRule="exact"/>
              <w:rPr>
                <w:sz w:val="20"/>
                <w:szCs w:val="20"/>
                <w:color w:val="auto"/>
              </w:rPr>
            </w:pPr>
            <w:r>
              <w:rPr>
                <w:rFonts w:ascii="Arial" w:cs="Arial" w:eastAsia="Arial" w:hAnsi="Arial"/>
                <w:sz w:val="17"/>
                <w:szCs w:val="17"/>
                <w:b w:val="1"/>
                <w:bCs w:val="1"/>
                <w:color w:val="auto"/>
              </w:rPr>
              <w:t>Days and</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90"/>
              </w:rPr>
              <w:t>Past Due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w w:val="90"/>
              </w:rPr>
              <w:t>Past Due</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More</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0"/>
              </w:rPr>
              <w:t>Receivable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Accruing</w:t>
            </w: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gridSpan w:val="6"/>
          </w:tcPr>
          <w:p>
            <w:pPr>
              <w:jc w:val="center"/>
              <w:spacing w:after="0"/>
              <w:rPr>
                <w:sz w:val="20"/>
                <w:szCs w:val="20"/>
                <w:color w:val="auto"/>
              </w:rPr>
            </w:pPr>
            <w:r>
              <w:rPr>
                <w:rFonts w:ascii="Arial" w:cs="Arial" w:eastAsia="Arial" w:hAnsi="Arial"/>
                <w:sz w:val="16"/>
                <w:szCs w:val="16"/>
                <w:i w:val="1"/>
                <w:iCs w:val="1"/>
                <w:color w:val="auto"/>
                <w:w w:val="91"/>
              </w:rPr>
              <w:t>(Dollars in thousands)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March 31, 2021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Arial" w:cs="Arial" w:eastAsia="Arial" w:hAnsi="Arial"/>
                <w:sz w:val="17"/>
                <w:szCs w:val="17"/>
                <w:color w:val="auto"/>
              </w:rPr>
              <w:t>Commercial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7,813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15,709</w:t>
            </w:r>
          </w:p>
        </w:tc>
        <w:tc>
          <w:tcPr>
            <w:tcW w:w="500" w:type="dxa"/>
            <w:vAlign w:val="bottom"/>
            <w:gridSpan w:val="3"/>
          </w:tcPr>
          <w:p>
            <w:pPr>
              <w:jc w:val="right"/>
              <w:ind w:right="17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23,925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1,260,122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1,284,047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Energy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342,899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Arial" w:cs="Arial" w:eastAsia="Arial" w:hAnsi="Arial"/>
                <w:sz w:val="17"/>
                <w:szCs w:val="17"/>
                <w:color w:val="auto"/>
              </w:rPr>
              <w:t>Commercial real estate</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1,187,537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1,191,634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0"/>
        </w:trPr>
        <w:tc>
          <w:tcPr>
            <w:tcW w:w="20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Construction and land</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616,338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617,200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development</w:t>
            </w: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20"/>
              <w:spacing w:after="0" w:line="170" w:lineRule="exact"/>
              <w:rPr>
                <w:sz w:val="20"/>
                <w:szCs w:val="20"/>
                <w:color w:val="auto"/>
              </w:rPr>
            </w:pPr>
            <w:r>
              <w:rPr>
                <w:rFonts w:ascii="Arial" w:cs="Arial" w:eastAsia="Arial" w:hAnsi="Arial"/>
                <w:sz w:val="17"/>
                <w:szCs w:val="17"/>
                <w:color w:val="auto"/>
              </w:rPr>
              <w:t>Residential and multifamily</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1,160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6,028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7,188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680,705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687,893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3,183</w:t>
            </w:r>
          </w:p>
        </w:tc>
        <w:tc>
          <w:tcPr>
            <w:tcW w:w="0" w:type="dxa"/>
            <w:vAlign w:val="bottom"/>
          </w:tcPr>
          <w:p>
            <w:pPr>
              <w:spacing w:after="0"/>
              <w:rPr>
                <w:sz w:val="1"/>
                <w:szCs w:val="1"/>
                <w:color w:val="auto"/>
              </w:rPr>
            </w:pPr>
          </w:p>
        </w:tc>
      </w:tr>
      <w:tr>
        <w:trPr>
          <w:trHeight w:val="221"/>
        </w:trPr>
        <w:tc>
          <w:tcPr>
            <w:tcW w:w="2080" w:type="dxa"/>
            <w:vAlign w:val="bottom"/>
          </w:tcPr>
          <w:p>
            <w:pPr>
              <w:ind w:left="18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PPP</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Consumer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62,917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32,575</w:t>
            </w:r>
          </w:p>
        </w:tc>
        <w:tc>
          <w:tcPr>
            <w:tcW w:w="500" w:type="dxa"/>
            <w:vAlign w:val="bottom"/>
            <w:gridSpan w:val="3"/>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43,561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4,479,384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4,522,945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2"/>
              </w:rPr>
              <w:t>30-59 Days</w:t>
            </w:r>
          </w:p>
        </w:tc>
        <w:tc>
          <w:tcPr>
            <w:tcW w:w="14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7"/>
                <w:szCs w:val="17"/>
                <w:b w:val="1"/>
                <w:bCs w:val="1"/>
                <w:color w:val="auto"/>
                <w:w w:val="92"/>
              </w:rPr>
              <w:t>60-89 Days</w:t>
            </w:r>
          </w:p>
        </w:tc>
        <w:tc>
          <w:tcPr>
            <w:tcW w:w="140" w:type="dxa"/>
            <w:vAlign w:val="bottom"/>
          </w:tcPr>
          <w:p>
            <w:pPr>
              <w:spacing w:after="0"/>
              <w:rPr>
                <w:sz w:val="16"/>
                <w:szCs w:val="16"/>
                <w:color w:val="auto"/>
              </w:rPr>
            </w:pPr>
          </w:p>
        </w:tc>
        <w:tc>
          <w:tcPr>
            <w:tcW w:w="104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w w:val="95"/>
              </w:rPr>
              <w:t>90 Days or</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0"/>
              </w:rPr>
              <w:t>Total Loans</w:t>
            </w:r>
          </w:p>
        </w:tc>
        <w:tc>
          <w:tcPr>
            <w:tcW w:w="120" w:type="dxa"/>
            <w:vAlign w:val="bottom"/>
          </w:tcPr>
          <w:p>
            <w:pPr>
              <w:spacing w:after="0"/>
              <w:rPr>
                <w:sz w:val="16"/>
                <w:szCs w:val="16"/>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b w:val="1"/>
                <w:bCs w:val="1"/>
                <w:color w:val="auto"/>
                <w:w w:val="91"/>
              </w:rPr>
              <w:t>Loans &gt;= 90</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7"/>
                <w:szCs w:val="17"/>
                <w:b w:val="1"/>
                <w:bCs w:val="1"/>
                <w:color w:val="auto"/>
                <w:w w:val="91"/>
              </w:rPr>
              <w:t>Total Past Due</w:t>
            </w:r>
          </w:p>
        </w:tc>
        <w:tc>
          <w:tcPr>
            <w:tcW w:w="20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Current</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73"/>
              <w:spacing w:after="0" w:line="169" w:lineRule="exact"/>
              <w:rPr>
                <w:sz w:val="20"/>
                <w:szCs w:val="20"/>
                <w:color w:val="auto"/>
              </w:rPr>
            </w:pPr>
            <w:r>
              <w:rPr>
                <w:rFonts w:ascii="Arial" w:cs="Arial" w:eastAsia="Arial" w:hAnsi="Arial"/>
                <w:sz w:val="17"/>
                <w:szCs w:val="17"/>
                <w:b w:val="1"/>
                <w:bCs w:val="1"/>
                <w:color w:val="auto"/>
              </w:rPr>
              <w:t>Days and</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w w:val="90"/>
              </w:rPr>
              <w:t>Past Due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90"/>
              </w:rPr>
              <w:t>Past Due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More</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0"/>
              </w:rPr>
              <w:t>Receivable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Accruing</w:t>
            </w: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gridSpan w:val="5"/>
          </w:tcPr>
          <w:p>
            <w:pPr>
              <w:jc w:val="center"/>
              <w:ind w:right="73"/>
              <w:spacing w:after="0"/>
              <w:rPr>
                <w:sz w:val="20"/>
                <w:szCs w:val="20"/>
                <w:color w:val="auto"/>
              </w:rPr>
            </w:pPr>
            <w:r>
              <w:rPr>
                <w:rFonts w:ascii="Arial" w:cs="Arial" w:eastAsia="Arial" w:hAnsi="Arial"/>
                <w:sz w:val="16"/>
                <w:szCs w:val="16"/>
                <w:i w:val="1"/>
                <w:iCs w:val="1"/>
                <w:color w:val="auto"/>
                <w:w w:val="91"/>
              </w:rPr>
              <w:t>(Dollars in thousands)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Arial" w:cs="Arial" w:eastAsia="Arial" w:hAnsi="Arial"/>
                <w:sz w:val="17"/>
                <w:szCs w:val="17"/>
                <w:color w:val="auto"/>
              </w:rPr>
              <w:t>Commercial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8,497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11,236</w:t>
            </w:r>
          </w:p>
        </w:tc>
        <w:tc>
          <w:tcPr>
            <w:tcW w:w="480" w:type="dxa"/>
            <w:vAlign w:val="bottom"/>
            <w:gridSpan w:val="2"/>
          </w:tcPr>
          <w:p>
            <w:pPr>
              <w:jc w:val="right"/>
              <w:ind w:right="19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19,997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1,318,760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1,338,757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Energy</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338,060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345,233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Arial" w:cs="Arial" w:eastAsia="Arial" w:hAnsi="Arial"/>
                <w:sz w:val="17"/>
                <w:szCs w:val="17"/>
                <w:color w:val="auto"/>
              </w:rPr>
              <w:t>Commercial real estate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1,166,969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1,179,534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0"/>
        </w:trPr>
        <w:tc>
          <w:tcPr>
            <w:tcW w:w="20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Construction and land</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563,144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563,144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development</w:t>
            </w: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20"/>
              <w:spacing w:after="0" w:line="170" w:lineRule="exact"/>
              <w:rPr>
                <w:sz w:val="20"/>
                <w:szCs w:val="20"/>
                <w:color w:val="auto"/>
              </w:rPr>
            </w:pPr>
            <w:r>
              <w:rPr>
                <w:rFonts w:ascii="Arial" w:cs="Arial" w:eastAsia="Arial" w:hAnsi="Arial"/>
                <w:sz w:val="17"/>
                <w:szCs w:val="17"/>
                <w:color w:val="auto"/>
              </w:rPr>
              <w:t>Residential and multifamily</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1,577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3,520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5,097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675,835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680,932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652</w:t>
            </w:r>
          </w:p>
        </w:tc>
        <w:tc>
          <w:tcPr>
            <w:tcW w:w="0" w:type="dxa"/>
            <w:vAlign w:val="bottom"/>
          </w:tcPr>
          <w:p>
            <w:pPr>
              <w:spacing w:after="0"/>
              <w:rPr>
                <w:sz w:val="1"/>
                <w:szCs w:val="1"/>
                <w:color w:val="auto"/>
              </w:rPr>
            </w:pPr>
          </w:p>
        </w:tc>
      </w:tr>
      <w:tr>
        <w:trPr>
          <w:trHeight w:val="221"/>
        </w:trPr>
        <w:tc>
          <w:tcPr>
            <w:tcW w:w="2080" w:type="dxa"/>
            <w:vAlign w:val="bottom"/>
          </w:tcPr>
          <w:p>
            <w:pPr>
              <w:ind w:left="18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PPP</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Consumer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26,754</w:t>
            </w:r>
          </w:p>
        </w:tc>
        <w:tc>
          <w:tcPr>
            <w:tcW w:w="48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4,410,268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4,455,100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20" w:name="page21"/>
    <w:bookmarkEnd w:id="20"/>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Impaired Loans</w:t>
      </w:r>
    </w:p>
    <w:p>
      <w:pPr>
        <w:spacing w:after="0" w:line="164" w:lineRule="exact"/>
        <w:rPr>
          <w:sz w:val="20"/>
          <w:szCs w:val="20"/>
          <w:color w:val="auto"/>
        </w:rPr>
      </w:pPr>
    </w:p>
    <w:p>
      <w:pPr>
        <w:ind w:left="160" w:right="140" w:firstLine="469"/>
        <w:spacing w:after="0" w:line="266" w:lineRule="auto"/>
        <w:rPr>
          <w:sz w:val="20"/>
          <w:szCs w:val="20"/>
          <w:color w:val="auto"/>
        </w:rPr>
      </w:pPr>
      <w:r>
        <w:rPr>
          <w:rFonts w:ascii="Arial" w:cs="Arial" w:eastAsia="Arial" w:hAnsi="Arial"/>
          <w:sz w:val="17"/>
          <w:szCs w:val="17"/>
          <w:color w:val="auto"/>
        </w:rPr>
        <w:t>A loan is considered impaired, in accordance with the impairment accounting guidance (ASC 310-10-35-16), when based on current information and events, it is probable the Company will be unable to collect all amounts due from the borrower in accordance with the contractual terms of the loan. Impaired loans include nonperforming loans but also include loans modified in troubled debt restructurings where concessions have been granted to borrowers experiencing financial difficulties. The intent of concessions is to maximize collection.</w:t>
      </w:r>
    </w:p>
    <w:p>
      <w:pPr>
        <w:spacing w:after="0" w:line="123" w:lineRule="exact"/>
        <w:rPr>
          <w:sz w:val="20"/>
          <w:szCs w:val="20"/>
          <w:color w:val="auto"/>
        </w:rPr>
      </w:pPr>
    </w:p>
    <w:p>
      <w:pPr>
        <w:ind w:left="160" w:right="240" w:firstLine="469"/>
        <w:spacing w:after="0" w:line="295" w:lineRule="auto"/>
        <w:rPr>
          <w:sz w:val="20"/>
          <w:szCs w:val="20"/>
          <w:color w:val="auto"/>
        </w:rPr>
      </w:pPr>
      <w:r>
        <w:rPr>
          <w:rFonts w:ascii="Arial" w:cs="Arial" w:eastAsia="Arial" w:hAnsi="Arial"/>
          <w:sz w:val="16"/>
          <w:szCs w:val="16"/>
          <w:color w:val="auto"/>
        </w:rPr>
        <w:t>Groups of loans with similar risk characteristics are collectively evaluated for impairment based on the group’s historical loss experience adjusted for changes in trends, conditions and other relevant factors that affect repayment of the loans. The following tables present loans individually evaluated for impairment, including all restructured and formerly restructured loans, for the periods ended March 31, 2021 and December 31, 2020:</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Unpaid</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7"/>
        </w:trPr>
        <w:tc>
          <w:tcPr>
            <w:tcW w:w="4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Recorded Balance</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7"/>
                <w:szCs w:val="17"/>
                <w:b w:val="1"/>
                <w:bCs w:val="1"/>
                <w:color w:val="auto"/>
                <w:w w:val="93"/>
              </w:rPr>
              <w:t>Principal Balance</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w w:val="98"/>
              </w:rPr>
              <w:t>Specific Allowance</w:t>
            </w:r>
          </w:p>
        </w:tc>
      </w:tr>
      <w:tr>
        <w:trPr>
          <w:trHeight w:val="198"/>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i w:val="1"/>
                <w:iCs w:val="1"/>
                <w:color w:val="auto"/>
                <w:w w:val="91"/>
              </w:rPr>
              <w:t>(Dollars in thousands)</w:t>
            </w: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March 31, 2021</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7"/>
                <w:szCs w:val="17"/>
                <w:b w:val="1"/>
                <w:bCs w:val="1"/>
                <w:color w:val="auto"/>
              </w:rPr>
              <w:t>Loans without a specific valuation</w:t>
            </w: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Commercial</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tcPr>
          <w:p>
            <w:pPr>
              <w:ind w:left="220"/>
              <w:spacing w:after="0"/>
              <w:rPr>
                <w:sz w:val="20"/>
                <w:szCs w:val="20"/>
                <w:color w:val="auto"/>
              </w:rPr>
            </w:pPr>
            <w:r>
              <w:rPr>
                <w:rFonts w:ascii="Arial" w:cs="Arial" w:eastAsia="Arial" w:hAnsi="Arial"/>
                <w:sz w:val="17"/>
                <w:szCs w:val="17"/>
                <w:color w:val="auto"/>
              </w:rPr>
              <w:t>Energy</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Commercial real estate</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tcPr>
          <w:p>
            <w:pPr>
              <w:ind w:left="220"/>
              <w:spacing w:after="0"/>
              <w:rPr>
                <w:sz w:val="20"/>
                <w:szCs w:val="20"/>
                <w:color w:val="auto"/>
              </w:rPr>
            </w:pPr>
            <w:r>
              <w:rPr>
                <w:rFonts w:ascii="Arial" w:cs="Arial" w:eastAsia="Arial" w:hAnsi="Arial"/>
                <w:sz w:val="17"/>
                <w:szCs w:val="17"/>
                <w:color w:val="auto"/>
              </w:rPr>
              <w:t>Construction and land development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Residential and multifamily real estate</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tcPr>
          <w:p>
            <w:pPr>
              <w:ind w:left="220"/>
              <w:spacing w:after="0"/>
              <w:rPr>
                <w:sz w:val="20"/>
                <w:szCs w:val="20"/>
                <w:color w:val="auto"/>
              </w:rPr>
            </w:pPr>
            <w:r>
              <w:rPr>
                <w:rFonts w:ascii="Arial" w:cs="Arial" w:eastAsia="Arial" w:hAnsi="Arial"/>
                <w:sz w:val="17"/>
                <w:szCs w:val="17"/>
                <w:color w:val="auto"/>
              </w:rPr>
              <w:t>PPP</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Consumer</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tcPr>
          <w:p>
            <w:pPr>
              <w:ind w:left="20"/>
              <w:spacing w:after="0"/>
              <w:rPr>
                <w:sz w:val="20"/>
                <w:szCs w:val="20"/>
                <w:color w:val="auto"/>
              </w:rPr>
            </w:pPr>
            <w:r>
              <w:rPr>
                <w:rFonts w:ascii="Arial" w:cs="Arial" w:eastAsia="Arial" w:hAnsi="Arial"/>
                <w:sz w:val="17"/>
                <w:szCs w:val="17"/>
                <w:b w:val="1"/>
                <w:bCs w:val="1"/>
                <w:color w:val="auto"/>
              </w:rPr>
              <w:t>Loans with a specific valuation</w:t>
            </w: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Commercial</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r>
      <w:tr>
        <w:trPr>
          <w:trHeight w:val="221"/>
        </w:trPr>
        <w:tc>
          <w:tcPr>
            <w:tcW w:w="4420" w:type="dxa"/>
            <w:vAlign w:val="bottom"/>
          </w:tcPr>
          <w:p>
            <w:pPr>
              <w:ind w:left="220"/>
              <w:spacing w:after="0"/>
              <w:rPr>
                <w:sz w:val="20"/>
                <w:szCs w:val="20"/>
                <w:color w:val="auto"/>
              </w:rPr>
            </w:pPr>
            <w:r>
              <w:rPr>
                <w:rFonts w:ascii="Arial" w:cs="Arial" w:eastAsia="Arial" w:hAnsi="Arial"/>
                <w:sz w:val="17"/>
                <w:szCs w:val="17"/>
                <w:color w:val="auto"/>
              </w:rPr>
              <w:t>Energy</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27,112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35,204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4,938</w:t>
            </w: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Commercial real estate</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2,990</w:t>
            </w:r>
          </w:p>
        </w:tc>
      </w:tr>
      <w:tr>
        <w:trPr>
          <w:trHeight w:val="221"/>
        </w:trPr>
        <w:tc>
          <w:tcPr>
            <w:tcW w:w="4420" w:type="dxa"/>
            <w:vAlign w:val="bottom"/>
          </w:tcPr>
          <w:p>
            <w:pPr>
              <w:ind w:left="220"/>
              <w:spacing w:after="0"/>
              <w:rPr>
                <w:sz w:val="20"/>
                <w:szCs w:val="20"/>
                <w:color w:val="auto"/>
              </w:rPr>
            </w:pPr>
            <w:r>
              <w:rPr>
                <w:rFonts w:ascii="Arial" w:cs="Arial" w:eastAsia="Arial" w:hAnsi="Arial"/>
                <w:sz w:val="17"/>
                <w:szCs w:val="17"/>
                <w:color w:val="auto"/>
              </w:rPr>
              <w:t>Construction and land development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Residential and multifamily real estate</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tcPr>
          <w:p>
            <w:pPr>
              <w:ind w:left="220"/>
              <w:spacing w:after="0"/>
              <w:rPr>
                <w:sz w:val="20"/>
                <w:szCs w:val="20"/>
                <w:color w:val="auto"/>
              </w:rPr>
            </w:pPr>
            <w:r>
              <w:rPr>
                <w:rFonts w:ascii="Arial" w:cs="Arial" w:eastAsia="Arial" w:hAnsi="Arial"/>
                <w:sz w:val="17"/>
                <w:szCs w:val="17"/>
                <w:color w:val="auto"/>
              </w:rPr>
              <w:t>PPP</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Consumer</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Commercial</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r>
      <w:tr>
        <w:trPr>
          <w:trHeight w:val="221"/>
        </w:trPr>
        <w:tc>
          <w:tcPr>
            <w:tcW w:w="4420" w:type="dxa"/>
            <w:vAlign w:val="bottom"/>
          </w:tcPr>
          <w:p>
            <w:pPr>
              <w:ind w:left="220"/>
              <w:spacing w:after="0"/>
              <w:rPr>
                <w:sz w:val="20"/>
                <w:szCs w:val="20"/>
                <w:color w:val="auto"/>
              </w:rPr>
            </w:pPr>
            <w:r>
              <w:rPr>
                <w:rFonts w:ascii="Arial" w:cs="Arial" w:eastAsia="Arial" w:hAnsi="Arial"/>
                <w:sz w:val="17"/>
                <w:szCs w:val="17"/>
                <w:color w:val="auto"/>
              </w:rPr>
              <w:t>Energy</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27,215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35,307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4,938</w:t>
            </w: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Commercial real estate</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2,990</w:t>
            </w:r>
          </w:p>
        </w:tc>
      </w:tr>
      <w:tr>
        <w:trPr>
          <w:trHeight w:val="221"/>
        </w:trPr>
        <w:tc>
          <w:tcPr>
            <w:tcW w:w="4420" w:type="dxa"/>
            <w:vAlign w:val="bottom"/>
          </w:tcPr>
          <w:p>
            <w:pPr>
              <w:ind w:left="220"/>
              <w:spacing w:after="0"/>
              <w:rPr>
                <w:sz w:val="20"/>
                <w:szCs w:val="20"/>
                <w:color w:val="auto"/>
              </w:rPr>
            </w:pPr>
            <w:r>
              <w:rPr>
                <w:rFonts w:ascii="Arial" w:cs="Arial" w:eastAsia="Arial" w:hAnsi="Arial"/>
                <w:sz w:val="17"/>
                <w:szCs w:val="17"/>
                <w:color w:val="auto"/>
              </w:rPr>
              <w:t>Construction and land development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Residential and multifamily real estate</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tcPr>
          <w:p>
            <w:pPr>
              <w:ind w:left="220"/>
              <w:spacing w:after="0"/>
              <w:rPr>
                <w:sz w:val="20"/>
                <w:szCs w:val="20"/>
                <w:color w:val="auto"/>
              </w:rPr>
            </w:pPr>
            <w:r>
              <w:rPr>
                <w:rFonts w:ascii="Arial" w:cs="Arial" w:eastAsia="Arial" w:hAnsi="Arial"/>
                <w:sz w:val="17"/>
                <w:szCs w:val="17"/>
                <w:color w:val="auto"/>
              </w:rPr>
              <w:t>PPP</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Consumer</w:t>
            </w: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44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109,073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8,760</w:t>
            </w: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3340" w:type="dxa"/>
            <w:vAlign w:val="bottom"/>
            <w:gridSpan w:val="3"/>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5740" w:type="dxa"/>
            <w:vAlign w:val="bottom"/>
            <w:gridSpan w:val="7"/>
          </w:tcPr>
          <w:p>
            <w:pPr>
              <w:ind w:left="320"/>
              <w:spacing w:after="0"/>
              <w:rPr>
                <w:sz w:val="20"/>
                <w:szCs w:val="20"/>
                <w:color w:val="auto"/>
              </w:rPr>
            </w:pPr>
            <w:r>
              <w:rPr>
                <w:rFonts w:ascii="Arial" w:cs="Arial" w:eastAsia="Arial" w:hAnsi="Arial"/>
                <w:sz w:val="17"/>
                <w:szCs w:val="17"/>
                <w:color w:val="auto"/>
              </w:rPr>
              <w:t>Notes to Consolidated Financial Statements (unaudited)</w:t>
            </w:r>
          </w:p>
        </w:tc>
        <w:tc>
          <w:tcPr>
            <w:tcW w:w="2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782"/>
        </w:trPr>
        <w:tc>
          <w:tcPr>
            <w:tcW w:w="1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7"/>
              </w:rPr>
              <w:t>Unpaid</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7"/>
        </w:trPr>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Recorded Balance</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3"/>
              </w:rPr>
              <w:t>Principal Balance</w:t>
            </w: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98"/>
              </w:rPr>
              <w:t>Specific Allowance</w:t>
            </w:r>
          </w:p>
        </w:tc>
      </w:tr>
      <w:tr>
        <w:trPr>
          <w:trHeight w:val="198"/>
        </w:trPr>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i w:val="1"/>
                <w:iCs w:val="1"/>
                <w:color w:val="auto"/>
                <w:w w:val="91"/>
              </w:rPr>
              <w:t>(Dollars in thousands)</w:t>
            </w: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4"/>
        </w:trPr>
        <w:tc>
          <w:tcPr>
            <w:tcW w:w="140" w:type="dxa"/>
            <w:vAlign w:val="bottom"/>
          </w:tcPr>
          <w:p>
            <w:pPr>
              <w:spacing w:after="0"/>
              <w:rPr>
                <w:sz w:val="19"/>
                <w:szCs w:val="19"/>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2020</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b w:val="1"/>
                <w:bCs w:val="1"/>
                <w:color w:val="auto"/>
              </w:rPr>
              <w:t>Loans without a specific valuation</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20"/>
              <w:spacing w:after="0"/>
              <w:rPr>
                <w:sz w:val="20"/>
                <w:szCs w:val="20"/>
                <w:color w:val="auto"/>
              </w:rPr>
            </w:pPr>
            <w:r>
              <w:rPr>
                <w:rFonts w:ascii="Arial" w:cs="Arial" w:eastAsia="Arial" w:hAnsi="Arial"/>
                <w:sz w:val="17"/>
                <w:szCs w:val="17"/>
                <w:color w:val="auto"/>
              </w:rPr>
              <w:t>Energy</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3,864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6,677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 real estate</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20"/>
              <w:spacing w:after="0"/>
              <w:rPr>
                <w:sz w:val="20"/>
                <w:szCs w:val="20"/>
                <w:color w:val="auto"/>
              </w:rPr>
            </w:pPr>
            <w:r>
              <w:rPr>
                <w:rFonts w:ascii="Arial" w:cs="Arial" w:eastAsia="Arial" w:hAnsi="Arial"/>
                <w:sz w:val="17"/>
                <w:szCs w:val="17"/>
                <w:color w:val="auto"/>
              </w:rPr>
              <w:t>Construction and land development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Residential and multifamily real estate</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20"/>
              <w:spacing w:after="0"/>
              <w:rPr>
                <w:sz w:val="20"/>
                <w:szCs w:val="20"/>
                <w:color w:val="auto"/>
              </w:rPr>
            </w:pPr>
            <w:r>
              <w:rPr>
                <w:rFonts w:ascii="Arial" w:cs="Arial" w:eastAsia="Arial" w:hAnsi="Arial"/>
                <w:sz w:val="17"/>
                <w:szCs w:val="17"/>
                <w:color w:val="auto"/>
              </w:rPr>
              <w:t>PPP</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Consumer</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b w:val="1"/>
                <w:bCs w:val="1"/>
                <w:color w:val="auto"/>
              </w:rPr>
              <w:t>Loans with a specific valuation</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20"/>
              <w:spacing w:after="0"/>
              <w:rPr>
                <w:sz w:val="20"/>
                <w:szCs w:val="20"/>
                <w:color w:val="auto"/>
              </w:rPr>
            </w:pPr>
            <w:r>
              <w:rPr>
                <w:rFonts w:ascii="Arial" w:cs="Arial" w:eastAsia="Arial" w:hAnsi="Arial"/>
                <w:sz w:val="17"/>
                <w:szCs w:val="17"/>
                <w:color w:val="auto"/>
              </w:rPr>
              <w:t>Energy</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22,181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27,460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3,370</w:t>
            </w: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 real estate</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5,048</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20"/>
              <w:spacing w:after="0"/>
              <w:rPr>
                <w:sz w:val="20"/>
                <w:szCs w:val="20"/>
                <w:color w:val="auto"/>
              </w:rPr>
            </w:pPr>
            <w:r>
              <w:rPr>
                <w:rFonts w:ascii="Arial" w:cs="Arial" w:eastAsia="Arial" w:hAnsi="Arial"/>
                <w:sz w:val="17"/>
                <w:szCs w:val="17"/>
                <w:color w:val="auto"/>
              </w:rPr>
              <w:t>Construction and land development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Residential and multifamily real estate</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20"/>
              <w:spacing w:after="0"/>
              <w:rPr>
                <w:sz w:val="20"/>
                <w:szCs w:val="20"/>
                <w:color w:val="auto"/>
              </w:rPr>
            </w:pPr>
            <w:r>
              <w:rPr>
                <w:rFonts w:ascii="Arial" w:cs="Arial" w:eastAsia="Arial" w:hAnsi="Arial"/>
                <w:sz w:val="17"/>
                <w:szCs w:val="17"/>
                <w:color w:val="auto"/>
              </w:rPr>
              <w:t>PPP</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Consumer</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20"/>
              <w:spacing w:after="0"/>
              <w:rPr>
                <w:sz w:val="20"/>
                <w:szCs w:val="20"/>
                <w:color w:val="auto"/>
              </w:rPr>
            </w:pPr>
            <w:r>
              <w:rPr>
                <w:rFonts w:ascii="Arial" w:cs="Arial" w:eastAsia="Arial" w:hAnsi="Arial"/>
                <w:sz w:val="17"/>
                <w:szCs w:val="17"/>
                <w:color w:val="auto"/>
              </w:rPr>
              <w:t>Energy</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26,045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34,137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3,370</w:t>
            </w: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 real estate</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5,048</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20"/>
              <w:spacing w:after="0"/>
              <w:rPr>
                <w:sz w:val="20"/>
                <w:szCs w:val="20"/>
                <w:color w:val="auto"/>
              </w:rPr>
            </w:pPr>
            <w:r>
              <w:rPr>
                <w:rFonts w:ascii="Arial" w:cs="Arial" w:eastAsia="Arial" w:hAnsi="Arial"/>
                <w:sz w:val="17"/>
                <w:szCs w:val="17"/>
                <w:color w:val="auto"/>
              </w:rPr>
              <w:t>Construction and land development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Residential and multifamily real estate</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tcPr>
          <w:p>
            <w:pPr>
              <w:ind w:left="220"/>
              <w:spacing w:after="0"/>
              <w:rPr>
                <w:sz w:val="20"/>
                <w:szCs w:val="20"/>
                <w:color w:val="auto"/>
              </w:rPr>
            </w:pPr>
            <w:r>
              <w:rPr>
                <w:rFonts w:ascii="Arial" w:cs="Arial" w:eastAsia="Arial" w:hAnsi="Arial"/>
                <w:sz w:val="17"/>
                <w:szCs w:val="17"/>
                <w:color w:val="auto"/>
              </w:rPr>
              <w:t>PPP</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40" w:type="dxa"/>
            <w:vAlign w:val="bottom"/>
          </w:tcPr>
          <w:p>
            <w:pPr>
              <w:spacing w:after="0"/>
              <w:rPr>
                <w:sz w:val="19"/>
                <w:szCs w:val="19"/>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Consumer</w:t>
            </w:r>
          </w:p>
        </w:tc>
        <w:tc>
          <w:tcPr>
            <w:tcW w:w="1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121,614</w:t>
            </w:r>
          </w:p>
        </w:tc>
        <w:tc>
          <w:tcPr>
            <w:tcW w:w="100" w:type="dxa"/>
            <w:vAlign w:val="bottom"/>
          </w:tcPr>
          <w:p>
            <w:pPr>
              <w:spacing w:after="0"/>
              <w:rPr>
                <w:sz w:val="18"/>
                <w:szCs w:val="18"/>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145,680</w:t>
            </w:r>
          </w:p>
        </w:tc>
        <w:tc>
          <w:tcPr>
            <w:tcW w:w="100" w:type="dxa"/>
            <w:vAlign w:val="bottom"/>
          </w:tcPr>
          <w:p>
            <w:pPr>
              <w:spacing w:after="0"/>
              <w:rPr>
                <w:sz w:val="18"/>
                <w:szCs w:val="18"/>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9,533</w:t>
            </w:r>
          </w:p>
        </w:tc>
      </w:tr>
      <w:tr>
        <w:trPr>
          <w:trHeight w:val="20"/>
        </w:trPr>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40" w:right="360" w:firstLine="469"/>
        <w:spacing w:after="0" w:line="286" w:lineRule="auto"/>
        <w:rPr>
          <w:sz w:val="20"/>
          <w:szCs w:val="20"/>
          <w:color w:val="auto"/>
        </w:rPr>
      </w:pPr>
      <w:r>
        <w:rPr>
          <w:rFonts w:ascii="Arial" w:cs="Arial" w:eastAsia="Arial" w:hAnsi="Arial"/>
          <w:sz w:val="17"/>
          <w:szCs w:val="17"/>
          <w:color w:val="auto"/>
        </w:rPr>
        <w:t>The table below shows interest income recognized during the three month periods ended March 31, 2021 and 2020 for impaired loans, including all restructured and formerly restructured loans, held at the end of each period:</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8240" w:type="dxa"/>
            <w:vAlign w:val="bottom"/>
          </w:tcPr>
          <w:p>
            <w:pPr>
              <w:spacing w:after="0"/>
              <w:rPr>
                <w:sz w:val="19"/>
                <w:szCs w:val="19"/>
                <w:color w:val="auto"/>
              </w:rPr>
            </w:pPr>
          </w:p>
        </w:tc>
        <w:tc>
          <w:tcPr>
            <w:tcW w:w="2360" w:type="dxa"/>
            <w:vAlign w:val="bottom"/>
            <w:gridSpan w:val="4"/>
          </w:tcPr>
          <w:p>
            <w:pPr>
              <w:jc w:val="center"/>
              <w:ind w:left="415"/>
              <w:spacing w:after="0"/>
              <w:rPr>
                <w:sz w:val="20"/>
                <w:szCs w:val="20"/>
                <w:color w:val="auto"/>
              </w:rPr>
            </w:pPr>
            <w:r>
              <w:rPr>
                <w:rFonts w:ascii="Arial" w:cs="Arial" w:eastAsia="Arial" w:hAnsi="Arial"/>
                <w:sz w:val="17"/>
                <w:szCs w:val="17"/>
                <w:b w:val="1"/>
                <w:bCs w:val="1"/>
                <w:color w:val="auto"/>
                <w:w w:val="93"/>
              </w:rPr>
              <w:t>Three Months Ended</w:t>
            </w:r>
          </w:p>
        </w:tc>
        <w:tc>
          <w:tcPr>
            <w:tcW w:w="480" w:type="dxa"/>
            <w:vAlign w:val="bottom"/>
          </w:tcPr>
          <w:p>
            <w:pPr>
              <w:spacing w:after="0"/>
              <w:rPr>
                <w:sz w:val="19"/>
                <w:szCs w:val="19"/>
                <w:color w:val="auto"/>
              </w:rPr>
            </w:pPr>
          </w:p>
        </w:tc>
      </w:tr>
      <w:tr>
        <w:trPr>
          <w:trHeight w:val="227"/>
        </w:trPr>
        <w:tc>
          <w:tcPr>
            <w:tcW w:w="82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right="393"/>
              <w:spacing w:after="0"/>
              <w:rPr>
                <w:sz w:val="20"/>
                <w:szCs w:val="20"/>
                <w:color w:val="auto"/>
              </w:rPr>
            </w:pPr>
            <w:r>
              <w:rPr>
                <w:rFonts w:ascii="Arial" w:cs="Arial" w:eastAsia="Arial" w:hAnsi="Arial"/>
                <w:sz w:val="17"/>
                <w:szCs w:val="17"/>
                <w:b w:val="1"/>
                <w:bCs w:val="1"/>
                <w:color w:val="auto"/>
                <w:w w:val="96"/>
              </w:rPr>
              <w:t>March 31,</w:t>
            </w:r>
          </w:p>
        </w:tc>
        <w:tc>
          <w:tcPr>
            <w:tcW w:w="480" w:type="dxa"/>
            <w:vAlign w:val="bottom"/>
            <w:tcBorders>
              <w:bottom w:val="single" w:sz="8" w:color="auto"/>
            </w:tcBorders>
          </w:tcPr>
          <w:p>
            <w:pPr>
              <w:spacing w:after="0"/>
              <w:rPr>
                <w:sz w:val="19"/>
                <w:szCs w:val="19"/>
                <w:color w:val="auto"/>
              </w:rPr>
            </w:pPr>
          </w:p>
        </w:tc>
      </w:tr>
      <w:tr>
        <w:trPr>
          <w:trHeight w:val="214"/>
        </w:trPr>
        <w:tc>
          <w:tcPr>
            <w:tcW w:w="8240" w:type="dxa"/>
            <w:vAlign w:val="bottom"/>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bottom w:val="single" w:sz="8" w:color="auto"/>
            </w:tcBorders>
          </w:tcPr>
          <w:p>
            <w:pPr>
              <w:spacing w:after="0"/>
              <w:rPr>
                <w:sz w:val="18"/>
                <w:szCs w:val="18"/>
                <w:color w:val="auto"/>
              </w:rPr>
            </w:pPr>
          </w:p>
        </w:tc>
      </w:tr>
      <w:tr>
        <w:trPr>
          <w:trHeight w:val="198"/>
        </w:trPr>
        <w:tc>
          <w:tcPr>
            <w:tcW w:w="8240" w:type="dxa"/>
            <w:vAlign w:val="bottom"/>
          </w:tcPr>
          <w:p>
            <w:pPr>
              <w:spacing w:after="0"/>
              <w:rPr>
                <w:sz w:val="17"/>
                <w:szCs w:val="17"/>
                <w:color w:val="auto"/>
              </w:rPr>
            </w:pPr>
          </w:p>
        </w:tc>
        <w:tc>
          <w:tcPr>
            <w:tcW w:w="2360" w:type="dxa"/>
            <w:vAlign w:val="bottom"/>
            <w:gridSpan w:val="4"/>
          </w:tcPr>
          <w:p>
            <w:pPr>
              <w:jc w:val="center"/>
              <w:ind w:left="415"/>
              <w:spacing w:after="0"/>
              <w:rPr>
                <w:sz w:val="20"/>
                <w:szCs w:val="20"/>
                <w:color w:val="auto"/>
              </w:rPr>
            </w:pPr>
            <w:r>
              <w:rPr>
                <w:rFonts w:ascii="Arial" w:cs="Arial" w:eastAsia="Arial" w:hAnsi="Arial"/>
                <w:sz w:val="16"/>
                <w:szCs w:val="16"/>
                <w:i w:val="1"/>
                <w:iCs w:val="1"/>
                <w:color w:val="auto"/>
                <w:w w:val="91"/>
              </w:rPr>
              <w:t>(Dollars in thousands)</w:t>
            </w:r>
          </w:p>
        </w:tc>
        <w:tc>
          <w:tcPr>
            <w:tcW w:w="480" w:type="dxa"/>
            <w:vAlign w:val="bottom"/>
          </w:tcPr>
          <w:p>
            <w:pPr>
              <w:spacing w:after="0"/>
              <w:rPr>
                <w:sz w:val="17"/>
                <w:szCs w:val="17"/>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r>
      <w:tr>
        <w:trPr>
          <w:trHeight w:val="221"/>
        </w:trPr>
        <w:tc>
          <w:tcPr>
            <w:tcW w:w="8240" w:type="dxa"/>
            <w:vAlign w:val="bottom"/>
          </w:tcPr>
          <w:p>
            <w:pPr>
              <w:ind w:left="20"/>
              <w:spacing w:after="0"/>
              <w:rPr>
                <w:sz w:val="20"/>
                <w:szCs w:val="20"/>
                <w:color w:val="auto"/>
              </w:rPr>
            </w:pPr>
            <w:r>
              <w:rPr>
                <w:rFonts w:ascii="Arial" w:cs="Arial" w:eastAsia="Arial" w:hAnsi="Arial"/>
                <w:sz w:val="17"/>
                <w:szCs w:val="17"/>
                <w:color w:val="auto"/>
              </w:rPr>
              <w:t>Energy</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21"/>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real estate</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21"/>
        </w:trPr>
        <w:tc>
          <w:tcPr>
            <w:tcW w:w="8240" w:type="dxa"/>
            <w:vAlign w:val="bottom"/>
          </w:tcPr>
          <w:p>
            <w:pPr>
              <w:ind w:left="20"/>
              <w:spacing w:after="0"/>
              <w:rPr>
                <w:sz w:val="20"/>
                <w:szCs w:val="20"/>
                <w:color w:val="auto"/>
              </w:rPr>
            </w:pPr>
            <w:r>
              <w:rPr>
                <w:rFonts w:ascii="Arial" w:cs="Arial" w:eastAsia="Arial" w:hAnsi="Arial"/>
                <w:sz w:val="17"/>
                <w:szCs w:val="17"/>
                <w:color w:val="auto"/>
              </w:rPr>
              <w:t>Construction and land development</w:t>
            </w:r>
          </w:p>
        </w:tc>
        <w:tc>
          <w:tcPr>
            <w:tcW w:w="9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and multifamily real estate</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1"/>
        </w:trPr>
        <w:tc>
          <w:tcPr>
            <w:tcW w:w="8240" w:type="dxa"/>
            <w:vAlign w:val="bottom"/>
          </w:tcPr>
          <w:p>
            <w:pPr>
              <w:ind w:left="20"/>
              <w:spacing w:after="0"/>
              <w:rPr>
                <w:sz w:val="20"/>
                <w:szCs w:val="20"/>
                <w:color w:val="auto"/>
              </w:rPr>
            </w:pPr>
            <w:r>
              <w:rPr>
                <w:rFonts w:ascii="Arial" w:cs="Arial" w:eastAsia="Arial" w:hAnsi="Arial"/>
                <w:sz w:val="17"/>
                <w:szCs w:val="17"/>
                <w:color w:val="auto"/>
              </w:rPr>
              <w:t>PPP</w:t>
            </w:r>
          </w:p>
        </w:tc>
        <w:tc>
          <w:tcPr>
            <w:tcW w:w="9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w:t>
            </w:r>
          </w:p>
        </w:tc>
        <w:tc>
          <w:tcPr>
            <w:tcW w:w="9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8240" w:type="dxa"/>
            <w:vAlign w:val="bottom"/>
          </w:tcPr>
          <w:p>
            <w:pPr>
              <w:ind w:left="140"/>
              <w:spacing w:after="0"/>
              <w:rPr>
                <w:sz w:val="20"/>
                <w:szCs w:val="20"/>
                <w:color w:val="auto"/>
              </w:rPr>
            </w:pPr>
            <w:r>
              <w:rPr>
                <w:rFonts w:ascii="Arial" w:cs="Arial" w:eastAsia="Arial" w:hAnsi="Arial"/>
                <w:sz w:val="17"/>
                <w:szCs w:val="17"/>
                <w:color w:val="auto"/>
              </w:rPr>
              <w:t>Total interest income recognized</w:t>
            </w: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1,195</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69215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65" w:right="339" w:bottom="1440" w:gutter="0" w:footer="0" w:header="0"/>
        </w:sectPr>
      </w:pPr>
    </w:p>
    <w:bookmarkStart w:id="22" w:name="page23"/>
    <w:bookmarkEnd w:id="22"/>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160" w:right="20" w:firstLine="469"/>
        <w:spacing w:after="0" w:line="286" w:lineRule="auto"/>
        <w:rPr>
          <w:sz w:val="20"/>
          <w:szCs w:val="20"/>
          <w:color w:val="auto"/>
        </w:rPr>
      </w:pPr>
      <w:r>
        <w:rPr>
          <w:rFonts w:ascii="Arial" w:cs="Arial" w:eastAsia="Arial" w:hAnsi="Arial"/>
          <w:sz w:val="17"/>
          <w:szCs w:val="17"/>
          <w:color w:val="auto"/>
        </w:rPr>
        <w:t>The table below shows the three month average balance of impaired loans for the periods ended March 31, 2021 and 2020 by loan category for impaired loans, including all restructured and formerly restructured loans, held at the end of each period:</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8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right="233"/>
              <w:spacing w:after="0"/>
              <w:rPr>
                <w:sz w:val="20"/>
                <w:szCs w:val="20"/>
                <w:color w:val="auto"/>
              </w:rPr>
            </w:pPr>
            <w:r>
              <w:rPr>
                <w:rFonts w:ascii="Arial" w:cs="Arial" w:eastAsia="Arial" w:hAnsi="Arial"/>
                <w:sz w:val="17"/>
                <w:szCs w:val="17"/>
                <w:b w:val="1"/>
                <w:bCs w:val="1"/>
                <w:color w:val="auto"/>
                <w:w w:val="93"/>
              </w:rPr>
              <w:t>Three Months Ended</w:t>
            </w:r>
          </w:p>
        </w:tc>
      </w:tr>
      <w:tr>
        <w:trPr>
          <w:trHeight w:val="227"/>
        </w:trPr>
        <w:tc>
          <w:tcPr>
            <w:tcW w:w="8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7"/>
                <w:szCs w:val="17"/>
                <w:b w:val="1"/>
                <w:bCs w:val="1"/>
                <w:color w:val="auto"/>
                <w:w w:val="96"/>
              </w:rPr>
              <w:t>March 31,</w:t>
            </w:r>
          </w:p>
        </w:tc>
        <w:tc>
          <w:tcPr>
            <w:tcW w:w="940" w:type="dxa"/>
            <w:vAlign w:val="bottom"/>
            <w:tcBorders>
              <w:bottom w:val="single" w:sz="8" w:color="auto"/>
            </w:tcBorders>
          </w:tcPr>
          <w:p>
            <w:pPr>
              <w:spacing w:after="0"/>
              <w:rPr>
                <w:sz w:val="19"/>
                <w:szCs w:val="19"/>
                <w:color w:val="auto"/>
              </w:rPr>
            </w:pPr>
          </w:p>
        </w:tc>
      </w:tr>
      <w:tr>
        <w:trPr>
          <w:trHeight w:val="214"/>
        </w:trPr>
        <w:tc>
          <w:tcPr>
            <w:tcW w:w="8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2020</w:t>
            </w:r>
          </w:p>
        </w:tc>
      </w:tr>
      <w:tr>
        <w:trPr>
          <w:trHeight w:val="198"/>
        </w:trPr>
        <w:tc>
          <w:tcPr>
            <w:tcW w:w="8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center"/>
              <w:ind w:right="233"/>
              <w:spacing w:after="0"/>
              <w:rPr>
                <w:sz w:val="20"/>
                <w:szCs w:val="20"/>
                <w:color w:val="auto"/>
              </w:rPr>
            </w:pPr>
            <w:r>
              <w:rPr>
                <w:rFonts w:ascii="Arial" w:cs="Arial" w:eastAsia="Arial" w:hAnsi="Arial"/>
                <w:sz w:val="16"/>
                <w:szCs w:val="16"/>
                <w:i w:val="1"/>
                <w:iCs w:val="1"/>
                <w:color w:val="auto"/>
                <w:w w:val="91"/>
              </w:rPr>
              <w:t>(Dollars in thousands)</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86,626</w:t>
            </w:r>
          </w:p>
        </w:tc>
      </w:tr>
      <w:tr>
        <w:trPr>
          <w:trHeight w:val="221"/>
        </w:trPr>
        <w:tc>
          <w:tcPr>
            <w:tcW w:w="8280" w:type="dxa"/>
            <w:vAlign w:val="bottom"/>
          </w:tcPr>
          <w:p>
            <w:pPr>
              <w:ind w:left="20"/>
              <w:spacing w:after="0"/>
              <w:rPr>
                <w:sz w:val="20"/>
                <w:szCs w:val="20"/>
                <w:color w:val="auto"/>
              </w:rPr>
            </w:pPr>
            <w:r>
              <w:rPr>
                <w:rFonts w:ascii="Arial" w:cs="Arial" w:eastAsia="Arial" w:hAnsi="Arial"/>
                <w:sz w:val="17"/>
                <w:szCs w:val="17"/>
                <w:color w:val="auto"/>
              </w:rPr>
              <w:t>Energy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27,431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16,976</w:t>
            </w:r>
          </w:p>
        </w:tc>
      </w:tr>
      <w:tr>
        <w:trPr>
          <w:trHeight w:val="22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real estate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14,927</w:t>
            </w:r>
          </w:p>
        </w:tc>
      </w:tr>
      <w:tr>
        <w:trPr>
          <w:trHeight w:val="221"/>
        </w:trPr>
        <w:tc>
          <w:tcPr>
            <w:tcW w:w="8280" w:type="dxa"/>
            <w:vAlign w:val="bottom"/>
          </w:tcPr>
          <w:p>
            <w:pPr>
              <w:ind w:left="20"/>
              <w:spacing w:after="0"/>
              <w:rPr>
                <w:sz w:val="20"/>
                <w:szCs w:val="20"/>
                <w:color w:val="auto"/>
              </w:rPr>
            </w:pPr>
            <w:r>
              <w:rPr>
                <w:rFonts w:ascii="Arial" w:cs="Arial" w:eastAsia="Arial" w:hAnsi="Arial"/>
                <w:sz w:val="17"/>
                <w:szCs w:val="17"/>
                <w:color w:val="auto"/>
              </w:rPr>
              <w:t>Construction and land development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and multifamily real estate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5,230</w:t>
            </w:r>
          </w:p>
        </w:tc>
      </w:tr>
      <w:tr>
        <w:trPr>
          <w:trHeight w:val="221"/>
        </w:trPr>
        <w:tc>
          <w:tcPr>
            <w:tcW w:w="8280" w:type="dxa"/>
            <w:vAlign w:val="bottom"/>
          </w:tcPr>
          <w:p>
            <w:pPr>
              <w:ind w:left="20"/>
              <w:spacing w:after="0"/>
              <w:rPr>
                <w:sz w:val="20"/>
                <w:szCs w:val="20"/>
                <w:color w:val="auto"/>
              </w:rPr>
            </w:pPr>
            <w:r>
              <w:rPr>
                <w:rFonts w:ascii="Arial" w:cs="Arial" w:eastAsia="Arial" w:hAnsi="Arial"/>
                <w:sz w:val="17"/>
                <w:szCs w:val="17"/>
                <w:color w:val="auto"/>
              </w:rPr>
              <w:t>PPP</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w:t>
            </w:r>
          </w:p>
        </w:tc>
      </w:tr>
      <w:tr>
        <w:trPr>
          <w:trHeight w:val="214"/>
        </w:trPr>
        <w:tc>
          <w:tcPr>
            <w:tcW w:w="8280" w:type="dxa"/>
            <w:vAlign w:val="bottom"/>
          </w:tcPr>
          <w:p>
            <w:pPr>
              <w:ind w:left="140"/>
              <w:spacing w:after="0"/>
              <w:rPr>
                <w:sz w:val="20"/>
                <w:szCs w:val="20"/>
                <w:color w:val="auto"/>
              </w:rPr>
            </w:pPr>
            <w:r>
              <w:rPr>
                <w:rFonts w:ascii="Arial" w:cs="Arial" w:eastAsia="Arial" w:hAnsi="Arial"/>
                <w:sz w:val="17"/>
                <w:szCs w:val="17"/>
                <w:color w:val="auto"/>
              </w:rPr>
              <w:t>Total average impaired loans</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112,124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124,013</w:t>
            </w: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Non-accrual Loans</w:t>
      </w:r>
    </w:p>
    <w:p>
      <w:pPr>
        <w:spacing w:after="0" w:line="164" w:lineRule="exact"/>
        <w:rPr>
          <w:sz w:val="20"/>
          <w:szCs w:val="20"/>
          <w:color w:val="auto"/>
        </w:rPr>
      </w:pPr>
    </w:p>
    <w:p>
      <w:pPr>
        <w:jc w:val="both"/>
        <w:ind w:left="160" w:right="40" w:firstLine="469"/>
        <w:spacing w:after="0" w:line="271" w:lineRule="auto"/>
        <w:rPr>
          <w:sz w:val="20"/>
          <w:szCs w:val="20"/>
          <w:color w:val="auto"/>
        </w:rPr>
      </w:pPr>
      <w:r>
        <w:rPr>
          <w:rFonts w:ascii="Arial" w:cs="Arial" w:eastAsia="Arial" w:hAnsi="Arial"/>
          <w:sz w:val="17"/>
          <w:szCs w:val="17"/>
          <w:color w:val="auto"/>
        </w:rPr>
        <w:t>Non-accrual loans are loans for which the Company does not record interest income. The accrual of interest on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w:t>
      </w:r>
    </w:p>
    <w:p>
      <w:pPr>
        <w:spacing w:after="0" w:line="119" w:lineRule="exact"/>
        <w:rPr>
          <w:sz w:val="20"/>
          <w:szCs w:val="20"/>
          <w:color w:val="auto"/>
        </w:rPr>
      </w:pPr>
    </w:p>
    <w:p>
      <w:pPr>
        <w:ind w:left="160" w:right="140" w:firstLine="469"/>
        <w:spacing w:after="0" w:line="266" w:lineRule="auto"/>
        <w:rPr>
          <w:sz w:val="20"/>
          <w:szCs w:val="20"/>
          <w:color w:val="auto"/>
        </w:rPr>
      </w:pPr>
      <w:r>
        <w:rPr>
          <w:rFonts w:ascii="Arial" w:cs="Arial" w:eastAsia="Arial" w:hAnsi="Arial"/>
          <w:sz w:val="17"/>
          <w:szCs w:val="17"/>
          <w:color w:val="auto"/>
        </w:rPr>
        <w:t>All interest accrued but not collected for loans that are placed on non-accrual or charged off are reversed against interest income. The interest on these loans is accounted for on the cash basis or cost-recovery method, until qualifying for return to accrual. Loans are returned to accrual status when all the principal and interest amounts contractually due are brought current and future payments are reasonably assured. The following table presents the Company’s non-accrual loans by loan category at March 31, 2021 and December 31, 2020:</w:t>
      </w:r>
    </w:p>
    <w:p>
      <w:pPr>
        <w:spacing w:after="0" w:line="156"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7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March 31, 2021</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95"/>
              </w:rPr>
              <w:t>December 31, 2020</w:t>
            </w:r>
          </w:p>
        </w:tc>
      </w:tr>
      <w:tr>
        <w:trPr>
          <w:trHeight w:val="198"/>
        </w:trPr>
        <w:tc>
          <w:tcPr>
            <w:tcW w:w="7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80" w:type="dxa"/>
            <w:vAlign w:val="bottom"/>
            <w:gridSpan w:val="4"/>
          </w:tcPr>
          <w:p>
            <w:pPr>
              <w:jc w:val="right"/>
              <w:ind w:right="1213"/>
              <w:spacing w:after="0"/>
              <w:rPr>
                <w:sz w:val="20"/>
                <w:szCs w:val="20"/>
                <w:color w:val="auto"/>
              </w:rPr>
            </w:pPr>
            <w:r>
              <w:rPr>
                <w:rFonts w:ascii="Arial" w:cs="Arial" w:eastAsia="Arial" w:hAnsi="Arial"/>
                <w:sz w:val="16"/>
                <w:szCs w:val="16"/>
                <w:i w:val="1"/>
                <w:iCs w:val="1"/>
                <w:color w:val="auto"/>
              </w:rPr>
              <w:t>(Dollars in thousands)</w:t>
            </w:r>
          </w:p>
        </w:tc>
      </w:tr>
      <w:tr>
        <w:trPr>
          <w:trHeight w:val="224"/>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26,691</w:t>
            </w:r>
          </w:p>
        </w:tc>
      </w:tr>
      <w:tr>
        <w:trPr>
          <w:trHeight w:val="221"/>
        </w:trPr>
        <w:tc>
          <w:tcPr>
            <w:tcW w:w="7040" w:type="dxa"/>
            <w:vAlign w:val="bottom"/>
          </w:tcPr>
          <w:p>
            <w:pPr>
              <w:ind w:left="20"/>
              <w:spacing w:after="0"/>
              <w:rPr>
                <w:sz w:val="20"/>
                <w:szCs w:val="20"/>
                <w:color w:val="auto"/>
              </w:rPr>
            </w:pPr>
            <w:r>
              <w:rPr>
                <w:rFonts w:ascii="Arial" w:cs="Arial" w:eastAsia="Arial" w:hAnsi="Arial"/>
                <w:sz w:val="17"/>
                <w:szCs w:val="17"/>
                <w:color w:val="auto"/>
              </w:rPr>
              <w:t>Energy</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27,112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25,927</w:t>
            </w:r>
          </w:p>
        </w:tc>
      </w:tr>
      <w:tr>
        <w:trPr>
          <w:trHeight w:val="221"/>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real estate</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19,088</w:t>
            </w:r>
          </w:p>
        </w:tc>
      </w:tr>
      <w:tr>
        <w:trPr>
          <w:trHeight w:val="221"/>
        </w:trPr>
        <w:tc>
          <w:tcPr>
            <w:tcW w:w="7040" w:type="dxa"/>
            <w:vAlign w:val="bottom"/>
          </w:tcPr>
          <w:p>
            <w:pPr>
              <w:ind w:left="20"/>
              <w:spacing w:after="0"/>
              <w:rPr>
                <w:sz w:val="20"/>
                <w:szCs w:val="20"/>
                <w:color w:val="auto"/>
              </w:rPr>
            </w:pPr>
            <w:r>
              <w:rPr>
                <w:rFonts w:ascii="Arial" w:cs="Arial" w:eastAsia="Arial" w:hAnsi="Arial"/>
                <w:sz w:val="17"/>
                <w:szCs w:val="17"/>
                <w:color w:val="auto"/>
              </w:rPr>
              <w:t>Construction and land development</w:t>
            </w:r>
          </w:p>
        </w:tc>
        <w:tc>
          <w:tcPr>
            <w:tcW w:w="26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and multifamily real estate</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3,101</w:t>
            </w:r>
          </w:p>
        </w:tc>
      </w:tr>
      <w:tr>
        <w:trPr>
          <w:trHeight w:val="221"/>
        </w:trPr>
        <w:tc>
          <w:tcPr>
            <w:tcW w:w="7040" w:type="dxa"/>
            <w:vAlign w:val="bottom"/>
          </w:tcPr>
          <w:p>
            <w:pPr>
              <w:ind w:left="20"/>
              <w:spacing w:after="0"/>
              <w:rPr>
                <w:sz w:val="20"/>
                <w:szCs w:val="20"/>
                <w:color w:val="auto"/>
              </w:rPr>
            </w:pPr>
            <w:r>
              <w:rPr>
                <w:rFonts w:ascii="Arial" w:cs="Arial" w:eastAsia="Arial" w:hAnsi="Arial"/>
                <w:sz w:val="17"/>
                <w:szCs w:val="17"/>
                <w:color w:val="auto"/>
              </w:rPr>
              <w:t>PPP</w:t>
            </w:r>
          </w:p>
        </w:tc>
        <w:tc>
          <w:tcPr>
            <w:tcW w:w="26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r>
      <w:tr>
        <w:trPr>
          <w:trHeight w:val="214"/>
        </w:trPr>
        <w:tc>
          <w:tcPr>
            <w:tcW w:w="7040" w:type="dxa"/>
            <w:vAlign w:val="bottom"/>
          </w:tcPr>
          <w:p>
            <w:pPr>
              <w:ind w:left="140"/>
              <w:spacing w:after="0"/>
              <w:rPr>
                <w:sz w:val="20"/>
                <w:szCs w:val="20"/>
                <w:color w:val="auto"/>
              </w:rPr>
            </w:pPr>
            <w:r>
              <w:rPr>
                <w:rFonts w:ascii="Arial" w:cs="Arial" w:eastAsia="Arial" w:hAnsi="Arial"/>
                <w:sz w:val="17"/>
                <w:szCs w:val="17"/>
                <w:color w:val="auto"/>
              </w:rPr>
              <w:t>Total non-accrual loans</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75,051</w:t>
            </w:r>
          </w:p>
        </w:tc>
      </w:tr>
      <w:tr>
        <w:trPr>
          <w:trHeight w:val="20"/>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Troubled Debt Restructurings</w:t>
      </w:r>
    </w:p>
    <w:p>
      <w:pPr>
        <w:spacing w:after="0" w:line="164" w:lineRule="exact"/>
        <w:rPr>
          <w:sz w:val="20"/>
          <w:szCs w:val="20"/>
          <w:color w:val="auto"/>
        </w:rPr>
      </w:pPr>
    </w:p>
    <w:p>
      <w:pPr>
        <w:ind w:left="160" w:right="200" w:firstLine="469"/>
        <w:spacing w:after="0" w:line="271" w:lineRule="auto"/>
        <w:rPr>
          <w:sz w:val="20"/>
          <w:szCs w:val="20"/>
          <w:color w:val="auto"/>
        </w:rPr>
      </w:pPr>
      <w:r>
        <w:rPr>
          <w:rFonts w:ascii="Arial" w:cs="Arial" w:eastAsia="Arial" w:hAnsi="Arial"/>
          <w:sz w:val="17"/>
          <w:szCs w:val="17"/>
          <w:color w:val="auto"/>
        </w:rPr>
        <w:t>Restructured loans are those extended to borrowers who are experiencing financial difficulty and who have been granted a concession, excluding loan modifications as a result of the COVID-19 pandemic. The modification of terms typically includes the extension of maturity, reduction or deferment of monthly payment, or reduction of the stated interest rate.</w:t>
      </w:r>
    </w:p>
    <w:p>
      <w:pPr>
        <w:spacing w:after="0" w:line="119" w:lineRule="exact"/>
        <w:rPr>
          <w:sz w:val="20"/>
          <w:szCs w:val="20"/>
          <w:color w:val="auto"/>
        </w:rPr>
      </w:pPr>
    </w:p>
    <w:p>
      <w:pPr>
        <w:ind w:left="160" w:right="180" w:firstLine="469"/>
        <w:spacing w:after="0" w:line="286" w:lineRule="auto"/>
        <w:rPr>
          <w:sz w:val="20"/>
          <w:szCs w:val="20"/>
          <w:color w:val="auto"/>
        </w:rPr>
      </w:pPr>
      <w:r>
        <w:rPr>
          <w:rFonts w:ascii="Arial" w:cs="Arial" w:eastAsia="Arial" w:hAnsi="Arial"/>
          <w:sz w:val="17"/>
          <w:szCs w:val="17"/>
          <w:color w:val="auto"/>
        </w:rPr>
        <w:t>For the three month periods ended March 31, 2021 and 2020, the modifications related to the TDRs below did not impact the ALLL because the loans were previously impaired and evaluated on an individual basis or enough collateral was obtained.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table below presents loans restructured, excluding loans restructured as a result of the COVID-19 pandemic, during the three months ended</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March 31, 2021 and 2020, including the post-modification outstanding balance and the type of concession made:</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7860" w:type="dxa"/>
            <w:vAlign w:val="bottom"/>
          </w:tcPr>
          <w:p>
            <w:pPr>
              <w:spacing w:after="0"/>
              <w:rPr>
                <w:sz w:val="19"/>
                <w:szCs w:val="19"/>
                <w:color w:val="auto"/>
              </w:rPr>
            </w:pPr>
          </w:p>
        </w:tc>
        <w:tc>
          <w:tcPr>
            <w:tcW w:w="27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7"/>
                <w:szCs w:val="17"/>
                <w:b w:val="1"/>
                <w:bCs w:val="1"/>
                <w:color w:val="auto"/>
              </w:rPr>
              <w:t>Three Months Ended</w:t>
            </w:r>
          </w:p>
        </w:tc>
        <w:tc>
          <w:tcPr>
            <w:tcW w:w="520" w:type="dxa"/>
            <w:vAlign w:val="bottom"/>
            <w:tcBorders>
              <w:bottom w:val="single" w:sz="8" w:color="auto"/>
            </w:tcBorders>
          </w:tcPr>
          <w:p>
            <w:pPr>
              <w:spacing w:after="0"/>
              <w:rPr>
                <w:sz w:val="19"/>
                <w:szCs w:val="19"/>
                <w:color w:val="auto"/>
              </w:rPr>
            </w:pPr>
          </w:p>
        </w:tc>
      </w:tr>
      <w:tr>
        <w:trPr>
          <w:trHeight w:val="209"/>
        </w:trPr>
        <w:tc>
          <w:tcPr>
            <w:tcW w:w="7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13"/>
              <w:spacing w:after="0"/>
              <w:rPr>
                <w:sz w:val="20"/>
                <w:szCs w:val="20"/>
                <w:color w:val="auto"/>
              </w:rPr>
            </w:pPr>
            <w:r>
              <w:rPr>
                <w:rFonts w:ascii="Arial" w:cs="Arial" w:eastAsia="Arial" w:hAnsi="Arial"/>
                <w:sz w:val="17"/>
                <w:szCs w:val="17"/>
                <w:b w:val="1"/>
                <w:bCs w:val="1"/>
                <w:color w:val="auto"/>
              </w:rPr>
              <w:t>March 31,</w:t>
            </w:r>
          </w:p>
        </w:tc>
      </w:tr>
      <w:tr>
        <w:trPr>
          <w:trHeight w:val="227"/>
        </w:trPr>
        <w:tc>
          <w:tcPr>
            <w:tcW w:w="7860" w:type="dxa"/>
            <w:vAlign w:val="bottom"/>
          </w:tcPr>
          <w:p>
            <w:pPr>
              <w:spacing w:after="0"/>
              <w:rPr>
                <w:sz w:val="19"/>
                <w:szCs w:val="19"/>
                <w:color w:val="auto"/>
              </w:rPr>
            </w:pPr>
          </w:p>
        </w:tc>
        <w:tc>
          <w:tcPr>
            <w:tcW w:w="12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9"/>
                <w:szCs w:val="19"/>
                <w:color w:val="auto"/>
              </w:rPr>
            </w:pPr>
          </w:p>
        </w:tc>
      </w:tr>
      <w:tr>
        <w:trPr>
          <w:trHeight w:val="198"/>
        </w:trPr>
        <w:tc>
          <w:tcPr>
            <w:tcW w:w="7860" w:type="dxa"/>
            <w:vAlign w:val="bottom"/>
          </w:tcPr>
          <w:p>
            <w:pPr>
              <w:spacing w:after="0"/>
              <w:rPr>
                <w:sz w:val="17"/>
                <w:szCs w:val="17"/>
                <w:color w:val="auto"/>
              </w:rPr>
            </w:pPr>
          </w:p>
        </w:tc>
        <w:tc>
          <w:tcPr>
            <w:tcW w:w="2700" w:type="dxa"/>
            <w:vAlign w:val="bottom"/>
            <w:gridSpan w:val="4"/>
          </w:tcPr>
          <w:p>
            <w:pPr>
              <w:jc w:val="right"/>
              <w:ind w:right="293"/>
              <w:spacing w:after="0"/>
              <w:rPr>
                <w:sz w:val="20"/>
                <w:szCs w:val="20"/>
                <w:color w:val="auto"/>
              </w:rPr>
            </w:pPr>
            <w:r>
              <w:rPr>
                <w:rFonts w:ascii="Arial" w:cs="Arial" w:eastAsia="Arial" w:hAnsi="Arial"/>
                <w:sz w:val="16"/>
                <w:szCs w:val="16"/>
                <w:i w:val="1"/>
                <w:iCs w:val="1"/>
                <w:color w:val="auto"/>
              </w:rPr>
              <w:t>(Dollars in thousands)</w:t>
            </w:r>
          </w:p>
        </w:tc>
        <w:tc>
          <w:tcPr>
            <w:tcW w:w="520" w:type="dxa"/>
            <w:vAlign w:val="bottom"/>
          </w:tcPr>
          <w:p>
            <w:pPr>
              <w:spacing w:after="0"/>
              <w:rPr>
                <w:sz w:val="17"/>
                <w:szCs w:val="17"/>
                <w:color w:val="auto"/>
              </w:rPr>
            </w:pP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w:t>
            </w: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1"/>
        </w:trPr>
        <w:tc>
          <w:tcPr>
            <w:tcW w:w="7860" w:type="dxa"/>
            <w:vAlign w:val="bottom"/>
          </w:tcPr>
          <w:p>
            <w:pPr>
              <w:ind w:left="140"/>
              <w:spacing w:after="0"/>
              <w:rPr>
                <w:sz w:val="20"/>
                <w:szCs w:val="20"/>
                <w:color w:val="auto"/>
              </w:rPr>
            </w:pPr>
            <w:r>
              <w:rPr>
                <w:rFonts w:ascii="Arial" w:cs="Arial" w:eastAsia="Arial" w:hAnsi="Arial"/>
                <w:sz w:val="17"/>
                <w:szCs w:val="17"/>
                <w:color w:val="auto"/>
              </w:rPr>
              <w:t>- Interest rate reduction</w:t>
            </w:r>
          </w:p>
        </w:tc>
        <w:tc>
          <w:tcPr>
            <w:tcW w:w="1240" w:type="dxa"/>
            <w:vAlign w:val="bottom"/>
          </w:tcPr>
          <w:p>
            <w:pPr>
              <w:jc w:val="right"/>
              <w:ind w:right="1055"/>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853"/>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3,171</w:t>
            </w:r>
          </w:p>
        </w:tc>
      </w:tr>
      <w:tr>
        <w:trPr>
          <w:trHeight w:val="221"/>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Energy</w:t>
            </w: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1"/>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 Extension of maturity date</w:t>
            </w: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2,340</w:t>
            </w:r>
          </w:p>
        </w:tc>
      </w:tr>
      <w:tr>
        <w:trPr>
          <w:trHeight w:val="234"/>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troubled debt restructurings</w:t>
            </w:r>
          </w:p>
        </w:tc>
        <w:tc>
          <w:tcPr>
            <w:tcW w:w="1240" w:type="dxa"/>
            <w:vAlign w:val="bottom"/>
            <w:shd w:val="clear" w:color="auto" w:fill="CCEEFF"/>
          </w:tcPr>
          <w:p>
            <w:pPr>
              <w:jc w:val="right"/>
              <w:ind w:right="1055"/>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160" w:right="160" w:firstLine="469"/>
        <w:spacing w:after="0" w:line="271" w:lineRule="auto"/>
        <w:rPr>
          <w:sz w:val="20"/>
          <w:szCs w:val="20"/>
          <w:color w:val="auto"/>
        </w:rPr>
      </w:pPr>
      <w:r>
        <w:rPr>
          <w:rFonts w:ascii="Arial" w:cs="Arial" w:eastAsia="Arial" w:hAnsi="Arial"/>
          <w:sz w:val="17"/>
          <w:szCs w:val="17"/>
          <w:color w:val="auto"/>
        </w:rPr>
        <w:t>The balance of restructured loans, excluding loans restructured as a result of the COVID-19 pandemic, is provided below as of March 31, 2021 and December 31, 2020. In addition, the balance of those loans that are in default at any time during the past twelve months at March 31, 2021 and December 31, 2020 is provided below:</w:t>
      </w:r>
    </w:p>
    <w:p>
      <w:pPr>
        <w:spacing w:after="0" w:line="152"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240"/>
              <w:spacing w:after="0"/>
              <w:rPr>
                <w:sz w:val="20"/>
                <w:szCs w:val="20"/>
                <w:color w:val="auto"/>
              </w:rPr>
            </w:pPr>
            <w:r>
              <w:rPr>
                <w:rFonts w:ascii="Arial" w:cs="Arial" w:eastAsia="Arial" w:hAnsi="Arial"/>
                <w:sz w:val="17"/>
                <w:szCs w:val="17"/>
                <w:b w:val="1"/>
                <w:bCs w:val="1"/>
                <w:color w:val="auto"/>
                <w:w w:val="97"/>
              </w:rPr>
              <w:t>March 31, 2021</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7"/>
                <w:szCs w:val="17"/>
                <w:b w:val="1"/>
                <w:bCs w:val="1"/>
                <w:color w:val="auto"/>
                <w:w w:val="97"/>
              </w:rPr>
              <w:t>December 31, 2020</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14"/>
              <w:spacing w:after="0" w:line="163" w:lineRule="exact"/>
              <w:rPr>
                <w:sz w:val="20"/>
                <w:szCs w:val="20"/>
                <w:color w:val="auto"/>
              </w:rPr>
            </w:pPr>
            <w:r>
              <w:rPr>
                <w:rFonts w:ascii="Arial" w:cs="Arial" w:eastAsia="Arial" w:hAnsi="Arial"/>
                <w:sz w:val="17"/>
                <w:szCs w:val="17"/>
                <w:b w:val="1"/>
                <w:bCs w:val="1"/>
                <w:color w:val="auto"/>
                <w:w w:val="89"/>
              </w:rPr>
              <w:t>Balance 90 days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33"/>
              <w:spacing w:after="0" w:line="163" w:lineRule="exact"/>
              <w:rPr>
                <w:sz w:val="20"/>
                <w:szCs w:val="20"/>
                <w:color w:val="auto"/>
              </w:rPr>
            </w:pPr>
            <w:r>
              <w:rPr>
                <w:rFonts w:ascii="Arial" w:cs="Arial" w:eastAsia="Arial" w:hAnsi="Arial"/>
                <w:sz w:val="17"/>
                <w:szCs w:val="17"/>
                <w:b w:val="1"/>
                <w:bCs w:val="1"/>
                <w:color w:val="auto"/>
                <w:w w:val="89"/>
              </w:rPr>
              <w:t>Balance 90 days</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line="169" w:lineRule="exact"/>
              <w:rPr>
                <w:sz w:val="20"/>
                <w:szCs w:val="20"/>
                <w:color w:val="auto"/>
              </w:rPr>
            </w:pPr>
            <w:r>
              <w:rPr>
                <w:rFonts w:ascii="Arial" w:cs="Arial" w:eastAsia="Arial" w:hAnsi="Arial"/>
                <w:sz w:val="17"/>
                <w:szCs w:val="17"/>
                <w:b w:val="1"/>
                <w:bCs w:val="1"/>
                <w:color w:val="auto"/>
                <w:w w:val="92"/>
              </w:rPr>
              <w:t>past due at any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3"/>
              <w:spacing w:after="0" w:line="169" w:lineRule="exact"/>
              <w:rPr>
                <w:sz w:val="20"/>
                <w:szCs w:val="20"/>
                <w:color w:val="auto"/>
              </w:rPr>
            </w:pPr>
            <w:r>
              <w:rPr>
                <w:rFonts w:ascii="Arial" w:cs="Arial" w:eastAsia="Arial" w:hAnsi="Arial"/>
                <w:sz w:val="17"/>
                <w:szCs w:val="17"/>
                <w:b w:val="1"/>
                <w:bCs w:val="1"/>
                <w:color w:val="auto"/>
                <w:w w:val="90"/>
              </w:rPr>
              <w:t>past due at any</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Number</w:t>
            </w: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14"/>
                <w:szCs w:val="14"/>
                <w:color w:val="auto"/>
              </w:rPr>
            </w:pPr>
          </w:p>
        </w:tc>
        <w:tc>
          <w:tcPr>
            <w:tcW w:w="1420" w:type="dxa"/>
            <w:vAlign w:val="bottom"/>
            <w:gridSpan w:val="2"/>
          </w:tcPr>
          <w:p>
            <w:pPr>
              <w:jc w:val="center"/>
              <w:ind w:right="200"/>
              <w:spacing w:after="0" w:line="169" w:lineRule="exact"/>
              <w:rPr>
                <w:sz w:val="20"/>
                <w:szCs w:val="20"/>
                <w:color w:val="auto"/>
              </w:rPr>
            </w:pPr>
            <w:r>
              <w:rPr>
                <w:rFonts w:ascii="Arial" w:cs="Arial" w:eastAsia="Arial" w:hAnsi="Arial"/>
                <w:sz w:val="17"/>
                <w:szCs w:val="17"/>
                <w:b w:val="1"/>
                <w:bCs w:val="1"/>
                <w:color w:val="auto"/>
                <w:w w:val="92"/>
              </w:rPr>
              <w:t>time during</w:t>
            </w:r>
          </w:p>
        </w:tc>
        <w:tc>
          <w:tcPr>
            <w:tcW w:w="9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Number</w:t>
            </w:r>
          </w:p>
        </w:tc>
        <w:tc>
          <w:tcPr>
            <w:tcW w:w="180" w:type="dxa"/>
            <w:vAlign w:val="bottom"/>
          </w:tcPr>
          <w:p>
            <w:pPr>
              <w:spacing w:after="0"/>
              <w:rPr>
                <w:sz w:val="14"/>
                <w:szCs w:val="1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93"/>
              </w:rPr>
              <w:t>Outstanding</w:t>
            </w:r>
          </w:p>
        </w:tc>
        <w:tc>
          <w:tcPr>
            <w:tcW w:w="120" w:type="dxa"/>
            <w:vAlign w:val="bottom"/>
          </w:tcPr>
          <w:p>
            <w:pPr>
              <w:spacing w:after="0"/>
              <w:rPr>
                <w:sz w:val="14"/>
                <w:szCs w:val="14"/>
                <w:color w:val="auto"/>
              </w:rPr>
            </w:pPr>
          </w:p>
        </w:tc>
        <w:tc>
          <w:tcPr>
            <w:tcW w:w="1300" w:type="dxa"/>
            <w:vAlign w:val="bottom"/>
          </w:tcPr>
          <w:p>
            <w:pPr>
              <w:jc w:val="center"/>
              <w:ind w:right="13"/>
              <w:spacing w:after="0" w:line="169" w:lineRule="exact"/>
              <w:rPr>
                <w:sz w:val="20"/>
                <w:szCs w:val="20"/>
                <w:color w:val="auto"/>
              </w:rPr>
            </w:pPr>
            <w:r>
              <w:rPr>
                <w:rFonts w:ascii="Arial" w:cs="Arial" w:eastAsia="Arial" w:hAnsi="Arial"/>
                <w:sz w:val="17"/>
                <w:szCs w:val="17"/>
                <w:b w:val="1"/>
                <w:bCs w:val="1"/>
                <w:color w:val="auto"/>
                <w:w w:val="95"/>
              </w:rPr>
              <w:t>time during</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line="169" w:lineRule="exact"/>
              <w:rPr>
                <w:sz w:val="20"/>
                <w:szCs w:val="20"/>
                <w:color w:val="auto"/>
              </w:rPr>
            </w:pPr>
            <w:r>
              <w:rPr>
                <w:rFonts w:ascii="Arial" w:cs="Arial" w:eastAsia="Arial" w:hAnsi="Arial"/>
                <w:sz w:val="17"/>
                <w:szCs w:val="17"/>
                <w:b w:val="1"/>
                <w:bCs w:val="1"/>
                <w:color w:val="auto"/>
                <w:w w:val="90"/>
              </w:rPr>
              <w:t>previous 12</w:t>
            </w: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33"/>
              <w:spacing w:after="0" w:line="169" w:lineRule="exact"/>
              <w:rPr>
                <w:sz w:val="20"/>
                <w:szCs w:val="20"/>
                <w:color w:val="auto"/>
              </w:rPr>
            </w:pPr>
            <w:r>
              <w:rPr>
                <w:rFonts w:ascii="Arial" w:cs="Arial" w:eastAsia="Arial" w:hAnsi="Arial"/>
                <w:sz w:val="17"/>
                <w:szCs w:val="17"/>
                <w:b w:val="1"/>
                <w:bCs w:val="1"/>
                <w:color w:val="auto"/>
                <w:w w:val="90"/>
              </w:rPr>
              <w:t>previous 12</w:t>
            </w:r>
          </w:p>
        </w:tc>
        <w:tc>
          <w:tcPr>
            <w:tcW w:w="0" w:type="dxa"/>
            <w:vAlign w:val="bottom"/>
          </w:tcPr>
          <w:p>
            <w:pPr>
              <w:spacing w:after="0"/>
              <w:rPr>
                <w:sz w:val="1"/>
                <w:szCs w:val="1"/>
                <w:color w:val="auto"/>
              </w:rPr>
            </w:pPr>
          </w:p>
        </w:tc>
      </w:tr>
      <w:tr>
        <w:trPr>
          <w:trHeight w:val="221"/>
        </w:trPr>
        <w:tc>
          <w:tcPr>
            <w:tcW w:w="3220" w:type="dxa"/>
            <w:vAlign w:val="bottom"/>
          </w:tcPr>
          <w:p>
            <w:pPr>
              <w:spacing w:after="0"/>
              <w:rPr>
                <w:sz w:val="19"/>
                <w:szCs w:val="19"/>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of Loans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b w:val="1"/>
                <w:bCs w:val="1"/>
                <w:color w:val="auto"/>
              </w:rPr>
              <w:t>Balance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20"/>
              <w:spacing w:after="0" w:line="222" w:lineRule="exact"/>
              <w:rPr>
                <w:sz w:val="20"/>
                <w:szCs w:val="20"/>
                <w:color w:val="auto"/>
              </w:rPr>
            </w:pPr>
            <w:r>
              <w:rPr>
                <w:rFonts w:ascii="Arial" w:cs="Arial" w:eastAsia="Arial" w:hAnsi="Arial"/>
                <w:sz w:val="17"/>
                <w:szCs w:val="17"/>
                <w:b w:val="1"/>
                <w:bCs w:val="1"/>
                <w:color w:val="auto"/>
                <w:w w:val="85"/>
              </w:rPr>
              <w:t>months</w:t>
            </w:r>
            <w:r>
              <w:rPr>
                <w:rFonts w:ascii="Arial" w:cs="Arial" w:eastAsia="Arial" w:hAnsi="Arial"/>
                <w:sz w:val="22"/>
                <w:szCs w:val="22"/>
                <w:b w:val="1"/>
                <w:bCs w:val="1"/>
                <w:color w:val="auto"/>
                <w:w w:val="85"/>
                <w:vertAlign w:val="superscript"/>
              </w:rPr>
              <w:t>(1)</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of Loans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88"/>
              </w:rPr>
              <w:t>Balance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
              <w:spacing w:after="0" w:line="222" w:lineRule="exact"/>
              <w:rPr>
                <w:sz w:val="20"/>
                <w:szCs w:val="20"/>
                <w:color w:val="auto"/>
              </w:rPr>
            </w:pPr>
            <w:r>
              <w:rPr>
                <w:rFonts w:ascii="Arial" w:cs="Arial" w:eastAsia="Arial" w:hAnsi="Arial"/>
                <w:sz w:val="17"/>
                <w:szCs w:val="17"/>
                <w:b w:val="1"/>
                <w:bCs w:val="1"/>
                <w:color w:val="auto"/>
                <w:w w:val="85"/>
              </w:rPr>
              <w:t>months</w:t>
            </w:r>
            <w:r>
              <w:rPr>
                <w:rFonts w:ascii="Arial" w:cs="Arial" w:eastAsia="Arial" w:hAnsi="Arial"/>
                <w:sz w:val="22"/>
                <w:szCs w:val="22"/>
                <w:b w:val="1"/>
                <w:bCs w:val="1"/>
                <w:color w:val="auto"/>
                <w:w w:val="85"/>
                <w:vertAlign w:val="superscript"/>
              </w:rPr>
              <w:t>(1)</w:t>
            </w:r>
          </w:p>
        </w:tc>
        <w:tc>
          <w:tcPr>
            <w:tcW w:w="0" w:type="dxa"/>
            <w:vAlign w:val="bottom"/>
          </w:tcPr>
          <w:p>
            <w:pPr>
              <w:spacing w:after="0"/>
              <w:rPr>
                <w:sz w:val="1"/>
                <w:szCs w:val="1"/>
                <w:color w:val="auto"/>
              </w:rPr>
            </w:pPr>
          </w:p>
        </w:tc>
      </w:tr>
      <w:tr>
        <w:trPr>
          <w:trHeight w:val="198"/>
        </w:trPr>
        <w:tc>
          <w:tcPr>
            <w:tcW w:w="3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4"/>
          </w:tcPr>
          <w:p>
            <w:pPr>
              <w:ind w:left="66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2,776</w:t>
            </w:r>
          </w:p>
        </w:tc>
        <w:tc>
          <w:tcPr>
            <w:tcW w:w="0" w:type="dxa"/>
            <w:vAlign w:val="bottom"/>
          </w:tcPr>
          <w:p>
            <w:pPr>
              <w:spacing w:after="0"/>
              <w:rPr>
                <w:sz w:val="1"/>
                <w:szCs w:val="1"/>
                <w:color w:val="auto"/>
              </w:rPr>
            </w:pPr>
          </w:p>
        </w:tc>
      </w:tr>
      <w:tr>
        <w:trPr>
          <w:trHeight w:val="221"/>
        </w:trPr>
        <w:tc>
          <w:tcPr>
            <w:tcW w:w="3220" w:type="dxa"/>
            <w:vAlign w:val="bottom"/>
          </w:tcPr>
          <w:p>
            <w:pPr>
              <w:ind w:left="40"/>
              <w:spacing w:after="0"/>
              <w:rPr>
                <w:sz w:val="20"/>
                <w:szCs w:val="20"/>
                <w:color w:val="auto"/>
              </w:rPr>
            </w:pPr>
            <w:r>
              <w:rPr>
                <w:rFonts w:ascii="Arial" w:cs="Arial" w:eastAsia="Arial" w:hAnsi="Arial"/>
                <w:sz w:val="17"/>
                <w:szCs w:val="17"/>
                <w:color w:val="auto"/>
              </w:rPr>
              <w:t>Energy</w:t>
            </w: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10,850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2,619</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11,053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2,713</w:t>
            </w:r>
          </w:p>
        </w:tc>
        <w:tc>
          <w:tcPr>
            <w:tcW w:w="0" w:type="dxa"/>
            <w:vAlign w:val="bottom"/>
          </w:tcPr>
          <w:p>
            <w:pPr>
              <w:spacing w:after="0"/>
              <w:rPr>
                <w:sz w:val="1"/>
                <w:szCs w:val="1"/>
                <w:color w:val="auto"/>
              </w:rPr>
            </w:pPr>
          </w:p>
        </w:tc>
      </w:tr>
      <w:tr>
        <w:trPr>
          <w:trHeight w:val="221"/>
        </w:trPr>
        <w:tc>
          <w:tcPr>
            <w:tcW w:w="3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real estate</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220" w:type="dxa"/>
            <w:vAlign w:val="bottom"/>
          </w:tcPr>
          <w:p>
            <w:pPr>
              <w:ind w:left="40"/>
              <w:spacing w:after="0"/>
              <w:rPr>
                <w:sz w:val="20"/>
                <w:szCs w:val="20"/>
                <w:color w:val="auto"/>
              </w:rPr>
            </w:pPr>
            <w:r>
              <w:rPr>
                <w:rFonts w:ascii="Arial" w:cs="Arial" w:eastAsia="Arial" w:hAnsi="Arial"/>
                <w:sz w:val="17"/>
                <w:szCs w:val="17"/>
                <w:color w:val="auto"/>
              </w:rPr>
              <w:t>Construction and land development</w:t>
            </w:r>
          </w:p>
        </w:tc>
        <w:tc>
          <w:tcPr>
            <w:tcW w:w="94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and multifamily real estate</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220" w:type="dxa"/>
            <w:vAlign w:val="bottom"/>
          </w:tcPr>
          <w:p>
            <w:pPr>
              <w:ind w:left="40"/>
              <w:spacing w:after="0"/>
              <w:rPr>
                <w:sz w:val="20"/>
                <w:szCs w:val="20"/>
                <w:color w:val="auto"/>
              </w:rPr>
            </w:pPr>
            <w:r>
              <w:rPr>
                <w:rFonts w:ascii="Arial" w:cs="Arial" w:eastAsia="Arial" w:hAnsi="Arial"/>
                <w:sz w:val="17"/>
                <w:szCs w:val="17"/>
                <w:color w:val="auto"/>
              </w:rPr>
              <w:t>PPP</w:t>
            </w:r>
          </w:p>
        </w:tc>
        <w:tc>
          <w:tcPr>
            <w:tcW w:w="94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Consumer</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220" w:type="dxa"/>
            <w:vAlign w:val="bottom"/>
          </w:tcPr>
          <w:p>
            <w:pPr>
              <w:ind w:left="120"/>
              <w:spacing w:after="0"/>
              <w:rPr>
                <w:sz w:val="20"/>
                <w:szCs w:val="20"/>
                <w:color w:val="auto"/>
              </w:rPr>
            </w:pPr>
            <w:r>
              <w:rPr>
                <w:rFonts w:ascii="Arial" w:cs="Arial" w:eastAsia="Arial" w:hAnsi="Arial"/>
                <w:sz w:val="17"/>
                <w:szCs w:val="17"/>
                <w:color w:val="auto"/>
              </w:rPr>
              <w:t>Total troubled debt restructured loans</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16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61,715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6,734</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17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63,095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0</wp:posOffset>
            </wp:positionV>
            <wp:extent cx="49949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4910" cy="8255"/>
                    </a:xfrm>
                    <a:prstGeom prst="rect">
                      <a:avLst/>
                    </a:prstGeom>
                    <a:noFill/>
                  </pic:spPr>
                </pic:pic>
              </a:graphicData>
            </a:graphic>
          </wp:anchor>
        </w:drawing>
      </w:r>
    </w:p>
    <w:p>
      <w:pPr>
        <w:ind w:left="340" w:hanging="162"/>
        <w:spacing w:after="0"/>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Default is considered to mean 90 days or more past due as to interest or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-119380</wp:posOffset>
            </wp:positionV>
            <wp:extent cx="49949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4910" cy="8255"/>
                    </a:xfrm>
                    <a:prstGeom prst="rect">
                      <a:avLst/>
                    </a:prstGeom>
                    <a:noFill/>
                  </pic:spPr>
                </pic:pic>
              </a:graphicData>
            </a:graphic>
          </wp:anchor>
        </w:drawing>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TDRs above had an allowance of $5 million and $4 million as of March 31, 2021 and December 31, 2020, respectively.</w:t>
      </w:r>
    </w:p>
    <w:p>
      <w:pPr>
        <w:spacing w:after="0" w:line="200" w:lineRule="exact"/>
        <w:rPr>
          <w:sz w:val="20"/>
          <w:szCs w:val="20"/>
          <w:color w:val="auto"/>
        </w:rPr>
      </w:pPr>
    </w:p>
    <w:p>
      <w:pPr>
        <w:spacing w:after="0" w:line="358"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5:</w:t>
      </w:r>
      <w:r>
        <w:rPr>
          <w:sz w:val="20"/>
          <w:szCs w:val="20"/>
          <w:color w:val="auto"/>
        </w:rPr>
        <w:tab/>
      </w:r>
      <w:r>
        <w:rPr>
          <w:rFonts w:ascii="Arial" w:cs="Arial" w:eastAsia="Arial" w:hAnsi="Arial"/>
          <w:sz w:val="18"/>
          <w:szCs w:val="18"/>
          <w:b w:val="1"/>
          <w:bCs w:val="1"/>
          <w:color w:val="auto"/>
        </w:rPr>
        <w:t>Derivatives and Hedging</w:t>
      </w:r>
    </w:p>
    <w:p>
      <w:pPr>
        <w:spacing w:after="0" w:line="164" w:lineRule="exact"/>
        <w:rPr>
          <w:sz w:val="20"/>
          <w:szCs w:val="20"/>
          <w:color w:val="auto"/>
        </w:rPr>
      </w:pPr>
    </w:p>
    <w:p>
      <w:pPr>
        <w:ind w:left="160" w:right="80" w:firstLine="469"/>
        <w:spacing w:after="0" w:line="263" w:lineRule="auto"/>
        <w:rPr>
          <w:sz w:val="20"/>
          <w:szCs w:val="20"/>
          <w:color w:val="auto"/>
        </w:rPr>
      </w:pPr>
      <w:r>
        <w:rPr>
          <w:rFonts w:ascii="Arial" w:cs="Arial" w:eastAsia="Arial" w:hAnsi="Arial"/>
          <w:sz w:val="17"/>
          <w:szCs w:val="17"/>
          <w:color w:val="auto"/>
        </w:rPr>
        <w:t>Derivatives not designated as hedges are not speculative and result from a service the Company provides to clients. The Company executes interest rate swaps with customers to facilitate their respective risk management strategies. Those interest rate swaps are simultaneously hedged by offsetting derivatives that the Company executes with a third party, such that the Company minimizes its net risk exposure resulting from such transactions. As the interest rate derivatives associated with this program do not meet the strict hedge accounting requirements, changes in the fair value of both the customer derivatives and the offsetting derivatives are recognized directly in earnings.</w:t>
      </w:r>
    </w:p>
    <w:p>
      <w:pPr>
        <w:spacing w:after="0" w:line="127" w:lineRule="exact"/>
        <w:rPr>
          <w:sz w:val="20"/>
          <w:szCs w:val="20"/>
          <w:color w:val="auto"/>
        </w:rPr>
      </w:pPr>
    </w:p>
    <w:p>
      <w:pPr>
        <w:ind w:left="160" w:right="60" w:firstLine="469"/>
        <w:spacing w:after="0" w:line="286" w:lineRule="auto"/>
        <w:rPr>
          <w:sz w:val="20"/>
          <w:szCs w:val="20"/>
          <w:color w:val="auto"/>
        </w:rPr>
      </w:pPr>
      <w:r>
        <w:rPr>
          <w:rFonts w:ascii="Arial" w:cs="Arial" w:eastAsia="Arial" w:hAnsi="Arial"/>
          <w:sz w:val="17"/>
          <w:szCs w:val="17"/>
          <w:color w:val="auto"/>
        </w:rPr>
        <w:t>As of March 31, 2021 and December 31, 2020, the Company had the following outstanding derivatives that were not designated as hedges in qualifying hedging relationships: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220" w:type="dxa"/>
            <w:vAlign w:val="bottom"/>
            <w:tcBorders>
              <w:top w:val="single" w:sz="8" w:color="auto"/>
              <w:bottom w:val="single" w:sz="8" w:color="auto"/>
            </w:tcBorders>
            <w:gridSpan w:val="3"/>
          </w:tcPr>
          <w:p>
            <w:pPr>
              <w:jc w:val="right"/>
              <w:ind w:right="1455"/>
              <w:spacing w:after="0"/>
              <w:rPr>
                <w:sz w:val="20"/>
                <w:szCs w:val="20"/>
                <w:color w:val="auto"/>
              </w:rPr>
            </w:pPr>
            <w:r>
              <w:rPr>
                <w:rFonts w:ascii="Arial" w:cs="Arial" w:eastAsia="Arial" w:hAnsi="Arial"/>
                <w:sz w:val="17"/>
                <w:szCs w:val="17"/>
                <w:b w:val="1"/>
                <w:bCs w:val="1"/>
                <w:color w:val="auto"/>
              </w:rPr>
              <w:t>March 31, 2021</w:t>
            </w:r>
          </w:p>
        </w:tc>
        <w:tc>
          <w:tcPr>
            <w:tcW w:w="120" w:type="dxa"/>
            <w:vAlign w:val="bottom"/>
          </w:tcPr>
          <w:p>
            <w:pPr>
              <w:spacing w:after="0"/>
              <w:rPr>
                <w:sz w:val="20"/>
                <w:szCs w:val="20"/>
                <w:color w:val="auto"/>
              </w:rPr>
            </w:pPr>
          </w:p>
        </w:tc>
        <w:tc>
          <w:tcPr>
            <w:tcW w:w="4220" w:type="dxa"/>
            <w:vAlign w:val="bottom"/>
            <w:tcBorders>
              <w:top w:val="single" w:sz="8" w:color="auto"/>
              <w:bottom w:val="single" w:sz="8" w:color="auto"/>
            </w:tcBorders>
            <w:gridSpan w:val="3"/>
          </w:tcPr>
          <w:p>
            <w:pPr>
              <w:jc w:val="right"/>
              <w:ind w:right="1333"/>
              <w:spacing w:after="0"/>
              <w:rPr>
                <w:sz w:val="20"/>
                <w:szCs w:val="20"/>
                <w:color w:val="auto"/>
              </w:rPr>
            </w:pPr>
            <w:r>
              <w:rPr>
                <w:rFonts w:ascii="Arial" w:cs="Arial" w:eastAsia="Arial" w:hAnsi="Arial"/>
                <w:sz w:val="17"/>
                <w:szCs w:val="17"/>
                <w:b w:val="1"/>
                <w:bCs w:val="1"/>
                <w:color w:val="auto"/>
              </w:rPr>
              <w:t>December 31, 2020</w:t>
            </w:r>
          </w:p>
        </w:tc>
      </w:tr>
      <w:tr>
        <w:trPr>
          <w:trHeight w:val="214"/>
        </w:trPr>
        <w:tc>
          <w:tcPr>
            <w:tcW w:w="160" w:type="dxa"/>
            <w:vAlign w:val="bottom"/>
          </w:tcPr>
          <w:p>
            <w:pPr>
              <w:spacing w:after="0"/>
              <w:rPr>
                <w:sz w:val="18"/>
                <w:szCs w:val="18"/>
                <w:color w:val="auto"/>
              </w:rPr>
            </w:pPr>
          </w:p>
        </w:tc>
        <w:tc>
          <w:tcPr>
            <w:tcW w:w="2520" w:type="dxa"/>
            <w:vAlign w:val="bottom"/>
          </w:tcPr>
          <w:p>
            <w:pPr>
              <w:ind w:left="20"/>
              <w:spacing w:after="0"/>
              <w:rPr>
                <w:sz w:val="20"/>
                <w:szCs w:val="20"/>
                <w:color w:val="auto"/>
              </w:rPr>
            </w:pPr>
            <w:r>
              <w:rPr>
                <w:rFonts w:ascii="Arial" w:cs="Arial" w:eastAsia="Arial" w:hAnsi="Arial"/>
                <w:sz w:val="17"/>
                <w:szCs w:val="17"/>
                <w:b w:val="1"/>
                <w:bCs w:val="1"/>
                <w:color w:val="auto"/>
              </w:rPr>
              <w:t>Product</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Number of Instruments</w:t>
            </w: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Notional Amount</w:t>
            </w: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Number of Instruments</w:t>
            </w: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Notional Amount</w:t>
            </w:r>
          </w:p>
        </w:tc>
      </w:tr>
      <w:tr>
        <w:trPr>
          <w:trHeight w:val="198"/>
        </w:trPr>
        <w:tc>
          <w:tcPr>
            <w:tcW w:w="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80" w:type="dxa"/>
            <w:vAlign w:val="bottom"/>
            <w:gridSpan w:val="3"/>
          </w:tcPr>
          <w:p>
            <w:pPr>
              <w:ind w:left="108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4"/>
        </w:trPr>
        <w:tc>
          <w:tcPr>
            <w:tcW w:w="16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Back-to-back swaps</w:t>
            </w:r>
          </w:p>
        </w:tc>
        <w:tc>
          <w:tcPr>
            <w:tcW w:w="214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rPr>
              <w:t>56</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ind w:left="1100"/>
              <w:spacing w:after="0"/>
              <w:rPr>
                <w:sz w:val="20"/>
                <w:szCs w:val="20"/>
                <w:color w:val="auto"/>
              </w:rPr>
            </w:pPr>
            <w:r>
              <w:rPr>
                <w:rFonts w:ascii="Arial" w:cs="Arial" w:eastAsia="Arial" w:hAnsi="Arial"/>
                <w:sz w:val="17"/>
                <w:szCs w:val="17"/>
                <w:color w:val="auto"/>
                <w:w w:val="97"/>
              </w:rPr>
              <w:t>546,947</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rPr>
              <w:t>56</w:t>
            </w:r>
          </w:p>
        </w:tc>
        <w:tc>
          <w:tcPr>
            <w:tcW w:w="3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515,567</w:t>
            </w:r>
          </w:p>
        </w:tc>
      </w:tr>
      <w:tr>
        <w:trPr>
          <w:trHeight w:val="938"/>
        </w:trPr>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jc w:val="right"/>
              <w:ind w:right="1095"/>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0"/>
        </w:trPr>
        <w:tc>
          <w:tcPr>
            <w:tcW w:w="16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195"/>
        </w:trPr>
        <w:tc>
          <w:tcPr>
            <w:tcW w:w="124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1">
              <w:r>
                <w:rPr>
                  <w:rFonts w:ascii="Arial" w:cs="Arial" w:eastAsia="Arial" w:hAnsi="Arial"/>
                  <w:sz w:val="17"/>
                  <w:szCs w:val="17"/>
                  <w:color w:val="0000FF"/>
                  <w:w w:val="90"/>
                </w:rPr>
                <w:t>Table of Contents</w:t>
              </w:r>
            </w:hyperlink>
          </w:p>
        </w:tc>
        <w:tc>
          <w:tcPr>
            <w:tcW w:w="1120" w:type="dxa"/>
            <w:vAlign w:val="bottom"/>
          </w:tcPr>
          <w:p>
            <w:pPr>
              <w:spacing w:after="0"/>
              <w:rPr>
                <w:sz w:val="16"/>
                <w:szCs w:val="16"/>
                <w:color w:val="auto"/>
              </w:rPr>
            </w:pPr>
          </w:p>
        </w:tc>
        <w:tc>
          <w:tcPr>
            <w:tcW w:w="5840" w:type="dxa"/>
            <w:vAlign w:val="bottom"/>
            <w:gridSpan w:val="7"/>
          </w:tcPr>
          <w:p>
            <w:pPr>
              <w:jc w:val="right"/>
              <w:ind w:right="573"/>
              <w:spacing w:after="0"/>
              <w:rPr>
                <w:sz w:val="20"/>
                <w:szCs w:val="20"/>
                <w:color w:val="auto"/>
              </w:rPr>
            </w:pPr>
            <w:r>
              <w:rPr>
                <w:rFonts w:ascii="Arial" w:cs="Arial" w:eastAsia="Arial" w:hAnsi="Arial"/>
                <w:sz w:val="17"/>
                <w:szCs w:val="17"/>
                <w:color w:val="auto"/>
              </w:rPr>
              <w:t>Notes to Consolidated Financial Statements (unaudited)</w:t>
            </w: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736"/>
        </w:trPr>
        <w:tc>
          <w:tcPr>
            <w:tcW w:w="140" w:type="dxa"/>
            <w:vAlign w:val="bottom"/>
          </w:tcPr>
          <w:p>
            <w:pPr>
              <w:spacing w:after="0"/>
              <w:rPr>
                <w:sz w:val="24"/>
                <w:szCs w:val="24"/>
                <w:color w:val="auto"/>
              </w:rPr>
            </w:pPr>
          </w:p>
        </w:tc>
        <w:tc>
          <w:tcPr>
            <w:tcW w:w="11080" w:type="dxa"/>
            <w:vAlign w:val="bottom"/>
            <w:gridSpan w:val="13"/>
          </w:tcPr>
          <w:p>
            <w:pPr>
              <w:jc w:val="right"/>
              <w:ind w:right="73"/>
              <w:spacing w:after="0"/>
              <w:rPr>
                <w:sz w:val="20"/>
                <w:szCs w:val="20"/>
                <w:color w:val="auto"/>
              </w:rPr>
            </w:pPr>
            <w:r>
              <w:rPr>
                <w:rFonts w:ascii="Arial" w:cs="Arial" w:eastAsia="Arial" w:hAnsi="Arial"/>
                <w:sz w:val="17"/>
                <w:szCs w:val="17"/>
                <w:color w:val="auto"/>
                <w:w w:val="96"/>
              </w:rPr>
              <w:t>The table below presents the fair value of the Company’s derivative financial instruments and their classification on the Balance Sheet as of March 31,</w:t>
            </w:r>
          </w:p>
        </w:tc>
      </w:tr>
      <w:tr>
        <w:trPr>
          <w:trHeight w:val="221"/>
        </w:trPr>
        <w:tc>
          <w:tcPr>
            <w:tcW w:w="2360" w:type="dxa"/>
            <w:vAlign w:val="bottom"/>
            <w:gridSpan w:val="3"/>
          </w:tcPr>
          <w:p>
            <w:pPr>
              <w:ind w:left="140"/>
              <w:spacing w:after="0"/>
              <w:rPr>
                <w:sz w:val="20"/>
                <w:szCs w:val="20"/>
                <w:color w:val="auto"/>
              </w:rPr>
            </w:pPr>
            <w:r>
              <w:rPr>
                <w:rFonts w:ascii="Arial" w:cs="Arial" w:eastAsia="Arial" w:hAnsi="Arial"/>
                <w:sz w:val="17"/>
                <w:szCs w:val="17"/>
                <w:color w:val="auto"/>
                <w:w w:val="95"/>
              </w:rPr>
              <w:t>2021 and December 31, 2020:</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04"/>
        </w:trPr>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7"/>
                <w:szCs w:val="17"/>
                <w:b w:val="1"/>
                <w:bCs w:val="1"/>
                <w:color w:val="auto"/>
                <w:w w:val="88"/>
              </w:rPr>
              <w:t>Asset Derivatives</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7"/>
              </w:rPr>
              <w:t>Liability Derivatives</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09"/>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89"/>
              </w:rPr>
              <w:t>Balance Sheet</w:t>
            </w:r>
          </w:p>
        </w:tc>
        <w:tc>
          <w:tcPr>
            <w:tcW w:w="300" w:type="dxa"/>
            <w:vAlign w:val="bottom"/>
          </w:tcPr>
          <w:p>
            <w:pPr>
              <w:spacing w:after="0"/>
              <w:rPr>
                <w:sz w:val="18"/>
                <w:szCs w:val="18"/>
                <w:color w:val="auto"/>
              </w:rPr>
            </w:pPr>
          </w:p>
        </w:tc>
        <w:tc>
          <w:tcPr>
            <w:tcW w:w="1160" w:type="dxa"/>
            <w:vAlign w:val="bottom"/>
          </w:tcPr>
          <w:p>
            <w:pPr>
              <w:jc w:val="center"/>
              <w:ind w:right="153"/>
              <w:spacing w:after="0"/>
              <w:rPr>
                <w:sz w:val="20"/>
                <w:szCs w:val="20"/>
                <w:color w:val="auto"/>
              </w:rPr>
            </w:pPr>
            <w:r>
              <w:rPr>
                <w:rFonts w:ascii="Arial" w:cs="Arial" w:eastAsia="Arial" w:hAnsi="Arial"/>
                <w:sz w:val="17"/>
                <w:szCs w:val="17"/>
                <w:b w:val="1"/>
                <w:bCs w:val="1"/>
                <w:color w:val="auto"/>
                <w:w w:val="96"/>
              </w:rPr>
              <w:t>March 31,</w:t>
            </w:r>
          </w:p>
        </w:tc>
        <w:tc>
          <w:tcPr>
            <w:tcW w:w="20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Arial" w:cs="Arial" w:eastAsia="Arial" w:hAnsi="Arial"/>
                <w:sz w:val="17"/>
                <w:szCs w:val="17"/>
                <w:b w:val="1"/>
                <w:bCs w:val="1"/>
                <w:color w:val="auto"/>
                <w:w w:val="90"/>
              </w:rPr>
              <w:t>December 31,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Balance Sheet</w:t>
            </w:r>
          </w:p>
        </w:tc>
        <w:tc>
          <w:tcPr>
            <w:tcW w:w="480" w:type="dxa"/>
            <w:vAlign w:val="bottom"/>
          </w:tcPr>
          <w:p>
            <w:pPr>
              <w:spacing w:after="0"/>
              <w:rPr>
                <w:sz w:val="18"/>
                <w:szCs w:val="18"/>
                <w:color w:val="auto"/>
              </w:rPr>
            </w:pPr>
          </w:p>
        </w:tc>
        <w:tc>
          <w:tcPr>
            <w:tcW w:w="1180" w:type="dxa"/>
            <w:vAlign w:val="bottom"/>
          </w:tcPr>
          <w:p>
            <w:pPr>
              <w:jc w:val="center"/>
              <w:ind w:right="173"/>
              <w:spacing w:after="0"/>
              <w:rPr>
                <w:sz w:val="20"/>
                <w:szCs w:val="20"/>
                <w:color w:val="auto"/>
              </w:rPr>
            </w:pPr>
            <w:r>
              <w:rPr>
                <w:rFonts w:ascii="Arial" w:cs="Arial" w:eastAsia="Arial" w:hAnsi="Arial"/>
                <w:sz w:val="17"/>
                <w:szCs w:val="17"/>
                <w:b w:val="1"/>
                <w:bCs w:val="1"/>
                <w:color w:val="auto"/>
                <w:w w:val="96"/>
              </w:rPr>
              <w:t>March 31,</w:t>
            </w:r>
          </w:p>
        </w:tc>
        <w:tc>
          <w:tcPr>
            <w:tcW w:w="18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Arial" w:cs="Arial" w:eastAsia="Arial" w:hAnsi="Arial"/>
                <w:sz w:val="17"/>
                <w:szCs w:val="17"/>
                <w:b w:val="1"/>
                <w:bCs w:val="1"/>
                <w:color w:val="auto"/>
                <w:w w:val="92"/>
              </w:rPr>
              <w:t>December 31,</w:t>
            </w:r>
          </w:p>
        </w:tc>
      </w:tr>
      <w:tr>
        <w:trPr>
          <w:trHeight w:val="227"/>
        </w:trPr>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Location</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Location</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2020</w:t>
            </w:r>
          </w:p>
        </w:tc>
      </w:tr>
      <w:tr>
        <w:trPr>
          <w:trHeight w:val="198"/>
        </w:trPr>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3"/>
          </w:tcPr>
          <w:p>
            <w:pPr>
              <w:jc w:val="right"/>
              <w:ind w:right="613"/>
              <w:spacing w:after="0"/>
              <w:rPr>
                <w:sz w:val="20"/>
                <w:szCs w:val="20"/>
                <w:color w:val="auto"/>
              </w:rPr>
            </w:pPr>
            <w:r>
              <w:rPr>
                <w:rFonts w:ascii="Arial" w:cs="Arial" w:eastAsia="Arial" w:hAnsi="Arial"/>
                <w:sz w:val="16"/>
                <w:szCs w:val="16"/>
                <w:i w:val="1"/>
                <w:iCs w:val="1"/>
                <w:color w:val="auto"/>
              </w:rPr>
              <w:t>(Dollars in thousands)</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140" w:type="dxa"/>
            <w:vAlign w:val="bottom"/>
          </w:tcPr>
          <w:p>
            <w:pPr>
              <w:spacing w:after="0"/>
              <w:rPr>
                <w:sz w:val="19"/>
                <w:szCs w:val="19"/>
                <w:color w:val="auto"/>
              </w:rPr>
            </w:pP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w w:val="90"/>
              </w:rPr>
              <w:t>Derivatives not designated as hedging instruments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1"/>
        </w:trPr>
        <w:tc>
          <w:tcPr>
            <w:tcW w:w="140" w:type="dxa"/>
            <w:vAlign w:val="bottom"/>
          </w:tcPr>
          <w:p>
            <w:pPr>
              <w:spacing w:after="0"/>
              <w:rPr>
                <w:sz w:val="19"/>
                <w:szCs w:val="19"/>
                <w:color w:val="auto"/>
              </w:rPr>
            </w:pPr>
          </w:p>
        </w:tc>
        <w:tc>
          <w:tcPr>
            <w:tcW w:w="2220" w:type="dxa"/>
            <w:vAlign w:val="bottom"/>
            <w:gridSpan w:val="2"/>
          </w:tcPr>
          <w:p>
            <w:pPr>
              <w:ind w:left="140"/>
              <w:spacing w:after="0"/>
              <w:rPr>
                <w:sz w:val="20"/>
                <w:szCs w:val="20"/>
                <w:color w:val="auto"/>
              </w:rPr>
            </w:pPr>
            <w:r>
              <w:rPr>
                <w:rFonts w:ascii="Arial" w:cs="Arial" w:eastAsia="Arial" w:hAnsi="Arial"/>
                <w:sz w:val="17"/>
                <w:szCs w:val="17"/>
                <w:color w:val="auto"/>
              </w:rPr>
              <w:t>Interest rate products</w:t>
            </w:r>
          </w:p>
        </w:tc>
        <w:tc>
          <w:tcPr>
            <w:tcW w:w="154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
              <w:spacing w:after="0"/>
              <w:rPr>
                <w:sz w:val="20"/>
                <w:szCs w:val="20"/>
                <w:color w:val="auto"/>
              </w:rPr>
            </w:pPr>
            <w:r>
              <w:rPr>
                <w:rFonts w:ascii="Arial" w:cs="Arial" w:eastAsia="Arial" w:hAnsi="Arial"/>
                <w:sz w:val="17"/>
                <w:szCs w:val="17"/>
                <w:color w:val="auto"/>
              </w:rPr>
              <w:t>15,561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24,094</w:t>
            </w:r>
          </w:p>
        </w:tc>
        <w:tc>
          <w:tcPr>
            <w:tcW w:w="100" w:type="dxa"/>
            <w:vAlign w:val="bottom"/>
          </w:tcPr>
          <w:p>
            <w:pPr>
              <w:spacing w:after="0"/>
              <w:rPr>
                <w:sz w:val="19"/>
                <w:szCs w:val="19"/>
                <w:color w:val="auto"/>
              </w:rPr>
            </w:pPr>
          </w:p>
        </w:tc>
        <w:tc>
          <w:tcPr>
            <w:tcW w:w="1360" w:type="dxa"/>
            <w:vAlign w:val="bottom"/>
          </w:tcPr>
          <w:p>
            <w:pPr>
              <w:jc w:val="right"/>
              <w:ind w:right="173"/>
              <w:spacing w:after="0"/>
              <w:rPr>
                <w:sz w:val="20"/>
                <w:szCs w:val="20"/>
                <w:color w:val="auto"/>
              </w:rPr>
            </w:pPr>
            <w:r>
              <w:rPr>
                <w:rFonts w:ascii="Arial" w:cs="Arial" w:eastAsia="Arial" w:hAnsi="Arial"/>
                <w:sz w:val="17"/>
                <w:szCs w:val="17"/>
                <w:color w:val="auto"/>
                <w:w w:val="96"/>
              </w:rPr>
              <w:t>Other liabilities</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3"/>
              <w:spacing w:after="0"/>
              <w:rPr>
                <w:sz w:val="20"/>
                <w:szCs w:val="20"/>
                <w:color w:val="auto"/>
              </w:rPr>
            </w:pPr>
            <w:r>
              <w:rPr>
                <w:rFonts w:ascii="Arial" w:cs="Arial" w:eastAsia="Arial" w:hAnsi="Arial"/>
                <w:sz w:val="17"/>
                <w:szCs w:val="17"/>
                <w:color w:val="auto"/>
              </w:rPr>
              <w:t>15,766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24,454</w:t>
            </w:r>
          </w:p>
        </w:tc>
      </w:tr>
    </w:tbl>
    <w:p>
      <w:pPr>
        <w:spacing w:after="0" w:line="144" w:lineRule="exact"/>
        <w:rPr>
          <w:sz w:val="20"/>
          <w:szCs w:val="20"/>
          <w:color w:val="auto"/>
        </w:rPr>
      </w:pPr>
    </w:p>
    <w:p>
      <w:pPr>
        <w:ind w:left="160" w:right="20" w:firstLine="469"/>
        <w:spacing w:after="0" w:line="266" w:lineRule="auto"/>
        <w:rPr>
          <w:sz w:val="20"/>
          <w:szCs w:val="20"/>
          <w:color w:val="auto"/>
        </w:rPr>
      </w:pPr>
      <w:r>
        <w:rPr>
          <w:rFonts w:ascii="Arial" w:cs="Arial" w:eastAsia="Arial" w:hAnsi="Arial"/>
          <w:sz w:val="17"/>
          <w:szCs w:val="17"/>
          <w:color w:val="auto"/>
        </w:rPr>
        <w:t>The effect of the Company’s derivative financial instruments that are not designated as hedging instruments are reported on the Consolidated Statements of Income as swap fee income, net, which includes swap fees earned upon origination and credit valuation adjustments that represents the risk of a counterparty’s default. The effect of the Company’s derivative financial instruments gain (loss) are reported on the Consolidated Statements of Cash Flows within “other assets” and “other liabilities”.</w:t>
      </w:r>
    </w:p>
    <w:p>
      <w:pPr>
        <w:spacing w:after="0" w:line="356"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6:</w:t>
      </w:r>
      <w:r>
        <w:rPr>
          <w:sz w:val="20"/>
          <w:szCs w:val="20"/>
          <w:color w:val="auto"/>
        </w:rPr>
        <w:tab/>
      </w:r>
      <w:r>
        <w:rPr>
          <w:rFonts w:ascii="Arial" w:cs="Arial" w:eastAsia="Arial" w:hAnsi="Arial"/>
          <w:sz w:val="18"/>
          <w:szCs w:val="18"/>
          <w:b w:val="1"/>
          <w:bCs w:val="1"/>
          <w:color w:val="auto"/>
        </w:rPr>
        <w:t>Time Deposits and Borrowings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scheduled maturities, excluding interest, of the Company’s borrowings at March 31, 2021 were as follows:</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7"/>
                <w:szCs w:val="17"/>
                <w:b w:val="1"/>
                <w:bCs w:val="1"/>
                <w:color w:val="auto"/>
                <w:w w:val="94"/>
              </w:rPr>
              <w:t>March 31, 2021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line="163" w:lineRule="exact"/>
              <w:rPr>
                <w:sz w:val="20"/>
                <w:szCs w:val="20"/>
                <w:color w:val="auto"/>
              </w:rPr>
            </w:pPr>
            <w:r>
              <w:rPr>
                <w:rFonts w:ascii="Arial" w:cs="Arial" w:eastAsia="Arial" w:hAnsi="Arial"/>
                <w:sz w:val="17"/>
                <w:szCs w:val="17"/>
                <w:b w:val="1"/>
                <w:bCs w:val="1"/>
                <w:color w:val="auto"/>
                <w:w w:val="98"/>
              </w:rPr>
              <w:t>Within One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3" w:lineRule="exact"/>
              <w:rPr>
                <w:sz w:val="20"/>
                <w:szCs w:val="20"/>
                <w:color w:val="auto"/>
              </w:rPr>
            </w:pPr>
            <w:r>
              <w:rPr>
                <w:rFonts w:ascii="Arial" w:cs="Arial" w:eastAsia="Arial" w:hAnsi="Arial"/>
                <w:sz w:val="17"/>
                <w:szCs w:val="17"/>
                <w:b w:val="1"/>
                <w:bCs w:val="1"/>
                <w:color w:val="auto"/>
                <w:w w:val="92"/>
              </w:rPr>
              <w:t>One to Two</w:t>
            </w:r>
          </w:p>
        </w:tc>
        <w:tc>
          <w:tcPr>
            <w:tcW w:w="120" w:type="dxa"/>
            <w:vAlign w:val="bottom"/>
          </w:tcPr>
          <w:p>
            <w:pPr>
              <w:spacing w:after="0"/>
              <w:rPr>
                <w:sz w:val="14"/>
                <w:szCs w:val="14"/>
                <w:color w:val="auto"/>
              </w:rPr>
            </w:pPr>
          </w:p>
        </w:tc>
        <w:tc>
          <w:tcPr>
            <w:tcW w:w="1120" w:type="dxa"/>
            <w:vAlign w:val="bottom"/>
          </w:tcPr>
          <w:p>
            <w:pPr>
              <w:jc w:val="right"/>
              <w:ind w:right="34"/>
              <w:spacing w:after="0" w:line="163" w:lineRule="exact"/>
              <w:rPr>
                <w:sz w:val="20"/>
                <w:szCs w:val="20"/>
                <w:color w:val="auto"/>
              </w:rPr>
            </w:pPr>
            <w:r>
              <w:rPr>
                <w:rFonts w:ascii="Arial" w:cs="Arial" w:eastAsia="Arial" w:hAnsi="Arial"/>
                <w:sz w:val="17"/>
                <w:szCs w:val="17"/>
                <w:b w:val="1"/>
                <w:bCs w:val="1"/>
                <w:color w:val="auto"/>
                <w:w w:val="92"/>
              </w:rPr>
              <w:t>Two to Three</w:t>
            </w:r>
          </w:p>
        </w:tc>
        <w:tc>
          <w:tcPr>
            <w:tcW w:w="100" w:type="dxa"/>
            <w:vAlign w:val="bottom"/>
          </w:tcPr>
          <w:p>
            <w:pPr>
              <w:spacing w:after="0"/>
              <w:rPr>
                <w:sz w:val="14"/>
                <w:szCs w:val="14"/>
                <w:color w:val="auto"/>
              </w:rPr>
            </w:pPr>
          </w:p>
        </w:tc>
        <w:tc>
          <w:tcPr>
            <w:tcW w:w="1240" w:type="dxa"/>
            <w:vAlign w:val="bottom"/>
            <w:gridSpan w:val="3"/>
          </w:tcPr>
          <w:p>
            <w:pPr>
              <w:jc w:val="center"/>
              <w:ind w:right="80"/>
              <w:spacing w:after="0" w:line="163" w:lineRule="exact"/>
              <w:rPr>
                <w:sz w:val="20"/>
                <w:szCs w:val="20"/>
                <w:color w:val="auto"/>
              </w:rPr>
            </w:pPr>
            <w:r>
              <w:rPr>
                <w:rFonts w:ascii="Arial" w:cs="Arial" w:eastAsia="Arial" w:hAnsi="Arial"/>
                <w:sz w:val="17"/>
                <w:szCs w:val="17"/>
                <w:b w:val="1"/>
                <w:bCs w:val="1"/>
                <w:color w:val="auto"/>
                <w:w w:val="94"/>
              </w:rPr>
              <w:t>Three to Four</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line="163" w:lineRule="exact"/>
              <w:rPr>
                <w:sz w:val="20"/>
                <w:szCs w:val="20"/>
                <w:color w:val="auto"/>
              </w:rPr>
            </w:pPr>
            <w:r>
              <w:rPr>
                <w:rFonts w:ascii="Arial" w:cs="Arial" w:eastAsia="Arial" w:hAnsi="Arial"/>
                <w:sz w:val="17"/>
                <w:szCs w:val="17"/>
                <w:b w:val="1"/>
                <w:bCs w:val="1"/>
                <w:color w:val="auto"/>
                <w:w w:val="92"/>
              </w:rPr>
              <w:t>Four to Five</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3" w:lineRule="exact"/>
              <w:rPr>
                <w:sz w:val="20"/>
                <w:szCs w:val="20"/>
                <w:color w:val="auto"/>
              </w:rPr>
            </w:pPr>
            <w:r>
              <w:rPr>
                <w:rFonts w:ascii="Arial" w:cs="Arial" w:eastAsia="Arial" w:hAnsi="Arial"/>
                <w:sz w:val="17"/>
                <w:szCs w:val="17"/>
                <w:b w:val="1"/>
                <w:bCs w:val="1"/>
                <w:color w:val="auto"/>
                <w:w w:val="96"/>
              </w:rPr>
              <w:t>After Five</w:t>
            </w:r>
          </w:p>
        </w:tc>
        <w:tc>
          <w:tcPr>
            <w:tcW w:w="240" w:type="dxa"/>
            <w:vAlign w:val="bottom"/>
          </w:tcPr>
          <w:p>
            <w:pPr>
              <w:spacing w:after="0"/>
              <w:rPr>
                <w:sz w:val="14"/>
                <w:szCs w:val="14"/>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1"/>
        </w:trPr>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2"/>
              </w:rPr>
              <w:t>Year</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0"/>
              </w:rPr>
              <w:t>Years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Years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7"/>
                <w:szCs w:val="17"/>
                <w:b w:val="1"/>
                <w:bCs w:val="1"/>
                <w:color w:val="auto"/>
                <w:w w:val="90"/>
              </w:rPr>
              <w:t>Years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90"/>
              </w:rPr>
              <w:t>Years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w w:val="90"/>
              </w:rPr>
              <w:t>Years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jc w:val="center"/>
              <w:ind w:left="954"/>
              <w:spacing w:after="0"/>
              <w:rPr>
                <w:sz w:val="20"/>
                <w:szCs w:val="20"/>
                <w:color w:val="auto"/>
              </w:rPr>
            </w:pPr>
            <w:r>
              <w:rPr>
                <w:rFonts w:ascii="Arial" w:cs="Arial" w:eastAsia="Arial" w:hAnsi="Arial"/>
                <w:sz w:val="16"/>
                <w:szCs w:val="16"/>
                <w:i w:val="1"/>
                <w:iCs w:val="1"/>
                <w:color w:val="auto"/>
                <w:w w:val="91"/>
              </w:rPr>
              <w:t>(Dollars in thousands)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763,848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42,981</w:t>
            </w:r>
          </w:p>
        </w:tc>
        <w:tc>
          <w:tcPr>
            <w:tcW w:w="3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931,791</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line="170" w:lineRule="exact"/>
              <w:rPr>
                <w:sz w:val="20"/>
                <w:szCs w:val="20"/>
                <w:color w:val="auto"/>
              </w:rPr>
            </w:pPr>
            <w:r>
              <w:rPr>
                <w:rFonts w:ascii="Arial" w:cs="Arial" w:eastAsia="Arial" w:hAnsi="Arial"/>
                <w:sz w:val="17"/>
                <w:szCs w:val="17"/>
                <w:color w:val="auto"/>
              </w:rPr>
              <w:t>Fed funds purchased &amp;</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3,294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3,294</w:t>
            </w:r>
          </w:p>
        </w:tc>
        <w:tc>
          <w:tcPr>
            <w:tcW w:w="0" w:type="dxa"/>
            <w:vAlign w:val="bottom"/>
          </w:tcPr>
          <w:p>
            <w:pPr>
              <w:spacing w:after="0"/>
              <w:rPr>
                <w:sz w:val="1"/>
                <w:szCs w:val="1"/>
                <w:color w:val="auto"/>
              </w:rPr>
            </w:pPr>
          </w:p>
        </w:tc>
      </w:tr>
      <w:tr>
        <w:trPr>
          <w:trHeight w:val="221"/>
        </w:trPr>
        <w:tc>
          <w:tcPr>
            <w:tcW w:w="2400" w:type="dxa"/>
            <w:vAlign w:val="bottom"/>
          </w:tcPr>
          <w:p>
            <w:pPr>
              <w:ind w:left="180"/>
              <w:spacing w:after="0"/>
              <w:rPr>
                <w:sz w:val="20"/>
                <w:szCs w:val="20"/>
                <w:color w:val="auto"/>
              </w:rPr>
            </w:pPr>
            <w:r>
              <w:rPr>
                <w:rFonts w:ascii="Arial" w:cs="Arial" w:eastAsia="Arial" w:hAnsi="Arial"/>
                <w:sz w:val="17"/>
                <w:szCs w:val="17"/>
                <w:color w:val="auto"/>
              </w:rPr>
              <w:t>repurchase agreements</w:t>
            </w: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FHLB borrowings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283,100</w:t>
            </w:r>
          </w:p>
        </w:tc>
        <w:tc>
          <w:tcPr>
            <w:tcW w:w="0" w:type="dxa"/>
            <w:vAlign w:val="bottom"/>
          </w:tcPr>
          <w:p>
            <w:pPr>
              <w:spacing w:after="0"/>
              <w:rPr>
                <w:sz w:val="1"/>
                <w:szCs w:val="1"/>
                <w:color w:val="auto"/>
              </w:rPr>
            </w:pPr>
          </w:p>
        </w:tc>
      </w:tr>
      <w:tr>
        <w:trPr>
          <w:trHeight w:val="221"/>
        </w:trPr>
        <w:tc>
          <w:tcPr>
            <w:tcW w:w="240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Trust preferred securities</w:t>
            </w:r>
            <w:r>
              <w:rPr>
                <w:rFonts w:ascii="Arial" w:cs="Arial" w:eastAsia="Arial" w:hAnsi="Arial"/>
                <w:sz w:val="22"/>
                <w:szCs w:val="22"/>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w:t>
            </w: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783,642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77,981</w:t>
            </w:r>
          </w:p>
        </w:tc>
        <w:tc>
          <w:tcPr>
            <w:tcW w:w="3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1,219,159</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300" w:hanging="140"/>
        <w:spacing w:after="0"/>
        <w:tabs>
          <w:tab w:leader="none" w:pos="30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The contract value of the trust preferred securities is $2.6 million and is currently being accreted to the maturity date of 2035.</w:t>
      </w:r>
    </w:p>
    <w:p>
      <w:pPr>
        <w:spacing w:after="0" w:line="200" w:lineRule="exact"/>
        <w:rPr>
          <w:sz w:val="20"/>
          <w:szCs w:val="20"/>
          <w:color w:val="auto"/>
        </w:rPr>
      </w:pPr>
    </w:p>
    <w:p>
      <w:pPr>
        <w:spacing w:after="0" w:line="277"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7:</w:t>
      </w:r>
      <w:r>
        <w:rPr>
          <w:sz w:val="20"/>
          <w:szCs w:val="20"/>
          <w:color w:val="auto"/>
        </w:rPr>
        <w:tab/>
      </w:r>
      <w:r>
        <w:rPr>
          <w:rFonts w:ascii="Arial" w:cs="Arial" w:eastAsia="Arial" w:hAnsi="Arial"/>
          <w:sz w:val="19"/>
          <w:szCs w:val="19"/>
          <w:b w:val="1"/>
          <w:bCs w:val="1"/>
          <w:color w:val="auto"/>
        </w:rPr>
        <w:t>Change in Accumulated Other Comprehensive Income (“AOCI”)</w:t>
      </w:r>
    </w:p>
    <w:p>
      <w:pPr>
        <w:spacing w:after="0" w:line="164" w:lineRule="exact"/>
        <w:rPr>
          <w:sz w:val="20"/>
          <w:szCs w:val="20"/>
          <w:color w:val="auto"/>
        </w:rPr>
      </w:pPr>
    </w:p>
    <w:p>
      <w:pPr>
        <w:ind w:left="160" w:right="160" w:firstLine="469"/>
        <w:spacing w:after="0" w:line="286" w:lineRule="auto"/>
        <w:rPr>
          <w:sz w:val="20"/>
          <w:szCs w:val="20"/>
          <w:color w:val="auto"/>
        </w:rPr>
      </w:pPr>
      <w:r>
        <w:rPr>
          <w:rFonts w:ascii="Arial" w:cs="Arial" w:eastAsia="Arial" w:hAnsi="Arial"/>
          <w:sz w:val="17"/>
          <w:szCs w:val="17"/>
          <w:color w:val="auto"/>
        </w:rPr>
        <w:t>Amounts reclassified from AOCI and the affected line items in the Consolidated Statements of Income during the three months ended March 31, 2021 and 2020, were as follows:</w:t>
      </w:r>
    </w:p>
    <w:p>
      <w:pPr>
        <w:sectPr>
          <w:pgSz w:w="11900" w:h="16838" w:orient="portrait"/>
          <w:cols w:equalWidth="0" w:num="1">
            <w:col w:w="11240"/>
          </w:cols>
          <w:pgMar w:left="320" w:top="165" w:right="339" w:bottom="1440" w:gutter="0" w:footer="0" w:header="0"/>
        </w:sectPr>
      </w:pPr>
    </w:p>
    <w:p>
      <w:pPr>
        <w:spacing w:after="0" w:line="140" w:lineRule="exact"/>
        <w:rPr>
          <w:sz w:val="20"/>
          <w:szCs w:val="20"/>
          <w:color w:val="auto"/>
        </w:rPr>
      </w:pPr>
    </w:p>
    <w:p>
      <w:pPr>
        <w:jc w:val="center"/>
        <w:ind w:left="3540"/>
        <w:spacing w:after="0"/>
        <w:rPr>
          <w:sz w:val="20"/>
          <w:szCs w:val="20"/>
          <w:color w:val="auto"/>
        </w:rPr>
      </w:pPr>
      <w:r>
        <w:rPr>
          <w:rFonts w:ascii="Arial" w:cs="Arial" w:eastAsia="Arial" w:hAnsi="Arial"/>
          <w:sz w:val="16"/>
          <w:szCs w:val="16"/>
          <w:b w:val="1"/>
          <w:bCs w:val="1"/>
          <w:color w:val="auto"/>
        </w:rPr>
        <w:t>Three Months Ended</w:t>
      </w:r>
    </w:p>
    <w:p>
      <w:pPr>
        <w:spacing w:after="0" w:line="43" w:lineRule="exact"/>
        <w:rPr>
          <w:sz w:val="20"/>
          <w:szCs w:val="20"/>
          <w:color w:val="auto"/>
        </w:rPr>
      </w:pPr>
    </w:p>
    <w:p>
      <w:pPr>
        <w:jc w:val="center"/>
        <w:ind w:left="354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16510</wp:posOffset>
            </wp:positionV>
            <wp:extent cx="15379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7970" cy="8255"/>
                    </a:xfrm>
                    <a:prstGeom prst="rect">
                      <a:avLst/>
                    </a:prstGeom>
                    <a:noFill/>
                  </pic:spPr>
                </pic:pic>
              </a:graphicData>
            </a:graphic>
          </wp:anchor>
        </w:drawing>
      </w:r>
    </w:p>
    <w:p>
      <w:pPr>
        <w:spacing w:after="0" w:line="14" w:lineRule="exact"/>
        <w:rPr>
          <w:sz w:val="20"/>
          <w:szCs w:val="20"/>
          <w:color w:val="auto"/>
        </w:rPr>
      </w:pPr>
    </w:p>
    <w:p>
      <w:pPr>
        <w:ind w:left="4640"/>
        <w:spacing w:after="0"/>
        <w:tabs>
          <w:tab w:leader="none" w:pos="5880" w:val="left"/>
        </w:tabs>
        <w:rPr>
          <w:sz w:val="20"/>
          <w:szCs w:val="20"/>
          <w:color w:val="auto"/>
        </w:rPr>
      </w:pPr>
      <w:r>
        <w:rPr>
          <w:rFonts w:ascii="Arial" w:cs="Arial" w:eastAsia="Arial" w:hAnsi="Arial"/>
          <w:sz w:val="15"/>
          <w:szCs w:val="15"/>
          <w:b w:val="1"/>
          <w:bCs w:val="1"/>
          <w:color w:val="auto"/>
        </w:rPr>
        <w:t>2021</w:t>
      </w:r>
      <w:r>
        <w:rPr>
          <w:sz w:val="20"/>
          <w:szCs w:val="20"/>
          <w:color w:val="auto"/>
        </w:rPr>
        <w:tab/>
      </w:r>
      <w:r>
        <w:rPr>
          <w:rFonts w:ascii="Arial" w:cs="Arial" w:eastAsia="Arial" w:hAnsi="Arial"/>
          <w:sz w:val="15"/>
          <w:szCs w:val="15"/>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34290</wp:posOffset>
            </wp:positionV>
            <wp:extent cx="15379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7970" cy="8255"/>
                    </a:xfrm>
                    <a:prstGeom prst="rect">
                      <a:avLst/>
                    </a:prstGeom>
                    <a:noFill/>
                  </pic:spPr>
                </pic:pic>
              </a:graphicData>
            </a:graphic>
          </wp:anchor>
        </w:drawing>
      </w:r>
    </w:p>
    <w:p>
      <w:pPr>
        <w:spacing w:after="0" w:line="50" w:lineRule="exact"/>
        <w:rPr>
          <w:sz w:val="20"/>
          <w:szCs w:val="20"/>
          <w:color w:val="auto"/>
        </w:rPr>
      </w:pPr>
    </w:p>
    <w:p>
      <w:pPr>
        <w:ind w:left="4720"/>
        <w:spacing w:after="0"/>
        <w:rPr>
          <w:sz w:val="20"/>
          <w:szCs w:val="20"/>
          <w:color w:val="auto"/>
        </w:rPr>
      </w:pPr>
      <w:r>
        <w:rPr>
          <w:rFonts w:ascii="Arial" w:cs="Arial" w:eastAsia="Arial" w:hAnsi="Arial"/>
          <w:sz w:val="15"/>
          <w:szCs w:val="15"/>
          <w:i w:val="1"/>
          <w:iCs w:val="1"/>
          <w:color w:val="auto"/>
        </w:rPr>
        <w:t>(Dollars in thousands)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right="1320"/>
        <w:spacing w:after="0"/>
        <w:rPr>
          <w:sz w:val="20"/>
          <w:szCs w:val="20"/>
          <w:color w:val="auto"/>
        </w:rPr>
      </w:pPr>
      <w:r>
        <w:rPr>
          <w:rFonts w:ascii="Arial" w:cs="Arial" w:eastAsia="Arial" w:hAnsi="Arial"/>
          <w:sz w:val="16"/>
          <w:szCs w:val="16"/>
          <w:b w:val="1"/>
          <w:bCs w:val="1"/>
          <w:color w:val="auto"/>
        </w:rPr>
        <w:t>Affected Line Item in the</w:t>
      </w:r>
    </w:p>
    <w:p>
      <w:pPr>
        <w:spacing w:after="0" w:line="50" w:lineRule="exact"/>
        <w:rPr>
          <w:sz w:val="20"/>
          <w:szCs w:val="20"/>
          <w:color w:val="auto"/>
        </w:rPr>
      </w:pPr>
    </w:p>
    <w:p>
      <w:pPr>
        <w:jc w:val="center"/>
        <w:ind w:right="1320"/>
        <w:spacing w:after="0"/>
        <w:rPr>
          <w:sz w:val="20"/>
          <w:szCs w:val="20"/>
          <w:color w:val="auto"/>
        </w:rPr>
      </w:pPr>
      <w:r>
        <w:rPr>
          <w:rFonts w:ascii="Arial" w:cs="Arial" w:eastAsia="Arial" w:hAnsi="Arial"/>
          <w:sz w:val="17"/>
          <w:szCs w:val="17"/>
          <w:b w:val="1"/>
          <w:bCs w:val="1"/>
          <w:color w:val="auto"/>
        </w:rPr>
        <w:t>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19685</wp:posOffset>
            </wp:positionV>
            <wp:extent cx="28530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266" w:lineRule="exact"/>
        <w:rPr>
          <w:sz w:val="20"/>
          <w:szCs w:val="20"/>
          <w:color w:val="auto"/>
        </w:rPr>
      </w:pPr>
    </w:p>
    <w:p>
      <w:pPr>
        <w:sectPr>
          <w:pgSz w:w="11900" w:h="16838" w:orient="portrait"/>
          <w:cols w:equalWidth="0" w:num="2">
            <w:col w:w="7340" w:space="720"/>
            <w:col w:w="3180"/>
          </w:cols>
          <w:pgMar w:left="320" w:top="165" w:right="339" w:bottom="1440" w:gutter="0" w:footer="0" w:header="0"/>
          <w:type w:val="continuous"/>
        </w:sectPr>
      </w:pPr>
    </w:p>
    <w:tbl>
      <w:tblPr>
        <w:tblLayout w:type="fixed"/>
        <w:tblInd w:w="160" w:type="dxa"/>
        <w:tblCellMar>
          <w:top w:w="0" w:type="dxa"/>
          <w:left w:w="0" w:type="dxa"/>
          <w:bottom w:w="0" w:type="dxa"/>
          <w:right w:w="0" w:type="dxa"/>
        </w:tblCellMar>
      </w:tblPr>
      <w:tr>
        <w:trPr>
          <w:trHeight w:val="208"/>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gains on available-for-sale securities</w:t>
            </w: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4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on sale of available-for-sale debt securities</w:t>
            </w:r>
          </w:p>
        </w:tc>
      </w:tr>
      <w:tr>
        <w:trPr>
          <w:trHeight w:val="214"/>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tax effect</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Income tax expense</w:t>
            </w:r>
          </w:p>
        </w:tc>
      </w:tr>
      <w:tr>
        <w:trPr>
          <w:trHeight w:val="239"/>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reclassified amount</w:t>
            </w: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4600" w:type="dxa"/>
            <w:vAlign w:val="bottom"/>
            <w:tcBorders>
              <w:bottom w:val="single" w:sz="8" w:color="CCEEFF"/>
            </w:tcBorders>
            <w:shd w:val="clear" w:color="auto" w:fill="CCEEFF"/>
          </w:tcPr>
          <w:p>
            <w:pPr>
              <w:spacing w:after="0"/>
              <w:rPr>
                <w:sz w:val="20"/>
                <w:szCs w:val="20"/>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8:</w:t>
      </w:r>
      <w:r>
        <w:rPr>
          <w:sz w:val="20"/>
          <w:szCs w:val="20"/>
          <w:color w:val="auto"/>
        </w:rPr>
        <w:tab/>
      </w:r>
      <w:r>
        <w:rPr>
          <w:rFonts w:ascii="Arial" w:cs="Arial" w:eastAsia="Arial" w:hAnsi="Arial"/>
          <w:sz w:val="19"/>
          <w:szCs w:val="19"/>
          <w:b w:val="1"/>
          <w:bCs w:val="1"/>
          <w:color w:val="auto"/>
        </w:rPr>
        <w:t>Regulatory Matters</w:t>
      </w:r>
    </w:p>
    <w:p>
      <w:pPr>
        <w:spacing w:after="0" w:line="164" w:lineRule="exact"/>
        <w:rPr>
          <w:sz w:val="20"/>
          <w:szCs w:val="20"/>
          <w:color w:val="auto"/>
        </w:rPr>
      </w:pPr>
    </w:p>
    <w:p>
      <w:pPr>
        <w:ind w:left="160" w:right="40" w:firstLine="469"/>
        <w:spacing w:after="0" w:line="266"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March 31, 2021, the Company and the Bank met all capital adequacy requirements to which they are subject.</w:t>
      </w:r>
    </w:p>
    <w:p>
      <w:pPr>
        <w:spacing w:after="0" w:line="123" w:lineRule="exact"/>
        <w:rPr>
          <w:sz w:val="20"/>
          <w:szCs w:val="20"/>
          <w:color w:val="auto"/>
        </w:rPr>
      </w:pPr>
    </w:p>
    <w:p>
      <w:pPr>
        <w:ind w:left="160" w:right="60" w:firstLine="469"/>
        <w:spacing w:after="0" w:line="271" w:lineRule="auto"/>
        <w:rPr>
          <w:sz w:val="20"/>
          <w:szCs w:val="20"/>
          <w:color w:val="auto"/>
        </w:rPr>
      </w:pPr>
      <w:r>
        <w:rPr>
          <w:rFonts w:ascii="Arial" w:cs="Arial" w:eastAsia="Arial" w:hAnsi="Arial"/>
          <w:sz w:val="17"/>
          <w:szCs w:val="17"/>
          <w:color w:val="auto"/>
        </w:rPr>
        <w:t>The capital rules require the Company to maintain a 2.5% capital conservation buffer with respect to Common Equity Tier I capital, Tier I capital to risk-weighted assets, and total capital to risk-weighted assets, which is included in the column “Minimum Capital Required - Basel III” within the table below. A financial institution with a conservation buffer of less than the required amount is</w:t>
      </w:r>
    </w:p>
    <w:p>
      <w:pPr>
        <w:sectPr>
          <w:pgSz w:w="11900" w:h="16838" w:orient="portrait"/>
          <w:cols w:equalWidth="0" w:num="1">
            <w:col w:w="11240"/>
          </w:cols>
          <w:pgMar w:left="320" w:top="1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65" w:right="339" w:bottom="1440" w:gutter="0" w:footer="0" w:header="0"/>
          <w:type w:val="continuous"/>
        </w:sectPr>
      </w:pPr>
    </w:p>
    <w:bookmarkStart w:id="25" w:name="page26"/>
    <w:bookmarkEnd w:id="25"/>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4" w:lineRule="exact"/>
        <w:rPr>
          <w:sz w:val="20"/>
          <w:szCs w:val="20"/>
          <w:color w:val="auto"/>
        </w:rPr>
      </w:pPr>
    </w:p>
    <w:p>
      <w:pPr>
        <w:ind w:left="160" w:right="20"/>
        <w:spacing w:after="0" w:line="286" w:lineRule="auto"/>
        <w:rPr>
          <w:sz w:val="20"/>
          <w:szCs w:val="20"/>
          <w:color w:val="auto"/>
        </w:rPr>
      </w:pPr>
      <w:r>
        <w:rPr>
          <w:rFonts w:ascii="Arial" w:cs="Arial" w:eastAsia="Arial" w:hAnsi="Arial"/>
          <w:sz w:val="17"/>
          <w:szCs w:val="17"/>
          <w:color w:val="auto"/>
        </w:rPr>
        <w:t>subject to limitations on capital distributions, including dividend payments and stock repurchases, as well as certain discretionary bonus payments to executive officers.</w:t>
      </w:r>
    </w:p>
    <w:p>
      <w:pPr>
        <w:spacing w:after="0" w:line="10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Company’s and the Bank’s actual capital amounts and ratios as of March 31, 2021 and December 31, 2020 are presented in the following table:</w:t>
      </w:r>
    </w:p>
    <w:p>
      <w:pPr>
        <w:spacing w:after="0" w:line="200" w:lineRule="exact"/>
        <w:rPr>
          <w:sz w:val="20"/>
          <w:szCs w:val="20"/>
          <w:color w:val="auto"/>
        </w:rPr>
      </w:pPr>
    </w:p>
    <w:p>
      <w:pPr>
        <w:spacing w:after="0" w:line="384"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1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Actual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6"/>
              </w:rPr>
              <w:t>Minimum Capital Required -</w:t>
            </w:r>
          </w:p>
        </w:tc>
        <w:tc>
          <w:tcPr>
            <w:tcW w:w="140" w:type="dxa"/>
            <w:vAlign w:val="bottom"/>
          </w:tcPr>
          <w:p>
            <w:pPr>
              <w:spacing w:after="0"/>
              <w:rPr>
                <w:sz w:val="16"/>
                <w:szCs w:val="16"/>
                <w:color w:val="auto"/>
              </w:rPr>
            </w:pPr>
          </w:p>
        </w:tc>
        <w:tc>
          <w:tcPr>
            <w:tcW w:w="2220" w:type="dxa"/>
            <w:vAlign w:val="bottom"/>
            <w:gridSpan w:val="2"/>
          </w:tcPr>
          <w:p>
            <w:pPr>
              <w:jc w:val="right"/>
              <w:ind w:right="93"/>
              <w:spacing w:after="0"/>
              <w:rPr>
                <w:sz w:val="20"/>
                <w:szCs w:val="20"/>
                <w:color w:val="auto"/>
              </w:rPr>
            </w:pPr>
            <w:r>
              <w:rPr>
                <w:rFonts w:ascii="Arial" w:cs="Arial" w:eastAsia="Arial" w:hAnsi="Arial"/>
                <w:sz w:val="17"/>
                <w:szCs w:val="17"/>
                <w:b w:val="1"/>
                <w:bCs w:val="1"/>
                <w:color w:val="auto"/>
                <w:w w:val="92"/>
              </w:rPr>
              <w:t>Required to be Considered</w:t>
            </w: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554"/>
              <w:spacing w:after="0"/>
              <w:rPr>
                <w:sz w:val="20"/>
                <w:szCs w:val="20"/>
                <w:color w:val="auto"/>
              </w:rPr>
            </w:pPr>
            <w:r>
              <w:rPr>
                <w:rFonts w:ascii="Arial" w:cs="Arial" w:eastAsia="Arial" w:hAnsi="Arial"/>
                <w:sz w:val="17"/>
                <w:szCs w:val="17"/>
                <w:b w:val="1"/>
                <w:bCs w:val="1"/>
                <w:color w:val="auto"/>
                <w:w w:val="99"/>
              </w:rPr>
              <w:t>Basel III</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17"/>
                <w:szCs w:val="17"/>
                <w:b w:val="1"/>
                <w:bCs w:val="1"/>
                <w:color w:val="auto"/>
              </w:rPr>
              <w:t>Well Capitalized</w:t>
            </w: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w w:val="99"/>
              </w:rPr>
              <w:t>Amount</w:t>
            </w: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Ratio</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w w:val="99"/>
              </w:rPr>
              <w:t>Amount</w:t>
            </w: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w w:val="98"/>
              </w:rPr>
              <w:t>Ratio</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Amount</w:t>
            </w: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Ratio</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3"/>
          </w:tcPr>
          <w:p>
            <w:pPr>
              <w:jc w:val="center"/>
              <w:ind w:right="260"/>
              <w:spacing w:after="0"/>
              <w:rPr>
                <w:sz w:val="20"/>
                <w:szCs w:val="20"/>
                <w:color w:val="auto"/>
              </w:rPr>
            </w:pPr>
            <w:r>
              <w:rPr>
                <w:rFonts w:ascii="Arial" w:cs="Arial" w:eastAsia="Arial" w:hAnsi="Arial"/>
                <w:sz w:val="16"/>
                <w:szCs w:val="16"/>
                <w:i w:val="1"/>
                <w:iCs w:val="1"/>
                <w:color w:val="auto"/>
                <w:w w:val="91"/>
              </w:rPr>
              <w:t>(Dollars in thousands)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2"/>
              </w:rPr>
              <w:t>March 31, 2021</w:t>
            </w: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Total Capital to Risk-Weighted Assets</w:t>
            </w:r>
          </w:p>
        </w:tc>
        <w:tc>
          <w:tcPr>
            <w:tcW w:w="1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2"/>
              </w:rPr>
              <w:t>Consolidated</w:t>
            </w:r>
          </w:p>
        </w:tc>
        <w:tc>
          <w:tcPr>
            <w:tcW w:w="2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668,393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528,882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1160" w:type="dxa"/>
            <w:vAlign w:val="bottom"/>
          </w:tcPr>
          <w:p>
            <w:pPr>
              <w:ind w:left="220"/>
              <w:spacing w:after="0"/>
              <w:rPr>
                <w:sz w:val="20"/>
                <w:szCs w:val="20"/>
                <w:color w:val="auto"/>
              </w:rPr>
            </w:pPr>
            <w:r>
              <w:rPr>
                <w:rFonts w:ascii="Arial" w:cs="Arial" w:eastAsia="Arial" w:hAnsi="Arial"/>
                <w:sz w:val="17"/>
                <w:szCs w:val="17"/>
                <w:color w:val="auto"/>
              </w:rPr>
              <w:t>Bank</w:t>
            </w: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13"/>
              <w:spacing w:after="0"/>
              <w:rPr>
                <w:sz w:val="20"/>
                <w:szCs w:val="20"/>
                <w:color w:val="auto"/>
              </w:rPr>
            </w:pPr>
            <w:r>
              <w:rPr>
                <w:rFonts w:ascii="Arial" w:cs="Arial" w:eastAsia="Arial" w:hAnsi="Arial"/>
                <w:sz w:val="17"/>
                <w:szCs w:val="17"/>
                <w:color w:val="auto"/>
              </w:rPr>
              <w:t>624,240</w:t>
            </w:r>
          </w:p>
        </w:tc>
        <w:tc>
          <w:tcPr>
            <w:tcW w:w="840" w:type="dxa"/>
            <w:vAlign w:val="bottom"/>
          </w:tcPr>
          <w:p>
            <w:pPr>
              <w:jc w:val="right"/>
              <w:ind w:right="113"/>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34"/>
              <w:spacing w:after="0"/>
              <w:rPr>
                <w:sz w:val="20"/>
                <w:szCs w:val="20"/>
                <w:color w:val="auto"/>
              </w:rPr>
            </w:pPr>
            <w:r>
              <w:rPr>
                <w:rFonts w:ascii="Arial" w:cs="Arial" w:eastAsia="Arial" w:hAnsi="Arial"/>
                <w:sz w:val="17"/>
                <w:szCs w:val="17"/>
                <w:color w:val="auto"/>
              </w:rPr>
              <w:t>528,704</w:t>
            </w:r>
          </w:p>
        </w:tc>
        <w:tc>
          <w:tcPr>
            <w:tcW w:w="820" w:type="dxa"/>
            <w:vAlign w:val="bottom"/>
          </w:tcPr>
          <w:p>
            <w:pPr>
              <w:jc w:val="right"/>
              <w:ind w:right="133"/>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13"/>
              <w:spacing w:after="0"/>
              <w:rPr>
                <w:sz w:val="20"/>
                <w:szCs w:val="20"/>
                <w:color w:val="auto"/>
              </w:rPr>
            </w:pPr>
            <w:r>
              <w:rPr>
                <w:rFonts w:ascii="Arial" w:cs="Arial" w:eastAsia="Arial" w:hAnsi="Arial"/>
                <w:sz w:val="17"/>
                <w:szCs w:val="17"/>
                <w:color w:val="auto"/>
              </w:rPr>
              <w:t>503,528</w:t>
            </w:r>
          </w:p>
        </w:tc>
        <w:tc>
          <w:tcPr>
            <w:tcW w:w="1060" w:type="dxa"/>
            <w:vAlign w:val="bottom"/>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21"/>
        </w:trPr>
        <w:tc>
          <w:tcPr>
            <w:tcW w:w="1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7"/>
              </w:rPr>
              <w:t>Tier I Capital to</w:t>
            </w:r>
          </w:p>
        </w:tc>
        <w:tc>
          <w:tcPr>
            <w:tcW w:w="2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Risk-Weighted Assets</w:t>
            </w:r>
          </w:p>
        </w:tc>
        <w:tc>
          <w:tcPr>
            <w:tcW w:w="1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ind w:left="220"/>
              <w:spacing w:after="0"/>
              <w:rPr>
                <w:sz w:val="20"/>
                <w:szCs w:val="20"/>
                <w:color w:val="auto"/>
              </w:rPr>
            </w:pPr>
            <w:r>
              <w:rPr>
                <w:rFonts w:ascii="Arial" w:cs="Arial" w:eastAsia="Arial" w:hAnsi="Arial"/>
                <w:sz w:val="17"/>
                <w:szCs w:val="17"/>
                <w:color w:val="auto"/>
                <w:w w:val="92"/>
              </w:rPr>
              <w:t>Consolidated</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7"/>
                <w:szCs w:val="17"/>
                <w:color w:val="auto"/>
              </w:rPr>
              <w:t>605,281</w:t>
            </w:r>
          </w:p>
        </w:tc>
        <w:tc>
          <w:tcPr>
            <w:tcW w:w="840" w:type="dxa"/>
            <w:vAlign w:val="bottom"/>
          </w:tcPr>
          <w:p>
            <w:pPr>
              <w:jc w:val="right"/>
              <w:ind w:right="113"/>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7"/>
                <w:szCs w:val="17"/>
                <w:color w:val="auto"/>
              </w:rPr>
              <w:t>428,143</w:t>
            </w:r>
          </w:p>
        </w:tc>
        <w:tc>
          <w:tcPr>
            <w:tcW w:w="820" w:type="dxa"/>
            <w:vAlign w:val="bottom"/>
          </w:tcPr>
          <w:p>
            <w:pPr>
              <w:jc w:val="right"/>
              <w:ind w:right="133"/>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7"/>
                <w:szCs w:val="17"/>
                <w:color w:val="auto"/>
              </w:rPr>
              <w:t>N/A</w:t>
            </w:r>
          </w:p>
        </w:tc>
        <w:tc>
          <w:tcPr>
            <w:tcW w:w="10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1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Bank</w:t>
            </w: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561,155</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427,999</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402,822</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Common Equity Tier 1 to Risk-Weighted Assets</w:t>
            </w:r>
          </w:p>
        </w:tc>
        <w:tc>
          <w:tcPr>
            <w:tcW w:w="1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2"/>
              </w:rPr>
              <w:t>Consolidated</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604,307</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352,588</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1160" w:type="dxa"/>
            <w:vAlign w:val="bottom"/>
          </w:tcPr>
          <w:p>
            <w:pPr>
              <w:ind w:left="220"/>
              <w:spacing w:after="0"/>
              <w:rPr>
                <w:sz w:val="20"/>
                <w:szCs w:val="20"/>
                <w:color w:val="auto"/>
              </w:rPr>
            </w:pPr>
            <w:r>
              <w:rPr>
                <w:rFonts w:ascii="Arial" w:cs="Arial" w:eastAsia="Arial" w:hAnsi="Arial"/>
                <w:sz w:val="17"/>
                <w:szCs w:val="17"/>
                <w:color w:val="auto"/>
              </w:rPr>
              <w:t>Bank</w:t>
            </w: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13"/>
              <w:spacing w:after="0"/>
              <w:rPr>
                <w:sz w:val="20"/>
                <w:szCs w:val="20"/>
                <w:color w:val="auto"/>
              </w:rPr>
            </w:pPr>
            <w:r>
              <w:rPr>
                <w:rFonts w:ascii="Arial" w:cs="Arial" w:eastAsia="Arial" w:hAnsi="Arial"/>
                <w:sz w:val="17"/>
                <w:szCs w:val="17"/>
                <w:color w:val="auto"/>
              </w:rPr>
              <w:t>561,155</w:t>
            </w:r>
          </w:p>
        </w:tc>
        <w:tc>
          <w:tcPr>
            <w:tcW w:w="840" w:type="dxa"/>
            <w:vAlign w:val="bottom"/>
          </w:tcPr>
          <w:p>
            <w:pPr>
              <w:jc w:val="right"/>
              <w:ind w:right="113"/>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34"/>
              <w:spacing w:after="0"/>
              <w:rPr>
                <w:sz w:val="20"/>
                <w:szCs w:val="20"/>
                <w:color w:val="auto"/>
              </w:rPr>
            </w:pPr>
            <w:r>
              <w:rPr>
                <w:rFonts w:ascii="Arial" w:cs="Arial" w:eastAsia="Arial" w:hAnsi="Arial"/>
                <w:sz w:val="17"/>
                <w:szCs w:val="17"/>
                <w:color w:val="auto"/>
              </w:rPr>
              <w:t>352,470</w:t>
            </w:r>
          </w:p>
        </w:tc>
        <w:tc>
          <w:tcPr>
            <w:tcW w:w="820" w:type="dxa"/>
            <w:vAlign w:val="bottom"/>
          </w:tcPr>
          <w:p>
            <w:pPr>
              <w:jc w:val="right"/>
              <w:ind w:right="133"/>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13"/>
              <w:spacing w:after="0"/>
              <w:rPr>
                <w:sz w:val="20"/>
                <w:szCs w:val="20"/>
                <w:color w:val="auto"/>
              </w:rPr>
            </w:pPr>
            <w:r>
              <w:rPr>
                <w:rFonts w:ascii="Arial" w:cs="Arial" w:eastAsia="Arial" w:hAnsi="Arial"/>
                <w:sz w:val="17"/>
                <w:szCs w:val="17"/>
                <w:color w:val="auto"/>
              </w:rPr>
              <w:t>327,293</w:t>
            </w: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1"/>
        </w:trPr>
        <w:tc>
          <w:tcPr>
            <w:tcW w:w="1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7"/>
              </w:rPr>
              <w:t>Tier I Capital to</w:t>
            </w:r>
          </w:p>
        </w:tc>
        <w:tc>
          <w:tcPr>
            <w:tcW w:w="2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Average Assets</w:t>
            </w:r>
          </w:p>
        </w:tc>
        <w:tc>
          <w:tcPr>
            <w:tcW w:w="1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ind w:left="220"/>
              <w:spacing w:after="0"/>
              <w:rPr>
                <w:sz w:val="20"/>
                <w:szCs w:val="20"/>
                <w:color w:val="auto"/>
              </w:rPr>
            </w:pPr>
            <w:r>
              <w:rPr>
                <w:rFonts w:ascii="Arial" w:cs="Arial" w:eastAsia="Arial" w:hAnsi="Arial"/>
                <w:sz w:val="17"/>
                <w:szCs w:val="17"/>
                <w:color w:val="auto"/>
                <w:w w:val="92"/>
              </w:rPr>
              <w:t>Consolidated</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7"/>
                <w:szCs w:val="17"/>
                <w:color w:val="auto"/>
              </w:rPr>
              <w:t>605,281</w:t>
            </w:r>
          </w:p>
        </w:tc>
        <w:tc>
          <w:tcPr>
            <w:tcW w:w="840" w:type="dxa"/>
            <w:vAlign w:val="bottom"/>
          </w:tcPr>
          <w:p>
            <w:pPr>
              <w:jc w:val="right"/>
              <w:ind w:right="113"/>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7"/>
                <w:szCs w:val="17"/>
                <w:color w:val="auto"/>
              </w:rPr>
              <w:t>230,468</w:t>
            </w:r>
          </w:p>
        </w:tc>
        <w:tc>
          <w:tcPr>
            <w:tcW w:w="820" w:type="dxa"/>
            <w:vAlign w:val="bottom"/>
          </w:tcPr>
          <w:p>
            <w:pPr>
              <w:jc w:val="right"/>
              <w:ind w:right="133"/>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7"/>
                <w:szCs w:val="17"/>
                <w:color w:val="auto"/>
              </w:rPr>
              <w:t>N/A</w:t>
            </w:r>
          </w:p>
        </w:tc>
        <w:tc>
          <w:tcPr>
            <w:tcW w:w="10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1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Bank</w:t>
            </w:r>
          </w:p>
        </w:tc>
        <w:tc>
          <w:tcPr>
            <w:tcW w:w="2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561,155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230,354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287,942</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21"/>
        </w:trPr>
        <w:tc>
          <w:tcPr>
            <w:tcW w:w="3980" w:type="dxa"/>
            <w:vAlign w:val="bottom"/>
            <w:gridSpan w:val="3"/>
          </w:tcPr>
          <w:p>
            <w:pPr>
              <w:ind w:left="20"/>
              <w:spacing w:after="0"/>
              <w:rPr>
                <w:sz w:val="20"/>
                <w:szCs w:val="20"/>
                <w:color w:val="auto"/>
              </w:rPr>
            </w:pPr>
            <w:r>
              <w:rPr>
                <w:rFonts w:ascii="Arial" w:cs="Arial" w:eastAsia="Arial" w:hAnsi="Arial"/>
                <w:sz w:val="17"/>
                <w:szCs w:val="17"/>
                <w:b w:val="1"/>
                <w:bCs w:val="1"/>
                <w:color w:val="auto"/>
              </w:rPr>
              <w:t>December 31, 2020</w:t>
            </w: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Capital to Risk-Weighted Assets</w:t>
            </w:r>
          </w:p>
        </w:tc>
        <w:tc>
          <w:tcPr>
            <w:tcW w:w="1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ind w:left="220"/>
              <w:spacing w:after="0"/>
              <w:rPr>
                <w:sz w:val="20"/>
                <w:szCs w:val="20"/>
                <w:color w:val="auto"/>
              </w:rPr>
            </w:pPr>
            <w:r>
              <w:rPr>
                <w:rFonts w:ascii="Arial" w:cs="Arial" w:eastAsia="Arial" w:hAnsi="Arial"/>
                <w:sz w:val="17"/>
                <w:szCs w:val="17"/>
                <w:color w:val="auto"/>
                <w:w w:val="92"/>
              </w:rPr>
              <w:t>Consolidated</w:t>
            </w:r>
          </w:p>
        </w:tc>
        <w:tc>
          <w:tcPr>
            <w:tcW w:w="2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13"/>
              <w:spacing w:after="0"/>
              <w:rPr>
                <w:sz w:val="20"/>
                <w:szCs w:val="20"/>
                <w:color w:val="auto"/>
              </w:rPr>
            </w:pPr>
            <w:r>
              <w:rPr>
                <w:rFonts w:ascii="Arial" w:cs="Arial" w:eastAsia="Arial" w:hAnsi="Arial"/>
                <w:sz w:val="17"/>
                <w:szCs w:val="17"/>
                <w:color w:val="auto"/>
              </w:rPr>
              <w:t>656,806</w:t>
            </w:r>
          </w:p>
        </w:tc>
        <w:tc>
          <w:tcPr>
            <w:tcW w:w="840" w:type="dxa"/>
            <w:vAlign w:val="bottom"/>
          </w:tcPr>
          <w:p>
            <w:pPr>
              <w:jc w:val="right"/>
              <w:spacing w:after="0"/>
              <w:rPr>
                <w:sz w:val="20"/>
                <w:szCs w:val="20"/>
                <w:color w:val="auto"/>
              </w:rPr>
            </w:pPr>
            <w:r>
              <w:rPr>
                <w:rFonts w:ascii="Arial" w:cs="Arial" w:eastAsia="Arial" w:hAnsi="Arial"/>
                <w:sz w:val="17"/>
                <w:szCs w:val="17"/>
                <w:color w:val="auto"/>
              </w:rPr>
              <w:t>13.1 %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434"/>
              <w:spacing w:after="0"/>
              <w:rPr>
                <w:sz w:val="20"/>
                <w:szCs w:val="20"/>
                <w:color w:val="auto"/>
              </w:rPr>
            </w:pPr>
            <w:r>
              <w:rPr>
                <w:rFonts w:ascii="Arial" w:cs="Arial" w:eastAsia="Arial" w:hAnsi="Arial"/>
                <w:sz w:val="17"/>
                <w:szCs w:val="17"/>
                <w:color w:val="auto"/>
              </w:rPr>
              <w:t>527,486</w:t>
            </w:r>
          </w:p>
        </w:tc>
        <w:tc>
          <w:tcPr>
            <w:tcW w:w="820" w:type="dxa"/>
            <w:vAlign w:val="bottom"/>
          </w:tcPr>
          <w:p>
            <w:pPr>
              <w:jc w:val="right"/>
              <w:spacing w:after="0"/>
              <w:rPr>
                <w:sz w:val="20"/>
                <w:szCs w:val="20"/>
                <w:color w:val="auto"/>
              </w:rPr>
            </w:pPr>
            <w:r>
              <w:rPr>
                <w:rFonts w:ascii="Arial" w:cs="Arial" w:eastAsia="Arial" w:hAnsi="Arial"/>
                <w:sz w:val="17"/>
                <w:szCs w:val="17"/>
                <w:color w:val="auto"/>
              </w:rPr>
              <w:t>10.5 %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7"/>
                <w:szCs w:val="17"/>
                <w:color w:val="auto"/>
              </w:rPr>
              <w:t>N/A</w:t>
            </w:r>
          </w:p>
        </w:tc>
        <w:tc>
          <w:tcPr>
            <w:tcW w:w="10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1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Bank</w:t>
            </w: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611,533</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527,217</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502,111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21"/>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7"/>
              </w:rPr>
              <w:t>Tier I Capital to</w:t>
            </w: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Risk-Weighted Assets</w:t>
            </w:r>
          </w:p>
        </w:tc>
        <w:tc>
          <w:tcPr>
            <w:tcW w:w="1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2"/>
              </w:rPr>
              <w:t>Consolidated</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593,865</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427,012</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1160" w:type="dxa"/>
            <w:vAlign w:val="bottom"/>
          </w:tcPr>
          <w:p>
            <w:pPr>
              <w:ind w:left="220"/>
              <w:spacing w:after="0"/>
              <w:rPr>
                <w:sz w:val="20"/>
                <w:szCs w:val="20"/>
                <w:color w:val="auto"/>
              </w:rPr>
            </w:pPr>
            <w:r>
              <w:rPr>
                <w:rFonts w:ascii="Arial" w:cs="Arial" w:eastAsia="Arial" w:hAnsi="Arial"/>
                <w:sz w:val="17"/>
                <w:szCs w:val="17"/>
                <w:color w:val="auto"/>
              </w:rPr>
              <w:t>Bank</w:t>
            </w: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13"/>
              <w:spacing w:after="0"/>
              <w:rPr>
                <w:sz w:val="20"/>
                <w:szCs w:val="20"/>
                <w:color w:val="auto"/>
              </w:rPr>
            </w:pPr>
            <w:r>
              <w:rPr>
                <w:rFonts w:ascii="Arial" w:cs="Arial" w:eastAsia="Arial" w:hAnsi="Arial"/>
                <w:sz w:val="17"/>
                <w:szCs w:val="17"/>
                <w:color w:val="auto"/>
              </w:rPr>
              <w:t>548,615</w:t>
            </w:r>
          </w:p>
        </w:tc>
        <w:tc>
          <w:tcPr>
            <w:tcW w:w="840" w:type="dxa"/>
            <w:vAlign w:val="bottom"/>
          </w:tcPr>
          <w:p>
            <w:pPr>
              <w:jc w:val="right"/>
              <w:ind w:right="113"/>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34"/>
              <w:spacing w:after="0"/>
              <w:rPr>
                <w:sz w:val="20"/>
                <w:szCs w:val="20"/>
                <w:color w:val="auto"/>
              </w:rPr>
            </w:pPr>
            <w:r>
              <w:rPr>
                <w:rFonts w:ascii="Arial" w:cs="Arial" w:eastAsia="Arial" w:hAnsi="Arial"/>
                <w:sz w:val="17"/>
                <w:szCs w:val="17"/>
                <w:color w:val="auto"/>
              </w:rPr>
              <w:t>426,794</w:t>
            </w:r>
          </w:p>
        </w:tc>
        <w:tc>
          <w:tcPr>
            <w:tcW w:w="820" w:type="dxa"/>
            <w:vAlign w:val="bottom"/>
          </w:tcPr>
          <w:p>
            <w:pPr>
              <w:jc w:val="right"/>
              <w:ind w:right="133"/>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13"/>
              <w:spacing w:after="0"/>
              <w:rPr>
                <w:sz w:val="20"/>
                <w:szCs w:val="20"/>
                <w:color w:val="auto"/>
              </w:rPr>
            </w:pPr>
            <w:r>
              <w:rPr>
                <w:rFonts w:ascii="Arial" w:cs="Arial" w:eastAsia="Arial" w:hAnsi="Arial"/>
                <w:sz w:val="17"/>
                <w:szCs w:val="17"/>
                <w:color w:val="auto"/>
              </w:rPr>
              <w:t>401,689</w:t>
            </w: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Common Equity Tier 1 to Risk-Weighted Assets</w:t>
            </w:r>
          </w:p>
        </w:tc>
        <w:tc>
          <w:tcPr>
            <w:tcW w:w="1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ind w:left="220"/>
              <w:spacing w:after="0"/>
              <w:rPr>
                <w:sz w:val="20"/>
                <w:szCs w:val="20"/>
                <w:color w:val="auto"/>
              </w:rPr>
            </w:pPr>
            <w:r>
              <w:rPr>
                <w:rFonts w:ascii="Arial" w:cs="Arial" w:eastAsia="Arial" w:hAnsi="Arial"/>
                <w:sz w:val="17"/>
                <w:szCs w:val="17"/>
                <w:color w:val="auto"/>
                <w:w w:val="92"/>
              </w:rPr>
              <w:t>Consolidated</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7"/>
                <w:szCs w:val="17"/>
                <w:color w:val="auto"/>
              </w:rPr>
              <w:t>592,902</w:t>
            </w:r>
          </w:p>
        </w:tc>
        <w:tc>
          <w:tcPr>
            <w:tcW w:w="840" w:type="dxa"/>
            <w:vAlign w:val="bottom"/>
          </w:tcPr>
          <w:p>
            <w:pPr>
              <w:jc w:val="right"/>
              <w:ind w:right="113"/>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7"/>
                <w:szCs w:val="17"/>
                <w:color w:val="auto"/>
              </w:rPr>
              <w:t>351,657</w:t>
            </w:r>
          </w:p>
        </w:tc>
        <w:tc>
          <w:tcPr>
            <w:tcW w:w="820" w:type="dxa"/>
            <w:vAlign w:val="bottom"/>
          </w:tcPr>
          <w:p>
            <w:pPr>
              <w:jc w:val="right"/>
              <w:ind w:right="133"/>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7"/>
                <w:szCs w:val="17"/>
                <w:color w:val="auto"/>
              </w:rPr>
              <w:t>N/A</w:t>
            </w:r>
          </w:p>
        </w:tc>
        <w:tc>
          <w:tcPr>
            <w:tcW w:w="10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1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Bank</w:t>
            </w:r>
          </w:p>
        </w:tc>
        <w:tc>
          <w:tcPr>
            <w:tcW w:w="2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548,615</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351,478</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326,372</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1"/>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7"/>
              </w:rPr>
              <w:t>Tier I Capital to</w:t>
            </w: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Average Assets</w:t>
            </w:r>
          </w:p>
        </w:tc>
        <w:tc>
          <w:tcPr>
            <w:tcW w:w="1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2"/>
              </w:rPr>
              <w:t>Consolidated</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593,865</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219,550</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1160" w:type="dxa"/>
            <w:vAlign w:val="bottom"/>
          </w:tcPr>
          <w:p>
            <w:pPr>
              <w:ind w:left="220"/>
              <w:spacing w:after="0"/>
              <w:rPr>
                <w:sz w:val="20"/>
                <w:szCs w:val="20"/>
                <w:color w:val="auto"/>
              </w:rPr>
            </w:pPr>
            <w:r>
              <w:rPr>
                <w:rFonts w:ascii="Arial" w:cs="Arial" w:eastAsia="Arial" w:hAnsi="Arial"/>
                <w:sz w:val="17"/>
                <w:szCs w:val="17"/>
                <w:color w:val="auto"/>
              </w:rPr>
              <w:t>Bank</w:t>
            </w:r>
          </w:p>
        </w:tc>
        <w:tc>
          <w:tcPr>
            <w:tcW w:w="2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13"/>
              <w:spacing w:after="0"/>
              <w:rPr>
                <w:sz w:val="20"/>
                <w:szCs w:val="20"/>
                <w:color w:val="auto"/>
              </w:rPr>
            </w:pPr>
            <w:r>
              <w:rPr>
                <w:rFonts w:ascii="Arial" w:cs="Arial" w:eastAsia="Arial" w:hAnsi="Arial"/>
                <w:sz w:val="17"/>
                <w:szCs w:val="17"/>
                <w:color w:val="auto"/>
              </w:rPr>
              <w:t>548,615</w:t>
            </w:r>
          </w:p>
        </w:tc>
        <w:tc>
          <w:tcPr>
            <w:tcW w:w="840" w:type="dxa"/>
            <w:vAlign w:val="bottom"/>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434"/>
              <w:spacing w:after="0"/>
              <w:rPr>
                <w:sz w:val="20"/>
                <w:szCs w:val="20"/>
                <w:color w:val="auto"/>
              </w:rPr>
            </w:pPr>
            <w:r>
              <w:rPr>
                <w:rFonts w:ascii="Arial" w:cs="Arial" w:eastAsia="Arial" w:hAnsi="Arial"/>
                <w:sz w:val="17"/>
                <w:szCs w:val="17"/>
                <w:color w:val="auto"/>
              </w:rPr>
              <w:t>219,441</w:t>
            </w:r>
          </w:p>
        </w:tc>
        <w:tc>
          <w:tcPr>
            <w:tcW w:w="820" w:type="dxa"/>
            <w:vAlign w:val="bottom"/>
          </w:tcPr>
          <w:p>
            <w:pPr>
              <w:jc w:val="right"/>
              <w:spacing w:after="0"/>
              <w:rPr>
                <w:sz w:val="20"/>
                <w:szCs w:val="20"/>
                <w:color w:val="auto"/>
              </w:rPr>
            </w:pPr>
            <w:r>
              <w:rPr>
                <w:rFonts w:ascii="Arial" w:cs="Arial" w:eastAsia="Arial" w:hAnsi="Arial"/>
                <w:sz w:val="17"/>
                <w:szCs w:val="17"/>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13"/>
              <w:spacing w:after="0"/>
              <w:rPr>
                <w:sz w:val="20"/>
                <w:szCs w:val="20"/>
                <w:color w:val="auto"/>
              </w:rPr>
            </w:pPr>
            <w:r>
              <w:rPr>
                <w:rFonts w:ascii="Arial" w:cs="Arial" w:eastAsia="Arial" w:hAnsi="Arial"/>
                <w:sz w:val="17"/>
                <w:szCs w:val="17"/>
                <w:color w:val="auto"/>
              </w:rPr>
              <w:t>274,302</w:t>
            </w:r>
          </w:p>
        </w:tc>
        <w:tc>
          <w:tcPr>
            <w:tcW w:w="1060" w:type="dxa"/>
            <w:vAlign w:val="bottom"/>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9:</w:t>
      </w:r>
      <w:r>
        <w:rPr>
          <w:sz w:val="20"/>
          <w:szCs w:val="20"/>
          <w:color w:val="auto"/>
        </w:rPr>
        <w:tab/>
      </w:r>
      <w:r>
        <w:rPr>
          <w:rFonts w:ascii="Arial" w:cs="Arial" w:eastAsia="Arial" w:hAnsi="Arial"/>
          <w:sz w:val="18"/>
          <w:szCs w:val="18"/>
          <w:b w:val="1"/>
          <w:bCs w:val="1"/>
          <w:color w:val="auto"/>
        </w:rPr>
        <w:t>Stock-Based Compensation</w:t>
      </w:r>
    </w:p>
    <w:p>
      <w:pPr>
        <w:spacing w:after="0" w:line="164" w:lineRule="exact"/>
        <w:rPr>
          <w:sz w:val="20"/>
          <w:szCs w:val="20"/>
          <w:color w:val="auto"/>
        </w:rPr>
      </w:pPr>
    </w:p>
    <w:p>
      <w:pPr>
        <w:ind w:left="160" w:right="120" w:firstLine="469"/>
        <w:spacing w:after="0" w:line="266" w:lineRule="auto"/>
        <w:rPr>
          <w:sz w:val="20"/>
          <w:szCs w:val="20"/>
          <w:color w:val="auto"/>
        </w:rPr>
      </w:pPr>
      <w:r>
        <w:rPr>
          <w:rFonts w:ascii="Arial" w:cs="Arial" w:eastAsia="Arial" w:hAnsi="Arial"/>
          <w:sz w:val="17"/>
          <w:szCs w:val="17"/>
          <w:color w:val="auto"/>
        </w:rPr>
        <w:t>The Company issues stock-based compensation in the form of nonvested restricted stock and stock appreciation rights under the 2018 Omnibus Equity Incentive Plan (“Omnibus Plan”). The Omnibus Plan will expire on the tenth anniversary of its effective date. In addition, the Company has an Employee Stock Purchase Plan that was reinstated during the third quarter of 2020. The aggregate number of shares authorized for future issuance under the Omnibus Plan is 1,831,858 shares as of March 31, 2021.</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summarizes the stock-based compensation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195"/>
        </w:trPr>
        <w:tc>
          <w:tcPr>
            <w:tcW w:w="3080" w:type="dxa"/>
            <w:vAlign w:val="bottom"/>
            <w:gridSpan w:val="3"/>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4480" w:type="dxa"/>
            <w:vAlign w:val="bottom"/>
            <w:gridSpan w:val="2"/>
          </w:tcPr>
          <w:p>
            <w:pPr>
              <w:jc w:val="right"/>
              <w:ind w:right="20"/>
              <w:spacing w:after="0"/>
              <w:rPr>
                <w:sz w:val="20"/>
                <w:szCs w:val="20"/>
                <w:color w:val="auto"/>
              </w:rPr>
            </w:pPr>
            <w:r>
              <w:rPr>
                <w:rFonts w:ascii="Arial" w:cs="Arial" w:eastAsia="Arial" w:hAnsi="Arial"/>
                <w:sz w:val="17"/>
                <w:szCs w:val="17"/>
                <w:color w:val="auto"/>
              </w:rPr>
              <w:t>Notes to Consolidated Financial Statements (unaudited)</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82"/>
        </w:trPr>
        <w:tc>
          <w:tcPr>
            <w:tcW w:w="1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gridSpan w:val="3"/>
          </w:tcPr>
          <w:p>
            <w:pPr>
              <w:jc w:val="center"/>
              <w:ind w:left="374"/>
              <w:spacing w:after="0"/>
              <w:rPr>
                <w:sz w:val="20"/>
                <w:szCs w:val="20"/>
                <w:color w:val="auto"/>
              </w:rPr>
            </w:pPr>
            <w:r>
              <w:rPr>
                <w:rFonts w:ascii="Arial" w:cs="Arial" w:eastAsia="Arial" w:hAnsi="Arial"/>
                <w:sz w:val="17"/>
                <w:szCs w:val="17"/>
                <w:b w:val="1"/>
                <w:bCs w:val="1"/>
                <w:color w:val="auto"/>
                <w:w w:val="93"/>
              </w:rPr>
              <w:t>Three Months Ended</w:t>
            </w:r>
          </w:p>
        </w:tc>
        <w:tc>
          <w:tcPr>
            <w:tcW w:w="1380" w:type="dxa"/>
            <w:vAlign w:val="bottom"/>
          </w:tcPr>
          <w:p>
            <w:pPr>
              <w:spacing w:after="0"/>
              <w:rPr>
                <w:sz w:val="24"/>
                <w:szCs w:val="24"/>
                <w:color w:val="auto"/>
              </w:rPr>
            </w:pPr>
          </w:p>
        </w:tc>
      </w:tr>
      <w:tr>
        <w:trPr>
          <w:trHeight w:val="227"/>
        </w:trPr>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7"/>
                <w:szCs w:val="17"/>
                <w:b w:val="1"/>
                <w:bCs w:val="1"/>
                <w:color w:val="auto"/>
                <w:w w:val="96"/>
              </w:rPr>
              <w:t>March 31,</w:t>
            </w:r>
          </w:p>
        </w:tc>
        <w:tc>
          <w:tcPr>
            <w:tcW w:w="1380" w:type="dxa"/>
            <w:vAlign w:val="bottom"/>
            <w:tcBorders>
              <w:bottom w:val="single" w:sz="8" w:color="auto"/>
            </w:tcBorders>
          </w:tcPr>
          <w:p>
            <w:pPr>
              <w:spacing w:after="0"/>
              <w:rPr>
                <w:sz w:val="19"/>
                <w:szCs w:val="19"/>
                <w:color w:val="auto"/>
              </w:rPr>
            </w:pPr>
          </w:p>
        </w:tc>
      </w:tr>
      <w:tr>
        <w:trPr>
          <w:trHeight w:val="214"/>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w w:val="95"/>
              </w:rPr>
              <w:t>2021</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53"/>
              <w:spacing w:after="0"/>
              <w:rPr>
                <w:sz w:val="20"/>
                <w:szCs w:val="20"/>
                <w:color w:val="auto"/>
              </w:rPr>
            </w:pPr>
            <w:r>
              <w:rPr>
                <w:rFonts w:ascii="Arial" w:cs="Arial" w:eastAsia="Arial" w:hAnsi="Arial"/>
                <w:sz w:val="17"/>
                <w:szCs w:val="17"/>
                <w:b w:val="1"/>
                <w:bCs w:val="1"/>
                <w:color w:val="auto"/>
              </w:rPr>
              <w:t>2020</w:t>
            </w:r>
          </w:p>
        </w:tc>
      </w:tr>
      <w:tr>
        <w:trPr>
          <w:trHeight w:val="198"/>
        </w:trPr>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40" w:type="dxa"/>
            <w:vAlign w:val="bottom"/>
            <w:gridSpan w:val="3"/>
          </w:tcPr>
          <w:p>
            <w:pPr>
              <w:jc w:val="center"/>
              <w:ind w:left="394"/>
              <w:spacing w:after="0"/>
              <w:rPr>
                <w:sz w:val="20"/>
                <w:szCs w:val="20"/>
                <w:color w:val="auto"/>
              </w:rPr>
            </w:pPr>
            <w:r>
              <w:rPr>
                <w:rFonts w:ascii="Arial" w:cs="Arial" w:eastAsia="Arial" w:hAnsi="Arial"/>
                <w:sz w:val="16"/>
                <w:szCs w:val="16"/>
                <w:i w:val="1"/>
                <w:iCs w:val="1"/>
                <w:color w:val="auto"/>
                <w:w w:val="89"/>
              </w:rPr>
              <w:t>(Dollars in thousands)</w:t>
            </w:r>
          </w:p>
        </w:tc>
        <w:tc>
          <w:tcPr>
            <w:tcW w:w="1380" w:type="dxa"/>
            <w:vAlign w:val="bottom"/>
          </w:tcPr>
          <w:p>
            <w:pPr>
              <w:spacing w:after="0"/>
              <w:rPr>
                <w:sz w:val="17"/>
                <w:szCs w:val="17"/>
                <w:color w:val="auto"/>
              </w:rPr>
            </w:pPr>
          </w:p>
        </w:tc>
      </w:tr>
      <w:tr>
        <w:trPr>
          <w:trHeight w:val="224"/>
        </w:trPr>
        <w:tc>
          <w:tcPr>
            <w:tcW w:w="140" w:type="dxa"/>
            <w:vAlign w:val="bottom"/>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appreciation rights</w:t>
            </w:r>
          </w:p>
        </w:tc>
        <w:tc>
          <w:tcPr>
            <w:tcW w:w="448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21"/>
        </w:trPr>
        <w:tc>
          <w:tcPr>
            <w:tcW w:w="14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Performance-based stock awards</w:t>
            </w:r>
          </w:p>
        </w:tc>
        <w:tc>
          <w:tcPr>
            <w:tcW w:w="3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21"/>
        </w:trPr>
        <w:tc>
          <w:tcPr>
            <w:tcW w:w="140" w:type="dxa"/>
            <w:vAlign w:val="bottom"/>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and awards</w:t>
            </w:r>
          </w:p>
        </w:tc>
        <w:tc>
          <w:tcPr>
            <w:tcW w:w="3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r>
      <w:tr>
        <w:trPr>
          <w:trHeight w:val="221"/>
        </w:trPr>
        <w:tc>
          <w:tcPr>
            <w:tcW w:w="140" w:type="dxa"/>
            <w:vAlign w:val="bottom"/>
          </w:tcPr>
          <w:p>
            <w:pPr>
              <w:spacing w:after="0"/>
              <w:rPr>
                <w:sz w:val="19"/>
                <w:szCs w:val="19"/>
                <w:color w:val="auto"/>
              </w:rPr>
            </w:pPr>
          </w:p>
        </w:tc>
        <w:tc>
          <w:tcPr>
            <w:tcW w:w="29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Employee stock purchase plan</w:t>
            </w:r>
          </w:p>
        </w:tc>
        <w:tc>
          <w:tcPr>
            <w:tcW w:w="35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140" w:type="dxa"/>
            <w:vAlign w:val="bottom"/>
          </w:tcPr>
          <w:p>
            <w:pPr>
              <w:spacing w:after="0"/>
              <w:rPr>
                <w:sz w:val="20"/>
                <w:szCs w:val="20"/>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stock-based compensation</w:t>
            </w:r>
          </w:p>
        </w:tc>
        <w:tc>
          <w:tcPr>
            <w:tcW w:w="448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w:t>
            </w:r>
          </w:p>
        </w:tc>
      </w:tr>
      <w:tr>
        <w:trPr>
          <w:trHeight w:val="20"/>
        </w:trPr>
        <w:tc>
          <w:tcPr>
            <w:tcW w:w="14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Performance-Based Stock Awards (“PBSAs”)</w:t>
      </w:r>
    </w:p>
    <w:p>
      <w:pPr>
        <w:spacing w:after="0" w:line="164" w:lineRule="exact"/>
        <w:rPr>
          <w:sz w:val="20"/>
          <w:szCs w:val="20"/>
          <w:color w:val="auto"/>
        </w:rPr>
      </w:pPr>
    </w:p>
    <w:p>
      <w:pPr>
        <w:ind w:left="160" w:right="80" w:firstLine="469"/>
        <w:spacing w:after="0" w:line="266" w:lineRule="auto"/>
        <w:rPr>
          <w:sz w:val="20"/>
          <w:szCs w:val="20"/>
          <w:color w:val="auto"/>
        </w:rPr>
      </w:pPr>
      <w:r>
        <w:rPr>
          <w:rFonts w:ascii="Arial" w:cs="Arial" w:eastAsia="Arial" w:hAnsi="Arial"/>
          <w:sz w:val="17"/>
          <w:szCs w:val="17"/>
          <w:color w:val="auto"/>
        </w:rPr>
        <w:t>The Company awards PBSAs to key officers of the Company. The performance-based shares typically cliff-vest at the end of three years based on attainment of certain performance metrics developed by the Compensation Committee. The ultimate number of shares issuable under each performance award is the product of the award target and the award payout percentage given the level of achievement. The award payout percentages by level of achievement range between 0% of target and 150% of target.</w:t>
      </w:r>
    </w:p>
    <w:p>
      <w:pPr>
        <w:spacing w:after="0" w:line="123" w:lineRule="exact"/>
        <w:rPr>
          <w:sz w:val="20"/>
          <w:szCs w:val="20"/>
          <w:color w:val="auto"/>
        </w:rPr>
      </w:pPr>
    </w:p>
    <w:p>
      <w:pPr>
        <w:ind w:left="160" w:right="60" w:firstLine="469"/>
        <w:spacing w:after="0" w:line="286" w:lineRule="auto"/>
        <w:rPr>
          <w:sz w:val="20"/>
          <w:szCs w:val="20"/>
          <w:color w:val="auto"/>
        </w:rPr>
      </w:pPr>
      <w:r>
        <w:rPr>
          <w:rFonts w:ascii="Arial" w:cs="Arial" w:eastAsia="Arial" w:hAnsi="Arial"/>
          <w:sz w:val="17"/>
          <w:szCs w:val="17"/>
          <w:color w:val="auto"/>
        </w:rPr>
        <w:t>During the three months ended March 31, 2021, the Company granted 63,631 PBSAs. The performance metrics include three year cumulative, adjusted earnings per share and relative total shareholder return.</w:t>
      </w:r>
    </w:p>
    <w:p>
      <w:pPr>
        <w:spacing w:after="0" w:line="1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status of and changes in the performance-based awards:</w:t>
      </w:r>
    </w:p>
    <w:p>
      <w:pPr>
        <w:spacing w:after="0" w:line="46"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6600" w:type="dxa"/>
            <w:vAlign w:val="bottom"/>
          </w:tcPr>
          <w:p>
            <w:pPr>
              <w:spacing w:after="0"/>
              <w:rPr>
                <w:sz w:val="19"/>
                <w:szCs w:val="19"/>
                <w:color w:val="auto"/>
              </w:rPr>
            </w:pPr>
          </w:p>
        </w:tc>
        <w:tc>
          <w:tcPr>
            <w:tcW w:w="4480" w:type="dxa"/>
            <w:vAlign w:val="bottom"/>
            <w:tcBorders>
              <w:bottom w:val="single" w:sz="8" w:color="auto"/>
            </w:tcBorders>
            <w:gridSpan w:val="3"/>
          </w:tcPr>
          <w:p>
            <w:pPr>
              <w:ind w:left="980"/>
              <w:spacing w:after="0"/>
              <w:rPr>
                <w:sz w:val="20"/>
                <w:szCs w:val="20"/>
                <w:color w:val="auto"/>
              </w:rPr>
            </w:pPr>
            <w:r>
              <w:rPr>
                <w:rFonts w:ascii="Arial" w:cs="Arial" w:eastAsia="Arial" w:hAnsi="Arial"/>
                <w:sz w:val="17"/>
                <w:szCs w:val="17"/>
                <w:b w:val="1"/>
                <w:bCs w:val="1"/>
                <w:color w:val="auto"/>
              </w:rPr>
              <w:t>Performance Based Stock Awards</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280" w:type="dxa"/>
            <w:vAlign w:val="bottom"/>
            <w:gridSpan w:val="2"/>
            <w:vMerge w:val="restart"/>
          </w:tcPr>
          <w:p>
            <w:pPr>
              <w:ind w:left="440"/>
              <w:spacing w:after="0"/>
              <w:rPr>
                <w:sz w:val="20"/>
                <w:szCs w:val="20"/>
                <w:color w:val="auto"/>
              </w:rPr>
            </w:pPr>
            <w:r>
              <w:rPr>
                <w:rFonts w:ascii="Arial" w:cs="Arial" w:eastAsia="Arial" w:hAnsi="Arial"/>
                <w:sz w:val="17"/>
                <w:szCs w:val="17"/>
                <w:b w:val="1"/>
                <w:bCs w:val="1"/>
                <w:color w:val="auto"/>
              </w:rPr>
              <w:t>Number of Shares</w:t>
            </w:r>
          </w:p>
        </w:tc>
        <w:tc>
          <w:tcPr>
            <w:tcW w:w="2200" w:type="dxa"/>
            <w:vAlign w:val="bottom"/>
          </w:tcPr>
          <w:p>
            <w:pPr>
              <w:jc w:val="center"/>
              <w:spacing w:after="0" w:line="163" w:lineRule="exact"/>
              <w:rPr>
                <w:sz w:val="20"/>
                <w:szCs w:val="20"/>
                <w:color w:val="auto"/>
              </w:rPr>
            </w:pPr>
            <w:r>
              <w:rPr>
                <w:rFonts w:ascii="Arial" w:cs="Arial" w:eastAsia="Arial" w:hAnsi="Arial"/>
                <w:sz w:val="17"/>
                <w:szCs w:val="17"/>
                <w:b w:val="1"/>
                <w:bCs w:val="1"/>
                <w:color w:val="auto"/>
                <w:w w:val="93"/>
              </w:rPr>
              <w:t>Weighted-Average Grant</w:t>
            </w:r>
          </w:p>
        </w:tc>
        <w:tc>
          <w:tcPr>
            <w:tcW w:w="0" w:type="dxa"/>
            <w:vAlign w:val="bottom"/>
          </w:tcPr>
          <w:p>
            <w:pPr>
              <w:spacing w:after="0"/>
              <w:rPr>
                <w:sz w:val="1"/>
                <w:szCs w:val="1"/>
                <w:color w:val="auto"/>
              </w:rPr>
            </w:pPr>
          </w:p>
        </w:tc>
      </w:tr>
      <w:tr>
        <w:trPr>
          <w:trHeight w:val="221"/>
        </w:trPr>
        <w:tc>
          <w:tcPr>
            <w:tcW w:w="6600" w:type="dxa"/>
            <w:vAlign w:val="bottom"/>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7"/>
                <w:szCs w:val="17"/>
                <w:b w:val="1"/>
                <w:bCs w:val="1"/>
                <w:color w:val="auto"/>
                <w:w w:val="94"/>
              </w:rPr>
              <w:t>Date Fair Value</w:t>
            </w:r>
          </w:p>
        </w:tc>
        <w:tc>
          <w:tcPr>
            <w:tcW w:w="0" w:type="dxa"/>
            <w:vAlign w:val="bottom"/>
          </w:tcPr>
          <w:p>
            <w:pPr>
              <w:spacing w:after="0"/>
              <w:rPr>
                <w:sz w:val="1"/>
                <w:szCs w:val="1"/>
                <w:color w:val="auto"/>
              </w:rPr>
            </w:pPr>
          </w:p>
        </w:tc>
      </w:tr>
      <w:tr>
        <w:trPr>
          <w:trHeight w:val="214"/>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January 1, 2021</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231,631</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$10.51</w:t>
            </w:r>
          </w:p>
        </w:tc>
        <w:tc>
          <w:tcPr>
            <w:tcW w:w="0" w:type="dxa"/>
            <w:vAlign w:val="bottom"/>
          </w:tcPr>
          <w:p>
            <w:pPr>
              <w:spacing w:after="0"/>
              <w:rPr>
                <w:sz w:val="1"/>
                <w:szCs w:val="1"/>
                <w:color w:val="auto"/>
              </w:rPr>
            </w:pPr>
          </w:p>
        </w:tc>
      </w:tr>
      <w:tr>
        <w:trPr>
          <w:trHeight w:val="221"/>
        </w:trPr>
        <w:tc>
          <w:tcPr>
            <w:tcW w:w="6600" w:type="dxa"/>
            <w:vAlign w:val="bottom"/>
          </w:tcPr>
          <w:p>
            <w:pPr>
              <w:ind w:left="120"/>
              <w:spacing w:after="0"/>
              <w:rPr>
                <w:sz w:val="20"/>
                <w:szCs w:val="20"/>
                <w:color w:val="auto"/>
              </w:rPr>
            </w:pPr>
            <w:r>
              <w:rPr>
                <w:rFonts w:ascii="Arial" w:cs="Arial" w:eastAsia="Arial" w:hAnsi="Arial"/>
                <w:sz w:val="17"/>
                <w:szCs w:val="17"/>
                <w:color w:val="auto"/>
              </w:rPr>
              <w:t>Granted</w:t>
            </w:r>
          </w:p>
        </w:tc>
        <w:tc>
          <w:tcPr>
            <w:tcW w:w="2200" w:type="dxa"/>
            <w:vAlign w:val="bottom"/>
          </w:tcPr>
          <w:p>
            <w:pPr>
              <w:jc w:val="center"/>
              <w:spacing w:after="0"/>
              <w:rPr>
                <w:sz w:val="20"/>
                <w:szCs w:val="20"/>
                <w:color w:val="auto"/>
              </w:rPr>
            </w:pPr>
            <w:r>
              <w:rPr>
                <w:rFonts w:ascii="Arial" w:cs="Arial" w:eastAsia="Arial" w:hAnsi="Arial"/>
                <w:sz w:val="17"/>
                <w:szCs w:val="17"/>
                <w:color w:val="auto"/>
                <w:w w:val="92"/>
              </w:rPr>
              <w:t>63,631</w:t>
            </w:r>
          </w:p>
        </w:tc>
        <w:tc>
          <w:tcPr>
            <w:tcW w:w="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7"/>
                <w:szCs w:val="17"/>
                <w:color w:val="auto"/>
                <w:w w:val="93"/>
              </w:rPr>
              <w:t>12.89</w:t>
            </w: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w:t>
            </w: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0.00</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0</w:t>
            </w:r>
          </w:p>
        </w:tc>
        <w:tc>
          <w:tcPr>
            <w:tcW w:w="8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0.00</w:t>
            </w:r>
          </w:p>
        </w:tc>
        <w:tc>
          <w:tcPr>
            <w:tcW w:w="0" w:type="dxa"/>
            <w:vAlign w:val="bottom"/>
          </w:tcPr>
          <w:p>
            <w:pPr>
              <w:spacing w:after="0"/>
              <w:rPr>
                <w:sz w:val="1"/>
                <w:szCs w:val="1"/>
                <w:color w:val="auto"/>
              </w:rPr>
            </w:pPr>
          </w:p>
        </w:tc>
      </w:tr>
      <w:tr>
        <w:trPr>
          <w:trHeight w:val="23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March 31, 2021</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295,262</w:t>
            </w:r>
          </w:p>
        </w:tc>
        <w:tc>
          <w:tcPr>
            <w:tcW w:w="8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$11.02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60" w:right="280" w:firstLine="469"/>
        <w:spacing w:after="0" w:line="286" w:lineRule="auto"/>
        <w:rPr>
          <w:sz w:val="20"/>
          <w:szCs w:val="20"/>
          <w:color w:val="auto"/>
        </w:rPr>
      </w:pPr>
      <w:r>
        <w:rPr>
          <w:rFonts w:ascii="Arial" w:cs="Arial" w:eastAsia="Arial" w:hAnsi="Arial"/>
          <w:sz w:val="17"/>
          <w:szCs w:val="17"/>
          <w:color w:val="auto"/>
        </w:rPr>
        <w:t>Unrecognized stock-based compensation related to the performance awards issued through March 31, 2021 was $968 thousand and is expected to be recognized over 2.7 years.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Restricted Stock Units (“RSUs”) and Restricted Stock Awards (“RSAs”)</w:t>
      </w:r>
    </w:p>
    <w:p>
      <w:pPr>
        <w:spacing w:after="0" w:line="164" w:lineRule="exact"/>
        <w:rPr>
          <w:sz w:val="20"/>
          <w:szCs w:val="20"/>
          <w:color w:val="auto"/>
        </w:rPr>
      </w:pPr>
    </w:p>
    <w:p>
      <w:pPr>
        <w:ind w:left="160" w:right="200" w:firstLine="469"/>
        <w:spacing w:after="0" w:line="271" w:lineRule="auto"/>
        <w:rPr>
          <w:sz w:val="20"/>
          <w:szCs w:val="20"/>
          <w:color w:val="auto"/>
        </w:rPr>
      </w:pPr>
      <w:r>
        <w:rPr>
          <w:rFonts w:ascii="Arial" w:cs="Arial" w:eastAsia="Arial" w:hAnsi="Arial"/>
          <w:sz w:val="17"/>
          <w:szCs w:val="17"/>
          <w:color w:val="auto"/>
        </w:rPr>
        <w:t>The Company issues RSUs and RSAs to provide incentives to key officers, employees, and nonemployee directors. Awards are typically granted annually as determined by the Compensation Committee. The service-based RSUs typically vest in equal amounts over three years. The service-based RSAs typically cliff-vest after one year.</w:t>
      </w:r>
    </w:p>
    <w:p>
      <w:pPr>
        <w:spacing w:after="0" w:line="119"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6600" w:type="dxa"/>
            <w:vAlign w:val="bottom"/>
          </w:tcPr>
          <w:p>
            <w:pPr>
              <w:ind w:left="460"/>
              <w:spacing w:after="0"/>
              <w:rPr>
                <w:sz w:val="20"/>
                <w:szCs w:val="20"/>
                <w:color w:val="auto"/>
              </w:rPr>
            </w:pPr>
            <w:r>
              <w:rPr>
                <w:rFonts w:ascii="Arial" w:cs="Arial" w:eastAsia="Arial" w:hAnsi="Arial"/>
                <w:sz w:val="17"/>
                <w:szCs w:val="17"/>
                <w:color w:val="auto"/>
                <w:w w:val="98"/>
              </w:rPr>
              <w:t>The following table summarizes the status of and changes in the RSUs and RSAs:</w:t>
            </w: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Pr>
          <w:p>
            <w:pPr>
              <w:spacing w:after="0"/>
              <w:rPr>
                <w:sz w:val="21"/>
                <w:szCs w:val="21"/>
                <w:color w:val="auto"/>
              </w:rPr>
            </w:pPr>
          </w:p>
        </w:tc>
        <w:tc>
          <w:tcPr>
            <w:tcW w:w="4480" w:type="dxa"/>
            <w:vAlign w:val="bottom"/>
            <w:tcBorders>
              <w:bottom w:val="single" w:sz="8" w:color="auto"/>
            </w:tcBorders>
            <w:gridSpan w:val="3"/>
          </w:tcPr>
          <w:p>
            <w:pPr>
              <w:ind w:left="940"/>
              <w:spacing w:after="0"/>
              <w:rPr>
                <w:sz w:val="20"/>
                <w:szCs w:val="20"/>
                <w:color w:val="auto"/>
              </w:rPr>
            </w:pPr>
            <w:r>
              <w:rPr>
                <w:rFonts w:ascii="Arial" w:cs="Arial" w:eastAsia="Arial" w:hAnsi="Arial"/>
                <w:sz w:val="17"/>
                <w:szCs w:val="17"/>
                <w:b w:val="1"/>
                <w:bCs w:val="1"/>
                <w:color w:val="auto"/>
              </w:rPr>
              <w:t>Restricted Stock Units and Awards</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280" w:type="dxa"/>
            <w:vAlign w:val="bottom"/>
            <w:gridSpan w:val="2"/>
            <w:vMerge w:val="restart"/>
          </w:tcPr>
          <w:p>
            <w:pPr>
              <w:ind w:left="440"/>
              <w:spacing w:after="0"/>
              <w:rPr>
                <w:sz w:val="20"/>
                <w:szCs w:val="20"/>
                <w:color w:val="auto"/>
              </w:rPr>
            </w:pPr>
            <w:r>
              <w:rPr>
                <w:rFonts w:ascii="Arial" w:cs="Arial" w:eastAsia="Arial" w:hAnsi="Arial"/>
                <w:sz w:val="17"/>
                <w:szCs w:val="17"/>
                <w:b w:val="1"/>
                <w:bCs w:val="1"/>
                <w:color w:val="auto"/>
              </w:rPr>
              <w:t>Number of Shares</w:t>
            </w:r>
          </w:p>
        </w:tc>
        <w:tc>
          <w:tcPr>
            <w:tcW w:w="2200" w:type="dxa"/>
            <w:vAlign w:val="bottom"/>
          </w:tcPr>
          <w:p>
            <w:pPr>
              <w:jc w:val="center"/>
              <w:spacing w:after="0" w:line="163" w:lineRule="exact"/>
              <w:rPr>
                <w:sz w:val="20"/>
                <w:szCs w:val="20"/>
                <w:color w:val="auto"/>
              </w:rPr>
            </w:pPr>
            <w:r>
              <w:rPr>
                <w:rFonts w:ascii="Arial" w:cs="Arial" w:eastAsia="Arial" w:hAnsi="Arial"/>
                <w:sz w:val="17"/>
                <w:szCs w:val="17"/>
                <w:b w:val="1"/>
                <w:bCs w:val="1"/>
                <w:color w:val="auto"/>
                <w:w w:val="93"/>
              </w:rPr>
              <w:t>Weighted-Average Grant</w:t>
            </w:r>
          </w:p>
        </w:tc>
        <w:tc>
          <w:tcPr>
            <w:tcW w:w="0" w:type="dxa"/>
            <w:vAlign w:val="bottom"/>
          </w:tcPr>
          <w:p>
            <w:pPr>
              <w:spacing w:after="0"/>
              <w:rPr>
                <w:sz w:val="1"/>
                <w:szCs w:val="1"/>
                <w:color w:val="auto"/>
              </w:rPr>
            </w:pPr>
          </w:p>
        </w:tc>
      </w:tr>
      <w:tr>
        <w:trPr>
          <w:trHeight w:val="221"/>
        </w:trPr>
        <w:tc>
          <w:tcPr>
            <w:tcW w:w="6600" w:type="dxa"/>
            <w:vAlign w:val="bottom"/>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7"/>
                <w:szCs w:val="17"/>
                <w:b w:val="1"/>
                <w:bCs w:val="1"/>
                <w:color w:val="auto"/>
                <w:w w:val="94"/>
              </w:rPr>
              <w:t>Date Fair Value</w:t>
            </w:r>
          </w:p>
        </w:tc>
        <w:tc>
          <w:tcPr>
            <w:tcW w:w="0" w:type="dxa"/>
            <w:vAlign w:val="bottom"/>
          </w:tcPr>
          <w:p>
            <w:pPr>
              <w:spacing w:after="0"/>
              <w:rPr>
                <w:sz w:val="1"/>
                <w:szCs w:val="1"/>
                <w:color w:val="auto"/>
              </w:rPr>
            </w:pPr>
          </w:p>
        </w:tc>
      </w:tr>
      <w:tr>
        <w:trPr>
          <w:trHeight w:val="214"/>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January 1, 2021</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369,217</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$12.61</w:t>
            </w:r>
          </w:p>
        </w:tc>
        <w:tc>
          <w:tcPr>
            <w:tcW w:w="0" w:type="dxa"/>
            <w:vAlign w:val="bottom"/>
          </w:tcPr>
          <w:p>
            <w:pPr>
              <w:spacing w:after="0"/>
              <w:rPr>
                <w:sz w:val="1"/>
                <w:szCs w:val="1"/>
                <w:color w:val="auto"/>
              </w:rPr>
            </w:pPr>
          </w:p>
        </w:tc>
      </w:tr>
      <w:tr>
        <w:trPr>
          <w:trHeight w:val="221"/>
        </w:trPr>
        <w:tc>
          <w:tcPr>
            <w:tcW w:w="6600" w:type="dxa"/>
            <w:vAlign w:val="bottom"/>
          </w:tcPr>
          <w:p>
            <w:pPr>
              <w:ind w:left="120"/>
              <w:spacing w:after="0"/>
              <w:rPr>
                <w:sz w:val="20"/>
                <w:szCs w:val="20"/>
                <w:color w:val="auto"/>
              </w:rPr>
            </w:pPr>
            <w:r>
              <w:rPr>
                <w:rFonts w:ascii="Arial" w:cs="Arial" w:eastAsia="Arial" w:hAnsi="Arial"/>
                <w:sz w:val="17"/>
                <w:szCs w:val="17"/>
                <w:color w:val="auto"/>
              </w:rPr>
              <w:t>Granted</w:t>
            </w:r>
          </w:p>
        </w:tc>
        <w:tc>
          <w:tcPr>
            <w:tcW w:w="2200" w:type="dxa"/>
            <w:vAlign w:val="bottom"/>
          </w:tcPr>
          <w:p>
            <w:pPr>
              <w:jc w:val="center"/>
              <w:spacing w:after="0"/>
              <w:rPr>
                <w:sz w:val="20"/>
                <w:szCs w:val="20"/>
                <w:color w:val="auto"/>
              </w:rPr>
            </w:pPr>
            <w:r>
              <w:rPr>
                <w:rFonts w:ascii="Arial" w:cs="Arial" w:eastAsia="Arial" w:hAnsi="Arial"/>
                <w:sz w:val="17"/>
                <w:szCs w:val="17"/>
                <w:color w:val="auto"/>
                <w:w w:val="91"/>
              </w:rPr>
              <w:t>194,211</w:t>
            </w:r>
          </w:p>
        </w:tc>
        <w:tc>
          <w:tcPr>
            <w:tcW w:w="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7"/>
                <w:szCs w:val="17"/>
                <w:color w:val="auto"/>
                <w:w w:val="93"/>
              </w:rPr>
              <w:t>12.87</w:t>
            </w: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(109,770)</w:t>
            </w: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14.28</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0</w:t>
            </w:r>
          </w:p>
        </w:tc>
        <w:tc>
          <w:tcPr>
            <w:tcW w:w="8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0.00</w:t>
            </w:r>
          </w:p>
        </w:tc>
        <w:tc>
          <w:tcPr>
            <w:tcW w:w="0" w:type="dxa"/>
            <w:vAlign w:val="bottom"/>
          </w:tcPr>
          <w:p>
            <w:pPr>
              <w:spacing w:after="0"/>
              <w:rPr>
                <w:sz w:val="1"/>
                <w:szCs w:val="1"/>
                <w:color w:val="auto"/>
              </w:rPr>
            </w:pPr>
          </w:p>
        </w:tc>
      </w:tr>
      <w:tr>
        <w:trPr>
          <w:trHeight w:val="23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March 31, 2021</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453,658</w:t>
            </w:r>
          </w:p>
        </w:tc>
        <w:tc>
          <w:tcPr>
            <w:tcW w:w="8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$12.32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60" w:right="40" w:firstLine="469"/>
        <w:spacing w:after="0" w:line="286" w:lineRule="auto"/>
        <w:rPr>
          <w:sz w:val="20"/>
          <w:szCs w:val="20"/>
          <w:color w:val="auto"/>
        </w:rPr>
      </w:pPr>
      <w:r>
        <w:rPr>
          <w:rFonts w:ascii="Arial" w:cs="Arial" w:eastAsia="Arial" w:hAnsi="Arial"/>
          <w:sz w:val="17"/>
          <w:szCs w:val="17"/>
          <w:color w:val="auto"/>
        </w:rPr>
        <w:t>Unrecognized stock-based compensation related to the RSUs and RSAs issued through March 31, 2021 was $4 million and is expected to be recognized over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65" w:right="339" w:bottom="1440" w:gutter="0" w:footer="0" w:header="0"/>
        </w:sectPr>
      </w:pPr>
    </w:p>
    <w:bookmarkStart w:id="27" w:name="page28"/>
    <w:bookmarkEnd w:id="27"/>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2"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10:</w:t>
      </w:r>
      <w:r>
        <w:rPr>
          <w:sz w:val="20"/>
          <w:szCs w:val="20"/>
          <w:color w:val="auto"/>
        </w:rPr>
        <w:tab/>
      </w:r>
      <w:r>
        <w:rPr>
          <w:rFonts w:ascii="Arial" w:cs="Arial" w:eastAsia="Arial" w:hAnsi="Arial"/>
          <w:sz w:val="18"/>
          <w:szCs w:val="18"/>
          <w:b w:val="1"/>
          <w:bCs w:val="1"/>
          <w:color w:val="auto"/>
        </w:rPr>
        <w:t>Income Tax</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 income tax expense reconciliation at the statutory rate to the Company’s actual income tax expense is shown below:</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5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00" w:type="dxa"/>
            <w:vAlign w:val="bottom"/>
            <w:gridSpan w:val="3"/>
          </w:tcPr>
          <w:p>
            <w:pPr>
              <w:jc w:val="center"/>
              <w:ind w:left="834"/>
              <w:spacing w:after="0"/>
              <w:rPr>
                <w:sz w:val="20"/>
                <w:szCs w:val="20"/>
                <w:color w:val="auto"/>
              </w:rPr>
            </w:pPr>
            <w:r>
              <w:rPr>
                <w:rFonts w:ascii="Arial" w:cs="Arial" w:eastAsia="Arial" w:hAnsi="Arial"/>
                <w:sz w:val="17"/>
                <w:szCs w:val="17"/>
                <w:b w:val="1"/>
                <w:bCs w:val="1"/>
                <w:color w:val="auto"/>
                <w:w w:val="93"/>
              </w:rPr>
              <w:t>Three Months Ended</w:t>
            </w:r>
          </w:p>
        </w:tc>
        <w:tc>
          <w:tcPr>
            <w:tcW w:w="1540" w:type="dxa"/>
            <w:vAlign w:val="bottom"/>
          </w:tcPr>
          <w:p>
            <w:pPr>
              <w:spacing w:after="0"/>
              <w:rPr>
                <w:sz w:val="19"/>
                <w:szCs w:val="19"/>
                <w:color w:val="auto"/>
              </w:rPr>
            </w:pPr>
          </w:p>
        </w:tc>
      </w:tr>
      <w:tr>
        <w:trPr>
          <w:trHeight w:val="227"/>
        </w:trPr>
        <w:tc>
          <w:tcPr>
            <w:tcW w:w="58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7"/>
                <w:szCs w:val="17"/>
                <w:b w:val="1"/>
                <w:bCs w:val="1"/>
                <w:color w:val="auto"/>
                <w:w w:val="96"/>
              </w:rPr>
              <w:t>March 31,</w:t>
            </w:r>
          </w:p>
        </w:tc>
        <w:tc>
          <w:tcPr>
            <w:tcW w:w="1540" w:type="dxa"/>
            <w:vAlign w:val="bottom"/>
            <w:tcBorders>
              <w:bottom w:val="single" w:sz="8" w:color="auto"/>
            </w:tcBorders>
          </w:tcPr>
          <w:p>
            <w:pPr>
              <w:spacing w:after="0"/>
              <w:rPr>
                <w:sz w:val="19"/>
                <w:szCs w:val="19"/>
                <w:color w:val="auto"/>
              </w:rPr>
            </w:pPr>
          </w:p>
        </w:tc>
      </w:tr>
      <w:tr>
        <w:trPr>
          <w:trHeight w:val="214"/>
        </w:trPr>
        <w:tc>
          <w:tcPr>
            <w:tcW w:w="58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0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33"/>
              <w:spacing w:after="0"/>
              <w:rPr>
                <w:sz w:val="20"/>
                <w:szCs w:val="20"/>
                <w:color w:val="auto"/>
              </w:rPr>
            </w:pPr>
            <w:r>
              <w:rPr>
                <w:rFonts w:ascii="Arial" w:cs="Arial" w:eastAsia="Arial" w:hAnsi="Arial"/>
                <w:sz w:val="17"/>
                <w:szCs w:val="17"/>
                <w:b w:val="1"/>
                <w:bCs w:val="1"/>
                <w:color w:val="auto"/>
              </w:rPr>
              <w:t>2020</w:t>
            </w:r>
          </w:p>
        </w:tc>
      </w:tr>
      <w:tr>
        <w:trPr>
          <w:trHeight w:val="198"/>
        </w:trPr>
        <w:tc>
          <w:tcPr>
            <w:tcW w:w="5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00" w:type="dxa"/>
            <w:vAlign w:val="bottom"/>
            <w:gridSpan w:val="3"/>
          </w:tcPr>
          <w:p>
            <w:pPr>
              <w:jc w:val="center"/>
              <w:ind w:left="834"/>
              <w:spacing w:after="0"/>
              <w:rPr>
                <w:sz w:val="20"/>
                <w:szCs w:val="20"/>
                <w:color w:val="auto"/>
              </w:rPr>
            </w:pPr>
            <w:r>
              <w:rPr>
                <w:rFonts w:ascii="Arial" w:cs="Arial" w:eastAsia="Arial" w:hAnsi="Arial"/>
                <w:sz w:val="16"/>
                <w:szCs w:val="16"/>
                <w:i w:val="1"/>
                <w:iCs w:val="1"/>
                <w:color w:val="auto"/>
                <w:w w:val="91"/>
              </w:rPr>
              <w:t>(Dollars in thousands)</w:t>
            </w:r>
          </w:p>
        </w:tc>
        <w:tc>
          <w:tcPr>
            <w:tcW w:w="1540" w:type="dxa"/>
            <w:vAlign w:val="bottom"/>
          </w:tcPr>
          <w:p>
            <w:pPr>
              <w:spacing w:after="0"/>
              <w:rPr>
                <w:sz w:val="17"/>
                <w:szCs w:val="17"/>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Computed at the statutory rate (21%)</w:t>
            </w:r>
          </w:p>
        </w:tc>
        <w:tc>
          <w:tcPr>
            <w:tcW w:w="62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r>
      <w:tr>
        <w:trPr>
          <w:trHeight w:val="221"/>
        </w:trPr>
        <w:tc>
          <w:tcPr>
            <w:tcW w:w="5820" w:type="dxa"/>
            <w:vAlign w:val="bottom"/>
          </w:tcPr>
          <w:p>
            <w:pPr>
              <w:ind w:left="20"/>
              <w:spacing w:after="0"/>
              <w:rPr>
                <w:sz w:val="20"/>
                <w:szCs w:val="20"/>
                <w:color w:val="auto"/>
              </w:rPr>
            </w:pPr>
            <w:r>
              <w:rPr>
                <w:rFonts w:ascii="Arial" w:cs="Arial" w:eastAsia="Arial" w:hAnsi="Arial"/>
                <w:sz w:val="17"/>
                <w:szCs w:val="17"/>
                <w:color w:val="auto"/>
              </w:rPr>
              <w:t>Increase (decrease) resulting from</w:t>
            </w:r>
          </w:p>
        </w:tc>
        <w:tc>
          <w:tcPr>
            <w:tcW w:w="6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1"/>
        </w:trPr>
        <w:tc>
          <w:tcPr>
            <w:tcW w:w="5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Tax-exempt income</w:t>
            </w:r>
          </w:p>
        </w:tc>
        <w:tc>
          <w:tcPr>
            <w:tcW w:w="6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r>
      <w:tr>
        <w:trPr>
          <w:trHeight w:val="221"/>
        </w:trPr>
        <w:tc>
          <w:tcPr>
            <w:tcW w:w="5820" w:type="dxa"/>
            <w:vAlign w:val="bottom"/>
          </w:tcPr>
          <w:p>
            <w:pPr>
              <w:ind w:left="140"/>
              <w:spacing w:after="0"/>
              <w:rPr>
                <w:sz w:val="20"/>
                <w:szCs w:val="20"/>
                <w:color w:val="auto"/>
              </w:rPr>
            </w:pPr>
            <w:r>
              <w:rPr>
                <w:rFonts w:ascii="Arial" w:cs="Arial" w:eastAsia="Arial" w:hAnsi="Arial"/>
                <w:sz w:val="17"/>
                <w:szCs w:val="17"/>
                <w:color w:val="auto"/>
              </w:rPr>
              <w:t>Nondeductible expenses</w:t>
            </w:r>
          </w:p>
        </w:tc>
        <w:tc>
          <w:tcPr>
            <w:tcW w:w="6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1"/>
        </w:trPr>
        <w:tc>
          <w:tcPr>
            <w:tcW w:w="5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 income taxes</w:t>
            </w:r>
          </w:p>
        </w:tc>
        <w:tc>
          <w:tcPr>
            <w:tcW w:w="6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21"/>
        </w:trPr>
        <w:tc>
          <w:tcPr>
            <w:tcW w:w="5820" w:type="dxa"/>
            <w:vAlign w:val="bottom"/>
          </w:tcPr>
          <w:p>
            <w:pPr>
              <w:ind w:left="140"/>
              <w:spacing w:after="0"/>
              <w:rPr>
                <w:sz w:val="20"/>
                <w:szCs w:val="20"/>
                <w:color w:val="auto"/>
              </w:rPr>
            </w:pPr>
            <w:r>
              <w:rPr>
                <w:rFonts w:ascii="Arial" w:cs="Arial" w:eastAsia="Arial" w:hAnsi="Arial"/>
                <w:sz w:val="17"/>
                <w:szCs w:val="17"/>
                <w:color w:val="auto"/>
              </w:rPr>
              <w:t>Equity based compensation</w:t>
            </w:r>
          </w:p>
        </w:tc>
        <w:tc>
          <w:tcPr>
            <w:tcW w:w="6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1"/>
        </w:trPr>
        <w:tc>
          <w:tcPr>
            <w:tcW w:w="5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adjustments</w:t>
            </w:r>
          </w:p>
        </w:tc>
        <w:tc>
          <w:tcPr>
            <w:tcW w:w="6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4"/>
        </w:trPr>
        <w:tc>
          <w:tcPr>
            <w:tcW w:w="5820" w:type="dxa"/>
            <w:vAlign w:val="bottom"/>
          </w:tcPr>
          <w:p>
            <w:pPr>
              <w:ind w:left="20"/>
              <w:spacing w:after="0"/>
              <w:rPr>
                <w:sz w:val="20"/>
                <w:szCs w:val="20"/>
                <w:color w:val="auto"/>
              </w:rPr>
            </w:pPr>
            <w:r>
              <w:rPr>
                <w:rFonts w:ascii="Arial" w:cs="Arial" w:eastAsia="Arial" w:hAnsi="Arial"/>
                <w:sz w:val="17"/>
                <w:szCs w:val="17"/>
                <w:color w:val="auto"/>
              </w:rPr>
              <w:t>Actual tax expense</w:t>
            </w:r>
          </w:p>
        </w:tc>
        <w:tc>
          <w:tcPr>
            <w:tcW w:w="6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7"/>
                <w:szCs w:val="17"/>
                <w:color w:val="auto"/>
                <w:w w:val="84"/>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2,908</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293</w:t>
            </w:r>
          </w:p>
        </w:tc>
      </w:tr>
      <w:tr>
        <w:trPr>
          <w:trHeight w:val="20"/>
        </w:trPr>
        <w:tc>
          <w:tcPr>
            <w:tcW w:w="5820" w:type="dxa"/>
            <w:vAlign w:val="bottom"/>
          </w:tcPr>
          <w:p>
            <w:pPr>
              <w:spacing w:after="0" w:line="20" w:lineRule="exact"/>
              <w:rPr>
                <w:sz w:val="1"/>
                <w:szCs w:val="1"/>
                <w:color w:val="auto"/>
              </w:rPr>
            </w:pPr>
          </w:p>
        </w:tc>
        <w:tc>
          <w:tcPr>
            <w:tcW w:w="2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31"/>
        </w:trPr>
        <w:tc>
          <w:tcPr>
            <w:tcW w:w="9540" w:type="dxa"/>
            <w:vAlign w:val="bottom"/>
            <w:gridSpan w:val="5"/>
          </w:tcPr>
          <w:p>
            <w:pPr>
              <w:ind w:left="460"/>
              <w:spacing w:after="0"/>
              <w:rPr>
                <w:sz w:val="20"/>
                <w:szCs w:val="20"/>
                <w:color w:val="auto"/>
              </w:rPr>
            </w:pPr>
            <w:r>
              <w:rPr>
                <w:rFonts w:ascii="Arial" w:cs="Arial" w:eastAsia="Arial" w:hAnsi="Arial"/>
                <w:sz w:val="17"/>
                <w:szCs w:val="17"/>
                <w:color w:val="auto"/>
                <w:w w:val="91"/>
              </w:rPr>
              <w:t>The tax effects of temporary differences related to deferred taxes shown on the Consolidated Balance Sheets are presented below:</w:t>
            </w:r>
          </w:p>
        </w:tc>
        <w:tc>
          <w:tcPr>
            <w:tcW w:w="1540" w:type="dxa"/>
            <w:vAlign w:val="bottom"/>
          </w:tcPr>
          <w:p>
            <w:pPr>
              <w:spacing w:after="0"/>
              <w:rPr>
                <w:sz w:val="24"/>
                <w:szCs w:val="24"/>
                <w:color w:val="auto"/>
              </w:rPr>
            </w:pPr>
          </w:p>
        </w:tc>
      </w:tr>
    </w:tbl>
    <w:p>
      <w:pPr>
        <w:spacing w:after="0" w:line="177"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582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March 31, 2021</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2"/>
          </w:tcPr>
          <w:p>
            <w:pPr>
              <w:jc w:val="right"/>
              <w:ind w:right="493"/>
              <w:spacing w:after="0"/>
              <w:rPr>
                <w:sz w:val="20"/>
                <w:szCs w:val="20"/>
                <w:color w:val="auto"/>
              </w:rPr>
            </w:pPr>
            <w:r>
              <w:rPr>
                <w:rFonts w:ascii="Arial" w:cs="Arial" w:eastAsia="Arial" w:hAnsi="Arial"/>
                <w:sz w:val="17"/>
                <w:szCs w:val="17"/>
                <w:b w:val="1"/>
                <w:bCs w:val="1"/>
                <w:color w:val="auto"/>
              </w:rPr>
              <w:t>December 31, 2020</w:t>
            </w:r>
          </w:p>
        </w:tc>
      </w:tr>
      <w:tr>
        <w:trPr>
          <w:trHeight w:val="198"/>
        </w:trPr>
        <w:tc>
          <w:tcPr>
            <w:tcW w:w="58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00" w:type="dxa"/>
            <w:vAlign w:val="bottom"/>
            <w:gridSpan w:val="3"/>
          </w:tcPr>
          <w:p>
            <w:pPr>
              <w:jc w:val="right"/>
              <w:ind w:right="573"/>
              <w:spacing w:after="0"/>
              <w:rPr>
                <w:sz w:val="20"/>
                <w:szCs w:val="20"/>
                <w:color w:val="auto"/>
              </w:rPr>
            </w:pPr>
            <w:r>
              <w:rPr>
                <w:rFonts w:ascii="Arial" w:cs="Arial" w:eastAsia="Arial" w:hAnsi="Arial"/>
                <w:sz w:val="16"/>
                <w:szCs w:val="16"/>
                <w:i w:val="1"/>
                <w:iCs w:val="1"/>
                <w:color w:val="auto"/>
                <w:w w:val="91"/>
              </w:rPr>
              <w:t>(Dollars in thousands)</w:t>
            </w:r>
          </w:p>
        </w:tc>
        <w:tc>
          <w:tcPr>
            <w:tcW w:w="1260" w:type="dxa"/>
            <w:vAlign w:val="bottom"/>
          </w:tcPr>
          <w:p>
            <w:pPr>
              <w:spacing w:after="0"/>
              <w:rPr>
                <w:sz w:val="17"/>
                <w:szCs w:val="17"/>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19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1"/>
        </w:trPr>
        <w:tc>
          <w:tcPr>
            <w:tcW w:w="5820" w:type="dxa"/>
            <w:vAlign w:val="bottom"/>
          </w:tcPr>
          <w:p>
            <w:pPr>
              <w:ind w:left="220"/>
              <w:spacing w:after="0"/>
              <w:rPr>
                <w:sz w:val="20"/>
                <w:szCs w:val="20"/>
                <w:color w:val="auto"/>
              </w:rPr>
            </w:pPr>
            <w:r>
              <w:rPr>
                <w:rFonts w:ascii="Arial" w:cs="Arial" w:eastAsia="Arial" w:hAnsi="Arial"/>
                <w:sz w:val="17"/>
                <w:szCs w:val="17"/>
                <w:color w:val="auto"/>
              </w:rPr>
              <w:t>Allowance for loan losses</w:t>
            </w:r>
          </w:p>
        </w:tc>
        <w:tc>
          <w:tcPr>
            <w:tcW w:w="1900" w:type="dxa"/>
            <w:vAlign w:val="bottom"/>
          </w:tcPr>
          <w:p>
            <w:pPr>
              <w:jc w:val="right"/>
              <w:ind w:right="171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17,944</w:t>
            </w:r>
          </w:p>
        </w:tc>
        <w:tc>
          <w:tcPr>
            <w:tcW w:w="100" w:type="dxa"/>
            <w:vAlign w:val="bottom"/>
          </w:tcPr>
          <w:p>
            <w:pPr>
              <w:spacing w:after="0"/>
              <w:rPr>
                <w:sz w:val="19"/>
                <w:szCs w:val="19"/>
                <w:color w:val="auto"/>
              </w:rPr>
            </w:pPr>
          </w:p>
        </w:tc>
        <w:tc>
          <w:tcPr>
            <w:tcW w:w="1320" w:type="dxa"/>
            <w:vAlign w:val="bottom"/>
          </w:tcPr>
          <w:p>
            <w:pPr>
              <w:jc w:val="right"/>
              <w:ind w:right="113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18,124</w:t>
            </w:r>
          </w:p>
        </w:tc>
      </w:tr>
      <w:tr>
        <w:trPr>
          <w:trHeight w:val="221"/>
        </w:trPr>
        <w:tc>
          <w:tcPr>
            <w:tcW w:w="5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Lease incentive</w:t>
            </w:r>
          </w:p>
        </w:tc>
        <w:tc>
          <w:tcPr>
            <w:tcW w:w="1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w:t>
            </w:r>
          </w:p>
        </w:tc>
      </w:tr>
      <w:tr>
        <w:trPr>
          <w:trHeight w:val="221"/>
        </w:trPr>
        <w:tc>
          <w:tcPr>
            <w:tcW w:w="5820" w:type="dxa"/>
            <w:vAlign w:val="bottom"/>
          </w:tcPr>
          <w:p>
            <w:pPr>
              <w:ind w:left="220"/>
              <w:spacing w:after="0"/>
              <w:rPr>
                <w:sz w:val="20"/>
                <w:szCs w:val="20"/>
                <w:color w:val="auto"/>
              </w:rPr>
            </w:pPr>
            <w:r>
              <w:rPr>
                <w:rFonts w:ascii="Arial" w:cs="Arial" w:eastAsia="Arial" w:hAnsi="Arial"/>
                <w:sz w:val="17"/>
                <w:szCs w:val="17"/>
                <w:color w:val="auto"/>
              </w:rPr>
              <w:t>Loan fees</w:t>
            </w:r>
          </w:p>
        </w:tc>
        <w:tc>
          <w:tcPr>
            <w:tcW w:w="1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3,453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3,178</w:t>
            </w:r>
          </w:p>
        </w:tc>
      </w:tr>
      <w:tr>
        <w:trPr>
          <w:trHeight w:val="221"/>
        </w:trPr>
        <w:tc>
          <w:tcPr>
            <w:tcW w:w="5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1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w:t>
            </w:r>
          </w:p>
        </w:tc>
      </w:tr>
      <w:tr>
        <w:trPr>
          <w:trHeight w:val="221"/>
        </w:trPr>
        <w:tc>
          <w:tcPr>
            <w:tcW w:w="5820" w:type="dxa"/>
            <w:vAlign w:val="bottom"/>
          </w:tcPr>
          <w:p>
            <w:pPr>
              <w:ind w:left="220"/>
              <w:spacing w:after="0"/>
              <w:rPr>
                <w:sz w:val="20"/>
                <w:szCs w:val="20"/>
                <w:color w:val="auto"/>
              </w:rPr>
            </w:pPr>
            <w:r>
              <w:rPr>
                <w:rFonts w:ascii="Arial" w:cs="Arial" w:eastAsia="Arial" w:hAnsi="Arial"/>
                <w:sz w:val="17"/>
                <w:szCs w:val="17"/>
                <w:color w:val="auto"/>
              </w:rPr>
              <w:t>Deferred compensation</w:t>
            </w:r>
          </w:p>
        </w:tc>
        <w:tc>
          <w:tcPr>
            <w:tcW w:w="1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2,197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2,474</w:t>
            </w:r>
          </w:p>
        </w:tc>
      </w:tr>
      <w:tr>
        <w:trPr>
          <w:trHeight w:val="221"/>
        </w:trPr>
        <w:tc>
          <w:tcPr>
            <w:tcW w:w="5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 tax credit</w:t>
            </w:r>
          </w:p>
        </w:tc>
        <w:tc>
          <w:tcPr>
            <w:tcW w:w="1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2,621</w:t>
            </w:r>
          </w:p>
        </w:tc>
      </w:tr>
      <w:tr>
        <w:trPr>
          <w:trHeight w:val="221"/>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1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946</w:t>
            </w:r>
          </w:p>
        </w:tc>
      </w:tr>
      <w:tr>
        <w:trPr>
          <w:trHeight w:val="214"/>
        </w:trPr>
        <w:tc>
          <w:tcPr>
            <w:tcW w:w="5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deferred tax asset</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30,035</w:t>
            </w:r>
          </w:p>
        </w:tc>
      </w:tr>
      <w:tr>
        <w:trPr>
          <w:trHeight w:val="221"/>
        </w:trPr>
        <w:tc>
          <w:tcPr>
            <w:tcW w:w="5820" w:type="dxa"/>
            <w:vAlign w:val="bottom"/>
          </w:tcPr>
          <w:p>
            <w:pPr>
              <w:ind w:left="20"/>
              <w:spacing w:after="0"/>
              <w:rPr>
                <w:sz w:val="20"/>
                <w:szCs w:val="20"/>
                <w:color w:val="auto"/>
              </w:rPr>
            </w:pPr>
            <w:r>
              <w:rPr>
                <w:rFonts w:ascii="Arial" w:cs="Arial" w:eastAsia="Arial" w:hAnsi="Arial"/>
                <w:sz w:val="17"/>
                <w:szCs w:val="17"/>
                <w:b w:val="1"/>
                <w:bCs w:val="1"/>
                <w:color w:val="auto"/>
              </w:rPr>
              <w:t>Deferred tax liability</w:t>
            </w:r>
          </w:p>
        </w:tc>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1"/>
        </w:trPr>
        <w:tc>
          <w:tcPr>
            <w:tcW w:w="5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unrealized gain on securities available-for-sale</w:t>
            </w:r>
          </w:p>
        </w:tc>
        <w:tc>
          <w:tcPr>
            <w:tcW w:w="1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(9,531)</w:t>
            </w:r>
          </w:p>
        </w:tc>
      </w:tr>
      <w:tr>
        <w:trPr>
          <w:trHeight w:val="221"/>
        </w:trPr>
        <w:tc>
          <w:tcPr>
            <w:tcW w:w="5820" w:type="dxa"/>
            <w:vAlign w:val="bottom"/>
          </w:tcPr>
          <w:p>
            <w:pPr>
              <w:ind w:left="220"/>
              <w:spacing w:after="0"/>
              <w:rPr>
                <w:sz w:val="20"/>
                <w:szCs w:val="20"/>
                <w:color w:val="auto"/>
              </w:rPr>
            </w:pPr>
            <w:r>
              <w:rPr>
                <w:rFonts w:ascii="Arial" w:cs="Arial" w:eastAsia="Arial" w:hAnsi="Arial"/>
                <w:sz w:val="17"/>
                <w:szCs w:val="17"/>
                <w:color w:val="auto"/>
              </w:rPr>
              <w:t>FHLB stock basis</w:t>
            </w:r>
          </w:p>
        </w:tc>
        <w:tc>
          <w:tcPr>
            <w:tcW w:w="1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(1,248)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(1,209)</w:t>
            </w:r>
          </w:p>
        </w:tc>
      </w:tr>
      <w:tr>
        <w:trPr>
          <w:trHeight w:val="221"/>
        </w:trPr>
        <w:tc>
          <w:tcPr>
            <w:tcW w:w="5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Premises and equipment</w:t>
            </w:r>
          </w:p>
        </w:tc>
        <w:tc>
          <w:tcPr>
            <w:tcW w:w="1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(2,881)</w:t>
            </w:r>
          </w:p>
        </w:tc>
      </w:tr>
      <w:tr>
        <w:trPr>
          <w:trHeight w:val="221"/>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1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(1,601)</w:t>
            </w:r>
          </w:p>
        </w:tc>
      </w:tr>
      <w:tr>
        <w:trPr>
          <w:trHeight w:val="214"/>
        </w:trPr>
        <w:tc>
          <w:tcPr>
            <w:tcW w:w="5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deferred tax liability</w:t>
            </w:r>
          </w:p>
        </w:tc>
        <w:tc>
          <w:tcPr>
            <w:tcW w:w="1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(12,705)</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(15,222)</w:t>
            </w:r>
          </w:p>
        </w:tc>
      </w:tr>
      <w:tr>
        <w:trPr>
          <w:trHeight w:val="214"/>
        </w:trPr>
        <w:tc>
          <w:tcPr>
            <w:tcW w:w="5820" w:type="dxa"/>
            <w:vAlign w:val="bottom"/>
          </w:tcPr>
          <w:p>
            <w:pPr>
              <w:ind w:left="520"/>
              <w:spacing w:after="0"/>
              <w:rPr>
                <w:sz w:val="20"/>
                <w:szCs w:val="20"/>
                <w:color w:val="auto"/>
              </w:rPr>
            </w:pPr>
            <w:r>
              <w:rPr>
                <w:rFonts w:ascii="Arial" w:cs="Arial" w:eastAsia="Arial" w:hAnsi="Arial"/>
                <w:sz w:val="17"/>
                <w:szCs w:val="17"/>
                <w:color w:val="auto"/>
              </w:rPr>
              <w:t>Net deferred tax asset</w:t>
            </w:r>
          </w:p>
        </w:tc>
        <w:tc>
          <w:tcPr>
            <w:tcW w:w="1900" w:type="dxa"/>
            <w:vAlign w:val="bottom"/>
            <w:tcBorders>
              <w:bottom w:val="single" w:sz="8" w:color="auto"/>
            </w:tcBorders>
          </w:tcPr>
          <w:p>
            <w:pPr>
              <w:jc w:val="right"/>
              <w:ind w:right="171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15,212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3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14,813</w:t>
            </w:r>
          </w:p>
        </w:tc>
      </w:tr>
      <w:tr>
        <w:trPr>
          <w:trHeight w:val="20"/>
        </w:trPr>
        <w:tc>
          <w:tcPr>
            <w:tcW w:w="58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11:</w:t>
      </w:r>
      <w:r>
        <w:rPr>
          <w:sz w:val="20"/>
          <w:szCs w:val="20"/>
          <w:color w:val="auto"/>
        </w:rPr>
        <w:tab/>
      </w:r>
      <w:r>
        <w:rPr>
          <w:rFonts w:ascii="Arial" w:cs="Arial" w:eastAsia="Arial" w:hAnsi="Arial"/>
          <w:sz w:val="18"/>
          <w:szCs w:val="18"/>
          <w:b w:val="1"/>
          <w:bCs w:val="1"/>
          <w:color w:val="auto"/>
        </w:rPr>
        <w:t>Disclosures about Fair Value of Financial Instruments</w:t>
      </w:r>
    </w:p>
    <w:p>
      <w:pPr>
        <w:spacing w:after="0" w:line="164" w:lineRule="exact"/>
        <w:rPr>
          <w:sz w:val="20"/>
          <w:szCs w:val="20"/>
          <w:color w:val="auto"/>
        </w:rPr>
      </w:pPr>
    </w:p>
    <w:p>
      <w:pPr>
        <w:ind w:left="160" w:right="100" w:firstLine="469"/>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There is a hierarchy of three levels of inputs that may be used to measure fair value:</w:t>
      </w:r>
    </w:p>
    <w:p>
      <w:pPr>
        <w:spacing w:after="0" w:line="113"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7"/>
          <w:szCs w:val="17"/>
          <w:b w:val="1"/>
          <w:bCs w:val="1"/>
          <w:color w:val="auto"/>
        </w:rPr>
        <w:t>Level 1</w:t>
      </w:r>
      <w:r>
        <w:rPr>
          <w:sz w:val="20"/>
          <w:szCs w:val="20"/>
          <w:color w:val="auto"/>
        </w:rPr>
        <w:tab/>
      </w:r>
      <w:r>
        <w:rPr>
          <w:rFonts w:ascii="Arial" w:cs="Arial" w:eastAsia="Arial" w:hAnsi="Arial"/>
          <w:sz w:val="15"/>
          <w:szCs w:val="15"/>
          <w:color w:val="auto"/>
        </w:rPr>
        <w:t>Quoted prices in active markets for identical assets or liabilities.</w:t>
      </w:r>
    </w:p>
    <w:p>
      <w:pPr>
        <w:spacing w:after="0" w:line="117" w:lineRule="exact"/>
        <w:rPr>
          <w:sz w:val="20"/>
          <w:szCs w:val="20"/>
          <w:color w:val="auto"/>
        </w:rPr>
      </w:pPr>
    </w:p>
    <w:p>
      <w:pPr>
        <w:ind w:left="1260" w:right="80" w:hanging="624"/>
        <w:spacing w:after="0" w:line="357" w:lineRule="auto"/>
        <w:tabs>
          <w:tab w:leader="none" w:pos="1240" w:val="left"/>
        </w:tabs>
        <w:rPr>
          <w:sz w:val="20"/>
          <w:szCs w:val="20"/>
          <w:color w:val="auto"/>
        </w:rPr>
      </w:pPr>
      <w:r>
        <w:rPr>
          <w:rFonts w:ascii="Arial" w:cs="Arial" w:eastAsia="Arial" w:hAnsi="Arial"/>
          <w:sz w:val="17"/>
          <w:szCs w:val="17"/>
          <w:b w:val="1"/>
          <w:bCs w:val="1"/>
          <w:color w:val="auto"/>
        </w:rPr>
        <w:t>Level 2</w:t>
      </w:r>
      <w:r>
        <w:rPr>
          <w:sz w:val="20"/>
          <w:szCs w:val="20"/>
          <w:color w:val="auto"/>
        </w:rPr>
        <w:tab/>
      </w:r>
      <w:r>
        <w:rPr>
          <w:rFonts w:ascii="Arial" w:cs="Arial" w:eastAsia="Arial" w:hAnsi="Arial"/>
          <w:sz w:val="15"/>
          <w:szCs w:val="15"/>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7"/>
          <w:szCs w:val="17"/>
          <w:b w:val="1"/>
          <w:bCs w:val="1"/>
          <w:color w:val="auto"/>
        </w:rPr>
        <w:t>Level 3</w:t>
      </w:r>
      <w:r>
        <w:rPr>
          <w:sz w:val="20"/>
          <w:szCs w:val="20"/>
          <w:color w:val="auto"/>
        </w:rPr>
        <w:tab/>
      </w:r>
      <w:r>
        <w:rPr>
          <w:rFonts w:ascii="Arial" w:cs="Arial" w:eastAsia="Arial" w:hAnsi="Arial"/>
          <w:sz w:val="15"/>
          <w:szCs w:val="15"/>
          <w:color w:val="auto"/>
        </w:rPr>
        <w:t>Unobservable inputs supported by little or no market activity and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Recurring Measurements</w:t>
      </w:r>
    </w:p>
    <w:p>
      <w:pPr>
        <w:spacing w:after="0" w:line="164" w:lineRule="exact"/>
        <w:rPr>
          <w:sz w:val="20"/>
          <w:szCs w:val="20"/>
          <w:color w:val="auto"/>
        </w:rPr>
      </w:pPr>
    </w:p>
    <w:p>
      <w:pPr>
        <w:ind w:left="160" w:right="120" w:firstLine="469"/>
        <w:spacing w:after="0" w:line="319" w:lineRule="auto"/>
        <w:rPr>
          <w:sz w:val="20"/>
          <w:szCs w:val="20"/>
          <w:color w:val="auto"/>
        </w:rPr>
      </w:pPr>
      <w:r>
        <w:rPr>
          <w:rFonts w:ascii="Arial" w:cs="Arial" w:eastAsia="Arial" w:hAnsi="Arial"/>
          <w:sz w:val="16"/>
          <w:szCs w:val="16"/>
          <w:color w:val="auto"/>
        </w:rPr>
        <w:t>The following list presents the assets and liabilities recognized in the accompanying Consolidated Balance Sheets measured at fair value on a recurring basis and the level within the fair value hierarchy in which the fair value measurements fall at March 31, 2021 and December 31, 2020:</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340" w:hanging="155"/>
        <w:spacing w:after="0" w:line="268" w:lineRule="auto"/>
        <w:rPr>
          <w:sz w:val="20"/>
          <w:szCs w:val="20"/>
          <w:color w:val="auto"/>
        </w:rPr>
      </w:pPr>
      <w:r>
        <w:rPr>
          <w:rFonts w:ascii="Arial" w:cs="Arial" w:eastAsia="Arial" w:hAnsi="Arial"/>
          <w:sz w:val="16"/>
          <w:szCs w:val="16"/>
          <w:color w:val="auto"/>
        </w:rPr>
        <w:t>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Derivatives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960" w:type="dxa"/>
            <w:vAlign w:val="bottom"/>
            <w:vMerge w:val="restart"/>
          </w:tcPr>
          <w:p>
            <w:pPr>
              <w:ind w:left="2140"/>
              <w:spacing w:after="0"/>
              <w:rPr>
                <w:sz w:val="20"/>
                <w:szCs w:val="20"/>
                <w:color w:val="auto"/>
              </w:rPr>
            </w:pPr>
            <w:r>
              <w:rPr>
                <w:rFonts w:ascii="Arial" w:cs="Arial" w:eastAsia="Arial" w:hAnsi="Arial"/>
                <w:sz w:val="17"/>
                <w:szCs w:val="17"/>
                <w:b w:val="1"/>
                <w:bCs w:val="1"/>
                <w:color w:val="auto"/>
              </w:rPr>
              <w:t>Fair Value Description</w:t>
            </w:r>
          </w:p>
        </w:tc>
        <w:tc>
          <w:tcPr>
            <w:tcW w:w="80" w:type="dxa"/>
            <w:vAlign w:val="bottom"/>
            <w:vMerge w:val="restart"/>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Valuation</w:t>
            </w:r>
          </w:p>
        </w:tc>
        <w:tc>
          <w:tcPr>
            <w:tcW w:w="20" w:type="dxa"/>
            <w:vAlign w:val="bottom"/>
          </w:tcPr>
          <w:p>
            <w:pPr>
              <w:spacing w:after="0"/>
              <w:rPr>
                <w:sz w:val="16"/>
                <w:szCs w:val="16"/>
                <w:color w:val="auto"/>
              </w:rPr>
            </w:pPr>
          </w:p>
        </w:tc>
        <w:tc>
          <w:tcPr>
            <w:tcW w:w="18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95"/>
              </w:rPr>
              <w:t>Where Fair Value</w:t>
            </w:r>
          </w:p>
        </w:tc>
        <w:tc>
          <w:tcPr>
            <w:tcW w:w="0" w:type="dxa"/>
            <w:vAlign w:val="bottom"/>
          </w:tcPr>
          <w:p>
            <w:pPr>
              <w:spacing w:after="0"/>
              <w:rPr>
                <w:sz w:val="1"/>
                <w:szCs w:val="1"/>
                <w:color w:val="auto"/>
              </w:rPr>
            </w:pPr>
          </w:p>
        </w:tc>
      </w:tr>
      <w:tr>
        <w:trPr>
          <w:trHeight w:val="221"/>
        </w:trPr>
        <w:tc>
          <w:tcPr>
            <w:tcW w:w="59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Hierarchy Level</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7"/>
                <w:szCs w:val="17"/>
                <w:b w:val="1"/>
                <w:bCs w:val="1"/>
                <w:color w:val="auto"/>
                <w:w w:val="92"/>
              </w:rPr>
              <w:t>Balance Can Be Found</w:t>
            </w:r>
          </w:p>
        </w:tc>
        <w:tc>
          <w:tcPr>
            <w:tcW w:w="0" w:type="dxa"/>
            <w:vAlign w:val="bottom"/>
          </w:tcPr>
          <w:p>
            <w:pPr>
              <w:spacing w:after="0"/>
              <w:rPr>
                <w:sz w:val="1"/>
                <w:szCs w:val="1"/>
                <w:color w:val="auto"/>
              </w:rPr>
            </w:pPr>
          </w:p>
        </w:tc>
      </w:tr>
      <w:tr>
        <w:trPr>
          <w:trHeight w:val="175"/>
        </w:trPr>
        <w:tc>
          <w:tcPr>
            <w:tcW w:w="604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Where quoted market prices are available in an active market, securities are</w:t>
            </w:r>
          </w:p>
        </w:tc>
        <w:tc>
          <w:tcPr>
            <w:tcW w:w="1500" w:type="dxa"/>
            <w:vAlign w:val="bottom"/>
            <w:gridSpan w:val="2"/>
          </w:tcPr>
          <w:p>
            <w:pPr>
              <w:jc w:val="center"/>
              <w:ind w:right="100"/>
              <w:spacing w:after="0" w:line="176" w:lineRule="exact"/>
              <w:rPr>
                <w:sz w:val="20"/>
                <w:szCs w:val="20"/>
                <w:color w:val="auto"/>
              </w:rPr>
            </w:pPr>
            <w:r>
              <w:rPr>
                <w:rFonts w:ascii="Arial" w:cs="Arial" w:eastAsia="Arial" w:hAnsi="Arial"/>
                <w:sz w:val="17"/>
                <w:szCs w:val="17"/>
                <w:color w:val="auto"/>
                <w:w w:val="94"/>
              </w:rPr>
              <w:t>Level 2</w:t>
            </w:r>
          </w:p>
        </w:tc>
        <w:tc>
          <w:tcPr>
            <w:tcW w:w="20" w:type="dxa"/>
            <w:vAlign w:val="bottom"/>
          </w:tcPr>
          <w:p>
            <w:pPr>
              <w:spacing w:after="0"/>
              <w:rPr>
                <w:sz w:val="15"/>
                <w:szCs w:val="15"/>
                <w:color w:val="auto"/>
              </w:rPr>
            </w:pPr>
          </w:p>
        </w:tc>
        <w:tc>
          <w:tcPr>
            <w:tcW w:w="1820" w:type="dxa"/>
            <w:vAlign w:val="bottom"/>
            <w:gridSpan w:val="4"/>
          </w:tcPr>
          <w:p>
            <w:pPr>
              <w:spacing w:after="0" w:line="176" w:lineRule="exact"/>
              <w:rPr>
                <w:rFonts w:ascii="Arial" w:cs="Arial" w:eastAsia="Arial" w:hAnsi="Arial"/>
                <w:sz w:val="17"/>
                <w:szCs w:val="17"/>
                <w:color w:val="0000FF"/>
              </w:rPr>
            </w:pPr>
            <w:hyperlink w:anchor="page11">
              <w:r>
                <w:rPr>
                  <w:rFonts w:ascii="Arial" w:cs="Arial" w:eastAsia="Arial" w:hAnsi="Arial"/>
                  <w:sz w:val="17"/>
                  <w:szCs w:val="17"/>
                  <w:color w:val="0000FF"/>
                </w:rPr>
                <w:t>Note 3: Securities</w:t>
              </w:r>
            </w:hyperlink>
          </w:p>
        </w:tc>
        <w:tc>
          <w:tcPr>
            <w:tcW w:w="0" w:type="dxa"/>
            <w:vAlign w:val="bottom"/>
          </w:tcPr>
          <w:p>
            <w:pPr>
              <w:spacing w:after="0"/>
              <w:rPr>
                <w:sz w:val="1"/>
                <w:szCs w:val="1"/>
                <w:color w:val="auto"/>
              </w:rPr>
            </w:pPr>
          </w:p>
        </w:tc>
      </w:tr>
      <w:tr>
        <w:trPr>
          <w:trHeight w:val="137"/>
        </w:trPr>
        <w:tc>
          <w:tcPr>
            <w:tcW w:w="6040" w:type="dxa"/>
            <w:vAlign w:val="bottom"/>
            <w:gridSpan w:val="2"/>
          </w:tcPr>
          <w:p>
            <w:pPr>
              <w:ind w:left="20"/>
              <w:spacing w:after="0" w:line="137" w:lineRule="exact"/>
              <w:rPr>
                <w:sz w:val="20"/>
                <w:szCs w:val="20"/>
                <w:color w:val="auto"/>
              </w:rPr>
            </w:pPr>
            <w:r>
              <w:rPr>
                <w:rFonts w:ascii="Arial" w:cs="Arial" w:eastAsia="Arial" w:hAnsi="Arial"/>
                <w:sz w:val="15"/>
                <w:szCs w:val="15"/>
                <w:color w:val="auto"/>
              </w:rPr>
              <w:t>classified within Level 1 of the valuation hierarchy. If quoted market prices are not</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040" w:type="dxa"/>
            <w:vAlign w:val="bottom"/>
            <w:gridSpan w:val="2"/>
          </w:tcPr>
          <w:p>
            <w:pPr>
              <w:ind w:left="20"/>
              <w:spacing w:after="0" w:line="169" w:lineRule="exact"/>
              <w:rPr>
                <w:sz w:val="20"/>
                <w:szCs w:val="20"/>
                <w:color w:val="auto"/>
              </w:rPr>
            </w:pPr>
            <w:r>
              <w:rPr>
                <w:rFonts w:ascii="Arial" w:cs="Arial" w:eastAsia="Arial" w:hAnsi="Arial"/>
                <w:sz w:val="17"/>
                <w:szCs w:val="17"/>
                <w:color w:val="auto"/>
                <w:w w:val="99"/>
              </w:rPr>
              <w:t>available, then fair values are estimated by using quoted prices of securities with</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40" w:type="dxa"/>
            <w:vAlign w:val="bottom"/>
            <w:gridSpan w:val="2"/>
          </w:tcPr>
          <w:p>
            <w:pPr>
              <w:ind w:left="20"/>
              <w:spacing w:after="0" w:line="169" w:lineRule="exact"/>
              <w:rPr>
                <w:sz w:val="20"/>
                <w:szCs w:val="20"/>
                <w:color w:val="auto"/>
              </w:rPr>
            </w:pPr>
            <w:r>
              <w:rPr>
                <w:rFonts w:ascii="Arial" w:cs="Arial" w:eastAsia="Arial" w:hAnsi="Arial"/>
                <w:sz w:val="17"/>
                <w:szCs w:val="17"/>
                <w:color w:val="auto"/>
                <w:w w:val="95"/>
              </w:rPr>
              <w:t>similar characteristics or independent asset pricing services and pricing models, the</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40" w:type="dxa"/>
            <w:vAlign w:val="bottom"/>
            <w:gridSpan w:val="2"/>
          </w:tcPr>
          <w:p>
            <w:pPr>
              <w:ind w:left="20"/>
              <w:spacing w:after="0" w:line="169" w:lineRule="exact"/>
              <w:rPr>
                <w:sz w:val="20"/>
                <w:szCs w:val="20"/>
                <w:color w:val="auto"/>
              </w:rPr>
            </w:pPr>
            <w:r>
              <w:rPr>
                <w:rFonts w:ascii="Arial" w:cs="Arial" w:eastAsia="Arial" w:hAnsi="Arial"/>
                <w:sz w:val="17"/>
                <w:szCs w:val="17"/>
                <w:color w:val="auto"/>
              </w:rPr>
              <w:t>inputs of which are market-based or independently sourced market parameters,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40" w:type="dxa"/>
            <w:vAlign w:val="bottom"/>
            <w:gridSpan w:val="2"/>
          </w:tcPr>
          <w:p>
            <w:pPr>
              <w:ind w:left="20"/>
              <w:spacing w:after="0" w:line="169" w:lineRule="exact"/>
              <w:rPr>
                <w:sz w:val="20"/>
                <w:szCs w:val="20"/>
                <w:color w:val="auto"/>
              </w:rPr>
            </w:pPr>
            <w:r>
              <w:rPr>
                <w:rFonts w:ascii="Arial" w:cs="Arial" w:eastAsia="Arial" w:hAnsi="Arial"/>
                <w:sz w:val="17"/>
                <w:szCs w:val="17"/>
                <w:color w:val="auto"/>
                <w:w w:val="99"/>
              </w:rPr>
              <w:t>including, but not limited to, yield curves, interest rates, volatilities, prepayments,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defaults, cumulative loss projections and cash flows.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040" w:type="dxa"/>
            <w:vAlign w:val="bottom"/>
            <w:gridSpan w:val="2"/>
          </w:tcPr>
          <w:p>
            <w:pPr>
              <w:ind w:left="20"/>
              <w:spacing w:after="0" w:line="182" w:lineRule="exact"/>
              <w:rPr>
                <w:sz w:val="20"/>
                <w:szCs w:val="20"/>
                <w:color w:val="auto"/>
              </w:rPr>
            </w:pPr>
            <w:r>
              <w:rPr>
                <w:rFonts w:ascii="Arial" w:cs="Arial" w:eastAsia="Arial" w:hAnsi="Arial"/>
                <w:sz w:val="17"/>
                <w:szCs w:val="17"/>
                <w:color w:val="auto"/>
                <w:w w:val="97"/>
              </w:rPr>
              <w:t>Fair value of the interest rate swaps is obtained from independent pricing services</w:t>
            </w:r>
          </w:p>
        </w:tc>
        <w:tc>
          <w:tcPr>
            <w:tcW w:w="1500" w:type="dxa"/>
            <w:vAlign w:val="bottom"/>
            <w:gridSpan w:val="2"/>
          </w:tcPr>
          <w:p>
            <w:pPr>
              <w:jc w:val="center"/>
              <w:ind w:right="100"/>
              <w:spacing w:after="0" w:line="182" w:lineRule="exact"/>
              <w:rPr>
                <w:sz w:val="20"/>
                <w:szCs w:val="20"/>
                <w:color w:val="auto"/>
              </w:rPr>
            </w:pPr>
            <w:r>
              <w:rPr>
                <w:rFonts w:ascii="Arial" w:cs="Arial" w:eastAsia="Arial" w:hAnsi="Arial"/>
                <w:sz w:val="17"/>
                <w:szCs w:val="17"/>
                <w:color w:val="auto"/>
                <w:w w:val="94"/>
              </w:rPr>
              <w:t>Level 2</w:t>
            </w:r>
          </w:p>
        </w:tc>
        <w:tc>
          <w:tcPr>
            <w:tcW w:w="20" w:type="dxa"/>
            <w:vAlign w:val="bottom"/>
          </w:tcPr>
          <w:p>
            <w:pPr>
              <w:spacing w:after="0"/>
              <w:rPr>
                <w:sz w:val="15"/>
                <w:szCs w:val="15"/>
                <w:color w:val="auto"/>
              </w:rPr>
            </w:pPr>
          </w:p>
        </w:tc>
        <w:tc>
          <w:tcPr>
            <w:tcW w:w="1820" w:type="dxa"/>
            <w:vAlign w:val="bottom"/>
            <w:gridSpan w:val="4"/>
          </w:tcPr>
          <w:p>
            <w:pPr>
              <w:spacing w:after="0" w:line="182" w:lineRule="exact"/>
              <w:rPr>
                <w:rFonts w:ascii="Arial" w:cs="Arial" w:eastAsia="Arial" w:hAnsi="Arial"/>
                <w:sz w:val="17"/>
                <w:szCs w:val="17"/>
                <w:color w:val="0000FF"/>
              </w:rPr>
            </w:pPr>
            <w:hyperlink w:anchor="page24">
              <w:r>
                <w:rPr>
                  <w:rFonts w:ascii="Arial" w:cs="Arial" w:eastAsia="Arial" w:hAnsi="Arial"/>
                  <w:sz w:val="17"/>
                  <w:szCs w:val="17"/>
                  <w:color w:val="0000FF"/>
                </w:rPr>
                <w:t>Note 5: Derivatives and</w:t>
              </w:r>
            </w:hyperlink>
          </w:p>
        </w:tc>
        <w:tc>
          <w:tcPr>
            <w:tcW w:w="0" w:type="dxa"/>
            <w:vAlign w:val="bottom"/>
          </w:tcPr>
          <w:p>
            <w:pPr>
              <w:spacing w:after="0"/>
              <w:rPr>
                <w:sz w:val="1"/>
                <w:szCs w:val="1"/>
                <w:color w:val="auto"/>
              </w:rPr>
            </w:pPr>
          </w:p>
        </w:tc>
      </w:tr>
      <w:tr>
        <w:trPr>
          <w:trHeight w:val="149"/>
        </w:trPr>
        <w:tc>
          <w:tcPr>
            <w:tcW w:w="6040" w:type="dxa"/>
            <w:vAlign w:val="bottom"/>
            <w:gridSpan w:val="2"/>
          </w:tcPr>
          <w:p>
            <w:pPr>
              <w:ind w:left="20"/>
              <w:spacing w:after="0" w:line="150" w:lineRule="exact"/>
              <w:rPr>
                <w:sz w:val="20"/>
                <w:szCs w:val="20"/>
                <w:color w:val="auto"/>
              </w:rPr>
            </w:pPr>
            <w:r>
              <w:rPr>
                <w:rFonts w:ascii="Arial" w:cs="Arial" w:eastAsia="Arial" w:hAnsi="Arial"/>
                <w:sz w:val="17"/>
                <w:szCs w:val="17"/>
                <w:color w:val="auto"/>
              </w:rPr>
              <w:t>based on quoted market prices for similar derivative contracts.</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0000FF"/>
            </w:tcBorders>
            <w:gridSpan w:val="3"/>
          </w:tcPr>
          <w:p>
            <w:pPr>
              <w:spacing w:after="0" w:line="150" w:lineRule="exact"/>
              <w:rPr>
                <w:rFonts w:ascii="Arial" w:cs="Arial" w:eastAsia="Arial" w:hAnsi="Arial"/>
                <w:sz w:val="17"/>
                <w:szCs w:val="17"/>
                <w:color w:val="0000FF"/>
              </w:rPr>
            </w:pPr>
            <w:hyperlink w:anchor="page24">
              <w:r>
                <w:rPr>
                  <w:rFonts w:ascii="Arial" w:cs="Arial" w:eastAsia="Arial" w:hAnsi="Arial"/>
                  <w:sz w:val="17"/>
                  <w:szCs w:val="17"/>
                  <w:color w:val="0000FF"/>
                </w:rPr>
                <w:t>Hedging</w:t>
              </w:r>
            </w:hyperlink>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-1024890</wp:posOffset>
            </wp:positionV>
            <wp:extent cx="7037705" cy="793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79375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1460" w:space="400"/>
            <w:col w:w="9380"/>
          </w:cols>
          <w:pgMar w:left="320" w:top="179" w:right="339" w:bottom="1440" w:gutter="0" w:footer="0" w:header="0"/>
          <w:type w:val="continuous"/>
        </w:sectPr>
      </w:pPr>
    </w:p>
    <w:p>
      <w:pPr>
        <w:spacing w:after="0"/>
        <w:rPr>
          <w:sz w:val="20"/>
          <w:szCs w:val="20"/>
          <w:color w:val="auto"/>
        </w:rPr>
      </w:pPr>
      <w:r>
        <w:rPr>
          <w:rFonts w:ascii="Arial" w:cs="Arial" w:eastAsia="Arial" w:hAnsi="Arial"/>
          <w:sz w:val="19"/>
          <w:szCs w:val="19"/>
          <w:u w:val="single" w:color="auto"/>
          <w:color w:val="auto"/>
        </w:rPr>
        <w:t>Nonrecurring Measurements</w:t>
      </w:r>
    </w:p>
    <w:p>
      <w:pPr>
        <w:spacing w:after="0" w:line="164" w:lineRule="exact"/>
        <w:rPr>
          <w:sz w:val="20"/>
          <w:szCs w:val="20"/>
          <w:color w:val="auto"/>
        </w:rPr>
      </w:pPr>
    </w:p>
    <w:p>
      <w:pPr>
        <w:jc w:val="both"/>
        <w:ind w:left="160" w:right="260" w:firstLine="469"/>
        <w:spacing w:after="0" w:line="286" w:lineRule="auto"/>
        <w:rPr>
          <w:sz w:val="20"/>
          <w:szCs w:val="20"/>
          <w:color w:val="auto"/>
        </w:rPr>
      </w:pPr>
      <w:r>
        <w:rPr>
          <w:rFonts w:ascii="Arial" w:cs="Arial" w:eastAsia="Arial" w:hAnsi="Arial"/>
          <w:sz w:val="17"/>
          <w:szCs w:val="17"/>
          <w:color w:val="auto"/>
        </w:rPr>
        <w:t>The following tables present assets measured at fair value on a nonrecurring basis and the level within the fair value hierarchy in which the fair value measurements fall at March 31, 2021 and December 31, 2020:</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3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center"/>
              <w:ind w:right="93"/>
              <w:spacing w:after="0"/>
              <w:rPr>
                <w:sz w:val="20"/>
                <w:szCs w:val="20"/>
                <w:color w:val="auto"/>
              </w:rPr>
            </w:pPr>
            <w:r>
              <w:rPr>
                <w:rFonts w:ascii="Arial" w:cs="Arial" w:eastAsia="Arial" w:hAnsi="Arial"/>
                <w:sz w:val="17"/>
                <w:szCs w:val="17"/>
                <w:b w:val="1"/>
                <w:bCs w:val="1"/>
                <w:color w:val="auto"/>
                <w:w w:val="95"/>
              </w:rPr>
              <w:t>March 31, 2021</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gridSpan w:val="5"/>
          </w:tcPr>
          <w:p>
            <w:pPr>
              <w:jc w:val="center"/>
              <w:ind w:right="13"/>
              <w:spacing w:after="0"/>
              <w:rPr>
                <w:sz w:val="20"/>
                <w:szCs w:val="20"/>
                <w:color w:val="auto"/>
              </w:rPr>
            </w:pPr>
            <w:r>
              <w:rPr>
                <w:rFonts w:ascii="Arial" w:cs="Arial" w:eastAsia="Arial" w:hAnsi="Arial"/>
                <w:sz w:val="17"/>
                <w:szCs w:val="17"/>
                <w:b w:val="1"/>
                <w:bCs w:val="1"/>
                <w:color w:val="auto"/>
                <w:w w:val="91"/>
              </w:rPr>
              <w:t>Fair Value Measurements Using</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2"/>
          </w:tcPr>
          <w:p>
            <w:pPr>
              <w:jc w:val="center"/>
              <w:spacing w:after="0" w:line="163" w:lineRule="exact"/>
              <w:rPr>
                <w:sz w:val="20"/>
                <w:szCs w:val="20"/>
                <w:color w:val="auto"/>
              </w:rPr>
            </w:pPr>
            <w:r>
              <w:rPr>
                <w:rFonts w:ascii="Arial" w:cs="Arial" w:eastAsia="Arial" w:hAnsi="Arial"/>
                <w:sz w:val="17"/>
                <w:szCs w:val="17"/>
                <w:b w:val="1"/>
                <w:bCs w:val="1"/>
                <w:color w:val="auto"/>
                <w:w w:val="91"/>
              </w:rPr>
              <w:t>Quoted Prices in Active</w:t>
            </w:r>
          </w:p>
        </w:tc>
        <w:tc>
          <w:tcPr>
            <w:tcW w:w="240" w:type="dxa"/>
            <w:vAlign w:val="bottom"/>
          </w:tcPr>
          <w:p>
            <w:pPr>
              <w:spacing w:after="0"/>
              <w:rPr>
                <w:sz w:val="14"/>
                <w:szCs w:val="14"/>
                <w:color w:val="auto"/>
              </w:rPr>
            </w:pPr>
          </w:p>
        </w:tc>
        <w:tc>
          <w:tcPr>
            <w:tcW w:w="1700" w:type="dxa"/>
            <w:vAlign w:val="bottom"/>
            <w:vMerge w:val="restart"/>
          </w:tcPr>
          <w:p>
            <w:pPr>
              <w:jc w:val="center"/>
              <w:ind w:right="113"/>
              <w:spacing w:after="0"/>
              <w:rPr>
                <w:sz w:val="20"/>
                <w:szCs w:val="20"/>
                <w:color w:val="auto"/>
              </w:rPr>
            </w:pPr>
            <w:r>
              <w:rPr>
                <w:rFonts w:ascii="Arial" w:cs="Arial" w:eastAsia="Arial" w:hAnsi="Arial"/>
                <w:sz w:val="17"/>
                <w:szCs w:val="17"/>
                <w:b w:val="1"/>
                <w:bCs w:val="1"/>
                <w:color w:val="auto"/>
                <w:w w:val="94"/>
              </w:rPr>
              <w:t>Significant Other</w:t>
            </w: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ind w:right="55"/>
              <w:spacing w:after="0" w:line="169" w:lineRule="exact"/>
              <w:rPr>
                <w:sz w:val="20"/>
                <w:szCs w:val="20"/>
                <w:color w:val="auto"/>
              </w:rPr>
            </w:pPr>
            <w:r>
              <w:rPr>
                <w:rFonts w:ascii="Arial" w:cs="Arial" w:eastAsia="Arial" w:hAnsi="Arial"/>
                <w:sz w:val="17"/>
                <w:szCs w:val="17"/>
                <w:b w:val="1"/>
                <w:bCs w:val="1"/>
                <w:color w:val="auto"/>
                <w:w w:val="95"/>
              </w:rPr>
              <w:t>Markets for Identical</w:t>
            </w:r>
          </w:p>
        </w:tc>
        <w:tc>
          <w:tcPr>
            <w:tcW w:w="2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vMerge w:val="restart"/>
          </w:tcPr>
          <w:p>
            <w:pPr>
              <w:jc w:val="center"/>
              <w:ind w:right="73"/>
              <w:spacing w:after="0"/>
              <w:rPr>
                <w:sz w:val="20"/>
                <w:szCs w:val="20"/>
                <w:color w:val="auto"/>
              </w:rPr>
            </w:pPr>
            <w:r>
              <w:rPr>
                <w:rFonts w:ascii="Arial" w:cs="Arial" w:eastAsia="Arial" w:hAnsi="Arial"/>
                <w:sz w:val="17"/>
                <w:szCs w:val="17"/>
                <w:b w:val="1"/>
                <w:bCs w:val="1"/>
                <w:color w:val="auto"/>
                <w:w w:val="92"/>
              </w:rPr>
              <w:t>Unobservable Inputs</w:t>
            </w: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vMerge w:val="restart"/>
          </w:tcPr>
          <w:p>
            <w:pPr>
              <w:jc w:val="right"/>
              <w:ind w:right="553"/>
              <w:spacing w:after="0"/>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4"/>
                <w:szCs w:val="14"/>
                <w:color w:val="auto"/>
              </w:rPr>
            </w:pPr>
          </w:p>
        </w:tc>
        <w:tc>
          <w:tcPr>
            <w:tcW w:w="1760" w:type="dxa"/>
            <w:vAlign w:val="bottom"/>
          </w:tcPr>
          <w:p>
            <w:pPr>
              <w:jc w:val="center"/>
              <w:ind w:right="95"/>
              <w:spacing w:after="0" w:line="169" w:lineRule="exact"/>
              <w:rPr>
                <w:sz w:val="20"/>
                <w:szCs w:val="20"/>
                <w:color w:val="auto"/>
              </w:rPr>
            </w:pPr>
            <w:r>
              <w:rPr>
                <w:rFonts w:ascii="Arial" w:cs="Arial" w:eastAsia="Arial" w:hAnsi="Arial"/>
                <w:sz w:val="17"/>
                <w:szCs w:val="17"/>
                <w:b w:val="1"/>
                <w:bCs w:val="1"/>
                <w:color w:val="auto"/>
                <w:w w:val="82"/>
              </w:rPr>
              <w:t>Assets</w:t>
            </w:r>
          </w:p>
        </w:tc>
        <w:tc>
          <w:tcPr>
            <w:tcW w:w="240" w:type="dxa"/>
            <w:vAlign w:val="bottom"/>
          </w:tcPr>
          <w:p>
            <w:pPr>
              <w:spacing w:after="0"/>
              <w:rPr>
                <w:sz w:val="14"/>
                <w:szCs w:val="14"/>
                <w:color w:val="auto"/>
              </w:rPr>
            </w:pPr>
          </w:p>
        </w:tc>
        <w:tc>
          <w:tcPr>
            <w:tcW w:w="1700" w:type="dxa"/>
            <w:vAlign w:val="bottom"/>
          </w:tcPr>
          <w:p>
            <w:pPr>
              <w:ind w:left="40"/>
              <w:spacing w:after="0" w:line="169" w:lineRule="exact"/>
              <w:rPr>
                <w:sz w:val="20"/>
                <w:szCs w:val="20"/>
                <w:color w:val="auto"/>
              </w:rPr>
            </w:pPr>
            <w:r>
              <w:rPr>
                <w:rFonts w:ascii="Arial" w:cs="Arial" w:eastAsia="Arial" w:hAnsi="Arial"/>
                <w:sz w:val="17"/>
                <w:szCs w:val="17"/>
                <w:b w:val="1"/>
                <w:bCs w:val="1"/>
                <w:color w:val="auto"/>
              </w:rPr>
              <w:t>Observable Inputs</w:t>
            </w:r>
          </w:p>
        </w:tc>
        <w:tc>
          <w:tcPr>
            <w:tcW w:w="2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5"/>
              </w:rPr>
              <w:t>(Level 1)</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w w:val="95"/>
              </w:rPr>
              <w:t>(Level 2)</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2"/>
              </w:rPr>
              <w:t>(Level 3)</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3"/>
          </w:tcPr>
          <w:p>
            <w:pPr>
              <w:ind w:left="108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Collateral-dependent impaired loans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46,940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ind w:left="1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ind w:left="14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46,940</w:t>
            </w:r>
          </w:p>
        </w:tc>
        <w:tc>
          <w:tcPr>
            <w:tcW w:w="0" w:type="dxa"/>
            <w:vAlign w:val="bottom"/>
          </w:tcPr>
          <w:p>
            <w:pPr>
              <w:spacing w:after="0"/>
              <w:rPr>
                <w:sz w:val="1"/>
                <w:szCs w:val="1"/>
                <w:color w:val="auto"/>
              </w:rPr>
            </w:pPr>
          </w:p>
        </w:tc>
      </w:tr>
      <w:tr>
        <w:trPr>
          <w:trHeight w:val="789"/>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center"/>
              <w:ind w:right="93"/>
              <w:spacing w:after="0"/>
              <w:rPr>
                <w:sz w:val="20"/>
                <w:szCs w:val="20"/>
                <w:color w:val="auto"/>
              </w:rPr>
            </w:pPr>
            <w:r>
              <w:rPr>
                <w:rFonts w:ascii="Arial" w:cs="Arial" w:eastAsia="Arial" w:hAnsi="Arial"/>
                <w:sz w:val="17"/>
                <w:szCs w:val="17"/>
                <w:b w:val="1"/>
                <w:bCs w:val="1"/>
                <w:color w:val="auto"/>
                <w:w w:val="91"/>
              </w:rPr>
              <w:t>December 31, 2020</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gridSpan w:val="5"/>
          </w:tcPr>
          <w:p>
            <w:pPr>
              <w:jc w:val="center"/>
              <w:ind w:right="13"/>
              <w:spacing w:after="0"/>
              <w:rPr>
                <w:sz w:val="20"/>
                <w:szCs w:val="20"/>
                <w:color w:val="auto"/>
              </w:rPr>
            </w:pPr>
            <w:r>
              <w:rPr>
                <w:rFonts w:ascii="Arial" w:cs="Arial" w:eastAsia="Arial" w:hAnsi="Arial"/>
                <w:sz w:val="17"/>
                <w:szCs w:val="17"/>
                <w:b w:val="1"/>
                <w:bCs w:val="1"/>
                <w:color w:val="auto"/>
                <w:w w:val="91"/>
              </w:rPr>
              <w:t>Fair Value Measurements Using</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2"/>
          </w:tcPr>
          <w:p>
            <w:pPr>
              <w:jc w:val="center"/>
              <w:spacing w:after="0" w:line="163" w:lineRule="exact"/>
              <w:rPr>
                <w:sz w:val="20"/>
                <w:szCs w:val="20"/>
                <w:color w:val="auto"/>
              </w:rPr>
            </w:pPr>
            <w:r>
              <w:rPr>
                <w:rFonts w:ascii="Arial" w:cs="Arial" w:eastAsia="Arial" w:hAnsi="Arial"/>
                <w:sz w:val="17"/>
                <w:szCs w:val="17"/>
                <w:b w:val="1"/>
                <w:bCs w:val="1"/>
                <w:color w:val="auto"/>
                <w:w w:val="91"/>
              </w:rPr>
              <w:t>Quoted Prices in Active</w:t>
            </w:r>
          </w:p>
        </w:tc>
        <w:tc>
          <w:tcPr>
            <w:tcW w:w="240" w:type="dxa"/>
            <w:vAlign w:val="bottom"/>
          </w:tcPr>
          <w:p>
            <w:pPr>
              <w:spacing w:after="0"/>
              <w:rPr>
                <w:sz w:val="14"/>
                <w:szCs w:val="14"/>
                <w:color w:val="auto"/>
              </w:rPr>
            </w:pPr>
          </w:p>
        </w:tc>
        <w:tc>
          <w:tcPr>
            <w:tcW w:w="1700" w:type="dxa"/>
            <w:vAlign w:val="bottom"/>
            <w:vMerge w:val="restart"/>
          </w:tcPr>
          <w:p>
            <w:pPr>
              <w:jc w:val="center"/>
              <w:ind w:right="113"/>
              <w:spacing w:after="0"/>
              <w:rPr>
                <w:sz w:val="20"/>
                <w:szCs w:val="20"/>
                <w:color w:val="auto"/>
              </w:rPr>
            </w:pPr>
            <w:r>
              <w:rPr>
                <w:rFonts w:ascii="Arial" w:cs="Arial" w:eastAsia="Arial" w:hAnsi="Arial"/>
                <w:sz w:val="17"/>
                <w:szCs w:val="17"/>
                <w:b w:val="1"/>
                <w:bCs w:val="1"/>
                <w:color w:val="auto"/>
                <w:w w:val="94"/>
              </w:rPr>
              <w:t>Significant Other</w:t>
            </w: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ind w:right="55"/>
              <w:spacing w:after="0" w:line="169" w:lineRule="exact"/>
              <w:rPr>
                <w:sz w:val="20"/>
                <w:szCs w:val="20"/>
                <w:color w:val="auto"/>
              </w:rPr>
            </w:pPr>
            <w:r>
              <w:rPr>
                <w:rFonts w:ascii="Arial" w:cs="Arial" w:eastAsia="Arial" w:hAnsi="Arial"/>
                <w:sz w:val="17"/>
                <w:szCs w:val="17"/>
                <w:b w:val="1"/>
                <w:bCs w:val="1"/>
                <w:color w:val="auto"/>
                <w:w w:val="95"/>
              </w:rPr>
              <w:t>Markets for Identical</w:t>
            </w:r>
          </w:p>
        </w:tc>
        <w:tc>
          <w:tcPr>
            <w:tcW w:w="2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vMerge w:val="restart"/>
          </w:tcPr>
          <w:p>
            <w:pPr>
              <w:jc w:val="center"/>
              <w:ind w:right="73"/>
              <w:spacing w:after="0"/>
              <w:rPr>
                <w:sz w:val="20"/>
                <w:szCs w:val="20"/>
                <w:color w:val="auto"/>
              </w:rPr>
            </w:pPr>
            <w:r>
              <w:rPr>
                <w:rFonts w:ascii="Arial" w:cs="Arial" w:eastAsia="Arial" w:hAnsi="Arial"/>
                <w:sz w:val="17"/>
                <w:szCs w:val="17"/>
                <w:b w:val="1"/>
                <w:bCs w:val="1"/>
                <w:color w:val="auto"/>
                <w:w w:val="92"/>
              </w:rPr>
              <w:t>Unobservable Inputs</w:t>
            </w: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vMerge w:val="restart"/>
          </w:tcPr>
          <w:p>
            <w:pPr>
              <w:jc w:val="right"/>
              <w:ind w:right="553"/>
              <w:spacing w:after="0"/>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4"/>
                <w:szCs w:val="14"/>
                <w:color w:val="auto"/>
              </w:rPr>
            </w:pPr>
          </w:p>
        </w:tc>
        <w:tc>
          <w:tcPr>
            <w:tcW w:w="1760" w:type="dxa"/>
            <w:vAlign w:val="bottom"/>
          </w:tcPr>
          <w:p>
            <w:pPr>
              <w:jc w:val="center"/>
              <w:ind w:right="95"/>
              <w:spacing w:after="0" w:line="169" w:lineRule="exact"/>
              <w:rPr>
                <w:sz w:val="20"/>
                <w:szCs w:val="20"/>
                <w:color w:val="auto"/>
              </w:rPr>
            </w:pPr>
            <w:r>
              <w:rPr>
                <w:rFonts w:ascii="Arial" w:cs="Arial" w:eastAsia="Arial" w:hAnsi="Arial"/>
                <w:sz w:val="17"/>
                <w:szCs w:val="17"/>
                <w:b w:val="1"/>
                <w:bCs w:val="1"/>
                <w:color w:val="auto"/>
                <w:w w:val="82"/>
              </w:rPr>
              <w:t>Assets</w:t>
            </w:r>
          </w:p>
        </w:tc>
        <w:tc>
          <w:tcPr>
            <w:tcW w:w="240" w:type="dxa"/>
            <w:vAlign w:val="bottom"/>
          </w:tcPr>
          <w:p>
            <w:pPr>
              <w:spacing w:after="0"/>
              <w:rPr>
                <w:sz w:val="14"/>
                <w:szCs w:val="14"/>
                <w:color w:val="auto"/>
              </w:rPr>
            </w:pPr>
          </w:p>
        </w:tc>
        <w:tc>
          <w:tcPr>
            <w:tcW w:w="1700" w:type="dxa"/>
            <w:vAlign w:val="bottom"/>
          </w:tcPr>
          <w:p>
            <w:pPr>
              <w:ind w:left="40"/>
              <w:spacing w:after="0" w:line="169" w:lineRule="exact"/>
              <w:rPr>
                <w:sz w:val="20"/>
                <w:szCs w:val="20"/>
                <w:color w:val="auto"/>
              </w:rPr>
            </w:pPr>
            <w:r>
              <w:rPr>
                <w:rFonts w:ascii="Arial" w:cs="Arial" w:eastAsia="Arial" w:hAnsi="Arial"/>
                <w:sz w:val="17"/>
                <w:szCs w:val="17"/>
                <w:b w:val="1"/>
                <w:bCs w:val="1"/>
                <w:color w:val="auto"/>
              </w:rPr>
              <w:t>Observable Inputs</w:t>
            </w:r>
          </w:p>
        </w:tc>
        <w:tc>
          <w:tcPr>
            <w:tcW w:w="2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5"/>
              </w:rPr>
              <w:t>(Level 1)</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w w:val="95"/>
              </w:rPr>
              <w:t>(Level 2)</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2"/>
              </w:rPr>
              <w:t>(Level 3)</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3"/>
          </w:tcPr>
          <w:p>
            <w:pPr>
              <w:ind w:left="108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Collateral-dependent impaired loans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55,454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ind w:left="1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ind w:left="14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55,454</w:t>
            </w:r>
          </w:p>
        </w:tc>
        <w:tc>
          <w:tcPr>
            <w:tcW w:w="0" w:type="dxa"/>
            <w:vAlign w:val="bottom"/>
          </w:tcPr>
          <w:p>
            <w:pPr>
              <w:spacing w:after="0"/>
              <w:rPr>
                <w:sz w:val="1"/>
                <w:szCs w:val="1"/>
                <w:color w:val="auto"/>
              </w:rPr>
            </w:pPr>
          </w:p>
        </w:tc>
      </w:tr>
      <w:tr>
        <w:trPr>
          <w:trHeight w:val="221"/>
        </w:trPr>
        <w:tc>
          <w:tcPr>
            <w:tcW w:w="3420" w:type="dxa"/>
            <w:vAlign w:val="bottom"/>
          </w:tcPr>
          <w:p>
            <w:pPr>
              <w:ind w:left="20"/>
              <w:spacing w:after="0"/>
              <w:rPr>
                <w:sz w:val="20"/>
                <w:szCs w:val="20"/>
                <w:color w:val="auto"/>
              </w:rPr>
            </w:pPr>
            <w:r>
              <w:rPr>
                <w:rFonts w:ascii="Arial" w:cs="Arial" w:eastAsia="Arial" w:hAnsi="Arial"/>
                <w:sz w:val="17"/>
                <w:szCs w:val="17"/>
                <w:color w:val="auto"/>
              </w:rPr>
              <w:t>Foreclosed assets held-for-sale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ind w:right="93"/>
              <w:spacing w:after="0"/>
              <w:rPr>
                <w:sz w:val="20"/>
                <w:szCs w:val="20"/>
                <w:color w:val="auto"/>
              </w:rPr>
            </w:pPr>
            <w:r>
              <w:rPr>
                <w:rFonts w:ascii="Arial" w:cs="Arial" w:eastAsia="Arial" w:hAnsi="Arial"/>
                <w:sz w:val="17"/>
                <w:szCs w:val="17"/>
                <w:color w:val="auto"/>
              </w:rPr>
              <w:t>2,347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Pr>
          <w:p>
            <w:pPr>
              <w:ind w:left="148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700" w:type="dxa"/>
            <w:vAlign w:val="bottom"/>
          </w:tcPr>
          <w:p>
            <w:pPr>
              <w:ind w:left="14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2,347</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60" w:firstLine="469"/>
        <w:spacing w:after="0" w:line="286" w:lineRule="auto"/>
        <w:rPr>
          <w:sz w:val="20"/>
          <w:szCs w:val="20"/>
          <w:color w:val="auto"/>
        </w:rPr>
      </w:pPr>
      <w:r>
        <w:rPr>
          <w:rFonts w:ascii="Arial" w:cs="Arial" w:eastAsia="Arial" w:hAnsi="Arial"/>
          <w:sz w:val="17"/>
          <w:szCs w:val="17"/>
          <w:color w:val="auto"/>
        </w:rPr>
        <w:t>Following is a description of the valuation methodologies and inputs used for assets measured at fair value on a nonrecurring basis and recognized in the accompanying Consolidated Balance Sheets.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Collateral-dependent Impaired Loans, Net of ALLL</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estimated fair value of collateral-dependent impaired loans is based on the appraised fair value of the collateral, less estimated cost to sell.</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Collateral-dependent impaired loans are classified within Level 3 of the fair value hierarchy.</w:t>
      </w:r>
    </w:p>
    <w:p>
      <w:pPr>
        <w:spacing w:after="0" w:line="157" w:lineRule="exact"/>
        <w:rPr>
          <w:sz w:val="20"/>
          <w:szCs w:val="20"/>
          <w:color w:val="auto"/>
        </w:rPr>
      </w:pPr>
    </w:p>
    <w:p>
      <w:pPr>
        <w:jc w:val="both"/>
        <w:ind w:left="160" w:right="260" w:firstLine="469"/>
        <w:spacing w:after="0" w:line="271" w:lineRule="auto"/>
        <w:rPr>
          <w:sz w:val="20"/>
          <w:szCs w:val="20"/>
          <w:color w:val="auto"/>
        </w:rPr>
      </w:pPr>
      <w:r>
        <w:rPr>
          <w:rFonts w:ascii="Arial" w:cs="Arial" w:eastAsia="Arial" w:hAnsi="Arial"/>
          <w:sz w:val="17"/>
          <w:szCs w:val="17"/>
          <w:color w:val="auto"/>
        </w:rPr>
        <w:t>The Company considers the appraisal or evaluation as the starting point for determining fair value and then considers other factors and events in the environment that may affect the fair value. Appraisals of the collateral underlying collateral-dependent loans are obtained when the loan is determined to be collateral-dependent and subsequently as deemed necessary by the Office of the Chief Credit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9" w:name="page30"/>
    <w:bookmarkEnd w:id="29"/>
    <w:p>
      <w:pPr>
        <w:ind w:left="20"/>
        <w:spacing w:after="0"/>
        <w:tabs>
          <w:tab w:leader="none" w:pos="366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4" w:lineRule="exact"/>
        <w:rPr>
          <w:sz w:val="20"/>
          <w:szCs w:val="20"/>
          <w:color w:val="auto"/>
        </w:rPr>
      </w:pPr>
    </w:p>
    <w:p>
      <w:pPr>
        <w:ind w:left="160" w:right="80" w:firstLine="469"/>
        <w:spacing w:after="0" w:line="266" w:lineRule="auto"/>
        <w:rPr>
          <w:sz w:val="20"/>
          <w:szCs w:val="20"/>
          <w:color w:val="auto"/>
        </w:rPr>
      </w:pPr>
      <w:r>
        <w:rPr>
          <w:rFonts w:ascii="Arial" w:cs="Arial" w:eastAsia="Arial" w:hAnsi="Arial"/>
          <w:sz w:val="17"/>
          <w:szCs w:val="17"/>
          <w:color w:val="auto"/>
        </w:rPr>
        <w:t>Appraisals are reviewed for accuracy and consistency by the Office of the Chief Credit Officer. Appraisers are selected from the list of approved appraisers maintained by management. The appraised values are reduced by discounts to consider lack of marketability and estimated cost to sell if repayment or satisfaction of the loan is dependent on the sale of the collateral. These discounts and estimates are developed by the Office of the Chief Credit Officer by comparison to historical results.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Foreclosed Assets Held-for-Sale</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fair value of foreclosed assets-held-for-sale is based on the appraised fair value of the collateral, less estimated cost to sell.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Unobservable (Level 3) Inputs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tables present quantitative information about unobservable inputs used in nonrecurring Level 3 fair value measurements at March 31,</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2021 and December 31, 2020:</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2"/>
          </w:tcPr>
          <w:p>
            <w:pPr>
              <w:jc w:val="center"/>
              <w:ind w:left="315"/>
              <w:spacing w:after="0"/>
              <w:rPr>
                <w:sz w:val="20"/>
                <w:szCs w:val="20"/>
                <w:color w:val="auto"/>
              </w:rPr>
            </w:pPr>
            <w:r>
              <w:rPr>
                <w:rFonts w:ascii="Arial" w:cs="Arial" w:eastAsia="Arial" w:hAnsi="Arial"/>
                <w:sz w:val="17"/>
                <w:szCs w:val="17"/>
                <w:b w:val="1"/>
                <w:bCs w:val="1"/>
                <w:color w:val="auto"/>
                <w:w w:val="95"/>
              </w:rPr>
              <w:t>March 31, 2021</w:t>
            </w:r>
          </w:p>
        </w:tc>
        <w:tc>
          <w:tcPr>
            <w:tcW w:w="2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393"/>
              <w:spacing w:after="0"/>
              <w:rPr>
                <w:sz w:val="20"/>
                <w:szCs w:val="20"/>
                <w:color w:val="auto"/>
              </w:rPr>
            </w:pPr>
            <w:r>
              <w:rPr>
                <w:rFonts w:ascii="Arial" w:cs="Arial" w:eastAsia="Arial" w:hAnsi="Arial"/>
                <w:sz w:val="17"/>
                <w:szCs w:val="17"/>
                <w:b w:val="1"/>
                <w:bCs w:val="1"/>
                <w:color w:val="auto"/>
              </w:rPr>
              <w:t>Fair Value</w:t>
            </w:r>
          </w:p>
        </w:tc>
        <w:tc>
          <w:tcPr>
            <w:tcW w:w="20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Valuation Techniques</w:t>
            </w:r>
          </w:p>
        </w:tc>
        <w:tc>
          <w:tcPr>
            <w:tcW w:w="2040" w:type="dxa"/>
            <w:vAlign w:val="bottom"/>
            <w:vMerge w:val="restart"/>
          </w:tcPr>
          <w:p>
            <w:pPr>
              <w:ind w:left="220"/>
              <w:spacing w:after="0"/>
              <w:rPr>
                <w:sz w:val="20"/>
                <w:szCs w:val="20"/>
                <w:color w:val="auto"/>
              </w:rPr>
            </w:pPr>
            <w:r>
              <w:rPr>
                <w:rFonts w:ascii="Arial" w:cs="Arial" w:eastAsia="Arial" w:hAnsi="Arial"/>
                <w:sz w:val="17"/>
                <w:szCs w:val="17"/>
                <w:b w:val="1"/>
                <w:bCs w:val="1"/>
                <w:color w:val="auto"/>
              </w:rPr>
              <w:t>Unobservable Inputs</w:t>
            </w:r>
          </w:p>
        </w:tc>
        <w:tc>
          <w:tcPr>
            <w:tcW w:w="2020" w:type="dxa"/>
            <w:vAlign w:val="bottom"/>
          </w:tcPr>
          <w:p>
            <w:pPr>
              <w:jc w:val="center"/>
              <w:spacing w:after="0" w:line="163" w:lineRule="exact"/>
              <w:rPr>
                <w:sz w:val="20"/>
                <w:szCs w:val="20"/>
                <w:color w:val="auto"/>
              </w:rPr>
            </w:pPr>
            <w:r>
              <w:rPr>
                <w:rFonts w:ascii="Arial" w:cs="Arial" w:eastAsia="Arial" w:hAnsi="Arial"/>
                <w:sz w:val="17"/>
                <w:szCs w:val="17"/>
                <w:b w:val="1"/>
                <w:bCs w:val="1"/>
                <w:color w:val="auto"/>
                <w:w w:val="88"/>
              </w:rPr>
              <w:t>Range</w:t>
            </w:r>
          </w:p>
        </w:tc>
        <w:tc>
          <w:tcPr>
            <w:tcW w:w="0" w:type="dxa"/>
            <w:vAlign w:val="bottom"/>
          </w:tcPr>
          <w:p>
            <w:pPr>
              <w:spacing w:after="0"/>
              <w:rPr>
                <w:sz w:val="1"/>
                <w:szCs w:val="1"/>
                <w:color w:val="auto"/>
              </w:rPr>
            </w:pPr>
          </w:p>
        </w:tc>
      </w:tr>
      <w:tr>
        <w:trPr>
          <w:trHeight w:val="221"/>
        </w:trPr>
        <w:tc>
          <w:tcPr>
            <w:tcW w:w="3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(Weighted Average)</w:t>
            </w: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80" w:type="dxa"/>
            <w:vAlign w:val="bottom"/>
            <w:gridSpan w:val="2"/>
          </w:tcPr>
          <w:p>
            <w:pPr>
              <w:jc w:val="center"/>
              <w:ind w:left="315"/>
              <w:spacing w:after="0"/>
              <w:rPr>
                <w:sz w:val="20"/>
                <w:szCs w:val="20"/>
                <w:color w:val="auto"/>
              </w:rPr>
            </w:pPr>
            <w:r>
              <w:rPr>
                <w:rFonts w:ascii="Arial" w:cs="Arial" w:eastAsia="Arial" w:hAnsi="Arial"/>
                <w:sz w:val="16"/>
                <w:szCs w:val="16"/>
                <w:i w:val="1"/>
                <w:iCs w:val="1"/>
                <w:color w:val="auto"/>
                <w:w w:val="89"/>
              </w:rPr>
              <w:t>(Dollars in thousands)</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3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Collateral-dependent impaired loans</w:t>
            </w: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rPr>
              <w:t>46,940</w:t>
            </w:r>
          </w:p>
        </w:tc>
        <w:tc>
          <w:tcPr>
            <w:tcW w:w="2040" w:type="dxa"/>
            <w:vAlign w:val="bottom"/>
            <w:shd w:val="clear" w:color="auto" w:fill="CCEEFF"/>
          </w:tcPr>
          <w:p>
            <w:pPr>
              <w:jc w:val="center"/>
              <w:spacing w:after="0" w:line="173" w:lineRule="exact"/>
              <w:rPr>
                <w:sz w:val="20"/>
                <w:szCs w:val="20"/>
                <w:color w:val="auto"/>
              </w:rPr>
            </w:pPr>
            <w:r>
              <w:rPr>
                <w:rFonts w:ascii="Arial" w:cs="Arial" w:eastAsia="Arial" w:hAnsi="Arial"/>
                <w:sz w:val="17"/>
                <w:szCs w:val="17"/>
                <w:color w:val="auto"/>
                <w:w w:val="92"/>
              </w:rPr>
              <w:t>Market comparable</w:t>
            </w:r>
          </w:p>
        </w:tc>
        <w:tc>
          <w:tcPr>
            <w:tcW w:w="2040" w:type="dxa"/>
            <w:vAlign w:val="bottom"/>
            <w:vMerge w:val="restart"/>
            <w:shd w:val="clear" w:color="auto" w:fill="CCEEFF"/>
          </w:tcPr>
          <w:p>
            <w:pPr>
              <w:ind w:left="220"/>
              <w:spacing w:after="0"/>
              <w:rPr>
                <w:sz w:val="20"/>
                <w:szCs w:val="20"/>
                <w:color w:val="auto"/>
              </w:rPr>
            </w:pPr>
            <w:r>
              <w:rPr>
                <w:rFonts w:ascii="Arial" w:cs="Arial" w:eastAsia="Arial" w:hAnsi="Arial"/>
                <w:sz w:val="17"/>
                <w:szCs w:val="17"/>
                <w:color w:val="auto"/>
              </w:rPr>
              <w:t>Marketability discount</w:t>
            </w:r>
          </w:p>
        </w:tc>
        <w:tc>
          <w:tcPr>
            <w:tcW w:w="2020" w:type="dxa"/>
            <w:vAlign w:val="bottom"/>
            <w:shd w:val="clear" w:color="auto" w:fill="CCEEFF"/>
          </w:tcPr>
          <w:p>
            <w:pPr>
              <w:jc w:val="right"/>
              <w:ind w:right="553"/>
              <w:spacing w:after="0" w:line="173" w:lineRule="exact"/>
              <w:rPr>
                <w:sz w:val="20"/>
                <w:szCs w:val="20"/>
                <w:color w:val="auto"/>
              </w:rPr>
            </w:pPr>
            <w:r>
              <w:rPr>
                <w:rFonts w:ascii="Arial" w:cs="Arial" w:eastAsia="Arial" w:hAnsi="Arial"/>
                <w:sz w:val="17"/>
                <w:szCs w:val="17"/>
                <w:color w:val="auto"/>
              </w:rPr>
              <w:t>10% - 98%</w:t>
            </w:r>
          </w:p>
        </w:tc>
        <w:tc>
          <w:tcPr>
            <w:tcW w:w="0" w:type="dxa"/>
            <w:vAlign w:val="bottom"/>
          </w:tcPr>
          <w:p>
            <w:pPr>
              <w:spacing w:after="0"/>
              <w:rPr>
                <w:sz w:val="1"/>
                <w:szCs w:val="1"/>
                <w:color w:val="auto"/>
              </w:rPr>
            </w:pPr>
          </w:p>
        </w:tc>
      </w:tr>
      <w:tr>
        <w:trPr>
          <w:trHeight w:val="221"/>
        </w:trPr>
        <w:tc>
          <w:tcPr>
            <w:tcW w:w="33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properties</w:t>
            </w:r>
          </w:p>
        </w:tc>
        <w:tc>
          <w:tcPr>
            <w:tcW w:w="2040" w:type="dxa"/>
            <w:vAlign w:val="bottom"/>
            <w:vMerge w:val="continue"/>
            <w:shd w:val="clear" w:color="auto" w:fill="CCEEFF"/>
          </w:tcPr>
          <w:p>
            <w:pPr>
              <w:spacing w:after="0"/>
              <w:rPr>
                <w:sz w:val="19"/>
                <w:szCs w:val="19"/>
                <w:color w:val="auto"/>
              </w:rPr>
            </w:pPr>
          </w:p>
        </w:tc>
        <w:tc>
          <w:tcPr>
            <w:tcW w:w="202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2"/>
          </w:tcPr>
          <w:p>
            <w:pPr>
              <w:ind w:left="1540"/>
              <w:spacing w:after="0"/>
              <w:rPr>
                <w:sz w:val="20"/>
                <w:szCs w:val="20"/>
                <w:color w:val="auto"/>
              </w:rPr>
            </w:pPr>
            <w:r>
              <w:rPr>
                <w:rFonts w:ascii="Arial" w:cs="Arial" w:eastAsia="Arial" w:hAnsi="Arial"/>
                <w:sz w:val="17"/>
                <w:szCs w:val="17"/>
                <w:b w:val="1"/>
                <w:bCs w:val="1"/>
                <w:color w:val="auto"/>
              </w:rPr>
              <w:t>December 31, 2020</w:t>
            </w:r>
          </w:p>
        </w:tc>
        <w:tc>
          <w:tcPr>
            <w:tcW w:w="2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393"/>
              <w:spacing w:after="0"/>
              <w:rPr>
                <w:sz w:val="20"/>
                <w:szCs w:val="20"/>
                <w:color w:val="auto"/>
              </w:rPr>
            </w:pPr>
            <w:r>
              <w:rPr>
                <w:rFonts w:ascii="Arial" w:cs="Arial" w:eastAsia="Arial" w:hAnsi="Arial"/>
                <w:sz w:val="17"/>
                <w:szCs w:val="17"/>
                <w:b w:val="1"/>
                <w:bCs w:val="1"/>
                <w:color w:val="auto"/>
              </w:rPr>
              <w:t>Fair Value</w:t>
            </w:r>
          </w:p>
        </w:tc>
        <w:tc>
          <w:tcPr>
            <w:tcW w:w="20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Valuation Techniques</w:t>
            </w:r>
          </w:p>
        </w:tc>
        <w:tc>
          <w:tcPr>
            <w:tcW w:w="2040" w:type="dxa"/>
            <w:vAlign w:val="bottom"/>
            <w:vMerge w:val="restart"/>
          </w:tcPr>
          <w:p>
            <w:pPr>
              <w:ind w:left="220"/>
              <w:spacing w:after="0"/>
              <w:rPr>
                <w:sz w:val="20"/>
                <w:szCs w:val="20"/>
                <w:color w:val="auto"/>
              </w:rPr>
            </w:pPr>
            <w:r>
              <w:rPr>
                <w:rFonts w:ascii="Arial" w:cs="Arial" w:eastAsia="Arial" w:hAnsi="Arial"/>
                <w:sz w:val="17"/>
                <w:szCs w:val="17"/>
                <w:b w:val="1"/>
                <w:bCs w:val="1"/>
                <w:color w:val="auto"/>
              </w:rPr>
              <w:t>Unobservable Inputs</w:t>
            </w:r>
          </w:p>
        </w:tc>
        <w:tc>
          <w:tcPr>
            <w:tcW w:w="2020" w:type="dxa"/>
            <w:vAlign w:val="bottom"/>
          </w:tcPr>
          <w:p>
            <w:pPr>
              <w:jc w:val="center"/>
              <w:spacing w:after="0" w:line="163" w:lineRule="exact"/>
              <w:rPr>
                <w:sz w:val="20"/>
                <w:szCs w:val="20"/>
                <w:color w:val="auto"/>
              </w:rPr>
            </w:pPr>
            <w:r>
              <w:rPr>
                <w:rFonts w:ascii="Arial" w:cs="Arial" w:eastAsia="Arial" w:hAnsi="Arial"/>
                <w:sz w:val="17"/>
                <w:szCs w:val="17"/>
                <w:b w:val="1"/>
                <w:bCs w:val="1"/>
                <w:color w:val="auto"/>
                <w:w w:val="88"/>
              </w:rPr>
              <w:t>Range</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(Weighted Average)</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80" w:type="dxa"/>
            <w:vAlign w:val="bottom"/>
            <w:gridSpan w:val="2"/>
          </w:tcPr>
          <w:p>
            <w:pPr>
              <w:ind w:left="1540"/>
              <w:spacing w:after="0"/>
              <w:rPr>
                <w:sz w:val="20"/>
                <w:szCs w:val="20"/>
                <w:color w:val="auto"/>
              </w:rPr>
            </w:pPr>
            <w:r>
              <w:rPr>
                <w:rFonts w:ascii="Arial" w:cs="Arial" w:eastAsia="Arial" w:hAnsi="Arial"/>
                <w:sz w:val="16"/>
                <w:szCs w:val="16"/>
                <w:i w:val="1"/>
                <w:iCs w:val="1"/>
                <w:color w:val="auto"/>
              </w:rPr>
              <w:t>(Dollars in thousands)</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33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Collateral-dependent impaired loans</w:t>
            </w: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rPr>
              <w:t>55,454</w:t>
            </w:r>
          </w:p>
        </w:tc>
        <w:tc>
          <w:tcPr>
            <w:tcW w:w="2040" w:type="dxa"/>
            <w:vAlign w:val="bottom"/>
            <w:shd w:val="clear" w:color="auto" w:fill="CCEEFF"/>
          </w:tcPr>
          <w:p>
            <w:pPr>
              <w:jc w:val="center"/>
              <w:spacing w:after="0" w:line="173" w:lineRule="exact"/>
              <w:rPr>
                <w:sz w:val="20"/>
                <w:szCs w:val="20"/>
                <w:color w:val="auto"/>
              </w:rPr>
            </w:pPr>
            <w:r>
              <w:rPr>
                <w:rFonts w:ascii="Arial" w:cs="Arial" w:eastAsia="Arial" w:hAnsi="Arial"/>
                <w:sz w:val="17"/>
                <w:szCs w:val="17"/>
                <w:color w:val="auto"/>
                <w:w w:val="92"/>
              </w:rPr>
              <w:t>Market comparable</w:t>
            </w:r>
          </w:p>
        </w:tc>
        <w:tc>
          <w:tcPr>
            <w:tcW w:w="2040" w:type="dxa"/>
            <w:vAlign w:val="bottom"/>
            <w:vMerge w:val="restart"/>
            <w:shd w:val="clear" w:color="auto" w:fill="CCEEFF"/>
          </w:tcPr>
          <w:p>
            <w:pPr>
              <w:ind w:left="220"/>
              <w:spacing w:after="0"/>
              <w:rPr>
                <w:sz w:val="20"/>
                <w:szCs w:val="20"/>
                <w:color w:val="auto"/>
              </w:rPr>
            </w:pPr>
            <w:r>
              <w:rPr>
                <w:rFonts w:ascii="Arial" w:cs="Arial" w:eastAsia="Arial" w:hAnsi="Arial"/>
                <w:sz w:val="17"/>
                <w:szCs w:val="17"/>
                <w:color w:val="auto"/>
              </w:rPr>
              <w:t>Marketability discount</w:t>
            </w:r>
          </w:p>
        </w:tc>
        <w:tc>
          <w:tcPr>
            <w:tcW w:w="2020" w:type="dxa"/>
            <w:vAlign w:val="bottom"/>
            <w:shd w:val="clear" w:color="auto" w:fill="CCEEFF"/>
          </w:tcPr>
          <w:p>
            <w:pPr>
              <w:jc w:val="center"/>
              <w:spacing w:after="0" w:line="173" w:lineRule="exact"/>
              <w:rPr>
                <w:sz w:val="20"/>
                <w:szCs w:val="20"/>
                <w:color w:val="auto"/>
              </w:rPr>
            </w:pPr>
            <w:r>
              <w:rPr>
                <w:rFonts w:ascii="Arial" w:cs="Arial" w:eastAsia="Arial" w:hAnsi="Arial"/>
                <w:sz w:val="17"/>
                <w:szCs w:val="17"/>
                <w:color w:val="auto"/>
                <w:w w:val="94"/>
              </w:rPr>
              <w:t>1% - 98%</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33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properties</w:t>
            </w:r>
          </w:p>
        </w:tc>
        <w:tc>
          <w:tcPr>
            <w:tcW w:w="2040" w:type="dxa"/>
            <w:vAlign w:val="bottom"/>
            <w:vMerge w:val="continue"/>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(24%)</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3360" w:type="dxa"/>
            <w:vAlign w:val="bottom"/>
            <w:vMerge w:val="restart"/>
          </w:tcPr>
          <w:p>
            <w:pPr>
              <w:ind w:left="20"/>
              <w:spacing w:after="0"/>
              <w:rPr>
                <w:sz w:val="20"/>
                <w:szCs w:val="20"/>
                <w:color w:val="auto"/>
              </w:rPr>
            </w:pPr>
            <w:r>
              <w:rPr>
                <w:rFonts w:ascii="Arial" w:cs="Arial" w:eastAsia="Arial" w:hAnsi="Arial"/>
                <w:sz w:val="17"/>
                <w:szCs w:val="17"/>
                <w:color w:val="auto"/>
              </w:rPr>
              <w:t>Foreclosed assets held-for-sale</w:t>
            </w:r>
          </w:p>
        </w:tc>
        <w:tc>
          <w:tcPr>
            <w:tcW w:w="220" w:type="dxa"/>
            <w:vAlign w:val="bottom"/>
            <w:vMerge w:val="restart"/>
          </w:tcPr>
          <w:p>
            <w:pPr>
              <w:jc w:val="right"/>
              <w:ind w:right="33"/>
              <w:spacing w:after="0"/>
              <w:rPr>
                <w:sz w:val="20"/>
                <w:szCs w:val="20"/>
                <w:color w:val="auto"/>
              </w:rPr>
            </w:pPr>
            <w:r>
              <w:rPr>
                <w:rFonts w:ascii="Arial" w:cs="Arial" w:eastAsia="Arial" w:hAnsi="Arial"/>
                <w:sz w:val="17"/>
                <w:szCs w:val="17"/>
                <w:color w:val="auto"/>
                <w:w w:val="84"/>
              </w:rPr>
              <w:t>$</w:t>
            </w:r>
          </w:p>
        </w:tc>
        <w:tc>
          <w:tcPr>
            <w:tcW w:w="1400" w:type="dxa"/>
            <w:vAlign w:val="bottom"/>
            <w:vMerge w:val="restart"/>
          </w:tcPr>
          <w:p>
            <w:pPr>
              <w:jc w:val="right"/>
              <w:ind w:right="113"/>
              <w:spacing w:after="0"/>
              <w:rPr>
                <w:sz w:val="20"/>
                <w:szCs w:val="20"/>
                <w:color w:val="auto"/>
              </w:rPr>
            </w:pPr>
            <w:r>
              <w:rPr>
                <w:rFonts w:ascii="Arial" w:cs="Arial" w:eastAsia="Arial" w:hAnsi="Arial"/>
                <w:sz w:val="17"/>
                <w:szCs w:val="17"/>
                <w:color w:val="auto"/>
              </w:rPr>
              <w:t>2,347</w:t>
            </w:r>
          </w:p>
        </w:tc>
        <w:tc>
          <w:tcPr>
            <w:tcW w:w="2040" w:type="dxa"/>
            <w:vAlign w:val="bottom"/>
          </w:tcPr>
          <w:p>
            <w:pPr>
              <w:jc w:val="center"/>
              <w:spacing w:after="0" w:line="170" w:lineRule="exact"/>
              <w:rPr>
                <w:sz w:val="20"/>
                <w:szCs w:val="20"/>
                <w:color w:val="auto"/>
              </w:rPr>
            </w:pPr>
            <w:r>
              <w:rPr>
                <w:rFonts w:ascii="Arial" w:cs="Arial" w:eastAsia="Arial" w:hAnsi="Arial"/>
                <w:sz w:val="17"/>
                <w:szCs w:val="17"/>
                <w:color w:val="auto"/>
                <w:w w:val="92"/>
              </w:rPr>
              <w:t>Market comparable</w:t>
            </w:r>
          </w:p>
        </w:tc>
        <w:tc>
          <w:tcPr>
            <w:tcW w:w="2040" w:type="dxa"/>
            <w:vAlign w:val="bottom"/>
            <w:vMerge w:val="restart"/>
          </w:tcPr>
          <w:p>
            <w:pPr>
              <w:ind w:left="220"/>
              <w:spacing w:after="0"/>
              <w:rPr>
                <w:sz w:val="20"/>
                <w:szCs w:val="20"/>
                <w:color w:val="auto"/>
              </w:rPr>
            </w:pPr>
            <w:r>
              <w:rPr>
                <w:rFonts w:ascii="Arial" w:cs="Arial" w:eastAsia="Arial" w:hAnsi="Arial"/>
                <w:sz w:val="17"/>
                <w:szCs w:val="17"/>
                <w:color w:val="auto"/>
              </w:rPr>
              <w:t>Marketability discount</w:t>
            </w:r>
          </w:p>
        </w:tc>
        <w:tc>
          <w:tcPr>
            <w:tcW w:w="2020" w:type="dxa"/>
            <w:vAlign w:val="bottom"/>
          </w:tcPr>
          <w:p>
            <w:pPr>
              <w:jc w:val="center"/>
              <w:spacing w:after="0" w:line="170" w:lineRule="exact"/>
              <w:rPr>
                <w:sz w:val="20"/>
                <w:szCs w:val="20"/>
                <w:color w:val="auto"/>
              </w:rPr>
            </w:pPr>
            <w:r>
              <w:rPr>
                <w:rFonts w:ascii="Arial" w:cs="Arial" w:eastAsia="Arial" w:hAnsi="Arial"/>
                <w:sz w:val="17"/>
                <w:szCs w:val="17"/>
                <w:color w:val="auto"/>
                <w:w w:val="94"/>
              </w:rPr>
              <w:t>7% - 10%</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2"/>
              </w:rPr>
              <w:t>properties</w:t>
            </w:r>
          </w:p>
        </w:tc>
        <w:tc>
          <w:tcPr>
            <w:tcW w:w="2040" w:type="dxa"/>
            <w:vAlign w:val="bottom"/>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94"/>
              </w:rPr>
              <w:t>(9%)</w:t>
            </w:r>
          </w:p>
        </w:tc>
        <w:tc>
          <w:tcPr>
            <w:tcW w:w="0" w:type="dxa"/>
            <w:vAlign w:val="bottom"/>
          </w:tcPr>
          <w:p>
            <w:pPr>
              <w:spacing w:after="0"/>
              <w:rPr>
                <w:sz w:val="1"/>
                <w:szCs w:val="1"/>
                <w:color w:val="auto"/>
              </w:rPr>
            </w:pPr>
          </w:p>
        </w:tc>
      </w:tr>
      <w:tr>
        <w:trPr>
          <w:trHeight w:val="938"/>
        </w:trPr>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jc w:val="right"/>
              <w:ind w:right="1374"/>
              <w:spacing w:after="0"/>
              <w:rPr>
                <w:sz w:val="20"/>
                <w:szCs w:val="20"/>
                <w:color w:val="auto"/>
              </w:rPr>
            </w:pPr>
            <w:r>
              <w:rPr>
                <w:rFonts w:ascii="Arial" w:cs="Arial" w:eastAsia="Arial" w:hAnsi="Arial"/>
                <w:sz w:val="17"/>
                <w:szCs w:val="17"/>
                <w:color w:val="auto"/>
              </w:rPr>
              <w:t>30</w:t>
            </w: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tabs>
          <w:tab w:leader="none" w:pos="3640" w:val="left"/>
        </w:tabs>
        <w:rPr>
          <w:rFonts w:ascii="Arial" w:cs="Arial" w:eastAsia="Arial" w:hAnsi="Arial"/>
          <w:sz w:val="17"/>
          <w:szCs w:val="17"/>
          <w:color w:val="0000FF"/>
        </w:rPr>
      </w:pPr>
      <w:hyperlink w:anchor="page1">
        <w:r>
          <w:rPr>
            <w:rFonts w:ascii="Arial" w:cs="Arial" w:eastAsia="Arial" w:hAnsi="Arial"/>
            <w:sz w:val="17"/>
            <w:szCs w:val="17"/>
            <w:u w:val="single" w:color="auto"/>
            <w:color w:val="0000FF"/>
          </w:rPr>
          <w:t>Table of Contents</w:t>
        </w:r>
      </w:hyperlink>
      <w:r>
        <w:rPr>
          <w:rFonts w:ascii="Arial" w:cs="Arial" w:eastAsia="Arial" w:hAnsi="Arial"/>
          <w:sz w:val="17"/>
          <w:szCs w:val="17"/>
          <w:color w:val="0000FF"/>
        </w:rPr>
        <w:tab/>
      </w:r>
      <w:r>
        <w:rPr>
          <w:rFonts w:ascii="Arial" w:cs="Arial" w:eastAsia="Arial" w:hAnsi="Arial"/>
          <w:sz w:val="15"/>
          <w:szCs w:val="15"/>
          <w:color w:val="0000FF"/>
        </w:rPr>
        <w:t>Notes to Consolidated Financial Statements (unaudited)</w:t>
      </w:r>
    </w:p>
    <w:p>
      <w:pPr>
        <w:spacing w:after="0" w:line="200" w:lineRule="exact"/>
        <w:rPr>
          <w:sz w:val="20"/>
          <w:szCs w:val="20"/>
          <w:color w:val="auto"/>
        </w:rPr>
      </w:pPr>
    </w:p>
    <w:p>
      <w:pPr>
        <w:spacing w:after="0" w:line="3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tables present the estimated fair values of the Company’s financial instruments at March 31, 2021 and December 31, 2020:</w:t>
      </w:r>
    </w:p>
    <w:p>
      <w:pPr>
        <w:spacing w:after="0" w:line="202"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4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94"/>
              </w:rPr>
              <w:t>March 31, 2021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7"/>
              </w:rPr>
              <w:t>Carrying</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60"/>
              <w:spacing w:after="0"/>
              <w:rPr>
                <w:sz w:val="20"/>
                <w:szCs w:val="20"/>
                <w:color w:val="auto"/>
              </w:rPr>
            </w:pPr>
            <w:r>
              <w:rPr>
                <w:rFonts w:ascii="Arial" w:cs="Arial" w:eastAsia="Arial" w:hAnsi="Arial"/>
                <w:sz w:val="17"/>
                <w:szCs w:val="17"/>
                <w:b w:val="1"/>
                <w:bCs w:val="1"/>
                <w:color w:val="auto"/>
              </w:rPr>
              <w:t>Fair Value Measurements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3"/>
              </w:rPr>
              <w:t>Amount</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Level 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7"/>
                <w:szCs w:val="17"/>
                <w:b w:val="1"/>
                <w:bCs w:val="1"/>
                <w:color w:val="auto"/>
                <w:w w:val="90"/>
              </w:rPr>
              <w:t>Level 2</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Level 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gridSpan w:val="4"/>
          </w:tcPr>
          <w:p>
            <w:pPr>
              <w:jc w:val="center"/>
              <w:spacing w:after="0"/>
              <w:rPr>
                <w:sz w:val="20"/>
                <w:szCs w:val="20"/>
                <w:color w:val="auto"/>
              </w:rPr>
            </w:pPr>
            <w:r>
              <w:rPr>
                <w:rFonts w:ascii="Arial" w:cs="Arial" w:eastAsia="Arial" w:hAnsi="Arial"/>
                <w:sz w:val="16"/>
                <w:szCs w:val="16"/>
                <w:i w:val="1"/>
                <w:iCs w:val="1"/>
                <w:color w:val="auto"/>
                <w:w w:val="91"/>
              </w:rPr>
              <w:t>(Dollars 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6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630,787</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630,787</w:t>
            </w:r>
          </w:p>
        </w:tc>
        <w:tc>
          <w:tcPr>
            <w:tcW w:w="36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630,787</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Available-for-sale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685,454</w:t>
            </w:r>
          </w:p>
        </w:tc>
        <w:tc>
          <w:tcPr>
            <w:tcW w:w="0" w:type="dxa"/>
            <w:vAlign w:val="bottom"/>
          </w:tcPr>
          <w:p>
            <w:pPr>
              <w:spacing w:after="0"/>
              <w:rPr>
                <w:sz w:val="1"/>
                <w:szCs w:val="1"/>
                <w:color w:val="auto"/>
              </w:rPr>
            </w:pPr>
          </w:p>
        </w:tc>
      </w:tr>
      <w:tr>
        <w:trPr>
          <w:trHeight w:val="221"/>
        </w:trPr>
        <w:tc>
          <w:tcPr>
            <w:tcW w:w="4060" w:type="dxa"/>
            <w:vAlign w:val="bottom"/>
          </w:tcPr>
          <w:p>
            <w:pPr>
              <w:ind w:left="140"/>
              <w:spacing w:after="0"/>
              <w:rPr>
                <w:sz w:val="20"/>
                <w:szCs w:val="20"/>
                <w:color w:val="auto"/>
              </w:rPr>
            </w:pPr>
            <w:r>
              <w:rPr>
                <w:rFonts w:ascii="Arial" w:cs="Arial" w:eastAsia="Arial" w:hAnsi="Arial"/>
                <w:sz w:val="17"/>
                <w:szCs w:val="17"/>
                <w:color w:val="auto"/>
              </w:rPr>
              <w:t>Loans, net of allowance for loan losses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4,434,049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4,419,714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4,419,714</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Restricted equity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14,080</w:t>
            </w:r>
          </w:p>
        </w:tc>
        <w:tc>
          <w:tcPr>
            <w:tcW w:w="0" w:type="dxa"/>
            <w:vAlign w:val="bottom"/>
          </w:tcPr>
          <w:p>
            <w:pPr>
              <w:spacing w:after="0"/>
              <w:rPr>
                <w:sz w:val="1"/>
                <w:szCs w:val="1"/>
                <w:color w:val="auto"/>
              </w:rPr>
            </w:pPr>
          </w:p>
        </w:tc>
      </w:tr>
      <w:tr>
        <w:trPr>
          <w:trHeight w:val="221"/>
        </w:trPr>
        <w:tc>
          <w:tcPr>
            <w:tcW w:w="4060" w:type="dxa"/>
            <w:vAlign w:val="bottom"/>
          </w:tcPr>
          <w:p>
            <w:pPr>
              <w:ind w:left="140"/>
              <w:spacing w:after="0"/>
              <w:rPr>
                <w:sz w:val="20"/>
                <w:szCs w:val="20"/>
                <w:color w:val="auto"/>
              </w:rPr>
            </w:pPr>
            <w:r>
              <w:rPr>
                <w:rFonts w:ascii="Arial" w:cs="Arial" w:eastAsia="Arial" w:hAnsi="Arial"/>
                <w:sz w:val="17"/>
                <w:szCs w:val="17"/>
                <w:color w:val="auto"/>
              </w:rPr>
              <w:t>Interest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17,987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17,987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17,987</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Equity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13,405</w:t>
            </w:r>
          </w:p>
        </w:tc>
        <w:tc>
          <w:tcPr>
            <w:tcW w:w="0" w:type="dxa"/>
            <w:vAlign w:val="bottom"/>
          </w:tcPr>
          <w:p>
            <w:pPr>
              <w:spacing w:after="0"/>
              <w:rPr>
                <w:sz w:val="1"/>
                <w:szCs w:val="1"/>
                <w:color w:val="auto"/>
              </w:rPr>
            </w:pPr>
          </w:p>
        </w:tc>
      </w:tr>
      <w:tr>
        <w:trPr>
          <w:trHeight w:val="221"/>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Derivative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15,561</w:t>
            </w: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5,811,323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630,787</w:t>
            </w:r>
          </w:p>
        </w:tc>
        <w:tc>
          <w:tcPr>
            <w:tcW w:w="36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721,218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4,444,983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5,796,988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Deposits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5,051,570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794,559</w:t>
            </w:r>
          </w:p>
        </w:tc>
        <w:tc>
          <w:tcPr>
            <w:tcW w:w="36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4,289,169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5,083,728</w:t>
            </w:r>
          </w:p>
        </w:tc>
        <w:tc>
          <w:tcPr>
            <w:tcW w:w="0" w:type="dxa"/>
            <w:vAlign w:val="bottom"/>
          </w:tcPr>
          <w:p>
            <w:pPr>
              <w:spacing w:after="0"/>
              <w:rPr>
                <w:sz w:val="1"/>
                <w:szCs w:val="1"/>
                <w:color w:val="auto"/>
              </w:rPr>
            </w:pPr>
          </w:p>
        </w:tc>
      </w:tr>
      <w:tr>
        <w:trPr>
          <w:trHeight w:val="221"/>
        </w:trPr>
        <w:tc>
          <w:tcPr>
            <w:tcW w:w="4060" w:type="dxa"/>
            <w:vAlign w:val="bottom"/>
          </w:tcPr>
          <w:p>
            <w:pPr>
              <w:ind w:left="140"/>
              <w:spacing w:after="0"/>
              <w:rPr>
                <w:sz w:val="20"/>
                <w:szCs w:val="20"/>
                <w:color w:val="auto"/>
              </w:rPr>
            </w:pPr>
            <w:r>
              <w:rPr>
                <w:rFonts w:ascii="Arial" w:cs="Arial" w:eastAsia="Arial" w:hAnsi="Arial"/>
                <w:sz w:val="17"/>
                <w:szCs w:val="17"/>
                <w:color w:val="auto"/>
                <w:w w:val="96"/>
              </w:rPr>
              <w:t>Federal funds purchased and repurchase agreements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3,294</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 Home Loan Bank advances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292,667</w:t>
            </w:r>
          </w:p>
        </w:tc>
        <w:tc>
          <w:tcPr>
            <w:tcW w:w="0" w:type="dxa"/>
            <w:vAlign w:val="bottom"/>
          </w:tcPr>
          <w:p>
            <w:pPr>
              <w:spacing w:after="0"/>
              <w:rPr>
                <w:sz w:val="1"/>
                <w:szCs w:val="1"/>
                <w:color w:val="auto"/>
              </w:rPr>
            </w:pPr>
          </w:p>
        </w:tc>
      </w:tr>
      <w:tr>
        <w:trPr>
          <w:trHeight w:val="221"/>
        </w:trPr>
        <w:tc>
          <w:tcPr>
            <w:tcW w:w="4060" w:type="dxa"/>
            <w:vAlign w:val="bottom"/>
          </w:tcPr>
          <w:p>
            <w:pPr>
              <w:ind w:left="140"/>
              <w:spacing w:after="0"/>
              <w:rPr>
                <w:sz w:val="20"/>
                <w:szCs w:val="20"/>
                <w:color w:val="auto"/>
              </w:rPr>
            </w:pPr>
            <w:r>
              <w:rPr>
                <w:rFonts w:ascii="Arial" w:cs="Arial" w:eastAsia="Arial" w:hAnsi="Arial"/>
                <w:sz w:val="17"/>
                <w:szCs w:val="17"/>
                <w:color w:val="auto"/>
              </w:rPr>
              <w:t>Other borrowings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2,235</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payable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w:t>
            </w:r>
          </w:p>
        </w:tc>
        <w:tc>
          <w:tcPr>
            <w:tcW w:w="0" w:type="dxa"/>
            <w:vAlign w:val="bottom"/>
          </w:tcPr>
          <w:p>
            <w:pPr>
              <w:spacing w:after="0"/>
              <w:rPr>
                <w:sz w:val="1"/>
                <w:szCs w:val="1"/>
                <w:color w:val="auto"/>
              </w:rPr>
            </w:pPr>
          </w:p>
        </w:tc>
      </w:tr>
      <w:tr>
        <w:trPr>
          <w:trHeight w:val="221"/>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Derivative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15,766</w:t>
            </w: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5,356,615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794,559</w:t>
            </w:r>
          </w:p>
        </w:tc>
        <w:tc>
          <w:tcPr>
            <w:tcW w:w="36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4,289,169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5,399,601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69215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79" w:right="339" w:bottom="1440" w:gutter="0" w:footer="0" w:header="0"/>
        </w:sectPr>
      </w:pPr>
    </w:p>
    <w:bookmarkStart w:id="31" w:name="page32"/>
    <w:bookmarkEnd w:id="31"/>
    <w:tbl>
      <w:tblPr>
        <w:tblLayout w:type="fixed"/>
        <w:tblInd w:w="20" w:type="dxa"/>
        <w:tblCellMar>
          <w:top w:w="0" w:type="dxa"/>
          <w:left w:w="0" w:type="dxa"/>
          <w:bottom w:w="0" w:type="dxa"/>
          <w:right w:w="0" w:type="dxa"/>
        </w:tblCellMar>
      </w:tblPr>
      <w:tr>
        <w:trPr>
          <w:trHeight w:val="195"/>
        </w:trPr>
        <w:tc>
          <w:tcPr>
            <w:tcW w:w="3320" w:type="dxa"/>
            <w:vAlign w:val="bottom"/>
            <w:gridSpan w:val="3"/>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5140" w:type="dxa"/>
            <w:vAlign w:val="bottom"/>
            <w:gridSpan w:val="10"/>
          </w:tcPr>
          <w:p>
            <w:pPr>
              <w:ind w:left="340"/>
              <w:spacing w:after="0"/>
              <w:rPr>
                <w:sz w:val="20"/>
                <w:szCs w:val="20"/>
                <w:color w:val="auto"/>
              </w:rPr>
            </w:pPr>
            <w:r>
              <w:rPr>
                <w:rFonts w:ascii="Arial" w:cs="Arial" w:eastAsia="Arial" w:hAnsi="Arial"/>
                <w:sz w:val="17"/>
                <w:szCs w:val="17"/>
                <w:color w:val="auto"/>
              </w:rPr>
              <w:t>Notes to Consolidated Financial Statements (unaudited)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7"/>
        </w:trPr>
        <w:tc>
          <w:tcPr>
            <w:tcW w:w="14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December 31, 2020</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7"/>
              </w:rPr>
              <w:t>Carrying</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160"/>
              <w:spacing w:after="0"/>
              <w:rPr>
                <w:sz w:val="20"/>
                <w:szCs w:val="20"/>
                <w:color w:val="auto"/>
              </w:rPr>
            </w:pPr>
            <w:r>
              <w:rPr>
                <w:rFonts w:ascii="Arial" w:cs="Arial" w:eastAsia="Arial" w:hAnsi="Arial"/>
                <w:sz w:val="17"/>
                <w:szCs w:val="17"/>
                <w:b w:val="1"/>
                <w:bCs w:val="1"/>
                <w:color w:val="auto"/>
              </w:rPr>
              <w:t>Fair Value Measurements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3"/>
              </w:rPr>
              <w:t>Amount</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Level 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7"/>
                <w:szCs w:val="17"/>
                <w:b w:val="1"/>
                <w:bCs w:val="1"/>
                <w:color w:val="auto"/>
                <w:w w:val="90"/>
              </w:rPr>
              <w:t>Level 2</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Level 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gridSpan w:val="4"/>
          </w:tcPr>
          <w:p>
            <w:pPr>
              <w:jc w:val="center"/>
              <w:spacing w:after="0"/>
              <w:rPr>
                <w:sz w:val="20"/>
                <w:szCs w:val="20"/>
                <w:color w:val="auto"/>
              </w:rPr>
            </w:pPr>
            <w:r>
              <w:rPr>
                <w:rFonts w:ascii="Arial" w:cs="Arial" w:eastAsia="Arial" w:hAnsi="Arial"/>
                <w:sz w:val="16"/>
                <w:szCs w:val="16"/>
                <w:i w:val="1"/>
                <w:iCs w:val="1"/>
                <w:color w:val="auto"/>
                <w:w w:val="91"/>
              </w:rPr>
              <w:t>(Dollars 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gridSpan w:val="2"/>
          </w:tcPr>
          <w:p>
            <w:pPr>
              <w:ind w:left="140"/>
              <w:spacing w:after="0"/>
              <w:rPr>
                <w:sz w:val="20"/>
                <w:szCs w:val="20"/>
                <w:color w:val="auto"/>
              </w:rPr>
            </w:pPr>
            <w:r>
              <w:rPr>
                <w:rFonts w:ascii="Arial" w:cs="Arial" w:eastAsia="Arial" w:hAnsi="Arial"/>
                <w:sz w:val="17"/>
                <w:szCs w:val="17"/>
                <w:color w:val="auto"/>
              </w:rPr>
              <w:t>Cash and cash equivalents</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408,810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408,810</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408,810</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Available-for-sale securities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654,588</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gridSpan w:val="2"/>
          </w:tcPr>
          <w:p>
            <w:pPr>
              <w:ind w:left="140"/>
              <w:spacing w:after="0"/>
              <w:rPr>
                <w:sz w:val="20"/>
                <w:szCs w:val="20"/>
                <w:color w:val="auto"/>
              </w:rPr>
            </w:pPr>
            <w:r>
              <w:rPr>
                <w:rFonts w:ascii="Arial" w:cs="Arial" w:eastAsia="Arial" w:hAnsi="Arial"/>
                <w:sz w:val="17"/>
                <w:szCs w:val="17"/>
                <w:color w:val="auto"/>
              </w:rPr>
              <w:t>Loans, net of allowance for loan losses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4,366,602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4,351,970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4,351,970</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Restricted equity securities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15,543</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gridSpan w:val="2"/>
          </w:tcPr>
          <w:p>
            <w:pPr>
              <w:ind w:left="140"/>
              <w:spacing w:after="0"/>
              <w:rPr>
                <w:sz w:val="20"/>
                <w:szCs w:val="20"/>
                <w:color w:val="auto"/>
              </w:rPr>
            </w:pPr>
            <w:r>
              <w:rPr>
                <w:rFonts w:ascii="Arial" w:cs="Arial" w:eastAsia="Arial" w:hAnsi="Arial"/>
                <w:sz w:val="17"/>
                <w:szCs w:val="17"/>
                <w:color w:val="auto"/>
              </w:rPr>
              <w:t>Interest receivable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17,236</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Equity securities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13,436</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Derivative assets</w:t>
            </w: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24,094</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5,500,309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698,165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4,378,702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5,485,677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Deposits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4,694,740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718,459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4,015,792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4,734,251</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4280" w:type="dxa"/>
            <w:vAlign w:val="bottom"/>
            <w:gridSpan w:val="4"/>
          </w:tcPr>
          <w:p>
            <w:pPr>
              <w:ind w:left="140"/>
              <w:spacing w:after="0"/>
              <w:rPr>
                <w:sz w:val="20"/>
                <w:szCs w:val="20"/>
                <w:color w:val="auto"/>
              </w:rPr>
            </w:pPr>
            <w:r>
              <w:rPr>
                <w:rFonts w:ascii="Arial" w:cs="Arial" w:eastAsia="Arial" w:hAnsi="Arial"/>
                <w:sz w:val="17"/>
                <w:szCs w:val="17"/>
                <w:color w:val="auto"/>
              </w:rPr>
              <w:t>Federal funds purchased and repurchase agreements</w:t>
            </w:r>
          </w:p>
        </w:tc>
        <w:tc>
          <w:tcPr>
            <w:tcW w:w="1100" w:type="dxa"/>
            <w:vAlign w:val="bottom"/>
          </w:tcPr>
          <w:p>
            <w:pPr>
              <w:jc w:val="right"/>
              <w:spacing w:after="0"/>
              <w:rPr>
                <w:sz w:val="20"/>
                <w:szCs w:val="20"/>
                <w:color w:val="auto"/>
              </w:rPr>
            </w:pPr>
            <w:r>
              <w:rPr>
                <w:rFonts w:ascii="Arial" w:cs="Arial" w:eastAsia="Arial" w:hAnsi="Arial"/>
                <w:sz w:val="17"/>
                <w:szCs w:val="17"/>
                <w:color w:val="auto"/>
              </w:rPr>
              <w:t>2,306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2,306</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Federal Home Loan Bank advances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309,020</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gridSpan w:val="2"/>
          </w:tcPr>
          <w:p>
            <w:pPr>
              <w:ind w:left="140"/>
              <w:spacing w:after="0"/>
              <w:rPr>
                <w:sz w:val="20"/>
                <w:szCs w:val="20"/>
                <w:color w:val="auto"/>
              </w:rPr>
            </w:pPr>
            <w:r>
              <w:rPr>
                <w:rFonts w:ascii="Arial" w:cs="Arial" w:eastAsia="Arial" w:hAnsi="Arial"/>
                <w:sz w:val="17"/>
                <w:szCs w:val="17"/>
                <w:color w:val="auto"/>
              </w:rPr>
              <w:t>Other borrowings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payable</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3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Derivative liabilities</w:t>
            </w: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24,454</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5,017,726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718,459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339,967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4,015,792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5,074,218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12:</w:t>
      </w:r>
      <w:r>
        <w:rPr>
          <w:sz w:val="20"/>
          <w:szCs w:val="20"/>
          <w:color w:val="auto"/>
        </w:rPr>
        <w:tab/>
      </w:r>
      <w:r>
        <w:rPr>
          <w:rFonts w:ascii="Arial" w:cs="Arial" w:eastAsia="Arial" w:hAnsi="Arial"/>
          <w:sz w:val="19"/>
          <w:szCs w:val="19"/>
          <w:b w:val="1"/>
          <w:bCs w:val="1"/>
          <w:color w:val="auto"/>
        </w:rPr>
        <w:t>Commitments and Credit Risk</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Commitments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had the following commitments at March 31, 2021 and December 31, 2020:</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60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March 31, 2021</w:t>
            </w:r>
          </w:p>
        </w:tc>
        <w:tc>
          <w:tcPr>
            <w:tcW w:w="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December 31, 2020</w:t>
            </w:r>
          </w:p>
        </w:tc>
      </w:tr>
      <w:tr>
        <w:trPr>
          <w:trHeight w:val="198"/>
        </w:trPr>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20" w:type="dxa"/>
            <w:vAlign w:val="bottom"/>
            <w:gridSpan w:val="4"/>
          </w:tcPr>
          <w:p>
            <w:pPr>
              <w:jc w:val="right"/>
              <w:ind w:right="1693"/>
              <w:spacing w:after="0"/>
              <w:rPr>
                <w:sz w:val="20"/>
                <w:szCs w:val="20"/>
                <w:color w:val="auto"/>
              </w:rPr>
            </w:pPr>
            <w:r>
              <w:rPr>
                <w:rFonts w:ascii="Arial" w:cs="Arial" w:eastAsia="Arial" w:hAnsi="Arial"/>
                <w:sz w:val="16"/>
                <w:szCs w:val="16"/>
                <w:i w:val="1"/>
                <w:iCs w:val="1"/>
                <w:color w:val="auto"/>
              </w:rPr>
              <w:t>(Dollars in thousands)</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to originate loans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99,596</w:t>
            </w:r>
          </w:p>
        </w:tc>
      </w:tr>
      <w:tr>
        <w:trPr>
          <w:trHeight w:val="221"/>
        </w:trPr>
        <w:tc>
          <w:tcPr>
            <w:tcW w:w="6080" w:type="dxa"/>
            <w:vAlign w:val="bottom"/>
          </w:tcPr>
          <w:p>
            <w:pPr>
              <w:ind w:left="20"/>
              <w:spacing w:after="0"/>
              <w:rPr>
                <w:sz w:val="20"/>
                <w:szCs w:val="20"/>
                <w:color w:val="auto"/>
              </w:rPr>
            </w:pPr>
            <w:r>
              <w:rPr>
                <w:rFonts w:ascii="Arial" w:cs="Arial" w:eastAsia="Arial" w:hAnsi="Arial"/>
                <w:sz w:val="17"/>
                <w:szCs w:val="17"/>
                <w:color w:val="auto"/>
              </w:rPr>
              <w:t>Standby letters of credit</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41,256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48,607</w:t>
            </w:r>
          </w:p>
        </w:tc>
      </w:tr>
      <w:tr>
        <w:trPr>
          <w:trHeight w:val="221"/>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Lines of credit</w:t>
            </w:r>
          </w:p>
        </w:tc>
        <w:tc>
          <w:tcPr>
            <w:tcW w:w="3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1,401,710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1,423,038</w:t>
            </w:r>
          </w:p>
        </w:tc>
      </w:tr>
      <w:tr>
        <w:trPr>
          <w:trHeight w:val="214"/>
        </w:trPr>
        <w:tc>
          <w:tcPr>
            <w:tcW w:w="6080" w:type="dxa"/>
            <w:vAlign w:val="bottom"/>
          </w:tcPr>
          <w:p>
            <w:pPr>
              <w:ind w:left="14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1,555,704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1,571,241</w:t>
            </w: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Note 13:</w:t>
      </w:r>
      <w:r>
        <w:rPr>
          <w:sz w:val="20"/>
          <w:szCs w:val="20"/>
          <w:color w:val="auto"/>
        </w:rPr>
        <w:tab/>
      </w:r>
      <w:r>
        <w:rPr>
          <w:rFonts w:ascii="Arial" w:cs="Arial" w:eastAsia="Arial" w:hAnsi="Arial"/>
          <w:sz w:val="18"/>
          <w:szCs w:val="18"/>
          <w:b w:val="1"/>
          <w:bCs w:val="1"/>
          <w:color w:val="auto"/>
        </w:rPr>
        <w:t>Legal and Regulatory Proceedings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General Litigation</w:t>
      </w:r>
    </w:p>
    <w:p>
      <w:pPr>
        <w:spacing w:after="0" w:line="164" w:lineRule="exact"/>
        <w:rPr>
          <w:sz w:val="20"/>
          <w:szCs w:val="20"/>
          <w:color w:val="auto"/>
        </w:rPr>
      </w:pPr>
    </w:p>
    <w:p>
      <w:pPr>
        <w:ind w:left="160" w:right="60" w:firstLine="469"/>
        <w:spacing w:after="0" w:line="271" w:lineRule="auto"/>
        <w:rPr>
          <w:sz w:val="20"/>
          <w:szCs w:val="20"/>
          <w:color w:val="auto"/>
        </w:rPr>
      </w:pPr>
      <w:r>
        <w:rPr>
          <w:rFonts w:ascii="Arial" w:cs="Arial" w:eastAsia="Arial" w:hAnsi="Arial"/>
          <w:sz w:val="17"/>
          <w:szCs w:val="17"/>
          <w:color w:val="auto"/>
        </w:rPr>
        <w:t>The Company is subject to claims and lawsuits that arise primarily in the ordinary course of business. It is the opinion of management the disposition or ultimate resolution of such claims and lawsuits will not have a material adverse effect on the consolidated financial position, results of operations and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65"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70" w:lineRule="exact"/>
        <w:rPr>
          <w:sz w:val="20"/>
          <w:szCs w:val="20"/>
          <w:color w:val="auto"/>
        </w:rPr>
      </w:pPr>
    </w:p>
    <w:p>
      <w:pPr>
        <w:ind w:left="160" w:right="40" w:firstLine="469"/>
        <w:spacing w:after="0" w:line="301" w:lineRule="auto"/>
        <w:rPr>
          <w:sz w:val="20"/>
          <w:szCs w:val="20"/>
          <w:color w:val="auto"/>
        </w:rPr>
      </w:pPr>
      <w:r>
        <w:rPr>
          <w:rFonts w:ascii="Arial" w:cs="Arial" w:eastAsia="Arial" w:hAnsi="Arial"/>
          <w:sz w:val="15"/>
          <w:szCs w:val="15"/>
          <w:color w:val="auto"/>
        </w:rPr>
        <w:t>The following discussion and analysis should be read in conjunction with the consolidated financial statements and related notes and with the statistical information and financial data appearing in this report as well as in the Company’s Annual Report on Form 10-K for the fiscal year ended December 31, 2020 filed with the Securities and Exchange Commission (“SEC”) on February 26, 2021 (the “2020 Form 10-K”). Results of operations for the three month period ended March 31, 2021 are not necessarily indicative of results to be attained for any other period. Certain statements in this report contain forward-looking statements regarding our future plans, objectives, beliefs, expectations, representations and projections. See "Forward-Looking Information" which is incorporated herein by reference. Actual results could differ materially from the anticipated results and other expectations expressed in our forward-looking statements as a result of a number of factors, including but not limited to those discussed in Item 1A – "Risk Factors" in the 2020 Form 10-K.</w:t>
      </w:r>
    </w:p>
    <w:p>
      <w:pPr>
        <w:spacing w:after="0" w:line="101" w:lineRule="exact"/>
        <w:rPr>
          <w:sz w:val="20"/>
          <w:szCs w:val="20"/>
          <w:color w:val="auto"/>
        </w:rPr>
      </w:pPr>
    </w:p>
    <w:p>
      <w:pPr>
        <w:jc w:val="both"/>
        <w:ind w:left="160" w:right="140" w:firstLine="469"/>
        <w:spacing w:after="0" w:line="271" w:lineRule="auto"/>
        <w:rPr>
          <w:sz w:val="20"/>
          <w:szCs w:val="20"/>
          <w:color w:val="auto"/>
        </w:rPr>
      </w:pPr>
      <w:r>
        <w:rPr>
          <w:rFonts w:ascii="Arial" w:cs="Arial" w:eastAsia="Arial" w:hAnsi="Arial"/>
          <w:sz w:val="17"/>
          <w:szCs w:val="17"/>
          <w:color w:val="auto"/>
        </w:rPr>
        <w:t>Unless we state otherwise or the context otherwise requires, references in the below section to “we,” “our,” “us,” “ourselves,” “our company,” and the “Company” refer to CrossFirst Bankshares, Inc., and its consolidated subsidiaries. References to “CrossFirst Bank” and the “Bank” refer to CrossFirst Bank, our wholly-owned consolidated bank subsidiary.</w:t>
      </w: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First Quarter 2021 Highlights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first quarter ended March 31, 2021, we accomplished the following:</w:t>
      </w:r>
    </w:p>
    <w:p>
      <w:pPr>
        <w:spacing w:after="0" w:line="169" w:lineRule="exact"/>
        <w:rPr>
          <w:sz w:val="20"/>
          <w:szCs w:val="20"/>
          <w:color w:val="auto"/>
        </w:rPr>
      </w:pPr>
    </w:p>
    <w:p>
      <w:pPr>
        <w:ind w:left="1260" w:hanging="631"/>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$6 billion of assets, an increase of $339 million or 6% from December 31, 2020 driven by deposit growth;</w:t>
      </w:r>
    </w:p>
    <w:p>
      <w:pPr>
        <w:spacing w:after="0" w:line="169" w:lineRule="exact"/>
        <w:rPr>
          <w:rFonts w:ascii="Arial" w:cs="Arial" w:eastAsia="Arial" w:hAnsi="Arial"/>
          <w:sz w:val="17"/>
          <w:szCs w:val="17"/>
          <w:color w:val="auto"/>
        </w:rPr>
      </w:pPr>
    </w:p>
    <w:p>
      <w:pPr>
        <w:ind w:left="1260" w:hanging="631"/>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Efficiency ratio of 50.4% for the first quarter of 2020;</w:t>
      </w:r>
    </w:p>
    <w:p>
      <w:pPr>
        <w:spacing w:after="0" w:line="117" w:lineRule="exact"/>
        <w:rPr>
          <w:rFonts w:ascii="Arial" w:cs="Arial" w:eastAsia="Arial" w:hAnsi="Arial"/>
          <w:sz w:val="17"/>
          <w:szCs w:val="17"/>
          <w:color w:val="auto"/>
        </w:rPr>
      </w:pPr>
    </w:p>
    <w:p>
      <w:pPr>
        <w:ind w:left="1260" w:hanging="631"/>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$68 million of loan growth from the previous quarter and $512 million or 13% over the last twelve months driven by PPP loan funding;</w:t>
      </w:r>
    </w:p>
    <w:p>
      <w:pPr>
        <w:spacing w:after="0" w:line="128" w:lineRule="exact"/>
        <w:rPr>
          <w:rFonts w:ascii="Arial" w:cs="Arial" w:eastAsia="Arial" w:hAnsi="Arial"/>
          <w:sz w:val="16"/>
          <w:szCs w:val="16"/>
          <w:color w:val="auto"/>
        </w:rPr>
      </w:pPr>
    </w:p>
    <w:p>
      <w:pPr>
        <w:ind w:left="1260" w:hanging="631"/>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$357 million of deposit growth from the previous quarter and $1 billion or 27% over the last twelve months;</w:t>
      </w:r>
    </w:p>
    <w:p>
      <w:pPr>
        <w:spacing w:after="0" w:line="169" w:lineRule="exact"/>
        <w:rPr>
          <w:rFonts w:ascii="Arial" w:cs="Arial" w:eastAsia="Arial" w:hAnsi="Arial"/>
          <w:sz w:val="17"/>
          <w:szCs w:val="17"/>
          <w:color w:val="auto"/>
        </w:rPr>
      </w:pPr>
    </w:p>
    <w:p>
      <w:pPr>
        <w:ind w:left="1260" w:hanging="631"/>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Book value per share of $12.17 at March 31, 2021 compared to $11.75 at March 31, 2020;</w:t>
      </w:r>
    </w:p>
    <w:p>
      <w:pPr>
        <w:spacing w:after="0" w:line="169" w:lineRule="exact"/>
        <w:rPr>
          <w:rFonts w:ascii="Arial" w:cs="Arial" w:eastAsia="Arial" w:hAnsi="Arial"/>
          <w:sz w:val="17"/>
          <w:szCs w:val="17"/>
          <w:color w:val="auto"/>
        </w:rPr>
      </w:pPr>
    </w:p>
    <w:p>
      <w:pPr>
        <w:ind w:left="1260" w:right="260" w:hanging="631"/>
        <w:spacing w:after="0" w:line="357" w:lineRule="auto"/>
        <w:tabs>
          <w:tab w:leader="none" w:pos="1256" w:val="left"/>
        </w:tabs>
        <w:numPr>
          <w:ilvl w:val="0"/>
          <w:numId w:val="9"/>
        </w:numPr>
        <w:rPr>
          <w:rFonts w:ascii="Arial" w:cs="Arial" w:eastAsia="Arial" w:hAnsi="Arial"/>
          <w:sz w:val="15"/>
          <w:szCs w:val="15"/>
          <w:color w:val="auto"/>
        </w:rPr>
      </w:pPr>
      <w:r>
        <w:rPr>
          <w:rFonts w:ascii="Arial" w:cs="Arial" w:eastAsia="Arial" w:hAnsi="Arial"/>
          <w:sz w:val="15"/>
          <w:szCs w:val="15"/>
          <w:color w:val="auto"/>
        </w:rPr>
        <w:t>Hired Jana Merfen as our chief technology officer. Jana brings 16 years of financial services industry experience with a focus on evaluating investments in and benefits from technology. She will oversee customer-facing technology to better serve and respond to customer needs.</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Update on the COVID-19 Global Pandemic (“COVID-19”) Impact</w:t>
      </w:r>
    </w:p>
    <w:p>
      <w:pPr>
        <w:spacing w:after="0" w:line="164" w:lineRule="exact"/>
        <w:rPr>
          <w:sz w:val="20"/>
          <w:szCs w:val="20"/>
          <w:color w:val="auto"/>
        </w:rPr>
      </w:pPr>
    </w:p>
    <w:p>
      <w:pPr>
        <w:ind w:left="160" w:right="160" w:firstLine="469"/>
        <w:spacing w:after="0" w:line="271" w:lineRule="auto"/>
        <w:rPr>
          <w:sz w:val="20"/>
          <w:szCs w:val="20"/>
          <w:color w:val="auto"/>
        </w:rPr>
      </w:pPr>
      <w:r>
        <w:rPr>
          <w:rFonts w:ascii="Arial" w:cs="Arial" w:eastAsia="Arial" w:hAnsi="Arial"/>
          <w:sz w:val="17"/>
          <w:szCs w:val="17"/>
          <w:color w:val="auto"/>
        </w:rPr>
        <w:t>The COVID-19 pandemic has caused, and may continue to cause, economic uncertainty and a disruption to the financial markets, the duration and extent of which is not currently known. A discussion of the impact of the COVID-19 pandemic on the Company and its operations and measures undertaken by the Company in response thereto is provided below.</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Bank Operations</w:t>
      </w:r>
    </w:p>
    <w:p>
      <w:pPr>
        <w:spacing w:after="0" w:line="164" w:lineRule="exact"/>
        <w:rPr>
          <w:sz w:val="20"/>
          <w:szCs w:val="20"/>
          <w:color w:val="auto"/>
        </w:rPr>
      </w:pPr>
    </w:p>
    <w:p>
      <w:pPr>
        <w:ind w:left="160" w:right="240" w:firstLine="469"/>
        <w:spacing w:after="0" w:line="271" w:lineRule="auto"/>
        <w:rPr>
          <w:sz w:val="20"/>
          <w:szCs w:val="20"/>
          <w:color w:val="auto"/>
        </w:rPr>
      </w:pPr>
      <w:r>
        <w:rPr>
          <w:rFonts w:ascii="Arial" w:cs="Arial" w:eastAsia="Arial" w:hAnsi="Arial"/>
          <w:sz w:val="17"/>
          <w:szCs w:val="17"/>
          <w:color w:val="auto"/>
        </w:rPr>
        <w:t>The Company implemented its business continuity procedures in March 2020 as a result of the COVID-19 pandemic. In April 2021, substantially all employees returned to on-premise work and the Company is evaluating hybrid working opportunities. In addition, the bank lobbies were re-opened to the public. No material interruptions to our business operations have occurred to date.</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Paycheck Protection Program (“PPP”) Lending Facility and Loans</w:t>
      </w:r>
    </w:p>
    <w:p>
      <w:pPr>
        <w:spacing w:after="0" w:line="164" w:lineRule="exact"/>
        <w:rPr>
          <w:sz w:val="20"/>
          <w:szCs w:val="20"/>
          <w:color w:val="auto"/>
        </w:rPr>
      </w:pPr>
    </w:p>
    <w:p>
      <w:pPr>
        <w:ind w:left="160" w:firstLine="469"/>
        <w:spacing w:after="0" w:line="263" w:lineRule="auto"/>
        <w:rPr>
          <w:sz w:val="20"/>
          <w:szCs w:val="20"/>
          <w:color w:val="auto"/>
        </w:rPr>
      </w:pPr>
      <w:r>
        <w:rPr>
          <w:rFonts w:ascii="Arial" w:cs="Arial" w:eastAsia="Arial" w:hAnsi="Arial"/>
          <w:sz w:val="17"/>
          <w:szCs w:val="17"/>
          <w:color w:val="auto"/>
        </w:rPr>
        <w:t>The PPP was established by the Coronavirus Aid, Relief, and Economic Security Act (“CARES Act”) in March 2020 and authorized forgivable loans to small businesses. The Bank provided PPP loans to support current customers and foster relationships with new customers. The loans earn interest at 1%, include fees between 1% and 5% and typically mature in two years. The loans originated under the PPP received a 0% risk weight under the regulatory capital rules which resulted in increased Common Equity Tier 1, Tier 1, and Tier 2 capital ratios, but the PPP loans are included in the calculation of our Leverage ratio.</w:t>
      </w:r>
    </w:p>
    <w:p>
      <w:pPr>
        <w:spacing w:after="0" w:line="127" w:lineRule="exact"/>
        <w:rPr>
          <w:sz w:val="20"/>
          <w:szCs w:val="20"/>
          <w:color w:val="auto"/>
        </w:rPr>
      </w:pPr>
    </w:p>
    <w:p>
      <w:pPr>
        <w:ind w:left="160" w:right="300" w:firstLine="469"/>
        <w:spacing w:after="0" w:line="266" w:lineRule="auto"/>
        <w:rPr>
          <w:sz w:val="20"/>
          <w:szCs w:val="20"/>
          <w:color w:val="auto"/>
        </w:rPr>
      </w:pPr>
      <w:r>
        <w:rPr>
          <w:rFonts w:ascii="Arial" w:cs="Arial" w:eastAsia="Arial" w:hAnsi="Arial"/>
          <w:sz w:val="17"/>
          <w:szCs w:val="17"/>
          <w:color w:val="auto"/>
        </w:rPr>
        <w:t>The Consolidated Appropriations Act of 2021 allocated an additional $284 billion in PPP funding. On January 11, 2021, the Small Business Administration (“SBA”) reopened PPP funds for first draw borrowers and on January 13, 2021, opened PPP funds for second draw borrowers. The second round of PPP loans have similar terms to the first round of PPP loans mentioned above, but typically mature in five years. The PPP loans were available through May 5, 2021. The SBA will continue to fund outstanding, approved PPP applications.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tcPr>
          <w:p>
            <w:pPr>
              <w:spacing w:after="0"/>
              <w:rPr>
                <w:rFonts w:ascii="Arial" w:cs="Arial" w:eastAsia="Arial" w:hAnsi="Arial"/>
                <w:sz w:val="17"/>
                <w:szCs w:val="17"/>
                <w:color w:val="0000FF"/>
                <w:w w:val="90"/>
              </w:rPr>
            </w:pPr>
            <w:hyperlink w:anchor="page1">
              <w:r>
                <w:rPr>
                  <w:rFonts w:ascii="Arial" w:cs="Arial" w:eastAsia="Arial" w:hAnsi="Arial"/>
                  <w:sz w:val="17"/>
                  <w:szCs w:val="17"/>
                  <w:color w:val="0000FF"/>
                  <w:w w:val="90"/>
                </w:rPr>
                <w:t>Table of Contents</w:t>
              </w:r>
            </w:hyperlink>
          </w:p>
        </w:tc>
        <w:tc>
          <w:tcPr>
            <w:tcW w:w="5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0"/>
        </w:trPr>
        <w:tc>
          <w:tcPr>
            <w:tcW w:w="6760" w:type="dxa"/>
            <w:vAlign w:val="bottom"/>
            <w:gridSpan w:val="2"/>
          </w:tcPr>
          <w:p>
            <w:pPr>
              <w:ind w:left="620"/>
              <w:spacing w:after="0"/>
              <w:rPr>
                <w:sz w:val="20"/>
                <w:szCs w:val="20"/>
                <w:color w:val="auto"/>
              </w:rPr>
            </w:pPr>
            <w:r>
              <w:rPr>
                <w:rFonts w:ascii="Arial" w:cs="Arial" w:eastAsia="Arial" w:hAnsi="Arial"/>
                <w:sz w:val="17"/>
                <w:szCs w:val="17"/>
                <w:color w:val="auto"/>
              </w:rPr>
              <w:t>The following table summarizes the impact of the PPP loans on our financials:</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0" w:type="dxa"/>
            <w:vAlign w:val="bottom"/>
            <w:gridSpan w:val="4"/>
          </w:tcPr>
          <w:p>
            <w:pPr>
              <w:jc w:val="right"/>
              <w:ind w:right="173"/>
              <w:spacing w:after="0"/>
              <w:rPr>
                <w:sz w:val="20"/>
                <w:szCs w:val="20"/>
                <w:color w:val="auto"/>
              </w:rPr>
            </w:pPr>
            <w:r>
              <w:rPr>
                <w:rFonts w:ascii="Arial" w:cs="Arial" w:eastAsia="Arial" w:hAnsi="Arial"/>
                <w:sz w:val="17"/>
                <w:szCs w:val="17"/>
                <w:b w:val="1"/>
                <w:bCs w:val="1"/>
                <w:color w:val="auto"/>
              </w:rPr>
              <w:t>As of or for the Period Ended March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2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0" w:type="dxa"/>
            <w:vAlign w:val="bottom"/>
            <w:gridSpan w:val="3"/>
          </w:tcPr>
          <w:p>
            <w:pPr>
              <w:jc w:val="right"/>
              <w:ind w:right="953"/>
              <w:spacing w:after="0"/>
              <w:rPr>
                <w:sz w:val="20"/>
                <w:szCs w:val="20"/>
                <w:color w:val="auto"/>
              </w:rPr>
            </w:pPr>
            <w:r>
              <w:rPr>
                <w:rFonts w:ascii="Arial" w:cs="Arial" w:eastAsia="Arial" w:hAnsi="Arial"/>
                <w:sz w:val="16"/>
                <w:szCs w:val="16"/>
                <w:i w:val="1"/>
                <w:iCs w:val="1"/>
                <w:color w:val="auto"/>
                <w:w w:val="98"/>
              </w:rPr>
              <w:t>(Dollars in thousands)</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PPP Loan Activity</w:t>
            </w:r>
          </w:p>
        </w:tc>
        <w:tc>
          <w:tcPr>
            <w:tcW w:w="1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60" w:type="dxa"/>
            <w:vAlign w:val="bottom"/>
            <w:gridSpan w:val="2"/>
          </w:tcPr>
          <w:p>
            <w:pPr>
              <w:ind w:left="120"/>
              <w:spacing w:after="0"/>
              <w:rPr>
                <w:sz w:val="20"/>
                <w:szCs w:val="20"/>
                <w:color w:val="auto"/>
              </w:rPr>
            </w:pPr>
            <w:r>
              <w:rPr>
                <w:rFonts w:ascii="Arial" w:cs="Arial" w:eastAsia="Arial" w:hAnsi="Arial"/>
                <w:sz w:val="17"/>
                <w:szCs w:val="17"/>
                <w:color w:val="auto"/>
              </w:rPr>
              <w:t>Outstanding loan balance, beginning</w:t>
            </w:r>
          </w:p>
        </w:tc>
        <w:tc>
          <w:tcPr>
            <w:tcW w:w="1400" w:type="dxa"/>
            <w:vAlign w:val="bottom"/>
          </w:tcPr>
          <w:p>
            <w:pPr>
              <w:jc w:val="right"/>
              <w:ind w:right="1213"/>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292,230</w:t>
            </w:r>
          </w:p>
        </w:tc>
        <w:tc>
          <w:tcPr>
            <w:tcW w:w="80" w:type="dxa"/>
            <w:vAlign w:val="bottom"/>
          </w:tcPr>
          <w:p>
            <w:pPr>
              <w:spacing w:after="0"/>
              <w:rPr>
                <w:sz w:val="20"/>
                <w:szCs w:val="20"/>
                <w:color w:val="auto"/>
              </w:rPr>
            </w:pPr>
          </w:p>
        </w:tc>
        <w:tc>
          <w:tcPr>
            <w:tcW w:w="1720" w:type="dxa"/>
            <w:vAlign w:val="bottom"/>
          </w:tcPr>
          <w:p>
            <w:pPr>
              <w:jc w:val="right"/>
              <w:ind w:right="1533"/>
              <w:spacing w:after="0"/>
              <w:rPr>
                <w:sz w:val="20"/>
                <w:szCs w:val="20"/>
                <w:color w:val="auto"/>
              </w:rPr>
            </w:pPr>
            <w:r>
              <w:rPr>
                <w:rFonts w:ascii="Arial" w:cs="Arial" w:eastAsia="Arial" w:hAnsi="Arial"/>
                <w:sz w:val="17"/>
                <w:szCs w:val="17"/>
                <w:color w:val="auto"/>
                <w:w w:val="84"/>
              </w:rPr>
              <w:t>$</w:t>
            </w:r>
          </w:p>
        </w:tc>
        <w:tc>
          <w:tcPr>
            <w:tcW w:w="480" w:type="dxa"/>
            <w:vAlign w:val="bottom"/>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6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Loan originations</w:t>
            </w:r>
          </w:p>
        </w:tc>
        <w:tc>
          <w:tcPr>
            <w:tcW w:w="1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110,962</w:t>
            </w:r>
          </w:p>
        </w:tc>
        <w:tc>
          <w:tcPr>
            <w:tcW w:w="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6760" w:type="dxa"/>
            <w:vAlign w:val="bottom"/>
            <w:gridSpan w:val="2"/>
          </w:tcPr>
          <w:p>
            <w:pPr>
              <w:ind w:left="220"/>
              <w:spacing w:after="0"/>
              <w:rPr>
                <w:sz w:val="20"/>
                <w:szCs w:val="20"/>
                <w:color w:val="auto"/>
              </w:rPr>
            </w:pPr>
            <w:r>
              <w:rPr>
                <w:rFonts w:ascii="Arial" w:cs="Arial" w:eastAsia="Arial" w:hAnsi="Arial"/>
                <w:sz w:val="17"/>
                <w:szCs w:val="17"/>
                <w:color w:val="auto"/>
              </w:rPr>
              <w:t>Loan payoffs</w:t>
            </w:r>
          </w:p>
        </w:tc>
        <w:tc>
          <w:tcPr>
            <w:tcW w:w="1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(66,837)</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60" w:type="dxa"/>
            <w:vAlign w:val="bottom"/>
            <w:tcBorders>
              <w:bottom w:val="single" w:sz="8" w:color="CCEEFF"/>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Outstanding loan balance, end</w:t>
            </w:r>
          </w:p>
        </w:tc>
        <w:tc>
          <w:tcPr>
            <w:tcW w:w="140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336,355</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53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PPP Loan Fee Activity</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6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76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Unearned fee balance, beginning</w:t>
            </w:r>
          </w:p>
        </w:tc>
        <w:tc>
          <w:tcPr>
            <w:tcW w:w="1400" w:type="dxa"/>
            <w:vAlign w:val="bottom"/>
            <w:tcBorders>
              <w:bottom w:val="single" w:sz="8" w:color="CCEEFF"/>
            </w:tcBorders>
            <w:shd w:val="clear" w:color="auto" w:fill="CCEEFF"/>
          </w:tcPr>
          <w:p>
            <w:pPr>
              <w:jc w:val="right"/>
              <w:ind w:right="121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4,189</w:t>
            </w:r>
          </w:p>
        </w:tc>
        <w:tc>
          <w:tcPr>
            <w:tcW w:w="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53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6760" w:type="dxa"/>
            <w:vAlign w:val="bottom"/>
            <w:gridSpan w:val="2"/>
          </w:tcPr>
          <w:p>
            <w:pPr>
              <w:ind w:left="220"/>
              <w:spacing w:after="0"/>
              <w:rPr>
                <w:sz w:val="20"/>
                <w:szCs w:val="20"/>
                <w:color w:val="auto"/>
              </w:rPr>
            </w:pPr>
            <w:r>
              <w:rPr>
                <w:rFonts w:ascii="Arial" w:cs="Arial" w:eastAsia="Arial" w:hAnsi="Arial"/>
                <w:sz w:val="17"/>
                <w:szCs w:val="17"/>
                <w:color w:val="auto"/>
              </w:rPr>
              <w:t>Unearned fees added</w:t>
            </w:r>
          </w:p>
        </w:tc>
        <w:tc>
          <w:tcPr>
            <w:tcW w:w="1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4,105</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6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Earned fees recognized</w:t>
            </w:r>
          </w:p>
        </w:tc>
        <w:tc>
          <w:tcPr>
            <w:tcW w:w="1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(2,415)</w:t>
            </w:r>
          </w:p>
        </w:tc>
        <w:tc>
          <w:tcPr>
            <w:tcW w:w="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6760" w:type="dxa"/>
            <w:vAlign w:val="bottom"/>
            <w:gridSpan w:val="2"/>
          </w:tcPr>
          <w:p>
            <w:pPr>
              <w:ind w:left="120"/>
              <w:spacing w:after="0"/>
              <w:rPr>
                <w:sz w:val="20"/>
                <w:szCs w:val="20"/>
                <w:color w:val="auto"/>
              </w:rPr>
            </w:pPr>
            <w:r>
              <w:rPr>
                <w:rFonts w:ascii="Arial" w:cs="Arial" w:eastAsia="Arial" w:hAnsi="Arial"/>
                <w:sz w:val="17"/>
                <w:szCs w:val="17"/>
                <w:color w:val="auto"/>
              </w:rPr>
              <w:t>Unearned fee balance, end</w:t>
            </w:r>
          </w:p>
        </w:tc>
        <w:tc>
          <w:tcPr>
            <w:tcW w:w="1400" w:type="dxa"/>
            <w:vAlign w:val="bottom"/>
            <w:tcBorders>
              <w:top w:val="single" w:sz="8" w:color="auto"/>
              <w:bottom w:val="single" w:sz="8" w:color="auto"/>
            </w:tcBorders>
          </w:tcPr>
          <w:p>
            <w:pPr>
              <w:jc w:val="right"/>
              <w:ind w:right="121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5,879</w:t>
            </w:r>
          </w:p>
        </w:tc>
        <w:tc>
          <w:tcPr>
            <w:tcW w:w="8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1533"/>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Loan Modifications</w:t>
      </w:r>
    </w:p>
    <w:p>
      <w:pPr>
        <w:spacing w:after="0" w:line="164" w:lineRule="exact"/>
        <w:rPr>
          <w:sz w:val="20"/>
          <w:szCs w:val="20"/>
          <w:color w:val="auto"/>
        </w:rPr>
      </w:pPr>
    </w:p>
    <w:p>
      <w:pPr>
        <w:ind w:left="160" w:right="100" w:firstLine="469"/>
        <w:spacing w:after="0" w:line="266" w:lineRule="auto"/>
        <w:rPr>
          <w:sz w:val="20"/>
          <w:szCs w:val="20"/>
          <w:color w:val="auto"/>
        </w:rPr>
      </w:pPr>
      <w:r>
        <w:rPr>
          <w:rFonts w:ascii="Arial" w:cs="Arial" w:eastAsia="Arial" w:hAnsi="Arial"/>
          <w:sz w:val="17"/>
          <w:szCs w:val="17"/>
          <w:color w:val="auto"/>
        </w:rPr>
        <w:t>The CARES Act allowed financial institutions to elect to suspend GAAP principles and regulatory determinations for loan modifications relating to the COVID-19 pandemic that would otherwise require evaluation as troubled debt restructurings (“TDR”). On December 27, 2020, the Consolidated Appropriations Act of 2021 was signed into law, which extended the period during which the Company may elect not to consider whether loan modifications relating to the COVID-19 pandemic are TDRs through January 2, 2022. The Company elected to apply the guidance.</w:t>
      </w:r>
    </w:p>
    <w:p>
      <w:pPr>
        <w:spacing w:after="0" w:line="123" w:lineRule="exact"/>
        <w:rPr>
          <w:sz w:val="20"/>
          <w:szCs w:val="20"/>
          <w:color w:val="auto"/>
        </w:rPr>
      </w:pPr>
    </w:p>
    <w:p>
      <w:pPr>
        <w:ind w:left="160" w:right="180" w:firstLine="469"/>
        <w:spacing w:after="0" w:line="266" w:lineRule="auto"/>
        <w:rPr>
          <w:sz w:val="20"/>
          <w:szCs w:val="20"/>
          <w:color w:val="auto"/>
        </w:rPr>
      </w:pPr>
      <w:r>
        <w:rPr>
          <w:rFonts w:ascii="Arial" w:cs="Arial" w:eastAsia="Arial" w:hAnsi="Arial"/>
          <w:sz w:val="17"/>
          <w:szCs w:val="17"/>
          <w:color w:val="auto"/>
        </w:rPr>
        <w:t>As of March 31, 2021, the Company had approximately $96 million of loans modified and not considered TDRs. The Company expects most of these modified loans to recover from the pandemic, but uncertainty regarding the short-term and long-term effects of the COVID-19 pandemic remain that may require the Company to (i) downgrade modified loans which may increase our Allowance for Loan Losses (“ALLL”), (ii) reverse interest income previously recognized but not received, and (iii) charge-off modified loans.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Loan Portfolio and Credit Quality</w:t>
      </w:r>
    </w:p>
    <w:p>
      <w:pPr>
        <w:spacing w:after="0" w:line="164" w:lineRule="exact"/>
        <w:rPr>
          <w:sz w:val="20"/>
          <w:szCs w:val="20"/>
          <w:color w:val="auto"/>
        </w:rPr>
      </w:pPr>
    </w:p>
    <w:p>
      <w:pPr>
        <w:ind w:left="160" w:right="260" w:firstLine="469"/>
        <w:spacing w:after="0" w:line="271" w:lineRule="auto"/>
        <w:rPr>
          <w:sz w:val="20"/>
          <w:szCs w:val="20"/>
          <w:color w:val="auto"/>
        </w:rPr>
      </w:pPr>
      <w:r>
        <w:rPr>
          <w:rFonts w:ascii="Arial" w:cs="Arial" w:eastAsia="Arial" w:hAnsi="Arial"/>
          <w:sz w:val="17"/>
          <w:szCs w:val="17"/>
          <w:color w:val="auto"/>
        </w:rPr>
        <w:t>The COVID-19 pandemic continues to impact our borrowers and the Company’s credit metrics remain elevated. However, the Company’s key credit metrics improved during the first quarter of 2021. The Company remains cautiously optimistic that the economic outlook will continue to improve, which could continue to improve the Company’s credit metrics.</w:t>
      </w:r>
    </w:p>
    <w:p>
      <w:pPr>
        <w:spacing w:after="0" w:line="119" w:lineRule="exact"/>
        <w:rPr>
          <w:sz w:val="20"/>
          <w:szCs w:val="20"/>
          <w:color w:val="auto"/>
        </w:rPr>
      </w:pPr>
    </w:p>
    <w:p>
      <w:pPr>
        <w:ind w:left="160" w:right="160" w:firstLine="469"/>
        <w:spacing w:after="0" w:line="271" w:lineRule="auto"/>
        <w:rPr>
          <w:sz w:val="20"/>
          <w:szCs w:val="20"/>
          <w:color w:val="auto"/>
        </w:rPr>
      </w:pPr>
      <w:r>
        <w:rPr>
          <w:rFonts w:ascii="Arial" w:cs="Arial" w:eastAsia="Arial" w:hAnsi="Arial"/>
          <w:sz w:val="17"/>
          <w:szCs w:val="17"/>
          <w:color w:val="auto"/>
        </w:rPr>
        <w:t>Forty four percent of classified loans were within our energy portfolio at March 31, 2021. A portion of energy loans will receive updated borrowing base redeterminations in the next two quarters. The Company anticipates that higher, stabilized energy prices will improve the borrowers’ first quarter results and related collateral that may lead to significant, positive grade migration in the second and third quarter of 2021.</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Investment in Technology</w:t>
      </w:r>
    </w:p>
    <w:p>
      <w:pPr>
        <w:spacing w:after="0" w:line="164" w:lineRule="exact"/>
        <w:rPr>
          <w:sz w:val="20"/>
          <w:szCs w:val="20"/>
          <w:color w:val="auto"/>
        </w:rPr>
      </w:pPr>
    </w:p>
    <w:p>
      <w:pPr>
        <w:ind w:left="160" w:right="20" w:firstLine="469"/>
        <w:spacing w:after="0" w:line="295" w:lineRule="auto"/>
        <w:rPr>
          <w:sz w:val="20"/>
          <w:szCs w:val="20"/>
          <w:color w:val="auto"/>
        </w:rPr>
      </w:pPr>
      <w:r>
        <w:rPr>
          <w:rFonts w:ascii="Arial" w:cs="Arial" w:eastAsia="Arial" w:hAnsi="Arial"/>
          <w:sz w:val="16"/>
          <w:szCs w:val="16"/>
          <w:color w:val="auto"/>
        </w:rPr>
        <w:t>In April 2021, the Company became a limited partner in a $150 million venture capital investment fund designed to help accelerate technology adoption at community banks. The Company committed to a total investment of $3 million. The investment fund will help community banks find solutions that make them more competitive and cost-efficient by identifying and investing in companies that solve problems the community banks face.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Return on average assets</w:t>
      </w:r>
      <w:r>
        <w:rPr>
          <w:rFonts w:ascii="Arial" w:cs="Arial" w:eastAsia="Arial" w:hAnsi="Arial"/>
          <w:sz w:val="22"/>
          <w:szCs w:val="22"/>
          <w:color w:val="auto"/>
          <w:vertAlign w:val="superscript"/>
        </w:rPr>
        <w:t>(1)</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Return on average equity</w:t>
      </w:r>
      <w:r>
        <w:rPr>
          <w:rFonts w:ascii="Arial" w:cs="Arial" w:eastAsia="Arial" w:hAnsi="Arial"/>
          <w:sz w:val="22"/>
          <w:szCs w:val="22"/>
          <w:color w:val="auto"/>
          <w:vertAlign w:val="superscript"/>
        </w:rPr>
        <w:t>(1)</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Earnings (loss) per share</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Diluted earnings (loss) per share</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Efficiency</w:t>
      </w:r>
      <w:r>
        <w:rPr>
          <w:rFonts w:ascii="Arial" w:cs="Arial" w:eastAsia="Arial" w:hAnsi="Arial"/>
          <w:sz w:val="22"/>
          <w:szCs w:val="22"/>
          <w:color w:val="auto"/>
          <w:vertAlign w:val="superscript"/>
        </w:rPr>
        <w:t>(2)</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Equity to assets</w:t>
      </w:r>
    </w:p>
    <w:p>
      <w:pPr>
        <w:spacing w:after="0" w:line="34" w:lineRule="exact"/>
        <w:rPr>
          <w:sz w:val="20"/>
          <w:szCs w:val="20"/>
          <w:color w:val="auto"/>
        </w:rPr>
      </w:pPr>
    </w:p>
    <w:p>
      <w:pPr>
        <w:ind w:left="340" w:hanging="162"/>
        <w:spacing w:after="0"/>
        <w:tabs>
          <w:tab w:leader="none" w:pos="34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Interim periods annualized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As of or For the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4705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0" w:type="dxa"/>
            <w:vAlign w:val="bottom"/>
          </w:tcPr>
          <w:p>
            <w:pPr>
              <w:spacing w:after="0"/>
              <w:rPr>
                <w:sz w:val="18"/>
                <w:szCs w:val="18"/>
                <w:color w:val="auto"/>
              </w:rPr>
            </w:pPr>
          </w:p>
        </w:tc>
        <w:tc>
          <w:tcPr>
            <w:tcW w:w="1220" w:type="dxa"/>
            <w:vAlign w:val="bottom"/>
          </w:tcPr>
          <w:p>
            <w:pPr>
              <w:jc w:val="right"/>
              <w:ind w:right="273"/>
              <w:spacing w:after="0"/>
              <w:rPr>
                <w:sz w:val="20"/>
                <w:szCs w:val="20"/>
                <w:color w:val="auto"/>
              </w:rPr>
            </w:pPr>
            <w:r>
              <w:rPr>
                <w:rFonts w:ascii="Arial" w:cs="Arial" w:eastAsia="Arial" w:hAnsi="Arial"/>
                <w:sz w:val="17"/>
                <w:szCs w:val="17"/>
                <w:b w:val="1"/>
                <w:bCs w:val="1"/>
                <w:color w:val="auto"/>
              </w:rPr>
              <w:t>March 31,</w:t>
            </w:r>
          </w:p>
        </w:tc>
        <w:tc>
          <w:tcPr>
            <w:tcW w:w="200" w:type="dxa"/>
            <w:vAlign w:val="bottom"/>
          </w:tcPr>
          <w:p>
            <w:pPr>
              <w:spacing w:after="0"/>
              <w:rPr>
                <w:sz w:val="18"/>
                <w:szCs w:val="18"/>
                <w:color w:val="auto"/>
              </w:rPr>
            </w:pPr>
          </w:p>
        </w:tc>
        <w:tc>
          <w:tcPr>
            <w:tcW w:w="1320" w:type="dxa"/>
            <w:vAlign w:val="bottom"/>
          </w:tcPr>
          <w:p>
            <w:pPr>
              <w:jc w:val="right"/>
              <w:ind w:right="154"/>
              <w:spacing w:after="0"/>
              <w:rPr>
                <w:sz w:val="20"/>
                <w:szCs w:val="20"/>
                <w:color w:val="auto"/>
              </w:rPr>
            </w:pPr>
            <w:r>
              <w:rPr>
                <w:rFonts w:ascii="Arial" w:cs="Arial" w:eastAsia="Arial" w:hAnsi="Arial"/>
                <w:sz w:val="17"/>
                <w:szCs w:val="17"/>
                <w:b w:val="1"/>
                <w:bCs w:val="1"/>
                <w:color w:val="auto"/>
                <w:w w:val="95"/>
              </w:rPr>
              <w:t>December 31,</w:t>
            </w:r>
          </w:p>
        </w:tc>
        <w:tc>
          <w:tcPr>
            <w:tcW w:w="200" w:type="dxa"/>
            <w:vAlign w:val="bottom"/>
          </w:tcPr>
          <w:p>
            <w:pPr>
              <w:spacing w:after="0"/>
              <w:rPr>
                <w:sz w:val="18"/>
                <w:szCs w:val="18"/>
                <w:color w:val="auto"/>
              </w:rPr>
            </w:pPr>
          </w:p>
        </w:tc>
        <w:tc>
          <w:tcPr>
            <w:tcW w:w="1340" w:type="dxa"/>
            <w:vAlign w:val="bottom"/>
          </w:tcPr>
          <w:p>
            <w:pPr>
              <w:jc w:val="center"/>
              <w:ind w:right="113"/>
              <w:spacing w:after="0"/>
              <w:rPr>
                <w:sz w:val="20"/>
                <w:szCs w:val="20"/>
                <w:color w:val="auto"/>
              </w:rPr>
            </w:pPr>
            <w:r>
              <w:rPr>
                <w:rFonts w:ascii="Arial" w:cs="Arial" w:eastAsia="Arial" w:hAnsi="Arial"/>
                <w:sz w:val="17"/>
                <w:szCs w:val="17"/>
                <w:b w:val="1"/>
                <w:bCs w:val="1"/>
                <w:color w:val="auto"/>
                <w:w w:val="91"/>
              </w:rPr>
              <w:t>September 30,</w:t>
            </w:r>
          </w:p>
        </w:tc>
        <w:tc>
          <w:tcPr>
            <w:tcW w:w="280" w:type="dxa"/>
            <w:vAlign w:val="bottom"/>
          </w:tcPr>
          <w:p>
            <w:pPr>
              <w:spacing w:after="0"/>
              <w:rPr>
                <w:sz w:val="18"/>
                <w:szCs w:val="18"/>
                <w:color w:val="auto"/>
              </w:rPr>
            </w:pPr>
          </w:p>
        </w:tc>
        <w:tc>
          <w:tcPr>
            <w:tcW w:w="1200" w:type="dxa"/>
            <w:vAlign w:val="bottom"/>
          </w:tcPr>
          <w:p>
            <w:pPr>
              <w:jc w:val="right"/>
              <w:ind w:right="353"/>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18"/>
                <w:szCs w:val="18"/>
                <w:color w:val="auto"/>
              </w:rPr>
            </w:pPr>
          </w:p>
        </w:tc>
        <w:tc>
          <w:tcPr>
            <w:tcW w:w="1180" w:type="dxa"/>
            <w:vAlign w:val="bottom"/>
          </w:tcPr>
          <w:p>
            <w:pPr>
              <w:jc w:val="right"/>
              <w:ind w:right="233"/>
              <w:spacing w:after="0"/>
              <w:rPr>
                <w:sz w:val="20"/>
                <w:szCs w:val="20"/>
                <w:color w:val="auto"/>
              </w:rPr>
            </w:pPr>
            <w:r>
              <w:rPr>
                <w:rFonts w:ascii="Arial" w:cs="Arial" w:eastAsia="Arial" w:hAnsi="Arial"/>
                <w:sz w:val="17"/>
                <w:szCs w:val="17"/>
                <w:b w:val="1"/>
                <w:bCs w:val="1"/>
                <w:color w:val="auto"/>
              </w:rPr>
              <w:t>March 31,</w:t>
            </w:r>
          </w:p>
        </w:tc>
      </w:tr>
      <w:tr>
        <w:trPr>
          <w:trHeight w:val="227"/>
        </w:trPr>
        <w:tc>
          <w:tcPr>
            <w:tcW w:w="200" w:type="dxa"/>
            <w:vAlign w:val="bottom"/>
          </w:tcPr>
          <w:p>
            <w:pPr>
              <w:spacing w:after="0"/>
              <w:rPr>
                <w:sz w:val="19"/>
                <w:szCs w:val="19"/>
                <w:color w:val="auto"/>
              </w:rPr>
            </w:pPr>
          </w:p>
        </w:tc>
        <w:tc>
          <w:tcPr>
            <w:tcW w:w="1220" w:type="dxa"/>
            <w:vAlign w:val="bottom"/>
          </w:tcPr>
          <w:p>
            <w:pPr>
              <w:jc w:val="right"/>
              <w:ind w:right="473"/>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9"/>
                <w:szCs w:val="19"/>
                <w:color w:val="auto"/>
              </w:rPr>
            </w:pPr>
          </w:p>
        </w:tc>
        <w:tc>
          <w:tcPr>
            <w:tcW w:w="1340" w:type="dxa"/>
            <w:vAlign w:val="bottom"/>
          </w:tcPr>
          <w:p>
            <w:pPr>
              <w:jc w:val="center"/>
              <w:ind w:right="113"/>
              <w:spacing w:after="0"/>
              <w:rPr>
                <w:sz w:val="20"/>
                <w:szCs w:val="20"/>
                <w:color w:val="auto"/>
              </w:rPr>
            </w:pPr>
            <w:r>
              <w:rPr>
                <w:rFonts w:ascii="Arial" w:cs="Arial" w:eastAsia="Arial" w:hAnsi="Arial"/>
                <w:sz w:val="17"/>
                <w:szCs w:val="17"/>
                <w:b w:val="1"/>
                <w:bCs w:val="1"/>
                <w:color w:val="auto"/>
                <w:w w:val="89"/>
              </w:rPr>
              <w:t>2020</w:t>
            </w:r>
          </w:p>
        </w:tc>
        <w:tc>
          <w:tcPr>
            <w:tcW w:w="280" w:type="dxa"/>
            <w:vAlign w:val="bottom"/>
          </w:tcPr>
          <w:p>
            <w:pPr>
              <w:spacing w:after="0"/>
              <w:rPr>
                <w:sz w:val="19"/>
                <w:szCs w:val="19"/>
                <w:color w:val="auto"/>
              </w:rPr>
            </w:pPr>
          </w:p>
        </w:tc>
        <w:tc>
          <w:tcPr>
            <w:tcW w:w="1200" w:type="dxa"/>
            <w:vAlign w:val="bottom"/>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19"/>
                <w:szCs w:val="19"/>
                <w:color w:val="auto"/>
              </w:rPr>
            </w:pPr>
          </w:p>
        </w:tc>
        <w:tc>
          <w:tcPr>
            <w:tcW w:w="1180" w:type="dxa"/>
            <w:vAlign w:val="bottom"/>
          </w:tcPr>
          <w:p>
            <w:pPr>
              <w:jc w:val="right"/>
              <w:ind w:right="433"/>
              <w:spacing w:after="0"/>
              <w:rPr>
                <w:sz w:val="20"/>
                <w:szCs w:val="20"/>
                <w:color w:val="auto"/>
              </w:rPr>
            </w:pPr>
            <w:r>
              <w:rPr>
                <w:rFonts w:ascii="Arial" w:cs="Arial" w:eastAsia="Arial" w:hAnsi="Arial"/>
                <w:sz w:val="17"/>
                <w:szCs w:val="17"/>
                <w:b w:val="1"/>
                <w:bCs w:val="1"/>
                <w:color w:val="auto"/>
              </w:rPr>
              <w:t>2020</w:t>
            </w:r>
          </w:p>
        </w:tc>
      </w:tr>
      <w:tr>
        <w:trPr>
          <w:trHeight w:val="26"/>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40" w:type="dxa"/>
            <w:vAlign w:val="bottom"/>
            <w:gridSpan w:val="5"/>
          </w:tcPr>
          <w:p>
            <w:pPr>
              <w:jc w:val="center"/>
              <w:ind w:right="93"/>
              <w:spacing w:after="0"/>
              <w:rPr>
                <w:sz w:val="20"/>
                <w:szCs w:val="20"/>
                <w:color w:val="auto"/>
              </w:rPr>
            </w:pPr>
            <w:r>
              <w:rPr>
                <w:rFonts w:ascii="Arial" w:cs="Arial" w:eastAsia="Arial" w:hAnsi="Arial"/>
                <w:sz w:val="16"/>
                <w:szCs w:val="16"/>
                <w:i w:val="1"/>
                <w:iCs w:val="1"/>
                <w:color w:val="auto"/>
                <w:w w:val="88"/>
              </w:rPr>
              <w:t>(Dollars in thousands, except per share data)</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80"/>
        </w:trPr>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0.84 %</w:t>
            </w: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0.58 %</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0.58 %</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(0.54)%</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0.31 %</w:t>
            </w:r>
          </w:p>
        </w:tc>
      </w:tr>
      <w:tr>
        <w:trPr>
          <w:trHeight w:val="260"/>
        </w:trPr>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7.80 %</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5.19 %</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5.19 %</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(4.84)%</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2.53 %</w:t>
            </w:r>
          </w:p>
        </w:tc>
      </w:tr>
      <w:tr>
        <w:trPr>
          <w:trHeight w:val="260"/>
        </w:trPr>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3"/>
              <w:spacing w:after="0"/>
              <w:rPr>
                <w:sz w:val="20"/>
                <w:szCs w:val="20"/>
                <w:color w:val="auto"/>
              </w:rPr>
            </w:pPr>
            <w:r>
              <w:rPr>
                <w:rFonts w:ascii="Arial" w:cs="Arial" w:eastAsia="Arial" w:hAnsi="Arial"/>
                <w:sz w:val="17"/>
                <w:szCs w:val="17"/>
                <w:color w:val="auto"/>
              </w:rPr>
              <w:t>0.23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4"/>
              <w:spacing w:after="0"/>
              <w:rPr>
                <w:sz w:val="20"/>
                <w:szCs w:val="20"/>
                <w:color w:val="auto"/>
              </w:rPr>
            </w:pPr>
            <w:r>
              <w:rPr>
                <w:rFonts w:ascii="Arial" w:cs="Arial" w:eastAsia="Arial" w:hAnsi="Arial"/>
                <w:sz w:val="17"/>
                <w:szCs w:val="17"/>
                <w:color w:val="auto"/>
              </w:rPr>
              <w:t>0.16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3"/>
              <w:spacing w:after="0"/>
              <w:rPr>
                <w:sz w:val="20"/>
                <w:szCs w:val="20"/>
                <w:color w:val="auto"/>
              </w:rPr>
            </w:pPr>
            <w:r>
              <w:rPr>
                <w:rFonts w:ascii="Arial" w:cs="Arial" w:eastAsia="Arial" w:hAnsi="Arial"/>
                <w:sz w:val="17"/>
                <w:szCs w:val="17"/>
                <w:color w:val="auto"/>
              </w:rPr>
              <w:t>0.15</w:t>
            </w:r>
          </w:p>
        </w:tc>
        <w:tc>
          <w:tcPr>
            <w:tcW w:w="2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(0.14)</w:t>
            </w:r>
          </w:p>
        </w:tc>
        <w:tc>
          <w:tcPr>
            <w:tcW w:w="2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13"/>
              <w:spacing w:after="0"/>
              <w:rPr>
                <w:sz w:val="20"/>
                <w:szCs w:val="20"/>
                <w:color w:val="auto"/>
              </w:rPr>
            </w:pPr>
            <w:r>
              <w:rPr>
                <w:rFonts w:ascii="Arial" w:cs="Arial" w:eastAsia="Arial" w:hAnsi="Arial"/>
                <w:sz w:val="17"/>
                <w:szCs w:val="17"/>
                <w:color w:val="auto"/>
              </w:rPr>
              <w:t>0.07</w:t>
            </w:r>
          </w:p>
        </w:tc>
      </w:tr>
      <w:tr>
        <w:trPr>
          <w:trHeight w:val="260"/>
        </w:trPr>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3"/>
              <w:spacing w:after="0"/>
              <w:rPr>
                <w:sz w:val="20"/>
                <w:szCs w:val="20"/>
                <w:color w:val="auto"/>
              </w:rPr>
            </w:pPr>
            <w:r>
              <w:rPr>
                <w:rFonts w:ascii="Arial" w:cs="Arial" w:eastAsia="Arial" w:hAnsi="Arial"/>
                <w:sz w:val="17"/>
                <w:szCs w:val="17"/>
                <w:color w:val="auto"/>
              </w:rPr>
              <w:t>0.23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4"/>
              <w:spacing w:after="0"/>
              <w:rPr>
                <w:sz w:val="20"/>
                <w:szCs w:val="20"/>
                <w:color w:val="auto"/>
              </w:rPr>
            </w:pPr>
            <w:r>
              <w:rPr>
                <w:rFonts w:ascii="Arial" w:cs="Arial" w:eastAsia="Arial" w:hAnsi="Arial"/>
                <w:sz w:val="17"/>
                <w:szCs w:val="17"/>
                <w:color w:val="auto"/>
              </w:rPr>
              <w:t>0.15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3"/>
              <w:spacing w:after="0"/>
              <w:rPr>
                <w:sz w:val="20"/>
                <w:szCs w:val="20"/>
                <w:color w:val="auto"/>
              </w:rPr>
            </w:pPr>
            <w:r>
              <w:rPr>
                <w:rFonts w:ascii="Arial" w:cs="Arial" w:eastAsia="Arial" w:hAnsi="Arial"/>
                <w:sz w:val="17"/>
                <w:szCs w:val="17"/>
                <w:color w:val="auto"/>
              </w:rPr>
              <w:t>0.15</w:t>
            </w:r>
          </w:p>
        </w:tc>
        <w:tc>
          <w:tcPr>
            <w:tcW w:w="2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(0.14)</w:t>
            </w:r>
          </w:p>
        </w:tc>
        <w:tc>
          <w:tcPr>
            <w:tcW w:w="2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13"/>
              <w:spacing w:after="0"/>
              <w:rPr>
                <w:sz w:val="20"/>
                <w:szCs w:val="20"/>
                <w:color w:val="auto"/>
              </w:rPr>
            </w:pPr>
            <w:r>
              <w:rPr>
                <w:rFonts w:ascii="Arial" w:cs="Arial" w:eastAsia="Arial" w:hAnsi="Arial"/>
                <w:sz w:val="17"/>
                <w:szCs w:val="17"/>
                <w:color w:val="auto"/>
              </w:rPr>
              <w:t>0.07</w:t>
            </w:r>
          </w:p>
        </w:tc>
      </w:tr>
      <w:tr>
        <w:trPr>
          <w:trHeight w:val="260"/>
        </w:trPr>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50.41 %</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53.35 %</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53.03 %</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70.81 %</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55.10 %</w:t>
            </w:r>
          </w:p>
        </w:tc>
      </w:tr>
      <w:tr>
        <w:trPr>
          <w:trHeight w:val="260"/>
        </w:trPr>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10.48 %</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11.03 %</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11.22 %</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11.13 %</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-991870</wp:posOffset>
            </wp:positionV>
            <wp:extent cx="7037705" cy="165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16510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-661035</wp:posOffset>
            </wp:positionV>
            <wp:extent cx="7037705" cy="165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16510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-330200</wp:posOffset>
            </wp:positionV>
            <wp:extent cx="7037705" cy="165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165100"/>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3120" w:space="720"/>
            <w:col w:w="7400"/>
          </w:cols>
          <w:pgMar w:left="320" w:top="127" w:right="339" w:bottom="1440" w:gutter="0" w:footer="0" w:header="0"/>
        </w:sectPr>
      </w:pPr>
    </w:p>
    <w:p>
      <w:pPr>
        <w:ind w:left="340" w:hanging="162"/>
        <w:spacing w:after="0"/>
        <w:tabs>
          <w:tab w:leader="none" w:pos="34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We calculate efficiency ratio as noninterest expense divided by the sum of net interest income and noninterest income.</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Net Interest Income</w:t>
      </w:r>
    </w:p>
    <w:p>
      <w:pPr>
        <w:spacing w:after="0" w:line="398" w:lineRule="exact"/>
        <w:rPr>
          <w:sz w:val="20"/>
          <w:szCs w:val="20"/>
          <w:color w:val="auto"/>
        </w:rPr>
      </w:pPr>
    </w:p>
    <w:p>
      <w:pPr>
        <w:jc w:val="both"/>
        <w:ind w:left="160" w:right="20" w:firstLine="469"/>
        <w:spacing w:after="0" w:line="271" w:lineRule="auto"/>
        <w:rPr>
          <w:sz w:val="20"/>
          <w:szCs w:val="20"/>
          <w:color w:val="auto"/>
        </w:rPr>
      </w:pPr>
      <w:r>
        <w:rPr>
          <w:rFonts w:ascii="Arial" w:cs="Arial" w:eastAsia="Arial" w:hAnsi="Arial"/>
          <w:sz w:val="17"/>
          <w:szCs w:val="17"/>
          <w:color w:val="auto"/>
        </w:rPr>
        <w:t>Net interest income is presented on a tax-equivalent basis below. A tax-equivalent basis makes all income taxable at the same rate. For example, $100 of tax-exempt income would be presented as $126.58, an amount that, if taxed at the statutory federal income tax rate of 21% would yield $100. We believe a tax-equivalent basis provides for improved comparability between the various earning assets.</w:t>
      </w:r>
    </w:p>
    <w:p>
      <w:pPr>
        <w:spacing w:after="0" w:line="152"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66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5"/>
          </w:tcPr>
          <w:p>
            <w:pPr>
              <w:jc w:val="center"/>
              <w:ind w:left="1133"/>
              <w:spacing w:after="0"/>
              <w:rPr>
                <w:sz w:val="20"/>
                <w:szCs w:val="20"/>
                <w:color w:val="auto"/>
              </w:rPr>
            </w:pPr>
            <w:r>
              <w:rPr>
                <w:rFonts w:ascii="Arial" w:cs="Arial" w:eastAsia="Arial" w:hAnsi="Arial"/>
                <w:sz w:val="17"/>
                <w:szCs w:val="17"/>
                <w:b w:val="1"/>
                <w:bCs w:val="1"/>
                <w:color w:val="auto"/>
                <w:w w:val="95"/>
              </w:rPr>
              <w:t>For the Quarter Ended</w:t>
            </w: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09"/>
        </w:trPr>
        <w:tc>
          <w:tcPr>
            <w:tcW w:w="3660" w:type="dxa"/>
            <w:vAlign w:val="bottom"/>
          </w:tcPr>
          <w:p>
            <w:pPr>
              <w:spacing w:after="0"/>
              <w:rPr>
                <w:sz w:val="18"/>
                <w:szCs w:val="18"/>
                <w:color w:val="auto"/>
              </w:rPr>
            </w:pPr>
          </w:p>
        </w:tc>
        <w:tc>
          <w:tcPr>
            <w:tcW w:w="1480" w:type="dxa"/>
            <w:vAlign w:val="bottom"/>
            <w:gridSpan w:val="2"/>
          </w:tcPr>
          <w:p>
            <w:pPr>
              <w:ind w:left="320"/>
              <w:spacing w:after="0"/>
              <w:rPr>
                <w:sz w:val="20"/>
                <w:szCs w:val="20"/>
                <w:color w:val="auto"/>
              </w:rPr>
            </w:pPr>
            <w:r>
              <w:rPr>
                <w:rFonts w:ascii="Arial" w:cs="Arial" w:eastAsia="Arial" w:hAnsi="Arial"/>
                <w:sz w:val="17"/>
                <w:szCs w:val="17"/>
                <w:b w:val="1"/>
                <w:bCs w:val="1"/>
                <w:color w:val="auto"/>
              </w:rPr>
              <w:t>March 31,</w:t>
            </w:r>
          </w:p>
        </w:tc>
        <w:tc>
          <w:tcPr>
            <w:tcW w:w="1520" w:type="dxa"/>
            <w:vAlign w:val="bottom"/>
            <w:gridSpan w:val="2"/>
          </w:tcPr>
          <w:p>
            <w:pPr>
              <w:ind w:left="220"/>
              <w:spacing w:after="0"/>
              <w:rPr>
                <w:sz w:val="20"/>
                <w:szCs w:val="20"/>
                <w:color w:val="auto"/>
              </w:rPr>
            </w:pPr>
            <w:r>
              <w:rPr>
                <w:rFonts w:ascii="Arial" w:cs="Arial" w:eastAsia="Arial" w:hAnsi="Arial"/>
                <w:sz w:val="17"/>
                <w:szCs w:val="17"/>
                <w:b w:val="1"/>
                <w:bCs w:val="1"/>
                <w:color w:val="auto"/>
              </w:rPr>
              <w:t>December 31,</w:t>
            </w:r>
          </w:p>
        </w:tc>
        <w:tc>
          <w:tcPr>
            <w:tcW w:w="174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91"/>
              </w:rPr>
              <w:t>September 30,</w:t>
            </w:r>
          </w:p>
        </w:tc>
        <w:tc>
          <w:tcPr>
            <w:tcW w:w="1260" w:type="dxa"/>
            <w:vAlign w:val="bottom"/>
            <w:gridSpan w:val="2"/>
          </w:tcPr>
          <w:p>
            <w:pPr>
              <w:ind w:left="180"/>
              <w:spacing w:after="0"/>
              <w:rPr>
                <w:sz w:val="20"/>
                <w:szCs w:val="20"/>
                <w:color w:val="auto"/>
              </w:rPr>
            </w:pPr>
            <w:r>
              <w:rPr>
                <w:rFonts w:ascii="Arial" w:cs="Arial" w:eastAsia="Arial" w:hAnsi="Arial"/>
                <w:sz w:val="17"/>
                <w:szCs w:val="17"/>
                <w:b w:val="1"/>
                <w:bCs w:val="1"/>
                <w:color w:val="auto"/>
              </w:rPr>
              <w:t>June 30,</w:t>
            </w:r>
          </w:p>
        </w:tc>
        <w:tc>
          <w:tcPr>
            <w:tcW w:w="1420" w:type="dxa"/>
            <w:vAlign w:val="bottom"/>
          </w:tcPr>
          <w:p>
            <w:pPr>
              <w:ind w:left="340"/>
              <w:spacing w:after="0"/>
              <w:rPr>
                <w:sz w:val="20"/>
                <w:szCs w:val="20"/>
                <w:color w:val="auto"/>
              </w:rPr>
            </w:pPr>
            <w:r>
              <w:rPr>
                <w:rFonts w:ascii="Arial" w:cs="Arial" w:eastAsia="Arial" w:hAnsi="Arial"/>
                <w:sz w:val="17"/>
                <w:szCs w:val="17"/>
                <w:b w:val="1"/>
                <w:bCs w:val="1"/>
                <w:color w:val="auto"/>
              </w:rPr>
              <w:t>March 31,</w:t>
            </w:r>
          </w:p>
        </w:tc>
      </w:tr>
      <w:tr>
        <w:trPr>
          <w:trHeight w:val="227"/>
        </w:trPr>
        <w:tc>
          <w:tcPr>
            <w:tcW w:w="3660" w:type="dxa"/>
            <w:vAlign w:val="bottom"/>
          </w:tcPr>
          <w:p>
            <w:pPr>
              <w:spacing w:after="0"/>
              <w:rPr>
                <w:sz w:val="19"/>
                <w:szCs w:val="19"/>
                <w:color w:val="auto"/>
              </w:rPr>
            </w:pPr>
          </w:p>
        </w:tc>
        <w:tc>
          <w:tcPr>
            <w:tcW w:w="1400" w:type="dxa"/>
            <w:vAlign w:val="bottom"/>
          </w:tcPr>
          <w:p>
            <w:pPr>
              <w:ind w:left="520"/>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1460" w:type="dxa"/>
            <w:vAlign w:val="bottom"/>
          </w:tcPr>
          <w:p>
            <w:pPr>
              <w:ind w:left="560"/>
              <w:spacing w:after="0"/>
              <w:rPr>
                <w:sz w:val="20"/>
                <w:szCs w:val="20"/>
                <w:color w:val="auto"/>
              </w:rPr>
            </w:pPr>
            <w:r>
              <w:rPr>
                <w:rFonts w:ascii="Arial" w:cs="Arial" w:eastAsia="Arial" w:hAnsi="Arial"/>
                <w:sz w:val="17"/>
                <w:szCs w:val="17"/>
                <w:b w:val="1"/>
                <w:bCs w:val="1"/>
                <w:color w:val="auto"/>
              </w:rPr>
              <w:t>2020</w:t>
            </w: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89"/>
              </w:rPr>
              <w:t>2020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ind w:left="320"/>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c>
          <w:tcPr>
            <w:tcW w:w="1420" w:type="dxa"/>
            <w:vAlign w:val="bottom"/>
          </w:tcPr>
          <w:p>
            <w:pPr>
              <w:ind w:left="540"/>
              <w:spacing w:after="0"/>
              <w:rPr>
                <w:sz w:val="20"/>
                <w:szCs w:val="20"/>
                <w:color w:val="auto"/>
              </w:rPr>
            </w:pPr>
            <w:r>
              <w:rPr>
                <w:rFonts w:ascii="Arial" w:cs="Arial" w:eastAsia="Arial" w:hAnsi="Arial"/>
                <w:sz w:val="17"/>
                <w:szCs w:val="17"/>
                <w:b w:val="1"/>
                <w:bCs w:val="1"/>
                <w:color w:val="auto"/>
              </w:rPr>
              <w:t>2020</w:t>
            </w:r>
          </w:p>
        </w:tc>
      </w:tr>
      <w:tr>
        <w:trPr>
          <w:trHeight w:val="26"/>
        </w:trPr>
        <w:tc>
          <w:tcPr>
            <w:tcW w:w="3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4"/>
        </w:trPr>
        <w:tc>
          <w:tcPr>
            <w:tcW w:w="366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Yield on securities - tax equivalent</w:t>
            </w:r>
            <w:r>
              <w:rPr>
                <w:rFonts w:ascii="Arial" w:cs="Arial" w:eastAsia="Arial" w:hAnsi="Arial"/>
                <w:sz w:val="22"/>
                <w:szCs w:val="22"/>
                <w:color w:val="auto"/>
                <w:vertAlign w:val="superscript"/>
              </w:rPr>
              <w:t>(1)</w:t>
            </w:r>
          </w:p>
        </w:tc>
        <w:tc>
          <w:tcPr>
            <w:tcW w:w="1400" w:type="dxa"/>
            <w:vAlign w:val="bottom"/>
            <w:shd w:val="clear" w:color="auto" w:fill="CCEEFF"/>
          </w:tcPr>
          <w:p>
            <w:pPr>
              <w:ind w:left="900"/>
              <w:spacing w:after="0"/>
              <w:rPr>
                <w:sz w:val="20"/>
                <w:szCs w:val="20"/>
                <w:color w:val="auto"/>
              </w:rPr>
            </w:pPr>
            <w:r>
              <w:rPr>
                <w:rFonts w:ascii="Arial" w:cs="Arial" w:eastAsia="Arial" w:hAnsi="Arial"/>
                <w:sz w:val="17"/>
                <w:szCs w:val="17"/>
                <w:color w:val="auto"/>
                <w:w w:val="90"/>
              </w:rPr>
              <w:t>2.89 %</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7"/>
                <w:szCs w:val="17"/>
                <w:color w:val="auto"/>
                <w:w w:val="94"/>
              </w:rPr>
              <w:t>2.96 %</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7"/>
                <w:szCs w:val="17"/>
                <w:color w:val="auto"/>
                <w:w w:val="94"/>
              </w:rPr>
              <w:t>2.93 %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4"/>
              </w:rPr>
              <w:t>3.07 %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ind w:left="900"/>
              <w:spacing w:after="0"/>
              <w:rPr>
                <w:sz w:val="20"/>
                <w:szCs w:val="20"/>
                <w:color w:val="auto"/>
              </w:rPr>
            </w:pPr>
            <w:r>
              <w:rPr>
                <w:rFonts w:ascii="Arial" w:cs="Arial" w:eastAsia="Arial" w:hAnsi="Arial"/>
                <w:sz w:val="17"/>
                <w:szCs w:val="17"/>
                <w:color w:val="auto"/>
                <w:w w:val="94"/>
              </w:rPr>
              <w:t>3.21 %</w:t>
            </w:r>
          </w:p>
        </w:tc>
      </w:tr>
      <w:tr>
        <w:trPr>
          <w:trHeight w:val="221"/>
        </w:trPr>
        <w:tc>
          <w:tcPr>
            <w:tcW w:w="3660" w:type="dxa"/>
            <w:vAlign w:val="bottom"/>
          </w:tcPr>
          <w:p>
            <w:pPr>
              <w:ind w:left="20"/>
              <w:spacing w:after="0"/>
              <w:rPr>
                <w:sz w:val="20"/>
                <w:szCs w:val="20"/>
                <w:color w:val="auto"/>
              </w:rPr>
            </w:pPr>
            <w:r>
              <w:rPr>
                <w:rFonts w:ascii="Arial" w:cs="Arial" w:eastAsia="Arial" w:hAnsi="Arial"/>
                <w:sz w:val="17"/>
                <w:szCs w:val="17"/>
                <w:color w:val="auto"/>
              </w:rPr>
              <w:t>Yield on loans</w:t>
            </w:r>
          </w:p>
        </w:tc>
        <w:tc>
          <w:tcPr>
            <w:tcW w:w="1400" w:type="dxa"/>
            <w:vAlign w:val="bottom"/>
          </w:tcPr>
          <w:p>
            <w:pPr>
              <w:ind w:left="900"/>
              <w:spacing w:after="0"/>
              <w:rPr>
                <w:sz w:val="20"/>
                <w:szCs w:val="20"/>
                <w:color w:val="auto"/>
              </w:rPr>
            </w:pPr>
            <w:r>
              <w:rPr>
                <w:rFonts w:ascii="Arial" w:cs="Arial" w:eastAsia="Arial" w:hAnsi="Arial"/>
                <w:sz w:val="17"/>
                <w:szCs w:val="17"/>
                <w:color w:val="auto"/>
              </w:rPr>
              <w:t>3.94</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Arial" w:cs="Arial" w:eastAsia="Arial" w:hAnsi="Arial"/>
                <w:sz w:val="17"/>
                <w:szCs w:val="17"/>
                <w:color w:val="auto"/>
              </w:rPr>
              <w:t>4.00</w:t>
            </w:r>
          </w:p>
        </w:tc>
        <w:tc>
          <w:tcPr>
            <w:tcW w:w="6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Arial" w:cs="Arial" w:eastAsia="Arial" w:hAnsi="Arial"/>
                <w:sz w:val="17"/>
                <w:szCs w:val="17"/>
                <w:color w:val="auto"/>
              </w:rPr>
              <w:t>3.90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ind w:left="660"/>
              <w:spacing w:after="0"/>
              <w:rPr>
                <w:sz w:val="20"/>
                <w:szCs w:val="20"/>
                <w:color w:val="auto"/>
              </w:rPr>
            </w:pPr>
            <w:r>
              <w:rPr>
                <w:rFonts w:ascii="Arial" w:cs="Arial" w:eastAsia="Arial" w:hAnsi="Arial"/>
                <w:sz w:val="17"/>
                <w:szCs w:val="17"/>
                <w:color w:val="auto"/>
              </w:rPr>
              <w:t>4.28</w:t>
            </w:r>
          </w:p>
        </w:tc>
        <w:tc>
          <w:tcPr>
            <w:tcW w:w="80" w:type="dxa"/>
            <w:vAlign w:val="bottom"/>
          </w:tcPr>
          <w:p>
            <w:pPr>
              <w:spacing w:after="0"/>
              <w:rPr>
                <w:sz w:val="19"/>
                <w:szCs w:val="19"/>
                <w:color w:val="auto"/>
              </w:rPr>
            </w:pPr>
          </w:p>
        </w:tc>
        <w:tc>
          <w:tcPr>
            <w:tcW w:w="1420" w:type="dxa"/>
            <w:vAlign w:val="bottom"/>
          </w:tcPr>
          <w:p>
            <w:pPr>
              <w:ind w:left="900"/>
              <w:spacing w:after="0"/>
              <w:rPr>
                <w:sz w:val="20"/>
                <w:szCs w:val="20"/>
                <w:color w:val="auto"/>
              </w:rPr>
            </w:pPr>
            <w:r>
              <w:rPr>
                <w:rFonts w:ascii="Arial" w:cs="Arial" w:eastAsia="Arial" w:hAnsi="Arial"/>
                <w:sz w:val="17"/>
                <w:szCs w:val="17"/>
                <w:color w:val="auto"/>
              </w:rPr>
              <w:t>4.98</w:t>
            </w:r>
          </w:p>
        </w:tc>
      </w:tr>
      <w:tr>
        <w:trPr>
          <w:trHeight w:val="221"/>
        </w:trPr>
        <w:tc>
          <w:tcPr>
            <w:tcW w:w="366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Yield on earning assets - tax equivalent</w:t>
            </w:r>
            <w:r>
              <w:rPr>
                <w:rFonts w:ascii="Arial" w:cs="Arial" w:eastAsia="Arial" w:hAnsi="Arial"/>
                <w:sz w:val="22"/>
                <w:szCs w:val="22"/>
                <w:color w:val="auto"/>
                <w:vertAlign w:val="superscript"/>
              </w:rPr>
              <w:t>(1)</w:t>
            </w:r>
          </w:p>
        </w:tc>
        <w:tc>
          <w:tcPr>
            <w:tcW w:w="1400" w:type="dxa"/>
            <w:vAlign w:val="bottom"/>
            <w:shd w:val="clear" w:color="auto" w:fill="CCEEFF"/>
          </w:tcPr>
          <w:p>
            <w:pPr>
              <w:ind w:left="900"/>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7"/>
                <w:szCs w:val="17"/>
                <w:color w:val="auto"/>
              </w:rPr>
              <w:t>3.71</w:t>
            </w: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7"/>
                <w:szCs w:val="17"/>
                <w:color w:val="auto"/>
              </w:rPr>
              <w:t>3.66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3.96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4.57</w:t>
            </w:r>
          </w:p>
        </w:tc>
      </w:tr>
      <w:tr>
        <w:trPr>
          <w:trHeight w:val="221"/>
        </w:trPr>
        <w:tc>
          <w:tcPr>
            <w:tcW w:w="3660" w:type="dxa"/>
            <w:vAlign w:val="bottom"/>
          </w:tcPr>
          <w:p>
            <w:pPr>
              <w:ind w:left="20"/>
              <w:spacing w:after="0"/>
              <w:rPr>
                <w:sz w:val="20"/>
                <w:szCs w:val="20"/>
                <w:color w:val="auto"/>
              </w:rPr>
            </w:pPr>
            <w:r>
              <w:rPr>
                <w:rFonts w:ascii="Arial" w:cs="Arial" w:eastAsia="Arial" w:hAnsi="Arial"/>
                <w:sz w:val="17"/>
                <w:szCs w:val="17"/>
                <w:color w:val="auto"/>
              </w:rPr>
              <w:t>Cost of interest-bearing deposits</w:t>
            </w:r>
          </w:p>
        </w:tc>
        <w:tc>
          <w:tcPr>
            <w:tcW w:w="1400" w:type="dxa"/>
            <w:vAlign w:val="bottom"/>
          </w:tcPr>
          <w:p>
            <w:pPr>
              <w:ind w:left="900"/>
              <w:spacing w:after="0"/>
              <w:rPr>
                <w:sz w:val="20"/>
                <w:szCs w:val="20"/>
                <w:color w:val="auto"/>
              </w:rPr>
            </w:pPr>
            <w:r>
              <w:rPr>
                <w:rFonts w:ascii="Arial" w:cs="Arial" w:eastAsia="Arial" w:hAnsi="Arial"/>
                <w:sz w:val="17"/>
                <w:szCs w:val="17"/>
                <w:color w:val="auto"/>
              </w:rPr>
              <w:t>0.57</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Arial" w:cs="Arial" w:eastAsia="Arial" w:hAnsi="Arial"/>
                <w:sz w:val="17"/>
                <w:szCs w:val="17"/>
                <w:color w:val="auto"/>
              </w:rPr>
              <w:t>0.69</w:t>
            </w:r>
          </w:p>
        </w:tc>
        <w:tc>
          <w:tcPr>
            <w:tcW w:w="6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Arial" w:cs="Arial" w:eastAsia="Arial" w:hAnsi="Arial"/>
                <w:sz w:val="17"/>
                <w:szCs w:val="17"/>
                <w:color w:val="auto"/>
              </w:rPr>
              <w:t>0.80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ind w:left="660"/>
              <w:spacing w:after="0"/>
              <w:rPr>
                <w:sz w:val="20"/>
                <w:szCs w:val="20"/>
                <w:color w:val="auto"/>
              </w:rPr>
            </w:pPr>
            <w:r>
              <w:rPr>
                <w:rFonts w:ascii="Arial" w:cs="Arial" w:eastAsia="Arial" w:hAnsi="Arial"/>
                <w:sz w:val="17"/>
                <w:szCs w:val="17"/>
                <w:color w:val="auto"/>
              </w:rPr>
              <w:t>0.95</w:t>
            </w:r>
          </w:p>
        </w:tc>
        <w:tc>
          <w:tcPr>
            <w:tcW w:w="80" w:type="dxa"/>
            <w:vAlign w:val="bottom"/>
          </w:tcPr>
          <w:p>
            <w:pPr>
              <w:spacing w:after="0"/>
              <w:rPr>
                <w:sz w:val="19"/>
                <w:szCs w:val="19"/>
                <w:color w:val="auto"/>
              </w:rPr>
            </w:pPr>
          </w:p>
        </w:tc>
        <w:tc>
          <w:tcPr>
            <w:tcW w:w="1420" w:type="dxa"/>
            <w:vAlign w:val="bottom"/>
          </w:tcPr>
          <w:p>
            <w:pPr>
              <w:ind w:left="900"/>
              <w:spacing w:after="0"/>
              <w:rPr>
                <w:sz w:val="20"/>
                <w:szCs w:val="20"/>
                <w:color w:val="auto"/>
              </w:rPr>
            </w:pPr>
            <w:r>
              <w:rPr>
                <w:rFonts w:ascii="Arial" w:cs="Arial" w:eastAsia="Arial" w:hAnsi="Arial"/>
                <w:sz w:val="17"/>
                <w:szCs w:val="17"/>
                <w:color w:val="auto"/>
              </w:rPr>
              <w:t>1.69</w:t>
            </w:r>
          </w:p>
        </w:tc>
      </w:tr>
      <w:tr>
        <w:trPr>
          <w:trHeight w:val="221"/>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total deposits</w:t>
            </w:r>
          </w:p>
        </w:tc>
        <w:tc>
          <w:tcPr>
            <w:tcW w:w="1400" w:type="dxa"/>
            <w:vAlign w:val="bottom"/>
            <w:shd w:val="clear" w:color="auto" w:fill="CCEEFF"/>
          </w:tcPr>
          <w:p>
            <w:pPr>
              <w:ind w:left="900"/>
              <w:spacing w:after="0"/>
              <w:rPr>
                <w:sz w:val="20"/>
                <w:szCs w:val="20"/>
                <w:color w:val="auto"/>
              </w:rPr>
            </w:pPr>
            <w:r>
              <w:rPr>
                <w:rFonts w:ascii="Arial" w:cs="Arial" w:eastAsia="Arial" w:hAnsi="Arial"/>
                <w:sz w:val="17"/>
                <w:szCs w:val="17"/>
                <w:color w:val="auto"/>
              </w:rPr>
              <w:t>0.48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7"/>
                <w:szCs w:val="17"/>
                <w:color w:val="auto"/>
              </w:rPr>
              <w:t>0.58</w:t>
            </w: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7"/>
                <w:szCs w:val="17"/>
                <w:color w:val="auto"/>
              </w:rPr>
              <w:t>0.67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0.79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1.46</w:t>
            </w:r>
          </w:p>
        </w:tc>
      </w:tr>
      <w:tr>
        <w:trPr>
          <w:trHeight w:val="221"/>
        </w:trPr>
        <w:tc>
          <w:tcPr>
            <w:tcW w:w="3660" w:type="dxa"/>
            <w:vAlign w:val="bottom"/>
          </w:tcPr>
          <w:p>
            <w:pPr>
              <w:ind w:left="20"/>
              <w:spacing w:after="0"/>
              <w:rPr>
                <w:sz w:val="20"/>
                <w:szCs w:val="20"/>
                <w:color w:val="auto"/>
              </w:rPr>
            </w:pPr>
            <w:r>
              <w:rPr>
                <w:rFonts w:ascii="Arial" w:cs="Arial" w:eastAsia="Arial" w:hAnsi="Arial"/>
                <w:sz w:val="17"/>
                <w:szCs w:val="17"/>
                <w:color w:val="auto"/>
              </w:rPr>
              <w:t>Cost of FHLB and short-term borrowings</w:t>
            </w:r>
          </w:p>
        </w:tc>
        <w:tc>
          <w:tcPr>
            <w:tcW w:w="1400" w:type="dxa"/>
            <w:vAlign w:val="bottom"/>
          </w:tcPr>
          <w:p>
            <w:pPr>
              <w:ind w:left="900"/>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Arial" w:cs="Arial" w:eastAsia="Arial" w:hAnsi="Arial"/>
                <w:sz w:val="17"/>
                <w:szCs w:val="17"/>
                <w:color w:val="auto"/>
              </w:rPr>
              <w:t>1.78</w:t>
            </w:r>
          </w:p>
        </w:tc>
        <w:tc>
          <w:tcPr>
            <w:tcW w:w="6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ind w:left="660"/>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19"/>
                <w:szCs w:val="19"/>
                <w:color w:val="auto"/>
              </w:rPr>
            </w:pPr>
          </w:p>
        </w:tc>
        <w:tc>
          <w:tcPr>
            <w:tcW w:w="1420" w:type="dxa"/>
            <w:vAlign w:val="bottom"/>
          </w:tcPr>
          <w:p>
            <w:pPr>
              <w:ind w:left="900"/>
              <w:spacing w:after="0"/>
              <w:rPr>
                <w:sz w:val="20"/>
                <w:szCs w:val="20"/>
                <w:color w:val="auto"/>
              </w:rPr>
            </w:pPr>
            <w:r>
              <w:rPr>
                <w:rFonts w:ascii="Arial" w:cs="Arial" w:eastAsia="Arial" w:hAnsi="Arial"/>
                <w:sz w:val="17"/>
                <w:szCs w:val="17"/>
                <w:color w:val="auto"/>
              </w:rPr>
              <w:t>1.72</w:t>
            </w:r>
          </w:p>
        </w:tc>
      </w:tr>
      <w:tr>
        <w:trPr>
          <w:trHeight w:val="221"/>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funds</w:t>
            </w:r>
          </w:p>
        </w:tc>
        <w:tc>
          <w:tcPr>
            <w:tcW w:w="1400" w:type="dxa"/>
            <w:vAlign w:val="bottom"/>
            <w:shd w:val="clear" w:color="auto" w:fill="CCEEFF"/>
          </w:tcPr>
          <w:p>
            <w:pPr>
              <w:ind w:left="900"/>
              <w:spacing w:after="0"/>
              <w:rPr>
                <w:sz w:val="20"/>
                <w:szCs w:val="20"/>
                <w:color w:val="auto"/>
              </w:rPr>
            </w:pPr>
            <w:r>
              <w:rPr>
                <w:rFonts w:ascii="Arial" w:cs="Arial" w:eastAsia="Arial" w:hAnsi="Arial"/>
                <w:sz w:val="17"/>
                <w:szCs w:val="17"/>
                <w:color w:val="auto"/>
              </w:rPr>
              <w:t>0.56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7"/>
                <w:szCs w:val="17"/>
                <w:color w:val="auto"/>
              </w:rPr>
              <w:t>0.65</w:t>
            </w: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7"/>
                <w:szCs w:val="17"/>
                <w:color w:val="auto"/>
              </w:rPr>
              <w:t>0.75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0.85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1.49</w:t>
            </w:r>
          </w:p>
        </w:tc>
      </w:tr>
      <w:tr>
        <w:trPr>
          <w:trHeight w:val="235"/>
        </w:trPr>
        <w:tc>
          <w:tcPr>
            <w:tcW w:w="3660" w:type="dxa"/>
            <w:vAlign w:val="bottom"/>
          </w:tcPr>
          <w:p>
            <w:pPr>
              <w:ind w:left="20"/>
              <w:spacing w:after="0" w:line="236" w:lineRule="exact"/>
              <w:rPr>
                <w:sz w:val="20"/>
                <w:szCs w:val="20"/>
                <w:color w:val="auto"/>
              </w:rPr>
            </w:pPr>
            <w:r>
              <w:rPr>
                <w:rFonts w:ascii="Arial" w:cs="Arial" w:eastAsia="Arial" w:hAnsi="Arial"/>
                <w:sz w:val="17"/>
                <w:szCs w:val="17"/>
                <w:color w:val="auto"/>
              </w:rPr>
              <w:t>Net interest margin - tax equivalent</w:t>
            </w:r>
            <w:r>
              <w:rPr>
                <w:rFonts w:ascii="Arial" w:cs="Arial" w:eastAsia="Arial" w:hAnsi="Arial"/>
                <w:sz w:val="22"/>
                <w:szCs w:val="22"/>
                <w:color w:val="auto"/>
                <w:vertAlign w:val="superscript"/>
              </w:rPr>
              <w:t>(1)</w:t>
            </w:r>
          </w:p>
        </w:tc>
        <w:tc>
          <w:tcPr>
            <w:tcW w:w="1400" w:type="dxa"/>
            <w:vAlign w:val="bottom"/>
          </w:tcPr>
          <w:p>
            <w:pPr>
              <w:ind w:left="900"/>
              <w:spacing w:after="0"/>
              <w:rPr>
                <w:sz w:val="20"/>
                <w:szCs w:val="20"/>
                <w:color w:val="auto"/>
              </w:rPr>
            </w:pPr>
            <w:r>
              <w:rPr>
                <w:rFonts w:ascii="Arial" w:cs="Arial" w:eastAsia="Arial" w:hAnsi="Arial"/>
                <w:sz w:val="17"/>
                <w:szCs w:val="17"/>
                <w:color w:val="auto"/>
                <w:w w:val="90"/>
              </w:rPr>
              <w:t>3.00 %</w:t>
            </w:r>
          </w:p>
        </w:tc>
        <w:tc>
          <w:tcPr>
            <w:tcW w:w="80" w:type="dxa"/>
            <w:vAlign w:val="bottom"/>
          </w:tcPr>
          <w:p>
            <w:pPr>
              <w:spacing w:after="0"/>
              <w:rPr>
                <w:sz w:val="20"/>
                <w:szCs w:val="20"/>
                <w:color w:val="auto"/>
              </w:rPr>
            </w:pPr>
          </w:p>
        </w:tc>
        <w:tc>
          <w:tcPr>
            <w:tcW w:w="1460" w:type="dxa"/>
            <w:vAlign w:val="bottom"/>
          </w:tcPr>
          <w:p>
            <w:pPr>
              <w:ind w:left="940"/>
              <w:spacing w:after="0"/>
              <w:rPr>
                <w:sz w:val="20"/>
                <w:szCs w:val="20"/>
                <w:color w:val="auto"/>
              </w:rPr>
            </w:pPr>
            <w:r>
              <w:rPr>
                <w:rFonts w:ascii="Arial" w:cs="Arial" w:eastAsia="Arial" w:hAnsi="Arial"/>
                <w:sz w:val="17"/>
                <w:szCs w:val="17"/>
                <w:color w:val="auto"/>
                <w:w w:val="94"/>
              </w:rPr>
              <w:t>3.12 %</w:t>
            </w:r>
          </w:p>
        </w:tc>
        <w:tc>
          <w:tcPr>
            <w:tcW w:w="60" w:type="dxa"/>
            <w:vAlign w:val="bottom"/>
          </w:tcPr>
          <w:p>
            <w:pPr>
              <w:spacing w:after="0"/>
              <w:rPr>
                <w:sz w:val="20"/>
                <w:szCs w:val="20"/>
                <w:color w:val="auto"/>
              </w:rPr>
            </w:pPr>
          </w:p>
        </w:tc>
        <w:tc>
          <w:tcPr>
            <w:tcW w:w="1460" w:type="dxa"/>
            <w:vAlign w:val="bottom"/>
          </w:tcPr>
          <w:p>
            <w:pPr>
              <w:ind w:left="940"/>
              <w:spacing w:after="0"/>
              <w:rPr>
                <w:sz w:val="20"/>
                <w:szCs w:val="20"/>
                <w:color w:val="auto"/>
              </w:rPr>
            </w:pPr>
            <w:r>
              <w:rPr>
                <w:rFonts w:ascii="Arial" w:cs="Arial" w:eastAsia="Arial" w:hAnsi="Arial"/>
                <w:sz w:val="17"/>
                <w:szCs w:val="17"/>
                <w:color w:val="auto"/>
                <w:w w:val="94"/>
              </w:rPr>
              <w:t>2.98 %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ind w:left="660"/>
              <w:spacing w:after="0"/>
              <w:rPr>
                <w:sz w:val="20"/>
                <w:szCs w:val="20"/>
                <w:color w:val="auto"/>
              </w:rPr>
            </w:pPr>
            <w:r>
              <w:rPr>
                <w:rFonts w:ascii="Arial" w:cs="Arial" w:eastAsia="Arial" w:hAnsi="Arial"/>
                <w:sz w:val="17"/>
                <w:szCs w:val="17"/>
                <w:color w:val="auto"/>
                <w:w w:val="94"/>
              </w:rPr>
              <w:t>3.19 %</w:t>
            </w:r>
          </w:p>
        </w:tc>
        <w:tc>
          <w:tcPr>
            <w:tcW w:w="80" w:type="dxa"/>
            <w:vAlign w:val="bottom"/>
          </w:tcPr>
          <w:p>
            <w:pPr>
              <w:spacing w:after="0"/>
              <w:rPr>
                <w:sz w:val="20"/>
                <w:szCs w:val="20"/>
                <w:color w:val="auto"/>
              </w:rPr>
            </w:pPr>
          </w:p>
        </w:tc>
        <w:tc>
          <w:tcPr>
            <w:tcW w:w="1420" w:type="dxa"/>
            <w:vAlign w:val="bottom"/>
          </w:tcPr>
          <w:p>
            <w:pPr>
              <w:ind w:left="900"/>
              <w:spacing w:after="0"/>
              <w:rPr>
                <w:sz w:val="20"/>
                <w:szCs w:val="20"/>
                <w:color w:val="auto"/>
              </w:rPr>
            </w:pPr>
            <w:r>
              <w:rPr>
                <w:rFonts w:ascii="Arial" w:cs="Arial" w:eastAsia="Arial" w:hAnsi="Arial"/>
                <w:sz w:val="17"/>
                <w:szCs w:val="17"/>
                <w:color w:val="auto"/>
                <w:w w:val="94"/>
              </w:rPr>
              <w:t>3.24 %</w:t>
            </w:r>
          </w:p>
        </w:tc>
      </w:tr>
    </w:tbl>
    <w:p>
      <w:pPr>
        <w:ind w:left="320" w:hanging="142"/>
        <w:spacing w:after="0" w:line="231" w:lineRule="auto"/>
        <w:tabs>
          <w:tab w:leader="none" w:pos="32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Tax-exempt income is calculated on a tax-equivalent basis. Tax-free municipal securities are exempt from Federal income taxes. The incremental tax rate used is 21%.</w:t>
      </w:r>
    </w:p>
    <w:p>
      <w:pPr>
        <w:spacing w:after="0" w:line="150" w:lineRule="exact"/>
        <w:rPr>
          <w:sz w:val="20"/>
          <w:szCs w:val="20"/>
          <w:color w:val="auto"/>
        </w:rPr>
      </w:pPr>
    </w:p>
    <w:p>
      <w:pPr>
        <w:ind w:left="160" w:right="440" w:firstLine="469"/>
        <w:spacing w:after="0" w:line="286" w:lineRule="auto"/>
        <w:rPr>
          <w:sz w:val="20"/>
          <w:szCs w:val="20"/>
          <w:color w:val="auto"/>
        </w:rPr>
      </w:pPr>
      <w:r>
        <w:rPr>
          <w:rFonts w:ascii="Arial" w:cs="Arial" w:eastAsia="Arial" w:hAnsi="Arial"/>
          <w:sz w:val="17"/>
          <w:szCs w:val="17"/>
          <w:color w:val="auto"/>
        </w:rPr>
        <w:t>The following tables present, for the periods indicated, average balance sheet information, interest income, interest expense and the corresponding average yield and rates paid:</w:t>
      </w:r>
    </w:p>
    <w:p>
      <w:pPr>
        <w:sectPr>
          <w:pgSz w:w="11900" w:h="16838" w:orient="portrait"/>
          <w:cols w:equalWidth="0" w:num="1">
            <w:col w:w="11240"/>
          </w:cols>
          <w:pgMar w:left="320" w:top="127"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21"/>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3"/>
              </w:rPr>
              <w:t>Three Months Ended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7"/>
                <w:szCs w:val="17"/>
                <w:b w:val="1"/>
                <w:bCs w:val="1"/>
                <w:color w:val="auto"/>
                <w:w w:val="96"/>
              </w:rPr>
              <w:t>March 31,</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Average</w:t>
            </w:r>
          </w:p>
        </w:tc>
        <w:tc>
          <w:tcPr>
            <w:tcW w:w="140" w:type="dxa"/>
            <w:vAlign w:val="bottom"/>
          </w:tcPr>
          <w:p>
            <w:pPr>
              <w:spacing w:after="0"/>
              <w:rPr>
                <w:sz w:val="14"/>
                <w:szCs w:val="14"/>
                <w:color w:val="auto"/>
              </w:rPr>
            </w:pPr>
          </w:p>
        </w:tc>
        <w:tc>
          <w:tcPr>
            <w:tcW w:w="940" w:type="dxa"/>
            <w:vAlign w:val="bottom"/>
            <w:gridSpan w:val="2"/>
          </w:tcPr>
          <w:p>
            <w:pPr>
              <w:ind w:left="60"/>
              <w:spacing w:after="0" w:line="163" w:lineRule="exact"/>
              <w:rPr>
                <w:sz w:val="20"/>
                <w:szCs w:val="20"/>
                <w:color w:val="auto"/>
              </w:rPr>
            </w:pPr>
            <w:r>
              <w:rPr>
                <w:rFonts w:ascii="Arial" w:cs="Arial" w:eastAsia="Arial" w:hAnsi="Arial"/>
                <w:sz w:val="17"/>
                <w:szCs w:val="17"/>
                <w:b w:val="1"/>
                <w:bCs w:val="1"/>
                <w:color w:val="auto"/>
              </w:rPr>
              <w:t>Interest</w:t>
            </w:r>
          </w:p>
        </w:tc>
        <w:tc>
          <w:tcPr>
            <w:tcW w:w="106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Average</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Average</w:t>
            </w:r>
          </w:p>
        </w:tc>
        <w:tc>
          <w:tcPr>
            <w:tcW w:w="140" w:type="dxa"/>
            <w:vAlign w:val="bottom"/>
          </w:tcPr>
          <w:p>
            <w:pPr>
              <w:spacing w:after="0"/>
              <w:rPr>
                <w:sz w:val="14"/>
                <w:szCs w:val="14"/>
                <w:color w:val="auto"/>
              </w:rPr>
            </w:pPr>
          </w:p>
        </w:tc>
        <w:tc>
          <w:tcPr>
            <w:tcW w:w="940" w:type="dxa"/>
            <w:vAlign w:val="bottom"/>
            <w:gridSpan w:val="2"/>
          </w:tcPr>
          <w:p>
            <w:pPr>
              <w:ind w:left="60"/>
              <w:spacing w:after="0" w:line="163" w:lineRule="exact"/>
              <w:rPr>
                <w:sz w:val="20"/>
                <w:szCs w:val="20"/>
                <w:color w:val="auto"/>
              </w:rPr>
            </w:pPr>
            <w:r>
              <w:rPr>
                <w:rFonts w:ascii="Arial" w:cs="Arial" w:eastAsia="Arial" w:hAnsi="Arial"/>
                <w:sz w:val="17"/>
                <w:szCs w:val="17"/>
                <w:b w:val="1"/>
                <w:bCs w:val="1"/>
                <w:color w:val="auto"/>
              </w:rPr>
              <w:t>Interest</w:t>
            </w:r>
          </w:p>
        </w:tc>
        <w:tc>
          <w:tcPr>
            <w:tcW w:w="106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Average</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20"/>
              <w:spacing w:after="0" w:line="169" w:lineRule="exact"/>
              <w:rPr>
                <w:sz w:val="20"/>
                <w:szCs w:val="20"/>
                <w:color w:val="auto"/>
              </w:rPr>
            </w:pPr>
            <w:r>
              <w:rPr>
                <w:rFonts w:ascii="Arial" w:cs="Arial" w:eastAsia="Arial" w:hAnsi="Arial"/>
                <w:sz w:val="17"/>
                <w:szCs w:val="17"/>
                <w:b w:val="1"/>
                <w:bCs w:val="1"/>
                <w:color w:val="auto"/>
              </w:rPr>
              <w:t>Income /</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20"/>
              <w:spacing w:after="0" w:line="169" w:lineRule="exact"/>
              <w:rPr>
                <w:sz w:val="20"/>
                <w:szCs w:val="20"/>
                <w:color w:val="auto"/>
              </w:rPr>
            </w:pPr>
            <w:r>
              <w:rPr>
                <w:rFonts w:ascii="Arial" w:cs="Arial" w:eastAsia="Arial" w:hAnsi="Arial"/>
                <w:sz w:val="17"/>
                <w:szCs w:val="17"/>
                <w:b w:val="1"/>
                <w:bCs w:val="1"/>
                <w:color w:val="auto"/>
              </w:rPr>
              <w:t>Income /</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Balance</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Expense</w:t>
            </w:r>
          </w:p>
        </w:tc>
        <w:tc>
          <w:tcPr>
            <w:tcW w:w="106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17"/>
                <w:szCs w:val="17"/>
                <w:b w:val="1"/>
                <w:bCs w:val="1"/>
                <w:color w:val="auto"/>
                <w:w w:val="93"/>
              </w:rPr>
              <w:t>Yield / Rate</w:t>
            </w:r>
            <w:r>
              <w:rPr>
                <w:rFonts w:ascii="Arial" w:cs="Arial" w:eastAsia="Arial" w:hAnsi="Arial"/>
                <w:sz w:val="22"/>
                <w:szCs w:val="22"/>
                <w:b w:val="1"/>
                <w:bCs w:val="1"/>
                <w:color w:val="auto"/>
                <w:w w:val="93"/>
                <w:vertAlign w:val="superscript"/>
              </w:rPr>
              <w:t>(4)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Balance</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Expense</w:t>
            </w:r>
          </w:p>
        </w:tc>
        <w:tc>
          <w:tcPr>
            <w:tcW w:w="106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17"/>
                <w:szCs w:val="17"/>
                <w:b w:val="1"/>
                <w:bCs w:val="1"/>
                <w:color w:val="auto"/>
                <w:w w:val="93"/>
              </w:rPr>
              <w:t>Yield / Rate</w:t>
            </w:r>
            <w:r>
              <w:rPr>
                <w:rFonts w:ascii="Arial" w:cs="Arial" w:eastAsia="Arial" w:hAnsi="Arial"/>
                <w:sz w:val="22"/>
                <w:szCs w:val="22"/>
                <w:b w:val="1"/>
                <w:bCs w:val="1"/>
                <w:color w:val="auto"/>
                <w:w w:val="93"/>
                <w:vertAlign w:val="superscript"/>
              </w:rPr>
              <w:t>(4)</w:t>
            </w: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6"/>
                <w:szCs w:val="16"/>
                <w:i w:val="1"/>
                <w:iCs w:val="1"/>
                <w:color w:val="auto"/>
                <w:w w:val="91"/>
              </w:rPr>
              <w:t>(Dollars in thousands)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Interest-earning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180"/>
              <w:spacing w:after="0"/>
              <w:rPr>
                <w:sz w:val="20"/>
                <w:szCs w:val="20"/>
                <w:color w:val="auto"/>
              </w:rPr>
            </w:pPr>
            <w:r>
              <w:rPr>
                <w:rFonts w:ascii="Arial" w:cs="Arial" w:eastAsia="Arial" w:hAnsi="Arial"/>
                <w:sz w:val="17"/>
                <w:szCs w:val="17"/>
                <w:color w:val="auto"/>
              </w:rPr>
              <w:t>Securities - taxable</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217,231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1.71 %</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308,671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2,066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2.69 %</w:t>
            </w:r>
          </w:p>
        </w:tc>
        <w:tc>
          <w:tcPr>
            <w:tcW w:w="0" w:type="dxa"/>
            <w:vAlign w:val="bottom"/>
          </w:tcPr>
          <w:p>
            <w:pPr>
              <w:spacing w:after="0"/>
              <w:rPr>
                <w:sz w:val="1"/>
                <w:szCs w:val="1"/>
                <w:color w:val="auto"/>
              </w:rPr>
            </w:pPr>
          </w:p>
        </w:tc>
      </w:tr>
      <w:tr>
        <w:trPr>
          <w:trHeight w:val="221"/>
        </w:trPr>
        <w:tc>
          <w:tcPr>
            <w:tcW w:w="3940" w:type="dxa"/>
            <w:vAlign w:val="bottom"/>
            <w:shd w:val="clear" w:color="auto" w:fill="CCEEFF"/>
          </w:tcPr>
          <w:p>
            <w:pPr>
              <w:ind w:left="180"/>
              <w:spacing w:after="0" w:line="222" w:lineRule="exact"/>
              <w:rPr>
                <w:sz w:val="20"/>
                <w:szCs w:val="20"/>
                <w:color w:val="auto"/>
              </w:rPr>
            </w:pPr>
            <w:r>
              <w:rPr>
                <w:rFonts w:ascii="Arial" w:cs="Arial" w:eastAsia="Arial" w:hAnsi="Arial"/>
                <w:sz w:val="17"/>
                <w:szCs w:val="17"/>
                <w:color w:val="auto"/>
              </w:rPr>
              <w:t>Securities - tax-exempt</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21"/>
        </w:trPr>
        <w:tc>
          <w:tcPr>
            <w:tcW w:w="3940" w:type="dxa"/>
            <w:vAlign w:val="bottom"/>
          </w:tcPr>
          <w:p>
            <w:pPr>
              <w:ind w:left="180"/>
              <w:spacing w:after="0"/>
              <w:rPr>
                <w:sz w:val="20"/>
                <w:szCs w:val="20"/>
                <w:color w:val="auto"/>
              </w:rPr>
            </w:pPr>
            <w:r>
              <w:rPr>
                <w:rFonts w:ascii="Arial" w:cs="Arial" w:eastAsia="Arial" w:hAnsi="Arial"/>
                <w:sz w:val="17"/>
                <w:szCs w:val="17"/>
                <w:color w:val="auto"/>
              </w:rPr>
              <w:t>Federal funds sold</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060" w:type="dxa"/>
            <w:vAlign w:val="bottom"/>
          </w:tcPr>
          <w:p>
            <w:pPr>
              <w:jc w:val="right"/>
              <w:ind w:right="113"/>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21"/>
        </w:trPr>
        <w:tc>
          <w:tcPr>
            <w:tcW w:w="3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Interest-bearing deposits in other banks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21"/>
        </w:trPr>
        <w:tc>
          <w:tcPr>
            <w:tcW w:w="3940" w:type="dxa"/>
            <w:vAlign w:val="bottom"/>
            <w:tcBorders>
              <w:bottom w:val="single" w:sz="8" w:color="CCEEFF"/>
            </w:tcBorders>
          </w:tcPr>
          <w:p>
            <w:pPr>
              <w:ind w:left="180"/>
              <w:spacing w:after="0" w:line="222" w:lineRule="exact"/>
              <w:rPr>
                <w:sz w:val="20"/>
                <w:szCs w:val="20"/>
                <w:color w:val="auto"/>
              </w:rPr>
            </w:pPr>
            <w:r>
              <w:rPr>
                <w:rFonts w:ascii="Arial" w:cs="Arial" w:eastAsia="Arial" w:hAnsi="Arial"/>
                <w:sz w:val="17"/>
                <w:szCs w:val="17"/>
                <w:color w:val="auto"/>
              </w:rPr>
              <w:t>Gross loans, net of unearned income</w:t>
            </w:r>
            <w:r>
              <w:rPr>
                <w:rFonts w:ascii="Arial" w:cs="Arial" w:eastAsia="Arial" w:hAnsi="Arial"/>
                <w:sz w:val="22"/>
                <w:szCs w:val="22"/>
                <w:color w:val="auto"/>
                <w:vertAlign w:val="superscript"/>
              </w:rPr>
              <w:t>(2)(3)</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4,506,843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43,758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3,905,005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48,339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180"/>
              <w:spacing w:after="0" w:line="214" w:lineRule="exact"/>
              <w:rPr>
                <w:sz w:val="20"/>
                <w:szCs w:val="20"/>
                <w:color w:val="auto"/>
              </w:rPr>
            </w:pPr>
            <w:r>
              <w:rPr>
                <w:rFonts w:ascii="Arial" w:cs="Arial" w:eastAsia="Arial" w:hAnsi="Arial"/>
                <w:sz w:val="17"/>
                <w:szCs w:val="17"/>
                <w:color w:val="auto"/>
              </w:rPr>
              <w:t>Total interest-earning assets</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5,656,332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48,857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4,827,299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54,903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4.57 %</w:t>
            </w:r>
          </w:p>
        </w:tc>
        <w:tc>
          <w:tcPr>
            <w:tcW w:w="0" w:type="dxa"/>
            <w:vAlign w:val="bottom"/>
          </w:tcPr>
          <w:p>
            <w:pPr>
              <w:spacing w:after="0"/>
              <w:rPr>
                <w:sz w:val="1"/>
                <w:szCs w:val="1"/>
                <w:color w:val="auto"/>
              </w:rPr>
            </w:pPr>
          </w:p>
        </w:tc>
      </w:tr>
      <w:tr>
        <w:trPr>
          <w:trHeight w:val="221"/>
        </w:trPr>
        <w:tc>
          <w:tcPr>
            <w:tcW w:w="3940" w:type="dxa"/>
            <w:vAlign w:val="bottom"/>
          </w:tcPr>
          <w:p>
            <w:pPr>
              <w:ind w:left="180"/>
              <w:spacing w:after="0"/>
              <w:rPr>
                <w:sz w:val="20"/>
                <w:szCs w:val="20"/>
                <w:color w:val="auto"/>
              </w:rPr>
            </w:pPr>
            <w:r>
              <w:rPr>
                <w:rFonts w:ascii="Arial" w:cs="Arial" w:eastAsia="Arial" w:hAnsi="Arial"/>
                <w:sz w:val="17"/>
                <w:szCs w:val="17"/>
                <w:color w:val="auto"/>
              </w:rPr>
              <w:t>Allowance for loan losses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(78,371)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(57,627)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non-interest-earning assets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220,206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4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5,798,167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4,975,531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b w:val="1"/>
                <w:bCs w:val="1"/>
                <w:color w:val="auto"/>
              </w:rPr>
              <w:t>Interest-bearing liabilities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180"/>
              <w:spacing w:after="0"/>
              <w:rPr>
                <w:sz w:val="20"/>
                <w:szCs w:val="20"/>
                <w:color w:val="auto"/>
              </w:rPr>
            </w:pPr>
            <w:r>
              <w:rPr>
                <w:rFonts w:ascii="Arial" w:cs="Arial" w:eastAsia="Arial" w:hAnsi="Arial"/>
                <w:sz w:val="17"/>
                <w:szCs w:val="17"/>
                <w:color w:val="auto"/>
              </w:rPr>
              <w:t>Transaction deposits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716,763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0.21 %</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341,497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865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21"/>
        </w:trPr>
        <w:tc>
          <w:tcPr>
            <w:tcW w:w="3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Savings and money market deposits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2,421,765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1,886,785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1"/>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Time deposits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972,006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1,165,800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interest-bearing deposits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4,110,534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3,394,082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21"/>
        </w:trPr>
        <w:tc>
          <w:tcPr>
            <w:tcW w:w="3940" w:type="dxa"/>
            <w:vAlign w:val="bottom"/>
          </w:tcPr>
          <w:p>
            <w:pPr>
              <w:ind w:left="180"/>
              <w:spacing w:after="0"/>
              <w:rPr>
                <w:sz w:val="20"/>
                <w:szCs w:val="20"/>
                <w:color w:val="auto"/>
              </w:rPr>
            </w:pPr>
            <w:r>
              <w:rPr>
                <w:rFonts w:ascii="Arial" w:cs="Arial" w:eastAsia="Arial" w:hAnsi="Arial"/>
                <w:sz w:val="17"/>
                <w:szCs w:val="17"/>
                <w:color w:val="auto"/>
              </w:rPr>
              <w:t>FHLB and short-term borrowings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290,187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1,284</w:t>
            </w:r>
          </w:p>
        </w:tc>
        <w:tc>
          <w:tcPr>
            <w:tcW w:w="100" w:type="dxa"/>
            <w:vAlign w:val="bottom"/>
          </w:tcPr>
          <w:p>
            <w:pPr>
              <w:spacing w:after="0"/>
              <w:rPr>
                <w:sz w:val="19"/>
                <w:szCs w:val="19"/>
                <w:color w:val="auto"/>
              </w:rPr>
            </w:pP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391,143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1,673</w:t>
            </w:r>
          </w:p>
        </w:tc>
        <w:tc>
          <w:tcPr>
            <w:tcW w:w="100" w:type="dxa"/>
            <w:vAlign w:val="bottom"/>
          </w:tcPr>
          <w:p>
            <w:pPr>
              <w:spacing w:after="0"/>
              <w:rPr>
                <w:sz w:val="19"/>
                <w:szCs w:val="19"/>
                <w:color w:val="auto"/>
              </w:rPr>
            </w:pPr>
          </w:p>
        </w:tc>
        <w:tc>
          <w:tcPr>
            <w:tcW w:w="1060" w:type="dxa"/>
            <w:vAlign w:val="bottom"/>
          </w:tcPr>
          <w:p>
            <w:pPr>
              <w:jc w:val="right"/>
              <w:ind w:right="113"/>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ind w:left="180"/>
              <w:spacing w:after="0" w:line="170" w:lineRule="exact"/>
              <w:rPr>
                <w:sz w:val="20"/>
                <w:szCs w:val="20"/>
                <w:color w:val="auto"/>
              </w:rPr>
            </w:pPr>
            <w:r>
              <w:rPr>
                <w:rFonts w:ascii="Arial" w:cs="Arial" w:eastAsia="Arial" w:hAnsi="Arial"/>
                <w:sz w:val="17"/>
                <w:szCs w:val="17"/>
                <w:color w:val="auto"/>
              </w:rPr>
              <w:t>Trust preferred securities, net of fair value</w:t>
            </w:r>
          </w:p>
        </w:tc>
        <w:tc>
          <w:tcPr>
            <w:tcW w:w="2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9.96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rPr>
              <w:t>14.69</w:t>
            </w:r>
          </w:p>
        </w:tc>
        <w:tc>
          <w:tcPr>
            <w:tcW w:w="0" w:type="dxa"/>
            <w:vAlign w:val="bottom"/>
          </w:tcPr>
          <w:p>
            <w:pPr>
              <w:spacing w:after="0"/>
              <w:rPr>
                <w:sz w:val="1"/>
                <w:szCs w:val="1"/>
                <w:color w:val="auto"/>
              </w:rPr>
            </w:pPr>
          </w:p>
        </w:tc>
      </w:tr>
      <w:tr>
        <w:trPr>
          <w:trHeight w:val="221"/>
        </w:trPr>
        <w:tc>
          <w:tcPr>
            <w:tcW w:w="3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adjustments</w:t>
            </w: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180"/>
              <w:spacing w:after="0"/>
              <w:rPr>
                <w:sz w:val="20"/>
                <w:szCs w:val="20"/>
                <w:color w:val="auto"/>
              </w:rPr>
            </w:pPr>
            <w:r>
              <w:rPr>
                <w:rFonts w:ascii="Arial" w:cs="Arial" w:eastAsia="Arial" w:hAnsi="Arial"/>
                <w:sz w:val="17"/>
                <w:szCs w:val="17"/>
                <w:color w:val="auto"/>
              </w:rPr>
              <w:t>Non-interest-bearing deposits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731,472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540,318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Cost of funds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5,133,158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7,036</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0.56 %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4,326,466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1.49 %</w:t>
            </w:r>
          </w:p>
        </w:tc>
        <w:tc>
          <w:tcPr>
            <w:tcW w:w="0" w:type="dxa"/>
            <w:vAlign w:val="bottom"/>
          </w:tcPr>
          <w:p>
            <w:pPr>
              <w:spacing w:after="0"/>
              <w:rPr>
                <w:sz w:val="1"/>
                <w:szCs w:val="1"/>
                <w:color w:val="auto"/>
              </w:rPr>
            </w:pPr>
          </w:p>
        </w:tc>
      </w:tr>
      <w:tr>
        <w:trPr>
          <w:trHeight w:val="221"/>
        </w:trPr>
        <w:tc>
          <w:tcPr>
            <w:tcW w:w="3940" w:type="dxa"/>
            <w:vAlign w:val="bottom"/>
          </w:tcPr>
          <w:p>
            <w:pPr>
              <w:ind w:left="180"/>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612,959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4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5,798,167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4,975,531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3940" w:type="dxa"/>
            <w:vAlign w:val="bottom"/>
            <w:tcBorders>
              <w:bottom w:val="single" w:sz="8" w:color="CCEEFF"/>
            </w:tcBorders>
          </w:tcPr>
          <w:p>
            <w:pPr>
              <w:spacing w:after="0"/>
              <w:rPr>
                <w:sz w:val="3"/>
                <w:szCs w:val="3"/>
                <w:color w:val="auto"/>
              </w:rPr>
            </w:pPr>
          </w:p>
        </w:tc>
        <w:tc>
          <w:tcPr>
            <w:tcW w:w="220" w:type="dxa"/>
            <w:vAlign w:val="bottom"/>
            <w:tcBorders>
              <w:top w:val="single" w:sz="8" w:color="auto"/>
              <w:bottom w:val="single" w:sz="8" w:color="CCEEFF"/>
            </w:tcBorders>
          </w:tcPr>
          <w:p>
            <w:pPr>
              <w:spacing w:after="0"/>
              <w:rPr>
                <w:sz w:val="3"/>
                <w:szCs w:val="3"/>
                <w:color w:val="auto"/>
              </w:rPr>
            </w:pPr>
          </w:p>
        </w:tc>
        <w:tc>
          <w:tcPr>
            <w:tcW w:w="106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top w:val="single" w:sz="8" w:color="auto"/>
              <w:bottom w:val="single" w:sz="8" w:color="CCEEFF"/>
            </w:tcBorders>
          </w:tcPr>
          <w:p>
            <w:pPr>
              <w:spacing w:after="0"/>
              <w:rPr>
                <w:sz w:val="3"/>
                <w:szCs w:val="3"/>
                <w:color w:val="auto"/>
              </w:rPr>
            </w:pPr>
          </w:p>
        </w:tc>
        <w:tc>
          <w:tcPr>
            <w:tcW w:w="94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94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Net interest income</w:t>
            </w:r>
            <w:r>
              <w:rPr>
                <w:rFonts w:ascii="Arial" w:cs="Arial" w:eastAsia="Arial" w:hAnsi="Arial"/>
                <w:sz w:val="20"/>
                <w:szCs w:val="20"/>
                <w:color w:val="auto"/>
                <w:vertAlign w:val="superscript"/>
              </w:rPr>
              <w:t>(1)</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CCEEFF"/>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41,821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CCEEFF"/>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38,923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940" w:type="dxa"/>
            <w:vAlign w:val="bottom"/>
            <w:tcBorders>
              <w:top w:val="single" w:sz="8" w:color="CCEEFF"/>
            </w:tcBorders>
          </w:tcPr>
          <w:p>
            <w:pPr>
              <w:ind w:left="20"/>
              <w:spacing w:after="0" w:line="181" w:lineRule="exact"/>
              <w:rPr>
                <w:sz w:val="20"/>
                <w:szCs w:val="20"/>
                <w:color w:val="auto"/>
              </w:rPr>
            </w:pPr>
            <w:r>
              <w:rPr>
                <w:rFonts w:ascii="Arial" w:cs="Arial" w:eastAsia="Arial" w:hAnsi="Arial"/>
                <w:sz w:val="16"/>
                <w:szCs w:val="16"/>
                <w:color w:val="auto"/>
              </w:rPr>
              <w:t>Net interest spread</w:t>
            </w:r>
            <w:r>
              <w:rPr>
                <w:rFonts w:ascii="Arial" w:cs="Arial" w:eastAsia="Arial" w:hAnsi="Arial"/>
                <w:sz w:val="20"/>
                <w:szCs w:val="20"/>
                <w:color w:val="auto"/>
                <w:vertAlign w:val="superscript"/>
              </w:rPr>
              <w:t>(1)</w:t>
            </w:r>
          </w:p>
        </w:tc>
        <w:tc>
          <w:tcPr>
            <w:tcW w:w="22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2.94 %</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3.08 %</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940" w:type="dxa"/>
            <w:vAlign w:val="bottom"/>
            <w:tcBorders>
              <w:bottom w:val="single" w:sz="8" w:color="CCEEFF"/>
            </w:tcBorders>
            <w:shd w:val="clear" w:color="auto" w:fill="CCEEFF"/>
          </w:tcPr>
          <w:p>
            <w:pPr>
              <w:ind w:left="20"/>
              <w:spacing w:after="0" w:line="213" w:lineRule="exact"/>
              <w:rPr>
                <w:sz w:val="20"/>
                <w:szCs w:val="20"/>
                <w:color w:val="auto"/>
              </w:rPr>
            </w:pPr>
            <w:r>
              <w:rPr>
                <w:rFonts w:ascii="Arial" w:cs="Arial" w:eastAsia="Arial" w:hAnsi="Arial"/>
                <w:sz w:val="17"/>
                <w:szCs w:val="17"/>
                <w:color w:val="auto"/>
              </w:rPr>
              <w:t>Net interest margin</w:t>
            </w:r>
            <w:r>
              <w:rPr>
                <w:rFonts w:ascii="Arial" w:cs="Arial" w:eastAsia="Arial" w:hAnsi="Arial"/>
                <w:sz w:val="22"/>
                <w:szCs w:val="22"/>
                <w:color w:val="auto"/>
                <w:vertAlign w:val="superscript"/>
              </w:rPr>
              <w:t>(1)</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3.24 %</w:t>
            </w:r>
          </w:p>
        </w:tc>
        <w:tc>
          <w:tcPr>
            <w:tcW w:w="0" w:type="dxa"/>
            <w:vAlign w:val="bottom"/>
          </w:tcPr>
          <w:p>
            <w:pPr>
              <w:spacing w:after="0"/>
              <w:rPr>
                <w:sz w:val="1"/>
                <w:szCs w:val="1"/>
                <w:color w:val="auto"/>
              </w:rPr>
            </w:pPr>
          </w:p>
        </w:tc>
      </w:tr>
    </w:tbl>
    <w:p>
      <w:pPr>
        <w:ind w:left="220" w:hanging="150"/>
        <w:spacing w:after="0" w:line="234" w:lineRule="auto"/>
        <w:tabs>
          <w:tab w:leader="none" w:pos="2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Tax exempt income is calculated on a tax equivalent basis. Tax-free municipal securities are exempt from Federal income taxes. The incremental tax rate used is 21.0%.</w:t>
      </w:r>
    </w:p>
    <w:p>
      <w:pPr>
        <w:spacing w:after="0" w:line="23" w:lineRule="exact"/>
        <w:rPr>
          <w:rFonts w:ascii="Arial" w:cs="Arial" w:eastAsia="Arial" w:hAnsi="Arial"/>
          <w:sz w:val="18"/>
          <w:szCs w:val="18"/>
          <w:color w:val="auto"/>
          <w:vertAlign w:val="superscript"/>
        </w:rPr>
      </w:pPr>
    </w:p>
    <w:p>
      <w:pPr>
        <w:ind w:left="220" w:hanging="150"/>
        <w:spacing w:after="0" w:line="214" w:lineRule="auto"/>
        <w:tabs>
          <w:tab w:leader="none" w:pos="2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Loans, net of unearned income includes non-accrual loans of $63 million and $26 million as of March 31, 2021 and 2020, respectively.</w:t>
      </w:r>
    </w:p>
    <w:p>
      <w:pPr>
        <w:spacing w:after="0" w:line="23" w:lineRule="exact"/>
        <w:rPr>
          <w:rFonts w:ascii="Arial" w:cs="Arial" w:eastAsia="Arial" w:hAnsi="Arial"/>
          <w:sz w:val="18"/>
          <w:szCs w:val="18"/>
          <w:color w:val="auto"/>
          <w:vertAlign w:val="superscript"/>
        </w:rPr>
      </w:pPr>
    </w:p>
    <w:p>
      <w:pPr>
        <w:ind w:left="220" w:hanging="150"/>
        <w:spacing w:after="0" w:line="214" w:lineRule="auto"/>
        <w:tabs>
          <w:tab w:leader="none" w:pos="2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Loan interest income includes loan fees of $4 million and $2 million for the three months ended March 31, 2021 and 2020, respectively.</w:t>
      </w:r>
    </w:p>
    <w:p>
      <w:pPr>
        <w:spacing w:after="0" w:line="23" w:lineRule="exact"/>
        <w:rPr>
          <w:rFonts w:ascii="Arial" w:cs="Arial" w:eastAsia="Arial" w:hAnsi="Arial"/>
          <w:sz w:val="18"/>
          <w:szCs w:val="18"/>
          <w:color w:val="auto"/>
          <w:vertAlign w:val="superscript"/>
        </w:rPr>
      </w:pPr>
    </w:p>
    <w:p>
      <w:pPr>
        <w:ind w:left="220" w:right="60" w:hanging="150"/>
        <w:spacing w:after="0" w:line="252" w:lineRule="auto"/>
        <w:tabs>
          <w:tab w:leader="none" w:pos="20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Actual unrounded values are used to calculate the reported yield or rate disclosed. Accordingly, recalculations using the amounts in thousands as disclosed in this report may not produce the same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6360160</wp:posOffset>
            </wp:positionH>
            <wp:positionV relativeFrom="paragraph">
              <wp:posOffset>-621030</wp:posOffset>
            </wp:positionV>
            <wp:extent cx="678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-621030</wp:posOffset>
            </wp:positionV>
            <wp:extent cx="678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8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69215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80"/>
          </w:cols>
          <w:pgMar w:left="480" w:top="160"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160" w:firstLine="469"/>
        <w:spacing w:after="0" w:line="266" w:lineRule="auto"/>
        <w:rPr>
          <w:sz w:val="20"/>
          <w:szCs w:val="20"/>
          <w:color w:val="auto"/>
        </w:rPr>
      </w:pPr>
      <w:r>
        <w:rPr>
          <w:rFonts w:ascii="Arial" w:cs="Arial" w:eastAsia="Arial" w:hAnsi="Arial"/>
          <w:sz w:val="17"/>
          <w:szCs w:val="17"/>
          <w:color w:val="auto"/>
        </w:rPr>
        <w:t>Changes in interest income and interest expense result from changes in average balances (volume) of interest earning assets and interest-bearing liabilities, as well as changes in average interest rates. The following table sets forth the effects of changing rates and volumes on our net interest income during the periods shown. Information is provided with respect to: (i) changes in volume (change in volume times old rate); (ii) changes in rates (change in rate times old volume); and (iii) changes in rate/volume (change in rate times the change in volume).</w:t>
      </w:r>
    </w:p>
    <w:tbl>
      <w:tblPr>
        <w:tblLayout w:type="fixed"/>
        <w:tblInd w:w="160" w:type="dxa"/>
        <w:tblCellMar>
          <w:top w:w="0" w:type="dxa"/>
          <w:left w:w="0" w:type="dxa"/>
          <w:bottom w:w="0" w:type="dxa"/>
          <w:right w:w="0" w:type="dxa"/>
        </w:tblCellMar>
      </w:tblPr>
      <w:tr>
        <w:trPr>
          <w:trHeight w:val="221"/>
        </w:trPr>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3"/>
              </w:rPr>
              <w:t>Three Months Ended</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5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6"/>
          </w:tcPr>
          <w:p>
            <w:pPr>
              <w:jc w:val="center"/>
              <w:ind w:left="1193"/>
              <w:spacing w:after="0"/>
              <w:rPr>
                <w:sz w:val="20"/>
                <w:szCs w:val="20"/>
                <w:color w:val="auto"/>
              </w:rPr>
            </w:pPr>
            <w:r>
              <w:rPr>
                <w:rFonts w:ascii="Arial" w:cs="Arial" w:eastAsia="Arial" w:hAnsi="Arial"/>
                <w:sz w:val="17"/>
                <w:szCs w:val="17"/>
                <w:b w:val="1"/>
                <w:bCs w:val="1"/>
                <w:color w:val="auto"/>
                <w:w w:val="94"/>
              </w:rPr>
              <w:t>March 31, 2021 over 2020</w:t>
            </w:r>
          </w:p>
        </w:tc>
        <w:tc>
          <w:tcPr>
            <w:tcW w:w="1440" w:type="dxa"/>
            <w:vAlign w:val="bottom"/>
            <w:tcBorders>
              <w:bottom w:val="single" w:sz="8" w:color="auto"/>
            </w:tcBorders>
          </w:tcPr>
          <w:p>
            <w:pPr>
              <w:spacing w:after="0"/>
              <w:rPr>
                <w:sz w:val="19"/>
                <w:szCs w:val="19"/>
                <w:color w:val="auto"/>
              </w:rPr>
            </w:pPr>
          </w:p>
        </w:tc>
      </w:tr>
      <w:tr>
        <w:trPr>
          <w:trHeight w:val="214"/>
        </w:trPr>
        <w:tc>
          <w:tcPr>
            <w:tcW w:w="5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Average Volume</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7"/>
                <w:szCs w:val="17"/>
                <w:b w:val="1"/>
                <w:bCs w:val="1"/>
                <w:color w:val="auto"/>
                <w:w w:val="94"/>
              </w:rPr>
              <w:t>Yield/Rate</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3"/>
              <w:spacing w:after="0" w:line="214" w:lineRule="exact"/>
              <w:rPr>
                <w:sz w:val="20"/>
                <w:szCs w:val="20"/>
                <w:color w:val="auto"/>
              </w:rPr>
            </w:pPr>
            <w:r>
              <w:rPr>
                <w:rFonts w:ascii="Arial" w:cs="Arial" w:eastAsia="Arial" w:hAnsi="Arial"/>
                <w:sz w:val="17"/>
                <w:szCs w:val="17"/>
                <w:b w:val="1"/>
                <w:bCs w:val="1"/>
                <w:color w:val="auto"/>
                <w:w w:val="97"/>
              </w:rPr>
              <w:t>Net Change</w:t>
            </w:r>
            <w:r>
              <w:rPr>
                <w:rFonts w:ascii="Arial" w:cs="Arial" w:eastAsia="Arial" w:hAnsi="Arial"/>
                <w:sz w:val="22"/>
                <w:szCs w:val="22"/>
                <w:b w:val="1"/>
                <w:bCs w:val="1"/>
                <w:color w:val="auto"/>
                <w:w w:val="97"/>
                <w:vertAlign w:val="superscript"/>
              </w:rPr>
              <w:t>(2)</w:t>
            </w:r>
          </w:p>
        </w:tc>
      </w:tr>
      <w:tr>
        <w:trPr>
          <w:trHeight w:val="198"/>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i w:val="1"/>
                <w:iCs w:val="1"/>
                <w:color w:val="auto"/>
                <w:w w:val="91"/>
              </w:rPr>
              <w:t>(Dollars in thousands)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 Income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1"/>
        </w:trPr>
        <w:tc>
          <w:tcPr>
            <w:tcW w:w="5960" w:type="dxa"/>
            <w:vAlign w:val="bottom"/>
          </w:tcPr>
          <w:p>
            <w:pPr>
              <w:ind w:left="140"/>
              <w:spacing w:after="0"/>
              <w:rPr>
                <w:sz w:val="20"/>
                <w:szCs w:val="20"/>
                <w:color w:val="auto"/>
              </w:rPr>
            </w:pPr>
            <w:r>
              <w:rPr>
                <w:rFonts w:ascii="Arial" w:cs="Arial" w:eastAsia="Arial" w:hAnsi="Arial"/>
                <w:sz w:val="17"/>
                <w:szCs w:val="17"/>
                <w:color w:val="auto"/>
              </w:rPr>
              <w:t>Securities - taxable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(511)</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(639)</w:t>
            </w:r>
          </w:p>
        </w:tc>
        <w:tc>
          <w:tcPr>
            <w:tcW w:w="6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(1,150)</w:t>
            </w:r>
          </w:p>
        </w:tc>
      </w:tr>
      <w:tr>
        <w:trPr>
          <w:trHeight w:val="221"/>
        </w:trPr>
        <w:tc>
          <w:tcPr>
            <w:tcW w:w="5960" w:type="dxa"/>
            <w:vAlign w:val="bottom"/>
            <w:shd w:val="clear" w:color="auto" w:fill="CCEEFF"/>
          </w:tcPr>
          <w:p>
            <w:pPr>
              <w:ind w:left="140"/>
              <w:spacing w:after="0" w:line="222" w:lineRule="exact"/>
              <w:rPr>
                <w:sz w:val="20"/>
                <w:szCs w:val="20"/>
                <w:color w:val="auto"/>
              </w:rPr>
            </w:pPr>
            <w:r>
              <w:rPr>
                <w:rFonts w:ascii="Arial" w:cs="Arial" w:eastAsia="Arial" w:hAnsi="Arial"/>
                <w:sz w:val="17"/>
                <w:szCs w:val="17"/>
                <w:color w:val="auto"/>
              </w:rPr>
              <w:t>Securities - tax-exempt</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21"/>
        </w:trPr>
        <w:tc>
          <w:tcPr>
            <w:tcW w:w="5960" w:type="dxa"/>
            <w:vAlign w:val="bottom"/>
          </w:tcPr>
          <w:p>
            <w:pPr>
              <w:ind w:left="140"/>
              <w:spacing w:after="0"/>
              <w:rPr>
                <w:sz w:val="20"/>
                <w:szCs w:val="20"/>
                <w:color w:val="auto"/>
              </w:rPr>
            </w:pPr>
            <w:r>
              <w:rPr>
                <w:rFonts w:ascii="Arial" w:cs="Arial" w:eastAsia="Arial" w:hAnsi="Arial"/>
                <w:sz w:val="17"/>
                <w:szCs w:val="17"/>
                <w:color w:val="auto"/>
              </w:rPr>
              <w:t>Federal funds sold</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ind w:left="1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1"/>
        </w:trPr>
        <w:tc>
          <w:tcPr>
            <w:tcW w:w="5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Interest-bearing deposits in other banks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r>
      <w:tr>
        <w:trPr>
          <w:trHeight w:val="221"/>
        </w:trPr>
        <w:tc>
          <w:tcPr>
            <w:tcW w:w="59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Gross loans, net of unearned income</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(11,362)</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(4,581)</w:t>
            </w:r>
          </w:p>
        </w:tc>
      </w:tr>
      <w:tr>
        <w:trPr>
          <w:trHeight w:val="214"/>
        </w:trPr>
        <w:tc>
          <w:tcPr>
            <w:tcW w:w="5960" w:type="dxa"/>
            <w:vAlign w:val="bottom"/>
            <w:shd w:val="clear" w:color="auto" w:fill="CCEEFF"/>
          </w:tcPr>
          <w:p>
            <w:pPr>
              <w:ind w:left="220"/>
              <w:spacing w:after="0" w:line="214" w:lineRule="exact"/>
              <w:rPr>
                <w:sz w:val="20"/>
                <w:szCs w:val="20"/>
                <w:color w:val="auto"/>
              </w:rPr>
            </w:pPr>
            <w:r>
              <w:rPr>
                <w:rFonts w:ascii="Arial" w:cs="Arial" w:eastAsia="Arial" w:hAnsi="Arial"/>
                <w:sz w:val="17"/>
                <w:szCs w:val="17"/>
                <w:color w:val="auto"/>
              </w:rPr>
              <w:t>Total interest income</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(6,046)</w:t>
            </w:r>
          </w:p>
        </w:tc>
      </w:tr>
      <w:tr>
        <w:trPr>
          <w:trHeight w:val="221"/>
        </w:trPr>
        <w:tc>
          <w:tcPr>
            <w:tcW w:w="5960" w:type="dxa"/>
            <w:vAlign w:val="bottom"/>
          </w:tcPr>
          <w:p>
            <w:pPr>
              <w:ind w:left="20"/>
              <w:spacing w:after="0"/>
              <w:rPr>
                <w:sz w:val="20"/>
                <w:szCs w:val="20"/>
                <w:color w:val="auto"/>
              </w:rPr>
            </w:pPr>
            <w:r>
              <w:rPr>
                <w:rFonts w:ascii="Arial" w:cs="Arial" w:eastAsia="Arial" w:hAnsi="Arial"/>
                <w:sz w:val="17"/>
                <w:szCs w:val="17"/>
                <w:b w:val="1"/>
                <w:bCs w:val="1"/>
                <w:color w:val="auto"/>
              </w:rPr>
              <w:t>Interest Expense</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1"/>
        </w:trPr>
        <w:tc>
          <w:tcPr>
            <w:tcW w:w="5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Transaction deposits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r>
      <w:tr>
        <w:trPr>
          <w:trHeight w:val="221"/>
        </w:trPr>
        <w:tc>
          <w:tcPr>
            <w:tcW w:w="5960" w:type="dxa"/>
            <w:vAlign w:val="bottom"/>
          </w:tcPr>
          <w:p>
            <w:pPr>
              <w:ind w:left="140"/>
              <w:spacing w:after="0"/>
              <w:rPr>
                <w:sz w:val="20"/>
                <w:szCs w:val="20"/>
                <w:color w:val="auto"/>
              </w:rPr>
            </w:pPr>
            <w:r>
              <w:rPr>
                <w:rFonts w:ascii="Arial" w:cs="Arial" w:eastAsia="Arial" w:hAnsi="Arial"/>
                <w:sz w:val="17"/>
                <w:szCs w:val="17"/>
                <w:color w:val="auto"/>
              </w:rPr>
              <w:t>Savings and money market deposits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(5,867)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(4,347)</w:t>
            </w:r>
          </w:p>
        </w:tc>
      </w:tr>
      <w:tr>
        <w:trPr>
          <w:trHeight w:val="221"/>
        </w:trPr>
        <w:tc>
          <w:tcPr>
            <w:tcW w:w="5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Time deposits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(3,696)</w:t>
            </w:r>
          </w:p>
        </w:tc>
      </w:tr>
      <w:tr>
        <w:trPr>
          <w:trHeight w:val="214"/>
        </w:trPr>
        <w:tc>
          <w:tcPr>
            <w:tcW w:w="5960" w:type="dxa"/>
            <w:vAlign w:val="bottom"/>
          </w:tcPr>
          <w:p>
            <w:pPr>
              <w:ind w:left="140"/>
              <w:spacing w:after="0"/>
              <w:rPr>
                <w:sz w:val="20"/>
                <w:szCs w:val="20"/>
                <w:color w:val="auto"/>
              </w:rPr>
            </w:pPr>
            <w:r>
              <w:rPr>
                <w:rFonts w:ascii="Arial" w:cs="Arial" w:eastAsia="Arial" w:hAnsi="Arial"/>
                <w:sz w:val="17"/>
                <w:szCs w:val="17"/>
                <w:color w:val="auto"/>
              </w:rPr>
              <w:t>Total interest-bearing deposits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(9,601)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(8,544)</w:t>
            </w:r>
          </w:p>
        </w:tc>
      </w:tr>
      <w:tr>
        <w:trPr>
          <w:trHeight w:val="221"/>
        </w:trPr>
        <w:tc>
          <w:tcPr>
            <w:tcW w:w="5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FHLB and short-term borrowings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Arial" w:cs="Arial" w:eastAsia="Arial" w:hAnsi="Arial"/>
                <w:sz w:val="17"/>
                <w:szCs w:val="17"/>
                <w:color w:val="auto"/>
              </w:rPr>
              <w:t>55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r>
      <w:tr>
        <w:trPr>
          <w:trHeight w:val="221"/>
        </w:trPr>
        <w:tc>
          <w:tcPr>
            <w:tcW w:w="59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Trust preferred securities, net of fair value adjustments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14"/>
        </w:trPr>
        <w:tc>
          <w:tcPr>
            <w:tcW w:w="5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(9,558)</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(8,944)</w:t>
            </w:r>
          </w:p>
        </w:tc>
      </w:tr>
      <w:tr>
        <w:trPr>
          <w:trHeight w:val="214"/>
        </w:trPr>
        <w:tc>
          <w:tcPr>
            <w:tcW w:w="5960" w:type="dxa"/>
            <w:vAlign w:val="bottom"/>
          </w:tcPr>
          <w:p>
            <w:pPr>
              <w:ind w:left="340"/>
              <w:spacing w:after="0" w:line="214" w:lineRule="exact"/>
              <w:rPr>
                <w:sz w:val="20"/>
                <w:szCs w:val="20"/>
                <w:color w:val="auto"/>
              </w:rPr>
            </w:pPr>
            <w:r>
              <w:rPr>
                <w:rFonts w:ascii="Arial" w:cs="Arial" w:eastAsia="Arial" w:hAnsi="Arial"/>
                <w:sz w:val="17"/>
                <w:szCs w:val="17"/>
                <w:color w:val="auto"/>
              </w:rPr>
              <w:t>Net interest income</w:t>
            </w:r>
            <w:r>
              <w:rPr>
                <w:rFonts w:ascii="Arial" w:cs="Arial" w:eastAsia="Arial" w:hAnsi="Arial"/>
                <w:sz w:val="22"/>
                <w:szCs w:val="22"/>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6,228</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(3,330)</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2,898</w:t>
            </w: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 w:lineRule="exact"/>
        <w:rPr>
          <w:sz w:val="20"/>
          <w:szCs w:val="20"/>
          <w:color w:val="auto"/>
        </w:rPr>
      </w:pPr>
    </w:p>
    <w:p>
      <w:pPr>
        <w:ind w:left="340" w:hanging="162"/>
        <w:spacing w:after="0"/>
        <w:tabs>
          <w:tab w:leader="none" w:pos="34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Tax exempt income is calculated on a tax equivalent basis. Tax-free municipal securities are exempt from Federal income taxes. The incremental tax rate used is 21.0%.</w:t>
      </w:r>
    </w:p>
    <w:p>
      <w:pPr>
        <w:spacing w:after="0" w:line="23" w:lineRule="exact"/>
        <w:rPr>
          <w:rFonts w:ascii="Arial" w:cs="Arial" w:eastAsia="Arial" w:hAnsi="Arial"/>
          <w:sz w:val="18"/>
          <w:szCs w:val="18"/>
          <w:color w:val="auto"/>
          <w:vertAlign w:val="superscript"/>
        </w:rPr>
      </w:pPr>
    </w:p>
    <w:p>
      <w:pPr>
        <w:ind w:left="340" w:hanging="162"/>
        <w:spacing w:after="0" w:line="203" w:lineRule="auto"/>
        <w:tabs>
          <w:tab w:leader="none" w:pos="34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The change in interest not due solely to volume or rate has been allocated in proportion to the respective absolute dollar amounts of the change in volume or rate.</w:t>
      </w:r>
    </w:p>
    <w:p>
      <w:pPr>
        <w:spacing w:after="0" w:line="144" w:lineRule="exact"/>
        <w:rPr>
          <w:sz w:val="20"/>
          <w:szCs w:val="20"/>
          <w:color w:val="auto"/>
        </w:rPr>
      </w:pPr>
    </w:p>
    <w:p>
      <w:pPr>
        <w:jc w:val="both"/>
        <w:ind w:left="160" w:right="140"/>
        <w:spacing w:after="0" w:line="268" w:lineRule="auto"/>
        <w:rPr>
          <w:sz w:val="20"/>
          <w:szCs w:val="20"/>
          <w:color w:val="auto"/>
        </w:rPr>
      </w:pPr>
      <w:r>
        <w:rPr>
          <w:rFonts w:ascii="Arial" w:cs="Arial" w:eastAsia="Arial" w:hAnsi="Arial"/>
          <w:sz w:val="17"/>
          <w:szCs w:val="17"/>
          <w:b w:val="1"/>
          <w:bCs w:val="1"/>
          <w:u w:val="single" w:color="auto"/>
          <w:color w:val="auto"/>
        </w:rPr>
        <w:t>Interest income</w:t>
      </w:r>
      <w:r>
        <w:rPr>
          <w:rFonts w:ascii="Arial" w:cs="Arial" w:eastAsia="Arial" w:hAnsi="Arial"/>
          <w:sz w:val="17"/>
          <w:szCs w:val="17"/>
          <w:b w:val="1"/>
          <w:bCs w:val="1"/>
          <w:color w:val="auto"/>
        </w:rPr>
        <w:t xml:space="preserve"> - </w:t>
      </w:r>
      <w:r>
        <w:rPr>
          <w:rFonts w:ascii="Arial" w:cs="Arial" w:eastAsia="Arial" w:hAnsi="Arial"/>
          <w:sz w:val="17"/>
          <w:szCs w:val="17"/>
          <w:color w:val="auto"/>
        </w:rPr>
        <w:t>Interest income declined for the three months ended March 31, 2021 compared to the same period in 2020. Lower yields on earning assets</w:t>
      </w:r>
      <w:r>
        <w:rPr>
          <w:rFonts w:ascii="Arial" w:cs="Arial" w:eastAsia="Arial" w:hAnsi="Arial"/>
          <w:sz w:val="17"/>
          <w:szCs w:val="17"/>
          <w:b w:val="1"/>
          <w:bCs w:val="1"/>
          <w:color w:val="auto"/>
        </w:rPr>
        <w:t xml:space="preserve"> </w:t>
      </w:r>
      <w:r>
        <w:rPr>
          <w:rFonts w:ascii="Arial" w:cs="Arial" w:eastAsia="Arial" w:hAnsi="Arial"/>
          <w:sz w:val="17"/>
          <w:szCs w:val="17"/>
          <w:color w:val="auto"/>
        </w:rPr>
        <w:t>were driven by a decline in the interest rate environment. The decline in asset yields was partially offset by year-over-year loan growth and PPP loan income. We anticipate PPP loan fees to positively impact our yield going forward in 2021 as loans are forgiven and we accelerate the recognition of the unearned loan fees.</w:t>
      </w:r>
    </w:p>
    <w:p>
      <w:pPr>
        <w:spacing w:after="0" w:line="65"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b w:val="1"/>
          <w:bCs w:val="1"/>
          <w:u w:val="single" w:color="auto"/>
          <w:color w:val="auto"/>
        </w:rPr>
        <w:t>Interest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 Interest expense declined for the three months ended March 31, 2021 compared to the same period in 2020. The cost of interest-bearing</w:t>
      </w:r>
      <w:r>
        <w:rPr>
          <w:rFonts w:ascii="Arial" w:cs="Arial" w:eastAsia="Arial" w:hAnsi="Arial"/>
          <w:sz w:val="16"/>
          <w:szCs w:val="16"/>
          <w:b w:val="1"/>
          <w:bCs w:val="1"/>
          <w:color w:val="auto"/>
        </w:rPr>
        <w:t xml:space="preserve"> </w:t>
      </w:r>
      <w:r>
        <w:rPr>
          <w:rFonts w:ascii="Arial" w:cs="Arial" w:eastAsia="Arial" w:hAnsi="Arial"/>
          <w:sz w:val="16"/>
          <w:szCs w:val="16"/>
          <w:color w:val="auto"/>
        </w:rPr>
        <w:t>deposits continued to decline due to strategic rate changes in our deposit products driven by the declining interest rate environment. The decline in rates was offset by an increase in average volume due to increased liquidity in the market. The cost of FHLB and other borrowings remained relatively flat compared to 2020 as the Company’s increase in cash offset the need to renew or increase these borrowings. We currently anticipate our cost of funds to decline slightly throughout 2021 as we continue to reduce rates on deposits and longer term borrowings.</w:t>
      </w:r>
    </w:p>
    <w:p>
      <w:pPr>
        <w:spacing w:after="0" w:line="54"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b w:val="1"/>
          <w:bCs w:val="1"/>
          <w:u w:val="single" w:color="auto"/>
          <w:color w:val="auto"/>
        </w:rPr>
        <w:t>Net interest income</w:t>
      </w:r>
      <w:r>
        <w:rPr>
          <w:rFonts w:ascii="Arial" w:cs="Arial" w:eastAsia="Arial" w:hAnsi="Arial"/>
          <w:sz w:val="17"/>
          <w:szCs w:val="17"/>
          <w:b w:val="1"/>
          <w:bCs w:val="1"/>
          <w:color w:val="auto"/>
        </w:rPr>
        <w:t xml:space="preserve"> </w:t>
      </w:r>
      <w:r>
        <w:rPr>
          <w:rFonts w:ascii="Arial" w:cs="Arial" w:eastAsia="Arial" w:hAnsi="Arial"/>
          <w:sz w:val="17"/>
          <w:szCs w:val="17"/>
          <w:color w:val="auto"/>
        </w:rPr>
        <w:t>- Net interest income increased slightly for the three months ended March 31, 2021 compared to the same period in 2020 driven by</w:t>
      </w:r>
      <w:r>
        <w:rPr>
          <w:rFonts w:ascii="Arial" w:cs="Arial" w:eastAsia="Arial" w:hAnsi="Arial"/>
          <w:sz w:val="17"/>
          <w:szCs w:val="17"/>
          <w:b w:val="1"/>
          <w:bCs w:val="1"/>
          <w:color w:val="auto"/>
        </w:rPr>
        <w:t xml:space="preserve"> </w:t>
      </w:r>
      <w:r>
        <w:rPr>
          <w:rFonts w:ascii="Arial" w:cs="Arial" w:eastAsia="Arial" w:hAnsi="Arial"/>
          <w:sz w:val="17"/>
          <w:szCs w:val="17"/>
          <w:color w:val="auto"/>
        </w:rPr>
        <w:t>growth in average earning assets, offset by compression in net interest margin as earning assets repriced quicker than interest-bearing liabilities. We currently expect the net interest margin to remain flat in 2021 as earning assets continue to reprice, offset by maturities in borrowed funds that have higher interest rates. Our expected margin may continue to be impacted by the COVID-19 pandemic, placing loans on non-accrual status, including loans with deferred payments, and changes in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-673100</wp:posOffset>
            </wp:positionV>
            <wp:extent cx="5805805" cy="123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05805" cy="12382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Impact of Transition Away from LIBOR</w:t>
      </w:r>
    </w:p>
    <w:p>
      <w:pPr>
        <w:spacing w:after="0" w:line="169" w:lineRule="exact"/>
        <w:rPr>
          <w:sz w:val="20"/>
          <w:szCs w:val="20"/>
          <w:color w:val="auto"/>
        </w:rPr>
      </w:pPr>
    </w:p>
    <w:p>
      <w:pPr>
        <w:ind w:left="160" w:right="180" w:firstLine="469"/>
        <w:spacing w:after="0" w:line="263" w:lineRule="auto"/>
        <w:rPr>
          <w:sz w:val="20"/>
          <w:szCs w:val="20"/>
          <w:color w:val="auto"/>
        </w:rPr>
      </w:pPr>
      <w:r>
        <w:rPr>
          <w:rFonts w:ascii="Arial" w:cs="Arial" w:eastAsia="Arial" w:hAnsi="Arial"/>
          <w:sz w:val="17"/>
          <w:szCs w:val="17"/>
          <w:color w:val="auto"/>
        </w:rPr>
        <w:t>The Company had more than $1.5 billion in loans tied to LIBOR at March 31, 2021. The Company is replacing/adding loan document language to account for the transition away from LIBOR as loans renew or originate. The Company adopted Accounting Standards Update (“ASU”) 2020-04 “Reference Rate Reform (Topic 848): Facilitation of the Effects of Reference Rate Reform on Financial Reporting” in 2020. The ASU allows the Company to recognize the modification related to LIBOR as a continuation of the old contract, rather than a cancellation of the old contract resulting in a write off of unamortized fees and creation of a new contract.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Non-Interest Income</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center"/>
              <w:ind w:left="913"/>
              <w:spacing w:after="0"/>
              <w:rPr>
                <w:sz w:val="20"/>
                <w:szCs w:val="20"/>
                <w:color w:val="auto"/>
              </w:rPr>
            </w:pPr>
            <w:r>
              <w:rPr>
                <w:rFonts w:ascii="Arial" w:cs="Arial" w:eastAsia="Arial" w:hAnsi="Arial"/>
                <w:sz w:val="17"/>
                <w:szCs w:val="17"/>
                <w:b w:val="1"/>
                <w:bCs w:val="1"/>
                <w:color w:val="auto"/>
                <w:w w:val="95"/>
              </w:rPr>
              <w:t>For the Quarter Ended</w:t>
            </w:r>
          </w:p>
        </w:tc>
        <w:tc>
          <w:tcPr>
            <w:tcW w:w="1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09"/>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93"/>
              <w:spacing w:after="0"/>
              <w:rPr>
                <w:sz w:val="20"/>
                <w:szCs w:val="20"/>
                <w:color w:val="auto"/>
              </w:rPr>
            </w:pPr>
            <w:r>
              <w:rPr>
                <w:rFonts w:ascii="Arial" w:cs="Arial" w:eastAsia="Arial" w:hAnsi="Arial"/>
                <w:sz w:val="17"/>
                <w:szCs w:val="17"/>
                <w:b w:val="1"/>
                <w:bCs w:val="1"/>
                <w:color w:val="auto"/>
              </w:rPr>
              <w:t>March 31,</w:t>
            </w:r>
          </w:p>
        </w:tc>
        <w:tc>
          <w:tcPr>
            <w:tcW w:w="200" w:type="dxa"/>
            <w:vAlign w:val="bottom"/>
          </w:tcPr>
          <w:p>
            <w:pPr>
              <w:spacing w:after="0"/>
              <w:rPr>
                <w:sz w:val="18"/>
                <w:szCs w:val="18"/>
                <w:color w:val="auto"/>
              </w:rPr>
            </w:pPr>
          </w:p>
        </w:tc>
        <w:tc>
          <w:tcPr>
            <w:tcW w:w="1320" w:type="dxa"/>
            <w:vAlign w:val="bottom"/>
          </w:tcPr>
          <w:p>
            <w:pPr>
              <w:jc w:val="right"/>
              <w:ind w:right="173"/>
              <w:spacing w:after="0"/>
              <w:rPr>
                <w:sz w:val="20"/>
                <w:szCs w:val="20"/>
                <w:color w:val="auto"/>
              </w:rPr>
            </w:pPr>
            <w:r>
              <w:rPr>
                <w:rFonts w:ascii="Arial" w:cs="Arial" w:eastAsia="Arial" w:hAnsi="Arial"/>
                <w:sz w:val="17"/>
                <w:szCs w:val="17"/>
                <w:b w:val="1"/>
                <w:bCs w:val="1"/>
                <w:color w:val="auto"/>
                <w:w w:val="94"/>
              </w:rPr>
              <w:t>December 31,</w:t>
            </w:r>
          </w:p>
        </w:tc>
        <w:tc>
          <w:tcPr>
            <w:tcW w:w="200" w:type="dxa"/>
            <w:vAlign w:val="bottom"/>
          </w:tcPr>
          <w:p>
            <w:pPr>
              <w:spacing w:after="0"/>
              <w:rPr>
                <w:sz w:val="18"/>
                <w:szCs w:val="18"/>
                <w:color w:val="auto"/>
              </w:rPr>
            </w:pPr>
          </w:p>
        </w:tc>
        <w:tc>
          <w:tcPr>
            <w:tcW w:w="1340" w:type="dxa"/>
            <w:vAlign w:val="bottom"/>
          </w:tcPr>
          <w:p>
            <w:pPr>
              <w:jc w:val="center"/>
              <w:ind w:right="113"/>
              <w:spacing w:after="0"/>
              <w:rPr>
                <w:sz w:val="20"/>
                <w:szCs w:val="20"/>
                <w:color w:val="auto"/>
              </w:rPr>
            </w:pPr>
            <w:r>
              <w:rPr>
                <w:rFonts w:ascii="Arial" w:cs="Arial" w:eastAsia="Arial" w:hAnsi="Arial"/>
                <w:sz w:val="17"/>
                <w:szCs w:val="17"/>
                <w:b w:val="1"/>
                <w:bCs w:val="1"/>
                <w:color w:val="auto"/>
                <w:w w:val="91"/>
              </w:rPr>
              <w:t>September 30,</w:t>
            </w:r>
          </w:p>
        </w:tc>
        <w:tc>
          <w:tcPr>
            <w:tcW w:w="300" w:type="dxa"/>
            <w:vAlign w:val="bottom"/>
          </w:tcPr>
          <w:p>
            <w:pPr>
              <w:spacing w:after="0"/>
              <w:rPr>
                <w:sz w:val="18"/>
                <w:szCs w:val="18"/>
                <w:color w:val="auto"/>
              </w:rPr>
            </w:pPr>
          </w:p>
        </w:tc>
        <w:tc>
          <w:tcPr>
            <w:tcW w:w="1200" w:type="dxa"/>
            <w:vAlign w:val="bottom"/>
          </w:tcPr>
          <w:p>
            <w:pPr>
              <w:jc w:val="right"/>
              <w:ind w:right="353"/>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233"/>
              <w:spacing w:after="0"/>
              <w:rPr>
                <w:sz w:val="20"/>
                <w:szCs w:val="20"/>
                <w:color w:val="auto"/>
              </w:rPr>
            </w:pPr>
            <w:r>
              <w:rPr>
                <w:rFonts w:ascii="Arial" w:cs="Arial" w:eastAsia="Arial" w:hAnsi="Arial"/>
                <w:sz w:val="17"/>
                <w:szCs w:val="17"/>
                <w:b w:val="1"/>
                <w:bCs w:val="1"/>
                <w:color w:val="auto"/>
              </w:rPr>
              <w:t>March 31,</w:t>
            </w:r>
          </w:p>
        </w:tc>
      </w:tr>
      <w:tr>
        <w:trPr>
          <w:trHeight w:val="227"/>
        </w:trPr>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1320" w:type="dxa"/>
            <w:vAlign w:val="bottom"/>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9"/>
                <w:szCs w:val="19"/>
                <w:color w:val="auto"/>
              </w:rPr>
            </w:pPr>
          </w:p>
        </w:tc>
        <w:tc>
          <w:tcPr>
            <w:tcW w:w="1340" w:type="dxa"/>
            <w:vAlign w:val="bottom"/>
          </w:tcPr>
          <w:p>
            <w:pPr>
              <w:jc w:val="center"/>
              <w:ind w:right="93"/>
              <w:spacing w:after="0"/>
              <w:rPr>
                <w:sz w:val="20"/>
                <w:szCs w:val="20"/>
                <w:color w:val="auto"/>
              </w:rPr>
            </w:pPr>
            <w:r>
              <w:rPr>
                <w:rFonts w:ascii="Arial" w:cs="Arial" w:eastAsia="Arial" w:hAnsi="Arial"/>
                <w:sz w:val="17"/>
                <w:szCs w:val="17"/>
                <w:b w:val="1"/>
                <w:bCs w:val="1"/>
                <w:color w:val="auto"/>
                <w:w w:val="95"/>
              </w:rPr>
              <w:t>2020</w:t>
            </w:r>
          </w:p>
        </w:tc>
        <w:tc>
          <w:tcPr>
            <w:tcW w:w="300" w:type="dxa"/>
            <w:vAlign w:val="bottom"/>
          </w:tcPr>
          <w:p>
            <w:pPr>
              <w:spacing w:after="0"/>
              <w:rPr>
                <w:sz w:val="19"/>
                <w:szCs w:val="19"/>
                <w:color w:val="auto"/>
              </w:rPr>
            </w:pPr>
          </w:p>
        </w:tc>
        <w:tc>
          <w:tcPr>
            <w:tcW w:w="1200" w:type="dxa"/>
            <w:vAlign w:val="bottom"/>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19"/>
                <w:szCs w:val="19"/>
                <w:color w:val="auto"/>
              </w:rPr>
            </w:pPr>
          </w:p>
        </w:tc>
        <w:tc>
          <w:tcPr>
            <w:tcW w:w="1200" w:type="dxa"/>
            <w:vAlign w:val="bottom"/>
          </w:tcPr>
          <w:p>
            <w:pPr>
              <w:jc w:val="right"/>
              <w:ind w:right="453"/>
              <w:spacing w:after="0"/>
              <w:rPr>
                <w:sz w:val="20"/>
                <w:szCs w:val="20"/>
                <w:color w:val="auto"/>
              </w:rPr>
            </w:pPr>
            <w:r>
              <w:rPr>
                <w:rFonts w:ascii="Arial" w:cs="Arial" w:eastAsia="Arial" w:hAnsi="Arial"/>
                <w:sz w:val="17"/>
                <w:szCs w:val="17"/>
                <w:b w:val="1"/>
                <w:bCs w:val="1"/>
                <w:color w:val="auto"/>
              </w:rPr>
              <w:t>2020</w:t>
            </w:r>
          </w:p>
        </w:tc>
      </w:tr>
      <w:tr>
        <w:trPr>
          <w:trHeight w:val="26"/>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i w:val="1"/>
                <w:iCs w:val="1"/>
                <w:color w:val="auto"/>
                <w:w w:val="89"/>
              </w:rPr>
              <w:t>(Dollars in thousands)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non-interest income</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4,144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2,949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4,063</w:t>
            </w:r>
          </w:p>
        </w:tc>
        <w:tc>
          <w:tcPr>
            <w:tcW w:w="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2,634</w:t>
            </w:r>
          </w:p>
        </w:tc>
        <w:tc>
          <w:tcPr>
            <w:tcW w:w="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2,087</w:t>
            </w:r>
          </w:p>
        </w:tc>
      </w:tr>
      <w:tr>
        <w:trPr>
          <w:trHeight w:val="287"/>
        </w:trPr>
        <w:tc>
          <w:tcPr>
            <w:tcW w:w="3600" w:type="dxa"/>
            <w:vAlign w:val="bottom"/>
          </w:tcPr>
          <w:p>
            <w:pPr>
              <w:ind w:left="20"/>
              <w:spacing w:after="0"/>
              <w:rPr>
                <w:sz w:val="20"/>
                <w:szCs w:val="20"/>
                <w:color w:val="auto"/>
              </w:rPr>
            </w:pPr>
            <w:r>
              <w:rPr>
                <w:rFonts w:ascii="Arial" w:cs="Arial" w:eastAsia="Arial" w:hAnsi="Arial"/>
                <w:sz w:val="17"/>
                <w:szCs w:val="17"/>
                <w:color w:val="auto"/>
              </w:rPr>
              <w:t>Non-interest income to average assets</w:t>
            </w:r>
            <w:r>
              <w:rPr>
                <w:rFonts w:ascii="Arial" w:cs="Arial" w:eastAsia="Arial" w:hAnsi="Arial"/>
                <w:sz w:val="22"/>
                <w:szCs w:val="22"/>
                <w:color w:val="auto"/>
                <w:vertAlign w:val="superscript"/>
              </w:rPr>
              <w:t>(1)</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0.29 %</w:t>
            </w: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0.21 %</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0.29 %</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0.19 %</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0.17 %</w:t>
            </w:r>
          </w:p>
        </w:tc>
      </w:tr>
    </w:tbl>
    <w:p>
      <w:pPr>
        <w:ind w:left="340" w:hanging="162"/>
        <w:spacing w:after="0" w:line="207" w:lineRule="auto"/>
        <w:tabs>
          <w:tab w:leader="none" w:pos="34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Interim periods annualized.</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non-interest income were as follows for the periods shown:</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6"/>
          </w:tcPr>
          <w:p>
            <w:pPr>
              <w:jc w:val="center"/>
              <w:ind w:right="720"/>
              <w:spacing w:after="0"/>
              <w:rPr>
                <w:sz w:val="20"/>
                <w:szCs w:val="20"/>
                <w:color w:val="auto"/>
              </w:rPr>
            </w:pPr>
            <w:r>
              <w:rPr>
                <w:rFonts w:ascii="Arial" w:cs="Arial" w:eastAsia="Arial" w:hAnsi="Arial"/>
                <w:sz w:val="17"/>
                <w:szCs w:val="17"/>
                <w:b w:val="1"/>
                <w:bCs w:val="1"/>
                <w:color w:val="auto"/>
                <w:w w:val="93"/>
              </w:rPr>
              <w:t>Three Months Ended</w:t>
            </w:r>
          </w:p>
        </w:tc>
        <w:tc>
          <w:tcPr>
            <w:tcW w:w="1000" w:type="dxa"/>
            <w:vAlign w:val="bottom"/>
          </w:tcPr>
          <w:p>
            <w:pPr>
              <w:spacing w:after="0"/>
              <w:rPr>
                <w:sz w:val="19"/>
                <w:szCs w:val="19"/>
                <w:color w:val="auto"/>
              </w:rPr>
            </w:pPr>
          </w:p>
        </w:tc>
      </w:tr>
      <w:tr>
        <w:trPr>
          <w:trHeight w:val="227"/>
        </w:trPr>
        <w:tc>
          <w:tcPr>
            <w:tcW w:w="53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7"/>
                <w:szCs w:val="17"/>
                <w:b w:val="1"/>
                <w:bCs w:val="1"/>
                <w:color w:val="auto"/>
                <w:w w:val="96"/>
              </w:rPr>
              <w:t>March 31,</w:t>
            </w: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4"/>
        </w:trPr>
        <w:tc>
          <w:tcPr>
            <w:tcW w:w="5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7"/>
                <w:szCs w:val="17"/>
                <w:b w:val="1"/>
                <w:bCs w:val="1"/>
                <w:color w:val="auto"/>
              </w:rPr>
              <w:t>Change</w:t>
            </w:r>
          </w:p>
        </w:tc>
        <w:tc>
          <w:tcPr>
            <w:tcW w:w="1000" w:type="dxa"/>
            <w:vAlign w:val="bottom"/>
            <w:tcBorders>
              <w:bottom w:val="single" w:sz="8" w:color="auto"/>
            </w:tcBorders>
          </w:tcPr>
          <w:p>
            <w:pPr>
              <w:spacing w:after="0"/>
              <w:rPr>
                <w:sz w:val="18"/>
                <w:szCs w:val="18"/>
                <w:color w:val="auto"/>
              </w:rPr>
            </w:pPr>
          </w:p>
        </w:tc>
      </w:tr>
      <w:tr>
        <w:trPr>
          <w:trHeight w:val="214"/>
        </w:trPr>
        <w:tc>
          <w:tcPr>
            <w:tcW w:w="53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w:t>
            </w:r>
          </w:p>
        </w:tc>
      </w:tr>
      <w:tr>
        <w:trPr>
          <w:trHeight w:val="198"/>
        </w:trPr>
        <w:tc>
          <w:tcPr>
            <w:tcW w:w="5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gridSpan w:val="6"/>
          </w:tcPr>
          <w:p>
            <w:pPr>
              <w:jc w:val="center"/>
              <w:ind w:right="720"/>
              <w:spacing w:after="0"/>
              <w:rPr>
                <w:sz w:val="20"/>
                <w:szCs w:val="20"/>
                <w:color w:val="auto"/>
              </w:rPr>
            </w:pPr>
            <w:r>
              <w:rPr>
                <w:rFonts w:ascii="Arial" w:cs="Arial" w:eastAsia="Arial" w:hAnsi="Arial"/>
                <w:sz w:val="16"/>
                <w:szCs w:val="16"/>
                <w:i w:val="1"/>
                <w:iCs w:val="1"/>
                <w:color w:val="auto"/>
                <w:w w:val="91"/>
              </w:rPr>
              <w:t>(Dollars in thousands)</w:t>
            </w:r>
          </w:p>
        </w:tc>
        <w:tc>
          <w:tcPr>
            <w:tcW w:w="1000" w:type="dxa"/>
            <w:vAlign w:val="bottom"/>
          </w:tcPr>
          <w:p>
            <w:pPr>
              <w:spacing w:after="0"/>
              <w:rPr>
                <w:sz w:val="17"/>
                <w:szCs w:val="17"/>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charges and fees on customer accounts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88 %</w:t>
            </w:r>
          </w:p>
        </w:tc>
      </w:tr>
      <w:tr>
        <w:trPr>
          <w:trHeight w:val="221"/>
        </w:trPr>
        <w:tc>
          <w:tcPr>
            <w:tcW w:w="5340" w:type="dxa"/>
            <w:vAlign w:val="bottom"/>
          </w:tcPr>
          <w:p>
            <w:pPr>
              <w:ind w:left="20"/>
              <w:spacing w:after="0"/>
              <w:rPr>
                <w:sz w:val="20"/>
                <w:szCs w:val="20"/>
                <w:color w:val="auto"/>
              </w:rPr>
            </w:pPr>
            <w:r>
              <w:rPr>
                <w:rFonts w:ascii="Arial" w:cs="Arial" w:eastAsia="Arial" w:hAnsi="Arial"/>
                <w:sz w:val="17"/>
                <w:szCs w:val="17"/>
                <w:color w:val="auto"/>
              </w:rPr>
              <w:t>Realized gains on available-for-sale securities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7"/>
                <w:szCs w:val="17"/>
                <w:color w:val="auto"/>
              </w:rPr>
              <w:t>(97)</w:t>
            </w:r>
          </w:p>
        </w:tc>
      </w:tr>
      <w:tr>
        <w:trPr>
          <w:trHeight w:val="221"/>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bank-owned life insurance</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(9)</w:t>
            </w:r>
          </w:p>
        </w:tc>
      </w:tr>
      <w:tr>
        <w:trPr>
          <w:trHeight w:val="221"/>
        </w:trPr>
        <w:tc>
          <w:tcPr>
            <w:tcW w:w="5340" w:type="dxa"/>
            <w:vAlign w:val="bottom"/>
          </w:tcPr>
          <w:p>
            <w:pPr>
              <w:ind w:left="20"/>
              <w:spacing w:after="0"/>
              <w:rPr>
                <w:sz w:val="20"/>
                <w:szCs w:val="20"/>
                <w:color w:val="auto"/>
              </w:rPr>
            </w:pPr>
            <w:r>
              <w:rPr>
                <w:rFonts w:ascii="Arial" w:cs="Arial" w:eastAsia="Arial" w:hAnsi="Arial"/>
                <w:sz w:val="17"/>
                <w:szCs w:val="17"/>
                <w:color w:val="auto"/>
              </w:rPr>
              <w:t>Swap fees and credit valuation adjustments, net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Arial" w:cs="Arial" w:eastAsia="Arial" w:hAnsi="Arial"/>
                <w:sz w:val="17"/>
                <w:szCs w:val="17"/>
                <w:color w:val="auto"/>
              </w:rPr>
              <w:t>1,822</w:t>
            </w:r>
          </w:p>
        </w:tc>
      </w:tr>
      <w:tr>
        <w:trPr>
          <w:trHeight w:val="221"/>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ATM and credit card interchange income</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2,328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380</w:t>
            </w:r>
          </w:p>
        </w:tc>
      </w:tr>
      <w:tr>
        <w:trPr>
          <w:trHeight w:val="221"/>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non-interest income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9</w:t>
            </w:r>
          </w:p>
        </w:tc>
      </w:tr>
      <w:tr>
        <w:trPr>
          <w:trHeight w:val="239"/>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non-interest income</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4,144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2,057</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non-interest income were driven by the following:</w:t>
      </w:r>
    </w:p>
    <w:p>
      <w:pPr>
        <w:spacing w:after="0" w:line="163" w:lineRule="exact"/>
        <w:rPr>
          <w:sz w:val="20"/>
          <w:szCs w:val="20"/>
          <w:color w:val="auto"/>
        </w:rPr>
      </w:pPr>
    </w:p>
    <w:p>
      <w:pPr>
        <w:ind w:left="160" w:right="200"/>
        <w:spacing w:after="0" w:line="268" w:lineRule="auto"/>
        <w:rPr>
          <w:sz w:val="20"/>
          <w:szCs w:val="20"/>
          <w:color w:val="auto"/>
        </w:rPr>
      </w:pPr>
      <w:r>
        <w:rPr>
          <w:rFonts w:ascii="Arial" w:cs="Arial" w:eastAsia="Arial" w:hAnsi="Arial"/>
          <w:sz w:val="17"/>
          <w:szCs w:val="17"/>
          <w:b w:val="1"/>
          <w:bCs w:val="1"/>
          <w:u w:val="single" w:color="auto"/>
          <w:color w:val="auto"/>
        </w:rPr>
        <w:t>Service Charges and Fees on Customer Accounts</w:t>
      </w:r>
      <w:r>
        <w:rPr>
          <w:rFonts w:ascii="Arial" w:cs="Arial" w:eastAsia="Arial" w:hAnsi="Arial"/>
          <w:sz w:val="17"/>
          <w:szCs w:val="17"/>
          <w:b w:val="1"/>
          <w:bCs w:val="1"/>
          <w:color w:val="auto"/>
        </w:rPr>
        <w:t xml:space="preserve"> </w:t>
      </w:r>
      <w:r>
        <w:rPr>
          <w:rFonts w:ascii="Arial" w:cs="Arial" w:eastAsia="Arial" w:hAnsi="Arial"/>
          <w:sz w:val="17"/>
          <w:szCs w:val="17"/>
          <w:color w:val="auto"/>
        </w:rPr>
        <w:t>- This category includes account analysis fees offset by a customer rebate program. The increase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March 31, 2021 compared to the same corresponding period in 2020 was driven by a decline in costs associated with our rebate program, including a reduction in the funded balance and reduction in rates used. In addition, customer growth and an increase in outstanding balances improved account analysis fees.</w:t>
      </w:r>
    </w:p>
    <w:p>
      <w:pPr>
        <w:spacing w:after="0" w:line="117" w:lineRule="exact"/>
        <w:rPr>
          <w:sz w:val="20"/>
          <w:szCs w:val="20"/>
          <w:color w:val="auto"/>
        </w:rPr>
      </w:pPr>
    </w:p>
    <w:p>
      <w:pPr>
        <w:jc w:val="both"/>
        <w:ind w:left="160" w:right="460"/>
        <w:spacing w:after="0" w:line="275" w:lineRule="auto"/>
        <w:rPr>
          <w:sz w:val="20"/>
          <w:szCs w:val="20"/>
          <w:color w:val="auto"/>
        </w:rPr>
      </w:pPr>
      <w:r>
        <w:rPr>
          <w:rFonts w:ascii="Arial" w:cs="Arial" w:eastAsia="Arial" w:hAnsi="Arial"/>
          <w:sz w:val="17"/>
          <w:szCs w:val="17"/>
          <w:b w:val="1"/>
          <w:bCs w:val="1"/>
          <w:u w:val="single" w:color="auto"/>
          <w:color w:val="auto"/>
        </w:rPr>
        <w:t>Realized Gains on Available-for-Sale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 The decrease for the quarter ended March 31, 2021 was primarily due to the value and volume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securities sold in 2020 in the declining rate environment. The 2020 sales were a strategic decision by management to capitalize on attractive market conditions and improve credit quality.</w:t>
      </w:r>
    </w:p>
    <w:p>
      <w:pPr>
        <w:spacing w:after="0" w:line="109"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b w:val="1"/>
          <w:bCs w:val="1"/>
          <w:u w:val="single" w:color="auto"/>
          <w:color w:val="auto"/>
        </w:rPr>
        <w:t>Swap Fee and Credit Valuation Adjustments, Net</w:t>
      </w:r>
      <w:r>
        <w:rPr>
          <w:rFonts w:ascii="Arial" w:cs="Arial" w:eastAsia="Arial" w:hAnsi="Arial"/>
          <w:sz w:val="17"/>
          <w:szCs w:val="17"/>
          <w:b w:val="1"/>
          <w:bCs w:val="1"/>
          <w:color w:val="auto"/>
        </w:rPr>
        <w:t xml:space="preserve"> </w:t>
      </w:r>
      <w:r>
        <w:rPr>
          <w:rFonts w:ascii="Arial" w:cs="Arial" w:eastAsia="Arial" w:hAnsi="Arial"/>
          <w:sz w:val="17"/>
          <w:szCs w:val="17"/>
          <w:color w:val="auto"/>
        </w:rPr>
        <w:t>- This category includes swap fees from the execution of new swaps and the credit valuation adjustment</w:t>
      </w:r>
      <w:r>
        <w:rPr>
          <w:rFonts w:ascii="Arial" w:cs="Arial" w:eastAsia="Arial" w:hAnsi="Arial"/>
          <w:sz w:val="17"/>
          <w:szCs w:val="17"/>
          <w:b w:val="1"/>
          <w:bCs w:val="1"/>
          <w:color w:val="auto"/>
        </w:rPr>
        <w:t xml:space="preserve"> </w:t>
      </w:r>
      <w:r>
        <w:rPr>
          <w:rFonts w:ascii="Arial" w:cs="Arial" w:eastAsia="Arial" w:hAnsi="Arial"/>
          <w:sz w:val="17"/>
          <w:szCs w:val="17"/>
          <w:color w:val="auto"/>
        </w:rPr>
        <w:t>(“CVA”). Swap fees on new swaps depend on the size and term of the underlying asset. During the first quarter of 2021, no new swaps were executed compared to two new swaps for the same period in 2020. The low volume of new swaps was due to management's loan and pricing strategy. Increased rates as of March 31, 2021 played a significant role in the year-over-year increase.</w:t>
      </w:r>
    </w:p>
    <w:p>
      <w:pPr>
        <w:spacing w:after="0" w:line="117" w:lineRule="exact"/>
        <w:rPr>
          <w:sz w:val="20"/>
          <w:szCs w:val="20"/>
          <w:color w:val="auto"/>
        </w:rPr>
      </w:pPr>
    </w:p>
    <w:p>
      <w:pPr>
        <w:jc w:val="both"/>
        <w:ind w:left="160" w:right="240"/>
        <w:spacing w:after="0" w:line="327" w:lineRule="auto"/>
        <w:rPr>
          <w:sz w:val="20"/>
          <w:szCs w:val="20"/>
          <w:color w:val="auto"/>
        </w:rPr>
      </w:pPr>
      <w:r>
        <w:rPr>
          <w:rFonts w:ascii="Arial" w:cs="Arial" w:eastAsia="Arial" w:hAnsi="Arial"/>
          <w:sz w:val="15"/>
          <w:szCs w:val="15"/>
          <w:b w:val="1"/>
          <w:bCs w:val="1"/>
          <w:u w:val="single" w:color="auto"/>
          <w:color w:val="auto"/>
        </w:rPr>
        <w:t>ATM and Credit Card Interchange Income</w:t>
      </w:r>
      <w:r>
        <w:rPr>
          <w:rFonts w:ascii="Arial" w:cs="Arial" w:eastAsia="Arial" w:hAnsi="Arial"/>
          <w:sz w:val="15"/>
          <w:szCs w:val="15"/>
          <w:b w:val="1"/>
          <w:bCs w:val="1"/>
          <w:color w:val="auto"/>
        </w:rPr>
        <w:t xml:space="preserve"> </w:t>
      </w:r>
      <w:r>
        <w:rPr>
          <w:rFonts w:ascii="Arial" w:cs="Arial" w:eastAsia="Arial" w:hAnsi="Arial"/>
          <w:sz w:val="15"/>
          <w:szCs w:val="15"/>
          <w:color w:val="auto"/>
        </w:rPr>
        <w:t>- The increase in ATM and credit card interchange income for the quarter ended March 31, 2021 compared to</w:t>
      </w:r>
      <w:r>
        <w:rPr>
          <w:rFonts w:ascii="Arial" w:cs="Arial" w:eastAsia="Arial" w:hAnsi="Arial"/>
          <w:sz w:val="15"/>
          <w:szCs w:val="15"/>
          <w:b w:val="1"/>
          <w:bCs w:val="1"/>
          <w:color w:val="auto"/>
        </w:rPr>
        <w:t xml:space="preserve"> </w:t>
      </w:r>
      <w:r>
        <w:rPr>
          <w:rFonts w:ascii="Arial" w:cs="Arial" w:eastAsia="Arial" w:hAnsi="Arial"/>
          <w:sz w:val="15"/>
          <w:szCs w:val="15"/>
          <w:color w:val="auto"/>
        </w:rPr>
        <w:t>the same period in 2020 was primarily the result of customers that mobilized their workforce directly impacted by the COVID-19 pandemic. The Company anticipates the credit card activity and related income will decline in connection with a decline in COVID-19 cases and the related vaccine rollout.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-435610</wp:posOffset>
            </wp:positionV>
            <wp:extent cx="4854575" cy="123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54575" cy="123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Non-Interest Expense</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left="973"/>
              <w:spacing w:after="0"/>
              <w:rPr>
                <w:sz w:val="20"/>
                <w:szCs w:val="20"/>
                <w:color w:val="auto"/>
              </w:rPr>
            </w:pPr>
            <w:r>
              <w:rPr>
                <w:rFonts w:ascii="Arial" w:cs="Arial" w:eastAsia="Arial" w:hAnsi="Arial"/>
                <w:sz w:val="17"/>
                <w:szCs w:val="17"/>
                <w:b w:val="1"/>
                <w:bCs w:val="1"/>
                <w:color w:val="auto"/>
                <w:w w:val="95"/>
              </w:rPr>
              <w:t>For the Quarter Ended</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3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6"/>
        </w:trPr>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13"/>
              <w:spacing w:after="0"/>
              <w:rPr>
                <w:sz w:val="20"/>
                <w:szCs w:val="20"/>
                <w:color w:val="auto"/>
              </w:rPr>
            </w:pPr>
            <w:r>
              <w:rPr>
                <w:rFonts w:ascii="Arial" w:cs="Arial" w:eastAsia="Arial" w:hAnsi="Arial"/>
                <w:sz w:val="17"/>
                <w:szCs w:val="17"/>
                <w:b w:val="1"/>
                <w:bCs w:val="1"/>
                <w:color w:val="auto"/>
              </w:rPr>
              <w:t>March 31,</w:t>
            </w:r>
          </w:p>
        </w:tc>
        <w:tc>
          <w:tcPr>
            <w:tcW w:w="200" w:type="dxa"/>
            <w:vAlign w:val="bottom"/>
          </w:tcPr>
          <w:p>
            <w:pPr>
              <w:spacing w:after="0"/>
              <w:rPr>
                <w:sz w:val="17"/>
                <w:szCs w:val="17"/>
                <w:color w:val="auto"/>
              </w:rPr>
            </w:pPr>
          </w:p>
        </w:tc>
        <w:tc>
          <w:tcPr>
            <w:tcW w:w="1340" w:type="dxa"/>
            <w:vAlign w:val="bottom"/>
          </w:tcPr>
          <w:p>
            <w:pPr>
              <w:jc w:val="right"/>
              <w:ind w:right="173"/>
              <w:spacing w:after="0"/>
              <w:rPr>
                <w:sz w:val="20"/>
                <w:szCs w:val="20"/>
                <w:color w:val="auto"/>
              </w:rPr>
            </w:pPr>
            <w:r>
              <w:rPr>
                <w:rFonts w:ascii="Arial" w:cs="Arial" w:eastAsia="Arial" w:hAnsi="Arial"/>
                <w:sz w:val="17"/>
                <w:szCs w:val="17"/>
                <w:b w:val="1"/>
                <w:bCs w:val="1"/>
                <w:color w:val="auto"/>
                <w:w w:val="95"/>
              </w:rPr>
              <w:t>December 31,</w:t>
            </w:r>
          </w:p>
        </w:tc>
        <w:tc>
          <w:tcPr>
            <w:tcW w:w="220" w:type="dxa"/>
            <w:vAlign w:val="bottom"/>
          </w:tcPr>
          <w:p>
            <w:pPr>
              <w:spacing w:after="0"/>
              <w:rPr>
                <w:sz w:val="17"/>
                <w:szCs w:val="17"/>
                <w:color w:val="auto"/>
              </w:rPr>
            </w:pPr>
          </w:p>
        </w:tc>
        <w:tc>
          <w:tcPr>
            <w:tcW w:w="1420" w:type="dxa"/>
            <w:vAlign w:val="bottom"/>
          </w:tcPr>
          <w:p>
            <w:pPr>
              <w:jc w:val="center"/>
              <w:ind w:right="153"/>
              <w:spacing w:after="0"/>
              <w:rPr>
                <w:sz w:val="20"/>
                <w:szCs w:val="20"/>
                <w:color w:val="auto"/>
              </w:rPr>
            </w:pPr>
            <w:r>
              <w:rPr>
                <w:rFonts w:ascii="Arial" w:cs="Arial" w:eastAsia="Arial" w:hAnsi="Arial"/>
                <w:sz w:val="17"/>
                <w:szCs w:val="17"/>
                <w:b w:val="1"/>
                <w:bCs w:val="1"/>
                <w:color w:val="auto"/>
                <w:w w:val="91"/>
              </w:rPr>
              <w:t>September 30,</w:t>
            </w:r>
          </w:p>
        </w:tc>
        <w:tc>
          <w:tcPr>
            <w:tcW w:w="28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Arial" w:cs="Arial" w:eastAsia="Arial" w:hAnsi="Arial"/>
                <w:sz w:val="17"/>
                <w:szCs w:val="17"/>
                <w:b w:val="1"/>
                <w:bCs w:val="1"/>
                <w:color w:val="auto"/>
              </w:rPr>
              <w:t>June 30,</w:t>
            </w:r>
          </w:p>
        </w:tc>
        <w:tc>
          <w:tcPr>
            <w:tcW w:w="280" w:type="dxa"/>
            <w:vAlign w:val="bottom"/>
          </w:tcPr>
          <w:p>
            <w:pPr>
              <w:spacing w:after="0"/>
              <w:rPr>
                <w:sz w:val="17"/>
                <w:szCs w:val="17"/>
                <w:color w:val="auto"/>
              </w:rPr>
            </w:pPr>
          </w:p>
        </w:tc>
        <w:tc>
          <w:tcPr>
            <w:tcW w:w="1240" w:type="dxa"/>
            <w:vAlign w:val="bottom"/>
          </w:tcPr>
          <w:p>
            <w:pPr>
              <w:jc w:val="right"/>
              <w:ind w:right="273"/>
              <w:spacing w:after="0"/>
              <w:rPr>
                <w:sz w:val="20"/>
                <w:szCs w:val="20"/>
                <w:color w:val="auto"/>
              </w:rPr>
            </w:pPr>
            <w:r>
              <w:rPr>
                <w:rFonts w:ascii="Arial" w:cs="Arial" w:eastAsia="Arial" w:hAnsi="Arial"/>
                <w:sz w:val="17"/>
                <w:szCs w:val="17"/>
                <w:b w:val="1"/>
                <w:bCs w:val="1"/>
                <w:color w:val="auto"/>
              </w:rPr>
              <w:t>March 31,</w:t>
            </w:r>
          </w:p>
        </w:tc>
      </w:tr>
      <w:tr>
        <w:trPr>
          <w:trHeight w:val="256"/>
        </w:trPr>
        <w:tc>
          <w:tcPr>
            <w:tcW w:w="3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53"/>
              <w:spacing w:after="0"/>
              <w:rPr>
                <w:sz w:val="20"/>
                <w:szCs w:val="20"/>
                <w:color w:val="auto"/>
              </w:rPr>
            </w:pPr>
            <w:r>
              <w:rPr>
                <w:rFonts w:ascii="Arial" w:cs="Arial" w:eastAsia="Arial" w:hAnsi="Arial"/>
                <w:sz w:val="17"/>
                <w:szCs w:val="17"/>
                <w:b w:val="1"/>
                <w:bCs w:val="1"/>
                <w:color w:val="auto"/>
                <w:w w:val="89"/>
              </w:rPr>
              <w:t>2020</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r>
              <w:rPr>
                <w:rFonts w:ascii="Arial" w:cs="Arial" w:eastAsia="Arial" w:hAnsi="Arial"/>
                <w:sz w:val="22"/>
                <w:szCs w:val="22"/>
                <w:b w:val="1"/>
                <w:bCs w:val="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2020</w:t>
            </w:r>
          </w:p>
        </w:tc>
      </w:tr>
      <w:tr>
        <w:trPr>
          <w:trHeight w:val="227"/>
        </w:trPr>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Arial" w:cs="Arial" w:eastAsia="Arial" w:hAnsi="Arial"/>
                <w:sz w:val="17"/>
                <w:szCs w:val="17"/>
                <w:color w:val="auto"/>
                <w:w w:val="93"/>
              </w:rPr>
              <w:t>(Dollars in thousands)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0"/>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non-interest expense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22,818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23,732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23,011</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31,010</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22,215</w:t>
            </w:r>
          </w:p>
        </w:tc>
      </w:tr>
      <w:tr>
        <w:trPr>
          <w:trHeight w:val="274"/>
        </w:trPr>
        <w:tc>
          <w:tcPr>
            <w:tcW w:w="3300" w:type="dxa"/>
            <w:vAlign w:val="bottom"/>
          </w:tcPr>
          <w:p>
            <w:pPr>
              <w:ind w:left="20"/>
              <w:spacing w:after="0"/>
              <w:rPr>
                <w:sz w:val="20"/>
                <w:szCs w:val="20"/>
                <w:color w:val="auto"/>
              </w:rPr>
            </w:pPr>
            <w:r>
              <w:rPr>
                <w:rFonts w:ascii="Arial" w:cs="Arial" w:eastAsia="Arial" w:hAnsi="Arial"/>
                <w:sz w:val="17"/>
                <w:szCs w:val="17"/>
                <w:color w:val="auto"/>
              </w:rPr>
              <w:t>Non-interest expense to average assets</w:t>
            </w:r>
            <w:r>
              <w:rPr>
                <w:rFonts w:ascii="Arial" w:cs="Arial" w:eastAsia="Arial" w:hAnsi="Arial"/>
                <w:sz w:val="22"/>
                <w:szCs w:val="22"/>
                <w:color w:val="auto"/>
                <w:vertAlign w:val="superscript"/>
              </w:rPr>
              <w:t>(2)</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1.60 %</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1.71 %</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1.67 %</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2.21 %</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1.80 %</w:t>
            </w:r>
          </w:p>
        </w:tc>
      </w:tr>
    </w:tbl>
    <w:p>
      <w:pPr>
        <w:ind w:left="340" w:hanging="162"/>
        <w:spacing w:after="0" w:line="207" w:lineRule="auto"/>
        <w:tabs>
          <w:tab w:leader="none" w:pos="34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Total non-interest expense includes $7 million related to goodwill impairment.</w:t>
      </w:r>
    </w:p>
    <w:p>
      <w:pPr>
        <w:spacing w:after="0" w:line="36" w:lineRule="exact"/>
        <w:rPr>
          <w:rFonts w:ascii="Arial" w:cs="Arial" w:eastAsia="Arial" w:hAnsi="Arial"/>
          <w:sz w:val="19"/>
          <w:szCs w:val="19"/>
          <w:color w:val="auto"/>
          <w:vertAlign w:val="superscript"/>
        </w:rPr>
      </w:pPr>
    </w:p>
    <w:p>
      <w:pPr>
        <w:ind w:left="340" w:hanging="162"/>
        <w:spacing w:after="0" w:line="203" w:lineRule="auto"/>
        <w:tabs>
          <w:tab w:leader="none" w:pos="34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Interim periods annualized.</w:t>
      </w:r>
    </w:p>
    <w:p>
      <w:pPr>
        <w:spacing w:after="0" w:line="200" w:lineRule="exact"/>
        <w:rPr>
          <w:sz w:val="20"/>
          <w:szCs w:val="20"/>
          <w:color w:val="auto"/>
        </w:rPr>
      </w:pPr>
    </w:p>
    <w:p>
      <w:pPr>
        <w:spacing w:after="0" w:line="3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non-interest expense were as follows for the periods indicated:</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80" w:type="dxa"/>
            <w:vAlign w:val="bottom"/>
            <w:gridSpan w:val="6"/>
          </w:tcPr>
          <w:p>
            <w:pPr>
              <w:jc w:val="center"/>
              <w:ind w:right="760"/>
              <w:spacing w:after="0"/>
              <w:rPr>
                <w:sz w:val="20"/>
                <w:szCs w:val="20"/>
                <w:color w:val="auto"/>
              </w:rPr>
            </w:pPr>
            <w:r>
              <w:rPr>
                <w:rFonts w:ascii="Arial" w:cs="Arial" w:eastAsia="Arial" w:hAnsi="Arial"/>
                <w:sz w:val="17"/>
                <w:szCs w:val="17"/>
                <w:b w:val="1"/>
                <w:bCs w:val="1"/>
                <w:color w:val="auto"/>
                <w:w w:val="93"/>
              </w:rPr>
              <w:t>Three Months Ended</w:t>
            </w:r>
          </w:p>
        </w:tc>
        <w:tc>
          <w:tcPr>
            <w:tcW w:w="1040" w:type="dxa"/>
            <w:vAlign w:val="bottom"/>
          </w:tcPr>
          <w:p>
            <w:pPr>
              <w:spacing w:after="0"/>
              <w:rPr>
                <w:sz w:val="19"/>
                <w:szCs w:val="19"/>
                <w:color w:val="auto"/>
              </w:rPr>
            </w:pPr>
          </w:p>
        </w:tc>
      </w:tr>
      <w:tr>
        <w:trPr>
          <w:trHeight w:val="227"/>
        </w:trPr>
        <w:tc>
          <w:tcPr>
            <w:tcW w:w="5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7"/>
                <w:szCs w:val="17"/>
                <w:b w:val="1"/>
                <w:bCs w:val="1"/>
                <w:color w:val="auto"/>
                <w:w w:val="96"/>
              </w:rPr>
              <w:t>March 31,</w:t>
            </w: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14"/>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700"/>
              <w:spacing w:after="0"/>
              <w:rPr>
                <w:sz w:val="20"/>
                <w:szCs w:val="20"/>
                <w:color w:val="auto"/>
              </w:rPr>
            </w:pPr>
            <w:r>
              <w:rPr>
                <w:rFonts w:ascii="Arial" w:cs="Arial" w:eastAsia="Arial" w:hAnsi="Arial"/>
                <w:sz w:val="17"/>
                <w:szCs w:val="17"/>
                <w:b w:val="1"/>
                <w:bCs w:val="1"/>
                <w:color w:val="auto"/>
              </w:rPr>
              <w:t>Change</w:t>
            </w:r>
          </w:p>
        </w:tc>
        <w:tc>
          <w:tcPr>
            <w:tcW w:w="1040" w:type="dxa"/>
            <w:vAlign w:val="bottom"/>
            <w:tcBorders>
              <w:bottom w:val="single" w:sz="8" w:color="auto"/>
            </w:tcBorders>
          </w:tcPr>
          <w:p>
            <w:pPr>
              <w:spacing w:after="0"/>
              <w:rPr>
                <w:sz w:val="18"/>
                <w:szCs w:val="18"/>
                <w:color w:val="auto"/>
              </w:rPr>
            </w:pPr>
          </w:p>
        </w:tc>
      </w:tr>
      <w:tr>
        <w:trPr>
          <w:trHeight w:val="214"/>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w:t>
            </w:r>
          </w:p>
        </w:tc>
      </w:tr>
      <w:tr>
        <w:trPr>
          <w:trHeight w:val="198"/>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6"/>
          </w:tcPr>
          <w:p>
            <w:pPr>
              <w:jc w:val="center"/>
              <w:ind w:right="780"/>
              <w:spacing w:after="0"/>
              <w:rPr>
                <w:sz w:val="20"/>
                <w:szCs w:val="20"/>
                <w:color w:val="auto"/>
              </w:rPr>
            </w:pPr>
            <w:r>
              <w:rPr>
                <w:rFonts w:ascii="Arial" w:cs="Arial" w:eastAsia="Arial" w:hAnsi="Arial"/>
                <w:sz w:val="16"/>
                <w:szCs w:val="16"/>
                <w:i w:val="1"/>
                <w:iCs w:val="1"/>
                <w:color w:val="auto"/>
                <w:w w:val="89"/>
              </w:rPr>
              <w:t>(Dollars in thousands)</w:t>
            </w:r>
          </w:p>
        </w:tc>
        <w:tc>
          <w:tcPr>
            <w:tcW w:w="1040" w:type="dxa"/>
            <w:vAlign w:val="bottom"/>
          </w:tcPr>
          <w:p>
            <w:pPr>
              <w:spacing w:after="0"/>
              <w:rPr>
                <w:sz w:val="17"/>
                <w:szCs w:val="17"/>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Salary and employee benefits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1"/>
        </w:trPr>
        <w:tc>
          <w:tcPr>
            <w:tcW w:w="5040" w:type="dxa"/>
            <w:vAlign w:val="bottom"/>
          </w:tcPr>
          <w:p>
            <w:pPr>
              <w:ind w:left="20"/>
              <w:spacing w:after="0"/>
              <w:rPr>
                <w:sz w:val="20"/>
                <w:szCs w:val="20"/>
                <w:color w:val="auto"/>
              </w:rPr>
            </w:pPr>
            <w:r>
              <w:rPr>
                <w:rFonts w:ascii="Arial" w:cs="Arial" w:eastAsia="Arial" w:hAnsi="Arial"/>
                <w:sz w:val="17"/>
                <w:szCs w:val="17"/>
                <w:color w:val="auto"/>
              </w:rPr>
              <w:t>Occupancy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2,085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20</w:t>
            </w:r>
          </w:p>
        </w:tc>
      </w:tr>
      <w:tr>
        <w:trPr>
          <w:trHeight w:val="22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fees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17</w:t>
            </w:r>
          </w:p>
        </w:tc>
      </w:tr>
      <w:tr>
        <w:trPr>
          <w:trHeight w:val="221"/>
        </w:trPr>
        <w:tc>
          <w:tcPr>
            <w:tcW w:w="5040" w:type="dxa"/>
            <w:vAlign w:val="bottom"/>
          </w:tcPr>
          <w:p>
            <w:pPr>
              <w:ind w:left="20"/>
              <w:spacing w:after="0"/>
              <w:rPr>
                <w:sz w:val="20"/>
                <w:szCs w:val="20"/>
                <w:color w:val="auto"/>
              </w:rPr>
            </w:pPr>
            <w:r>
              <w:rPr>
                <w:rFonts w:ascii="Arial" w:cs="Arial" w:eastAsia="Arial" w:hAnsi="Arial"/>
                <w:sz w:val="17"/>
                <w:szCs w:val="17"/>
                <w:color w:val="auto"/>
              </w:rPr>
              <w:t>Deposit insurance premiums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13</w:t>
            </w:r>
          </w:p>
        </w:tc>
      </w:tr>
      <w:tr>
        <w:trPr>
          <w:trHeight w:val="22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Data processing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w:t>
            </w:r>
          </w:p>
        </w:tc>
      </w:tr>
      <w:tr>
        <w:trPr>
          <w:trHeight w:val="221"/>
        </w:trPr>
        <w:tc>
          <w:tcPr>
            <w:tcW w:w="5040" w:type="dxa"/>
            <w:vAlign w:val="bottom"/>
          </w:tcPr>
          <w:p>
            <w:pPr>
              <w:ind w:left="20"/>
              <w:spacing w:after="0"/>
              <w:rPr>
                <w:sz w:val="20"/>
                <w:szCs w:val="20"/>
                <w:color w:val="auto"/>
              </w:rPr>
            </w:pPr>
            <w:r>
              <w:rPr>
                <w:rFonts w:ascii="Arial" w:cs="Arial" w:eastAsia="Arial" w:hAnsi="Arial"/>
                <w:sz w:val="17"/>
                <w:szCs w:val="17"/>
                <w:color w:val="auto"/>
              </w:rPr>
              <w:t>Advertising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7"/>
                <w:szCs w:val="17"/>
                <w:color w:val="auto"/>
              </w:rPr>
              <w:t>(39)</w:t>
            </w:r>
          </w:p>
        </w:tc>
      </w:tr>
      <w:tr>
        <w:trPr>
          <w:trHeight w:val="22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and communication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22</w:t>
            </w:r>
          </w:p>
        </w:tc>
      </w:tr>
      <w:tr>
        <w:trPr>
          <w:trHeight w:val="260"/>
        </w:trPr>
        <w:tc>
          <w:tcPr>
            <w:tcW w:w="5040" w:type="dxa"/>
            <w:vAlign w:val="bottom"/>
          </w:tcPr>
          <w:p>
            <w:pPr>
              <w:ind w:left="20"/>
              <w:spacing w:after="0"/>
              <w:rPr>
                <w:sz w:val="20"/>
                <w:szCs w:val="20"/>
                <w:color w:val="auto"/>
              </w:rPr>
            </w:pPr>
            <w:r>
              <w:rPr>
                <w:rFonts w:ascii="Arial" w:cs="Arial" w:eastAsia="Arial" w:hAnsi="Arial"/>
                <w:sz w:val="17"/>
                <w:szCs w:val="17"/>
                <w:color w:val="auto"/>
              </w:rPr>
              <w:t>Foreclosed assets, net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400</w:t>
            </w:r>
          </w:p>
        </w:tc>
      </w:tr>
      <w:tr>
        <w:trPr>
          <w:trHeight w:val="26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non-interest expense</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2,704</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8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37</w:t>
            </w:r>
          </w:p>
        </w:tc>
      </w:tr>
      <w:tr>
        <w:trPr>
          <w:trHeight w:val="214"/>
        </w:trPr>
        <w:tc>
          <w:tcPr>
            <w:tcW w:w="5040" w:type="dxa"/>
            <w:vAlign w:val="bottom"/>
          </w:tcPr>
          <w:p>
            <w:pPr>
              <w:ind w:left="140"/>
              <w:spacing w:after="0"/>
              <w:rPr>
                <w:sz w:val="20"/>
                <w:szCs w:val="20"/>
                <w:color w:val="auto"/>
              </w:rPr>
            </w:pPr>
            <w:r>
              <w:rPr>
                <w:rFonts w:ascii="Arial" w:cs="Arial" w:eastAsia="Arial" w:hAnsi="Arial"/>
                <w:sz w:val="17"/>
                <w:szCs w:val="17"/>
                <w:color w:val="auto"/>
              </w:rPr>
              <w:t>Total non-interest expense</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22,818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22,215</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3 %</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noninterest expense were driven by the following:</w:t>
      </w:r>
    </w:p>
    <w:p>
      <w:pPr>
        <w:spacing w:after="0" w:line="163" w:lineRule="exact"/>
        <w:rPr>
          <w:sz w:val="20"/>
          <w:szCs w:val="20"/>
          <w:color w:val="auto"/>
        </w:rPr>
      </w:pPr>
    </w:p>
    <w:p>
      <w:pPr>
        <w:ind w:left="160" w:right="140"/>
        <w:spacing w:after="0" w:line="268" w:lineRule="auto"/>
        <w:rPr>
          <w:sz w:val="20"/>
          <w:szCs w:val="20"/>
          <w:color w:val="auto"/>
        </w:rPr>
      </w:pPr>
      <w:r>
        <w:rPr>
          <w:rFonts w:ascii="Arial" w:cs="Arial" w:eastAsia="Arial" w:hAnsi="Arial"/>
          <w:sz w:val="17"/>
          <w:szCs w:val="17"/>
          <w:b w:val="1"/>
          <w:bCs w:val="1"/>
          <w:u w:val="single" w:color="auto"/>
          <w:color w:val="auto"/>
        </w:rPr>
        <w:t>Salary and Employee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 Salary and employee benefit costs decreased for the quarter ended March 31, 2021 compared to the same period in 2020</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changes in staffing levels. During the first quarter of 2020, the Company anticipated loan and deposit growth that required an increase in headcount and resulted in increased compensation costs. As result of the COVID-19 pandemic, the Company optimized staffing levels during the second half of 2020 and savings began to materialize in 2021.</w:t>
      </w:r>
    </w:p>
    <w:p>
      <w:pPr>
        <w:spacing w:after="0" w:line="117" w:lineRule="exact"/>
        <w:rPr>
          <w:sz w:val="20"/>
          <w:szCs w:val="20"/>
          <w:color w:val="auto"/>
        </w:rPr>
      </w:pPr>
    </w:p>
    <w:p>
      <w:pPr>
        <w:ind w:left="160" w:right="100"/>
        <w:spacing w:after="0" w:line="294" w:lineRule="auto"/>
        <w:rPr>
          <w:sz w:val="20"/>
          <w:szCs w:val="20"/>
          <w:color w:val="auto"/>
        </w:rPr>
      </w:pPr>
      <w:r>
        <w:rPr>
          <w:rFonts w:ascii="Arial" w:cs="Arial" w:eastAsia="Arial" w:hAnsi="Arial"/>
          <w:sz w:val="17"/>
          <w:szCs w:val="17"/>
          <w:b w:val="1"/>
          <w:bCs w:val="1"/>
          <w:u w:val="single" w:color="auto"/>
          <w:color w:val="auto"/>
        </w:rPr>
        <w:t>Occupancy</w:t>
      </w:r>
      <w:r>
        <w:rPr>
          <w:rFonts w:ascii="Arial" w:cs="Arial" w:eastAsia="Arial" w:hAnsi="Arial"/>
          <w:sz w:val="17"/>
          <w:szCs w:val="17"/>
          <w:b w:val="1"/>
          <w:bCs w:val="1"/>
          <w:color w:val="auto"/>
        </w:rPr>
        <w:t xml:space="preserve"> </w:t>
      </w:r>
      <w:r>
        <w:rPr>
          <w:rFonts w:ascii="Arial" w:cs="Arial" w:eastAsia="Arial" w:hAnsi="Arial"/>
          <w:sz w:val="17"/>
          <w:szCs w:val="17"/>
          <w:color w:val="auto"/>
        </w:rPr>
        <w:t>- Occupancy costs increased for the quarter ended March 31, 2021 compared to the same period in 2020 primarily due to our new locations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rapidly growing Frisco, Texas market and our more prominent location on the Country Club Plaza, in Kansas City, Missouri.</w:t>
      </w:r>
    </w:p>
    <w:p>
      <w:pPr>
        <w:spacing w:after="0" w:line="94" w:lineRule="exact"/>
        <w:rPr>
          <w:sz w:val="20"/>
          <w:szCs w:val="20"/>
          <w:color w:val="auto"/>
        </w:rPr>
      </w:pPr>
    </w:p>
    <w:p>
      <w:pPr>
        <w:jc w:val="both"/>
        <w:ind w:left="160" w:right="200"/>
        <w:spacing w:after="0" w:line="275" w:lineRule="auto"/>
        <w:rPr>
          <w:sz w:val="20"/>
          <w:szCs w:val="20"/>
          <w:color w:val="auto"/>
        </w:rPr>
      </w:pPr>
      <w:r>
        <w:rPr>
          <w:rFonts w:ascii="Arial" w:cs="Arial" w:eastAsia="Arial" w:hAnsi="Arial"/>
          <w:sz w:val="17"/>
          <w:szCs w:val="17"/>
          <w:b w:val="1"/>
          <w:bCs w:val="1"/>
          <w:u w:val="single" w:color="auto"/>
          <w:color w:val="auto"/>
        </w:rPr>
        <w:t>Professional Fees</w:t>
      </w:r>
      <w:r>
        <w:rPr>
          <w:rFonts w:ascii="Arial" w:cs="Arial" w:eastAsia="Arial" w:hAnsi="Arial"/>
          <w:sz w:val="17"/>
          <w:szCs w:val="17"/>
          <w:b w:val="1"/>
          <w:bCs w:val="1"/>
          <w:color w:val="auto"/>
        </w:rPr>
        <w:t xml:space="preserve"> </w:t>
      </w:r>
      <w:r>
        <w:rPr>
          <w:rFonts w:ascii="Arial" w:cs="Arial" w:eastAsia="Arial" w:hAnsi="Arial"/>
          <w:sz w:val="17"/>
          <w:szCs w:val="17"/>
          <w:color w:val="auto"/>
        </w:rPr>
        <w:t>- Professional fees increased for the quarter ended March 31, 2021 compared to the same corresponding period in 2020 primarily from an</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in legal fees as a result of PPP loans and loan workouts. In addition, the Company’s accounting and third-party consulting fees continue to increase due to asset growth and operation as a public company.</w:t>
      </w:r>
    </w:p>
    <w:p>
      <w:pPr>
        <w:spacing w:after="0" w:line="109" w:lineRule="exact"/>
        <w:rPr>
          <w:sz w:val="20"/>
          <w:szCs w:val="20"/>
          <w:color w:val="auto"/>
        </w:rPr>
      </w:pPr>
    </w:p>
    <w:p>
      <w:pPr>
        <w:jc w:val="both"/>
        <w:ind w:left="160" w:right="220"/>
        <w:spacing w:after="0" w:line="327" w:lineRule="auto"/>
        <w:rPr>
          <w:sz w:val="20"/>
          <w:szCs w:val="20"/>
          <w:color w:val="auto"/>
        </w:rPr>
      </w:pPr>
      <w:r>
        <w:rPr>
          <w:rFonts w:ascii="Arial" w:cs="Arial" w:eastAsia="Arial" w:hAnsi="Arial"/>
          <w:sz w:val="16"/>
          <w:szCs w:val="16"/>
          <w:b w:val="1"/>
          <w:bCs w:val="1"/>
          <w:u w:val="single" w:color="auto"/>
          <w:color w:val="auto"/>
        </w:rPr>
        <w:t>Deposit Insurance Premiums</w:t>
      </w:r>
      <w:r>
        <w:rPr>
          <w:rFonts w:ascii="Arial" w:cs="Arial" w:eastAsia="Arial" w:hAnsi="Arial"/>
          <w:sz w:val="16"/>
          <w:szCs w:val="16"/>
          <w:b w:val="1"/>
          <w:bCs w:val="1"/>
          <w:color w:val="auto"/>
        </w:rPr>
        <w:t xml:space="preserve"> </w:t>
      </w:r>
      <w:r>
        <w:rPr>
          <w:rFonts w:ascii="Arial" w:cs="Arial" w:eastAsia="Arial" w:hAnsi="Arial"/>
          <w:sz w:val="16"/>
          <w:szCs w:val="16"/>
          <w:color w:val="auto"/>
        </w:rPr>
        <w:t>- The FDIC uses a risk-based premium system to calculate quarterly fees. Our premium costs increased for the quarter ended</w:t>
      </w:r>
      <w:r>
        <w:rPr>
          <w:rFonts w:ascii="Arial" w:cs="Arial" w:eastAsia="Arial" w:hAnsi="Arial"/>
          <w:sz w:val="16"/>
          <w:szCs w:val="16"/>
          <w:b w:val="1"/>
          <w:bCs w:val="1"/>
          <w:color w:val="auto"/>
        </w:rPr>
        <w:t xml:space="preserve"> </w:t>
      </w:r>
      <w:r>
        <w:rPr>
          <w:rFonts w:ascii="Arial" w:cs="Arial" w:eastAsia="Arial" w:hAnsi="Arial"/>
          <w:sz w:val="16"/>
          <w:szCs w:val="16"/>
          <w:color w:val="auto"/>
        </w:rPr>
        <w:t>March 31, 2021 compared to the same period in 2020 as a result of strong asset growth, changes in asset quality and changes in capital ratios.</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7"/>
          <w:szCs w:val="17"/>
          <w:b w:val="1"/>
          <w:bCs w:val="1"/>
          <w:u w:val="single" w:color="auto"/>
          <w:color w:val="auto"/>
        </w:rPr>
        <w:t>Advertising</w:t>
      </w:r>
      <w:r>
        <w:rPr>
          <w:rFonts w:ascii="Arial" w:cs="Arial" w:eastAsia="Arial" w:hAnsi="Arial"/>
          <w:sz w:val="17"/>
          <w:szCs w:val="17"/>
          <w:b w:val="1"/>
          <w:bCs w:val="1"/>
          <w:color w:val="auto"/>
        </w:rPr>
        <w:t xml:space="preserve"> </w:t>
      </w:r>
      <w:r>
        <w:rPr>
          <w:rFonts w:ascii="Arial" w:cs="Arial" w:eastAsia="Arial" w:hAnsi="Arial"/>
          <w:sz w:val="17"/>
          <w:szCs w:val="17"/>
          <w:color w:val="auto"/>
        </w:rPr>
        <w:t>- The decline in advertising costs was driven by the COVID-19 pandemic that reduced in-person events.</w:t>
      </w:r>
    </w:p>
    <w:p>
      <w:pPr>
        <w:spacing w:after="0" w:line="169" w:lineRule="exact"/>
        <w:rPr>
          <w:sz w:val="20"/>
          <w:szCs w:val="20"/>
          <w:color w:val="auto"/>
        </w:rPr>
      </w:pPr>
    </w:p>
    <w:p>
      <w:pPr>
        <w:ind w:left="160"/>
        <w:spacing w:after="0" w:line="299" w:lineRule="auto"/>
        <w:rPr>
          <w:sz w:val="20"/>
          <w:szCs w:val="20"/>
          <w:color w:val="auto"/>
        </w:rPr>
      </w:pPr>
      <w:r>
        <w:rPr>
          <w:rFonts w:ascii="Arial" w:cs="Arial" w:eastAsia="Arial" w:hAnsi="Arial"/>
          <w:sz w:val="16"/>
          <w:szCs w:val="16"/>
          <w:b w:val="1"/>
          <w:bCs w:val="1"/>
          <w:u w:val="single" w:color="auto"/>
          <w:color w:val="auto"/>
        </w:rPr>
        <w:t>Software and Communication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Software and communication costs increased for the quarter ended March 31, 2021 primarily due to our continued strategy to</w:t>
      </w:r>
      <w:r>
        <w:rPr>
          <w:rFonts w:ascii="Arial" w:cs="Arial" w:eastAsia="Arial" w:hAnsi="Arial"/>
          <w:sz w:val="16"/>
          <w:szCs w:val="16"/>
          <w:b w:val="1"/>
          <w:bCs w:val="1"/>
          <w:color w:val="auto"/>
        </w:rPr>
        <w:t xml:space="preserve"> </w:t>
      </w:r>
      <w:r>
        <w:rPr>
          <w:rFonts w:ascii="Arial" w:cs="Arial" w:eastAsia="Arial" w:hAnsi="Arial"/>
          <w:sz w:val="16"/>
          <w:szCs w:val="16"/>
          <w:color w:val="auto"/>
        </w:rPr>
        <w:t>invest in technologies that allow us to cover beginning-to-end loan originations, provide customers with a suite of online tools and allow us to analyze reporting trends. In addition to the growing number of technologies implemented, a portion of costs increased as a result of our growth.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b w:val="1"/>
          <w:bCs w:val="1"/>
          <w:u w:val="single" w:color="auto"/>
          <w:color w:val="auto"/>
        </w:rPr>
        <w:t>Other Non-interest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 Other non-interest expense increased for the quarter ended March 31, 2021 compared to the same period in 2020 primarily due</w:t>
      </w:r>
      <w:r>
        <w:rPr>
          <w:rFonts w:ascii="Arial" w:cs="Arial" w:eastAsia="Arial" w:hAnsi="Arial"/>
          <w:sz w:val="17"/>
          <w:szCs w:val="17"/>
          <w:b w:val="1"/>
          <w:bCs w:val="1"/>
          <w:color w:val="auto"/>
        </w:rPr>
        <w:t xml:space="preserve"> </w:t>
      </w:r>
      <w:r>
        <w:rPr>
          <w:rFonts w:ascii="Arial" w:cs="Arial" w:eastAsia="Arial" w:hAnsi="Arial"/>
          <w:sz w:val="17"/>
          <w:szCs w:val="17"/>
          <w:color w:val="auto"/>
        </w:rPr>
        <w:t>to a $623 thousand increase in commercial card costs as a result of our growing customer base and increased use as a result of the COVID-19 pandemic. In addition, insured cash sweep (“ICS”) deposits increased in 2021 from 2020, which drove related fees higher by $125 thousand. These changes were partly offset by the Company continuing to realize benefits in 2021 from reduced travel, entertainment and other discretionary spending as a result of the COVID-19 pandemic.</w:t>
      </w: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Income Taxes</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center"/>
              <w:ind w:left="913"/>
              <w:spacing w:after="0"/>
              <w:rPr>
                <w:sz w:val="20"/>
                <w:szCs w:val="20"/>
                <w:color w:val="auto"/>
              </w:rPr>
            </w:pPr>
            <w:r>
              <w:rPr>
                <w:rFonts w:ascii="Arial" w:cs="Arial" w:eastAsia="Arial" w:hAnsi="Arial"/>
                <w:sz w:val="17"/>
                <w:szCs w:val="17"/>
                <w:b w:val="1"/>
                <w:bCs w:val="1"/>
                <w:color w:val="auto"/>
                <w:w w:val="95"/>
              </w:rPr>
              <w:t>For the Quarter Ended</w:t>
            </w: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09"/>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93"/>
              <w:spacing w:after="0"/>
              <w:rPr>
                <w:sz w:val="20"/>
                <w:szCs w:val="20"/>
                <w:color w:val="auto"/>
              </w:rPr>
            </w:pPr>
            <w:r>
              <w:rPr>
                <w:rFonts w:ascii="Arial" w:cs="Arial" w:eastAsia="Arial" w:hAnsi="Arial"/>
                <w:sz w:val="17"/>
                <w:szCs w:val="17"/>
                <w:b w:val="1"/>
                <w:bCs w:val="1"/>
                <w:color w:val="auto"/>
              </w:rPr>
              <w:t>March 31,</w:t>
            </w:r>
          </w:p>
        </w:tc>
        <w:tc>
          <w:tcPr>
            <w:tcW w:w="200" w:type="dxa"/>
            <w:vAlign w:val="bottom"/>
          </w:tcPr>
          <w:p>
            <w:pPr>
              <w:spacing w:after="0"/>
              <w:rPr>
                <w:sz w:val="18"/>
                <w:szCs w:val="18"/>
                <w:color w:val="auto"/>
              </w:rPr>
            </w:pPr>
          </w:p>
        </w:tc>
        <w:tc>
          <w:tcPr>
            <w:tcW w:w="1340" w:type="dxa"/>
            <w:vAlign w:val="bottom"/>
          </w:tcPr>
          <w:p>
            <w:pPr>
              <w:jc w:val="right"/>
              <w:ind w:right="173"/>
              <w:spacing w:after="0"/>
              <w:rPr>
                <w:sz w:val="20"/>
                <w:szCs w:val="20"/>
                <w:color w:val="auto"/>
              </w:rPr>
            </w:pPr>
            <w:r>
              <w:rPr>
                <w:rFonts w:ascii="Arial" w:cs="Arial" w:eastAsia="Arial" w:hAnsi="Arial"/>
                <w:sz w:val="17"/>
                <w:szCs w:val="17"/>
                <w:b w:val="1"/>
                <w:bCs w:val="1"/>
                <w:color w:val="auto"/>
                <w:w w:val="95"/>
              </w:rPr>
              <w:t>December 31,</w:t>
            </w:r>
          </w:p>
        </w:tc>
        <w:tc>
          <w:tcPr>
            <w:tcW w:w="180" w:type="dxa"/>
            <w:vAlign w:val="bottom"/>
          </w:tcPr>
          <w:p>
            <w:pPr>
              <w:spacing w:after="0"/>
              <w:rPr>
                <w:sz w:val="18"/>
                <w:szCs w:val="18"/>
                <w:color w:val="auto"/>
              </w:rPr>
            </w:pPr>
          </w:p>
        </w:tc>
        <w:tc>
          <w:tcPr>
            <w:tcW w:w="1360" w:type="dxa"/>
            <w:vAlign w:val="bottom"/>
          </w:tcPr>
          <w:p>
            <w:pPr>
              <w:jc w:val="center"/>
              <w:ind w:right="93"/>
              <w:spacing w:after="0"/>
              <w:rPr>
                <w:sz w:val="20"/>
                <w:szCs w:val="20"/>
                <w:color w:val="auto"/>
              </w:rPr>
            </w:pPr>
            <w:r>
              <w:rPr>
                <w:rFonts w:ascii="Arial" w:cs="Arial" w:eastAsia="Arial" w:hAnsi="Arial"/>
                <w:sz w:val="17"/>
                <w:szCs w:val="17"/>
                <w:b w:val="1"/>
                <w:bCs w:val="1"/>
                <w:color w:val="auto"/>
                <w:w w:val="91"/>
              </w:rPr>
              <w:t>September 30,</w:t>
            </w:r>
          </w:p>
        </w:tc>
        <w:tc>
          <w:tcPr>
            <w:tcW w:w="280" w:type="dxa"/>
            <w:vAlign w:val="bottom"/>
          </w:tcPr>
          <w:p>
            <w:pPr>
              <w:spacing w:after="0"/>
              <w:rPr>
                <w:sz w:val="18"/>
                <w:szCs w:val="18"/>
                <w:color w:val="auto"/>
              </w:rPr>
            </w:pPr>
          </w:p>
        </w:tc>
        <w:tc>
          <w:tcPr>
            <w:tcW w:w="1220" w:type="dxa"/>
            <w:vAlign w:val="bottom"/>
          </w:tcPr>
          <w:p>
            <w:pPr>
              <w:jc w:val="right"/>
              <w:ind w:right="353"/>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233"/>
              <w:spacing w:after="0"/>
              <w:rPr>
                <w:sz w:val="20"/>
                <w:szCs w:val="20"/>
                <w:color w:val="auto"/>
              </w:rPr>
            </w:pPr>
            <w:r>
              <w:rPr>
                <w:rFonts w:ascii="Arial" w:cs="Arial" w:eastAsia="Arial" w:hAnsi="Arial"/>
                <w:sz w:val="17"/>
                <w:szCs w:val="17"/>
                <w:b w:val="1"/>
                <w:bCs w:val="1"/>
                <w:color w:val="auto"/>
              </w:rPr>
              <w:t>March 31,</w:t>
            </w:r>
          </w:p>
        </w:tc>
      </w:tr>
      <w:tr>
        <w:trPr>
          <w:trHeight w:val="227"/>
        </w:trPr>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1340" w:type="dxa"/>
            <w:vAlign w:val="bottom"/>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9"/>
                <w:szCs w:val="19"/>
                <w:color w:val="auto"/>
              </w:rPr>
            </w:pPr>
          </w:p>
        </w:tc>
        <w:tc>
          <w:tcPr>
            <w:tcW w:w="1360" w:type="dxa"/>
            <w:vAlign w:val="bottom"/>
          </w:tcPr>
          <w:p>
            <w:pPr>
              <w:jc w:val="center"/>
              <w:ind w:right="93"/>
              <w:spacing w:after="0"/>
              <w:rPr>
                <w:sz w:val="20"/>
                <w:szCs w:val="20"/>
                <w:color w:val="auto"/>
              </w:rPr>
            </w:pPr>
            <w:r>
              <w:rPr>
                <w:rFonts w:ascii="Arial" w:cs="Arial" w:eastAsia="Arial" w:hAnsi="Arial"/>
                <w:sz w:val="17"/>
                <w:szCs w:val="17"/>
                <w:b w:val="1"/>
                <w:bCs w:val="1"/>
                <w:color w:val="auto"/>
                <w:w w:val="89"/>
              </w:rPr>
              <w:t>2020</w:t>
            </w:r>
          </w:p>
        </w:tc>
        <w:tc>
          <w:tcPr>
            <w:tcW w:w="280" w:type="dxa"/>
            <w:vAlign w:val="bottom"/>
          </w:tcPr>
          <w:p>
            <w:pPr>
              <w:spacing w:after="0"/>
              <w:rPr>
                <w:sz w:val="19"/>
                <w:szCs w:val="19"/>
                <w:color w:val="auto"/>
              </w:rPr>
            </w:pPr>
          </w:p>
        </w:tc>
        <w:tc>
          <w:tcPr>
            <w:tcW w:w="1220" w:type="dxa"/>
            <w:vAlign w:val="bottom"/>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19"/>
                <w:szCs w:val="19"/>
                <w:color w:val="auto"/>
              </w:rPr>
            </w:pPr>
          </w:p>
        </w:tc>
        <w:tc>
          <w:tcPr>
            <w:tcW w:w="1200" w:type="dxa"/>
            <w:vAlign w:val="bottom"/>
          </w:tcPr>
          <w:p>
            <w:pPr>
              <w:jc w:val="right"/>
              <w:ind w:right="453"/>
              <w:spacing w:after="0"/>
              <w:rPr>
                <w:sz w:val="20"/>
                <w:szCs w:val="20"/>
                <w:color w:val="auto"/>
              </w:rPr>
            </w:pPr>
            <w:r>
              <w:rPr>
                <w:rFonts w:ascii="Arial" w:cs="Arial" w:eastAsia="Arial" w:hAnsi="Arial"/>
                <w:sz w:val="17"/>
                <w:szCs w:val="17"/>
                <w:b w:val="1"/>
                <w:bCs w:val="1"/>
                <w:color w:val="auto"/>
              </w:rPr>
              <w:t>2020</w:t>
            </w:r>
          </w:p>
        </w:tc>
      </w:tr>
      <w:tr>
        <w:trPr>
          <w:trHeight w:val="26"/>
        </w:trPr>
        <w:tc>
          <w:tcPr>
            <w:tcW w:w="3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i w:val="1"/>
                <w:iCs w:val="1"/>
                <w:color w:val="auto"/>
                <w:w w:val="91"/>
              </w:rPr>
              <w:t>(Dollars in 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1"/>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2,908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1,785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1,498</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(863)</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293</w:t>
            </w:r>
          </w:p>
        </w:tc>
      </w:tr>
      <w:tr>
        <w:trPr>
          <w:trHeight w:val="221"/>
        </w:trPr>
        <w:tc>
          <w:tcPr>
            <w:tcW w:w="356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73"/>
              <w:spacing w:after="0"/>
              <w:rPr>
                <w:sz w:val="20"/>
                <w:szCs w:val="20"/>
                <w:color w:val="auto"/>
              </w:rPr>
            </w:pPr>
            <w:r>
              <w:rPr>
                <w:rFonts w:ascii="Arial" w:cs="Arial" w:eastAsia="Arial" w:hAnsi="Arial"/>
                <w:sz w:val="17"/>
                <w:szCs w:val="17"/>
                <w:color w:val="auto"/>
              </w:rPr>
              <w:t>14,943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3"/>
              <w:spacing w:after="0"/>
              <w:rPr>
                <w:sz w:val="20"/>
                <w:szCs w:val="20"/>
                <w:color w:val="auto"/>
              </w:rPr>
            </w:pPr>
            <w:r>
              <w:rPr>
                <w:rFonts w:ascii="Arial" w:cs="Arial" w:eastAsia="Arial" w:hAnsi="Arial"/>
                <w:sz w:val="17"/>
                <w:szCs w:val="17"/>
                <w:color w:val="auto"/>
              </w:rPr>
              <w:t>9,879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3"/>
              <w:spacing w:after="0"/>
              <w:rPr>
                <w:sz w:val="20"/>
                <w:szCs w:val="20"/>
                <w:color w:val="auto"/>
              </w:rPr>
            </w:pPr>
            <w:r>
              <w:rPr>
                <w:rFonts w:ascii="Arial" w:cs="Arial" w:eastAsia="Arial" w:hAnsi="Arial"/>
                <w:sz w:val="17"/>
                <w:szCs w:val="17"/>
                <w:color w:val="auto"/>
              </w:rPr>
              <w:t>9,504</w:t>
            </w:r>
          </w:p>
        </w:tc>
        <w:tc>
          <w:tcPr>
            <w:tcW w:w="2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3"/>
              <w:spacing w:after="0"/>
              <w:rPr>
                <w:sz w:val="20"/>
                <w:szCs w:val="20"/>
                <w:color w:val="auto"/>
              </w:rPr>
            </w:pPr>
            <w:r>
              <w:rPr>
                <w:rFonts w:ascii="Arial" w:cs="Arial" w:eastAsia="Arial" w:hAnsi="Arial"/>
                <w:sz w:val="17"/>
                <w:szCs w:val="17"/>
                <w:color w:val="auto"/>
              </w:rPr>
              <w:t>(8,219)</w:t>
            </w:r>
          </w:p>
        </w:tc>
        <w:tc>
          <w:tcPr>
            <w:tcW w:w="2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4,150</w:t>
            </w:r>
          </w:p>
        </w:tc>
      </w:tr>
      <w:tr>
        <w:trPr>
          <w:trHeight w:val="221"/>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r>
    </w:tbl>
    <w:p>
      <w:pPr>
        <w:spacing w:after="0" w:line="326" w:lineRule="exact"/>
        <w:rPr>
          <w:sz w:val="20"/>
          <w:szCs w:val="20"/>
          <w:color w:val="auto"/>
        </w:rPr>
      </w:pPr>
    </w:p>
    <w:p>
      <w:pPr>
        <w:ind w:left="160" w:right="20" w:firstLine="469"/>
        <w:spacing w:after="0" w:line="266" w:lineRule="auto"/>
        <w:rPr>
          <w:sz w:val="20"/>
          <w:szCs w:val="20"/>
          <w:color w:val="auto"/>
        </w:rPr>
      </w:pPr>
      <w:r>
        <w:rPr>
          <w:rFonts w:ascii="Arial" w:cs="Arial" w:eastAsia="Arial" w:hAnsi="Arial"/>
          <w:sz w:val="17"/>
          <w:szCs w:val="17"/>
          <w:color w:val="auto"/>
        </w:rPr>
        <w:t>Our income tax expense (benefit) differs from the amount that would be calculated using the federal statutory tax rate, primarily from investments in tax advantaged assets, including bank-owned life insurance, tax-exempt municipal securities and tax credit bonds; state tax credits; and permanent tax differences from goodwill impairment and equity-based compensation. Refer to “Note 10: Income Tax” within the Notes to the Unaudited Financial Statements for more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Analysis of Financial Condition</w:t>
      </w: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Securities Portfolio</w:t>
      </w:r>
    </w:p>
    <w:p>
      <w:pPr>
        <w:spacing w:after="0" w:line="164" w:lineRule="exact"/>
        <w:rPr>
          <w:sz w:val="20"/>
          <w:szCs w:val="20"/>
          <w:color w:val="auto"/>
        </w:rPr>
      </w:pPr>
    </w:p>
    <w:p>
      <w:pPr>
        <w:ind w:left="160" w:right="400" w:firstLine="469"/>
        <w:spacing w:after="0" w:line="266" w:lineRule="auto"/>
        <w:rPr>
          <w:sz w:val="20"/>
          <w:szCs w:val="20"/>
          <w:color w:val="auto"/>
        </w:rPr>
      </w:pPr>
      <w:r>
        <w:rPr>
          <w:rFonts w:ascii="Arial" w:cs="Arial" w:eastAsia="Arial" w:hAnsi="Arial"/>
          <w:sz w:val="17"/>
          <w:szCs w:val="17"/>
          <w:color w:val="auto"/>
        </w:rPr>
        <w:t>The securities portfolio is maintained to serve as a contingent, on-balance sheet source of liquidity. The objective of the investment portfolio is to optimize earnings, manage credit and interest rate risk, ensure adequate liquidity, and meet pledging and regulatory capital requirements. As of March 31, 2021, available-for-sale investments totaled $685 million, an increase of $31 million from December 31, 2020. For additional information, see “Note 3: Securities” in the Notes to the Unaudited Consolidated Financial Statements.</w:t>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Loan Portfolio</w:t>
      </w:r>
    </w:p>
    <w:p>
      <w:pPr>
        <w:spacing w:after="0" w:line="164" w:lineRule="exact"/>
        <w:rPr>
          <w:sz w:val="20"/>
          <w:szCs w:val="20"/>
          <w:color w:val="auto"/>
        </w:rPr>
      </w:pPr>
    </w:p>
    <w:p>
      <w:pPr>
        <w:jc w:val="both"/>
        <w:ind w:left="160" w:right="20" w:firstLine="469"/>
        <w:spacing w:after="0" w:line="271" w:lineRule="auto"/>
        <w:rPr>
          <w:sz w:val="20"/>
          <w:szCs w:val="20"/>
          <w:color w:val="auto"/>
        </w:rPr>
      </w:pPr>
      <w:r>
        <w:rPr>
          <w:rFonts w:ascii="Arial" w:cs="Arial" w:eastAsia="Arial" w:hAnsi="Arial"/>
          <w:sz w:val="17"/>
          <w:szCs w:val="17"/>
          <w:color w:val="auto"/>
        </w:rPr>
        <w:t>Refer to “Note 4: Loans and Allowance for Loan Losses (“ALLL”)” within the Notes to the Unaudited Consolidated Financial Statements for additional information regarding the Company’s loan portfolio. As of March 31, 2021, gross loans increased $68 million or 2% from December 31, 2020 and was driven by the following:</w:t>
      </w:r>
    </w:p>
    <w:p>
      <w:pPr>
        <w:spacing w:after="0" w:line="119" w:lineRule="exact"/>
        <w:rPr>
          <w:sz w:val="20"/>
          <w:szCs w:val="20"/>
          <w:color w:val="auto"/>
        </w:rPr>
      </w:pPr>
    </w:p>
    <w:p>
      <w:pPr>
        <w:ind w:left="160" w:right="200"/>
        <w:spacing w:after="0" w:line="271" w:lineRule="auto"/>
        <w:tabs>
          <w:tab w:leader="none" w:pos="522" w:val="left"/>
        </w:tabs>
        <w:numPr>
          <w:ilvl w:val="0"/>
          <w:numId w:val="17"/>
        </w:numPr>
        <w:rPr>
          <w:rFonts w:ascii="Arial" w:cs="Arial" w:eastAsia="Arial" w:hAnsi="Arial"/>
          <w:sz w:val="17"/>
          <w:szCs w:val="17"/>
          <w:color w:val="0000FF"/>
        </w:rPr>
      </w:pPr>
      <w:hyperlink w:anchor="page33">
        <w:r>
          <w:rPr>
            <w:rFonts w:ascii="Arial" w:cs="Arial" w:eastAsia="Arial" w:hAnsi="Arial"/>
            <w:sz w:val="17"/>
            <w:szCs w:val="17"/>
            <w:color w:val="auto"/>
          </w:rPr>
          <w:t xml:space="preserve">- PPP loans increased $44 million or 15% from December 31, 2020 to March 31, 2021. PPP loan activity is detailed in the </w:t>
        </w:r>
        <w:r>
          <w:rPr>
            <w:rFonts w:ascii="Arial" w:cs="Arial" w:eastAsia="Arial" w:hAnsi="Arial"/>
            <w:sz w:val="17"/>
            <w:szCs w:val="17"/>
            <w:u w:val="single" w:color="auto"/>
            <w:color w:val="0000FF"/>
          </w:rPr>
          <w:t>“First Quarter 2021</w:t>
        </w:r>
      </w:hyperlink>
      <w:r>
        <w:rPr>
          <w:rFonts w:ascii="Arial" w:cs="Arial" w:eastAsia="Arial" w:hAnsi="Arial"/>
          <w:sz w:val="17"/>
          <w:szCs w:val="17"/>
          <w:color w:val="auto"/>
        </w:rPr>
        <w:t xml:space="preserve"> </w:t>
      </w:r>
      <w:hyperlink w:anchor="page33">
        <w:r>
          <w:rPr>
            <w:rFonts w:ascii="Arial" w:cs="Arial" w:eastAsia="Arial" w:hAnsi="Arial"/>
            <w:sz w:val="17"/>
            <w:szCs w:val="17"/>
            <w:u w:val="single" w:color="auto"/>
            <w:color w:val="0000FF"/>
          </w:rPr>
          <w:t>Highlights”</w:t>
        </w:r>
        <w:r>
          <w:rPr>
            <w:rFonts w:ascii="Arial" w:cs="Arial" w:eastAsia="Arial" w:hAnsi="Arial"/>
            <w:sz w:val="17"/>
            <w:szCs w:val="17"/>
            <w:color w:val="0000FF"/>
          </w:rPr>
          <w:t xml:space="preserve"> </w:t>
        </w:r>
        <w:r>
          <w:rPr>
            <w:rFonts w:ascii="Arial" w:cs="Arial" w:eastAsia="Arial" w:hAnsi="Arial"/>
            <w:sz w:val="17"/>
            <w:szCs w:val="17"/>
            <w:color w:val="000000"/>
          </w:rPr>
          <w:t xml:space="preserve">section within Management’s Discussion and Analysis. The loans are guaranteed by the SBA, earn interest at 1.00%, and include a fee. </w:t>
        </w:r>
      </w:hyperlink>
      <w:r>
        <w:rPr>
          <w:rFonts w:ascii="Arial" w:cs="Arial" w:eastAsia="Arial" w:hAnsi="Arial"/>
          <w:sz w:val="17"/>
          <w:szCs w:val="17"/>
          <w:color w:val="0000FF"/>
        </w:rPr>
        <w:t xml:space="preserve">The </w:t>
      </w:r>
      <w:r>
        <w:rPr>
          <w:rFonts w:ascii="Arial" w:cs="Arial" w:eastAsia="Arial" w:hAnsi="Arial"/>
          <w:sz w:val="17"/>
          <w:szCs w:val="17"/>
          <w:color w:val="000000"/>
        </w:rPr>
        <w:t>PPP</w:t>
      </w:r>
      <w:r>
        <w:rPr>
          <w:rFonts w:ascii="Arial" w:cs="Arial" w:eastAsia="Arial" w:hAnsi="Arial"/>
          <w:sz w:val="17"/>
          <w:szCs w:val="17"/>
          <w:color w:val="0000FF"/>
        </w:rPr>
        <w:t xml:space="preserve"> </w:t>
      </w:r>
      <w:r>
        <w:rPr>
          <w:rFonts w:ascii="Arial" w:cs="Arial" w:eastAsia="Arial" w:hAnsi="Arial"/>
          <w:sz w:val="17"/>
          <w:szCs w:val="17"/>
          <w:color w:val="000000"/>
        </w:rPr>
        <w:t>loans will decline as the SBA forgives the loans and provides repayment to the Bank.</w:t>
      </w:r>
    </w:p>
    <w:p>
      <w:pPr>
        <w:spacing w:after="0" w:line="113" w:lineRule="exact"/>
        <w:rPr>
          <w:rFonts w:ascii="Arial" w:cs="Arial" w:eastAsia="Arial" w:hAnsi="Arial"/>
          <w:sz w:val="17"/>
          <w:szCs w:val="17"/>
          <w:b w:val="1"/>
          <w:bCs w:val="1"/>
          <w:u w:val="single" w:color="auto"/>
          <w:color w:val="auto"/>
        </w:rPr>
      </w:pPr>
    </w:p>
    <w:p>
      <w:pPr>
        <w:ind w:left="160" w:right="340"/>
        <w:spacing w:after="0" w:line="294" w:lineRule="auto"/>
        <w:rPr>
          <w:sz w:val="20"/>
          <w:szCs w:val="20"/>
          <w:color w:val="auto"/>
        </w:rPr>
      </w:pPr>
      <w:r>
        <w:rPr>
          <w:rFonts w:ascii="Arial" w:cs="Arial" w:eastAsia="Arial" w:hAnsi="Arial"/>
          <w:sz w:val="17"/>
          <w:szCs w:val="17"/>
          <w:b w:val="1"/>
          <w:bCs w:val="1"/>
          <w:u w:val="single" w:color="auto"/>
          <w:color w:val="auto"/>
        </w:rPr>
        <w:t>Construction and Land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 The $54 million or 10% increase was driven by customer drawdowns on lines of credit primarily for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projects.</w:t>
      </w:r>
    </w:p>
    <w:p>
      <w:pPr>
        <w:spacing w:after="0" w:line="94" w:lineRule="exact"/>
        <w:rPr>
          <w:rFonts w:ascii="Arial" w:cs="Arial" w:eastAsia="Arial" w:hAnsi="Arial"/>
          <w:sz w:val="17"/>
          <w:szCs w:val="17"/>
          <w:b w:val="1"/>
          <w:bCs w:val="1"/>
          <w:u w:val="single" w:color="auto"/>
          <w:color w:val="auto"/>
        </w:rPr>
      </w:pPr>
    </w:p>
    <w:p>
      <w:pPr>
        <w:ind w:left="160" w:right="60"/>
        <w:spacing w:after="0" w:line="275" w:lineRule="auto"/>
        <w:rPr>
          <w:sz w:val="20"/>
          <w:szCs w:val="20"/>
          <w:color w:val="auto"/>
        </w:rPr>
      </w:pPr>
      <w:r>
        <w:rPr>
          <w:rFonts w:ascii="Arial" w:cs="Arial" w:eastAsia="Arial" w:hAnsi="Arial"/>
          <w:sz w:val="17"/>
          <w:szCs w:val="17"/>
          <w:b w:val="1"/>
          <w:bCs w:val="1"/>
          <w:u w:val="single" w:color="auto"/>
          <w:color w:val="auto"/>
        </w:rPr>
        <w:t>Energy</w:t>
      </w:r>
      <w:r>
        <w:rPr>
          <w:rFonts w:ascii="Arial" w:cs="Arial" w:eastAsia="Arial" w:hAnsi="Arial"/>
          <w:sz w:val="17"/>
          <w:szCs w:val="17"/>
          <w:b w:val="1"/>
          <w:bCs w:val="1"/>
          <w:color w:val="auto"/>
        </w:rPr>
        <w:t xml:space="preserve"> </w:t>
      </w:r>
      <w:r>
        <w:rPr>
          <w:rFonts w:ascii="Arial" w:cs="Arial" w:eastAsia="Arial" w:hAnsi="Arial"/>
          <w:sz w:val="17"/>
          <w:szCs w:val="17"/>
          <w:color w:val="auto"/>
        </w:rPr>
        <w:t>- Our energy portfolio declined $2 million from December 31, 2020 to March 31, 2021. Customers remain impacted by lower oil and natural gas</w:t>
      </w:r>
      <w:r>
        <w:rPr>
          <w:rFonts w:ascii="Arial" w:cs="Arial" w:eastAsia="Arial" w:hAnsi="Arial"/>
          <w:sz w:val="17"/>
          <w:szCs w:val="17"/>
          <w:b w:val="1"/>
          <w:bCs w:val="1"/>
          <w:color w:val="auto"/>
        </w:rPr>
        <w:t xml:space="preserve"> </w:t>
      </w:r>
      <w:r>
        <w:rPr>
          <w:rFonts w:ascii="Arial" w:cs="Arial" w:eastAsia="Arial" w:hAnsi="Arial"/>
          <w:sz w:val="17"/>
          <w:szCs w:val="17"/>
          <w:color w:val="auto"/>
        </w:rPr>
        <w:t>prices that has strained operating cash flow and ability to pay down their lines of credit. The Company expects the energy portfolio to decline further as part of management’s strategy to lower our oil and gas loan concentrations.</w:t>
      </w:r>
    </w:p>
    <w:p>
      <w:pPr>
        <w:spacing w:after="0" w:line="109" w:lineRule="exact"/>
        <w:rPr>
          <w:rFonts w:ascii="Arial" w:cs="Arial" w:eastAsia="Arial" w:hAnsi="Arial"/>
          <w:sz w:val="17"/>
          <w:szCs w:val="17"/>
          <w:b w:val="1"/>
          <w:bCs w:val="1"/>
          <w:u w:val="single" w:color="auto"/>
          <w:color w:val="auto"/>
        </w:rPr>
      </w:pPr>
    </w:p>
    <w:p>
      <w:pPr>
        <w:ind w:left="160" w:right="340"/>
        <w:spacing w:after="0" w:line="294" w:lineRule="auto"/>
        <w:rPr>
          <w:sz w:val="20"/>
          <w:szCs w:val="20"/>
          <w:color w:val="auto"/>
        </w:rPr>
      </w:pPr>
      <w:r>
        <w:rPr>
          <w:rFonts w:ascii="Arial" w:cs="Arial" w:eastAsia="Arial" w:hAnsi="Arial"/>
          <w:sz w:val="17"/>
          <w:szCs w:val="17"/>
          <w:b w:val="1"/>
          <w:bCs w:val="1"/>
          <w:u w:val="single" w:color="auto"/>
          <w:color w:val="auto"/>
        </w:rPr>
        <w:t>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 The $55 million decline in commercial loans was driven by charge-offs taken in the first quarter of 2021, an increase in pay downs and $28</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of loans sold to a third-party. The loans sold were written down to the sales price prior to the sale.</w:t>
      </w:r>
    </w:p>
    <w:p>
      <w:pPr>
        <w:spacing w:after="0" w:line="200" w:lineRule="exact"/>
        <w:rPr>
          <w:rFonts w:ascii="Arial" w:cs="Arial" w:eastAsia="Arial" w:hAnsi="Arial"/>
          <w:sz w:val="17"/>
          <w:szCs w:val="17"/>
          <w:b w:val="1"/>
          <w:bCs w:val="1"/>
          <w:u w:val="single" w:color="auto"/>
          <w:color w:val="auto"/>
        </w:rPr>
      </w:pPr>
    </w:p>
    <w:p>
      <w:pPr>
        <w:spacing w:after="0" w:line="200" w:lineRule="exact"/>
        <w:rPr>
          <w:rFonts w:ascii="Arial" w:cs="Arial" w:eastAsia="Arial" w:hAnsi="Arial"/>
          <w:sz w:val="17"/>
          <w:szCs w:val="17"/>
          <w:b w:val="1"/>
          <w:bCs w:val="1"/>
          <w:u w:val="single" w:color="auto"/>
          <w:color w:val="auto"/>
        </w:rPr>
      </w:pPr>
    </w:p>
    <w:p>
      <w:pPr>
        <w:spacing w:after="0" w:line="200" w:lineRule="exact"/>
        <w:rPr>
          <w:rFonts w:ascii="Arial" w:cs="Arial" w:eastAsia="Arial" w:hAnsi="Arial"/>
          <w:sz w:val="17"/>
          <w:szCs w:val="17"/>
          <w:b w:val="1"/>
          <w:bCs w:val="1"/>
          <w:u w:val="single" w:color="auto"/>
          <w:color w:val="auto"/>
        </w:rPr>
      </w:pPr>
    </w:p>
    <w:p>
      <w:pPr>
        <w:spacing w:after="0" w:line="200" w:lineRule="exact"/>
        <w:rPr>
          <w:rFonts w:ascii="Arial" w:cs="Arial" w:eastAsia="Arial" w:hAnsi="Arial"/>
          <w:sz w:val="17"/>
          <w:szCs w:val="17"/>
          <w:b w:val="1"/>
          <w:bCs w:val="1"/>
          <w:u w:val="single" w:color="auto"/>
          <w:color w:val="auto"/>
        </w:rPr>
      </w:pPr>
    </w:p>
    <w:p>
      <w:pPr>
        <w:spacing w:after="0" w:line="212" w:lineRule="exact"/>
        <w:rPr>
          <w:rFonts w:ascii="Arial" w:cs="Arial" w:eastAsia="Arial" w:hAnsi="Arial"/>
          <w:sz w:val="17"/>
          <w:szCs w:val="17"/>
          <w:b w:val="1"/>
          <w:bCs w:val="1"/>
          <w:u w:val="single" w:color="auto"/>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shows the contractual maturities of our gross loans and sensitivity to interest rate changes:</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6"/>
          </w:tcPr>
          <w:p>
            <w:pPr>
              <w:jc w:val="center"/>
              <w:ind w:left="574"/>
              <w:spacing w:after="0"/>
              <w:rPr>
                <w:sz w:val="20"/>
                <w:szCs w:val="20"/>
                <w:color w:val="auto"/>
              </w:rPr>
            </w:pPr>
            <w:r>
              <w:rPr>
                <w:rFonts w:ascii="Arial" w:cs="Arial" w:eastAsia="Arial" w:hAnsi="Arial"/>
                <w:sz w:val="17"/>
                <w:szCs w:val="17"/>
                <w:b w:val="1"/>
                <w:bCs w:val="1"/>
                <w:color w:val="auto"/>
                <w:w w:val="92"/>
              </w:rPr>
              <w:t>As of March 31, 2021</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6"/>
          </w:tcPr>
          <w:p>
            <w:pPr>
              <w:jc w:val="center"/>
              <w:ind w:right="80"/>
              <w:spacing w:after="0"/>
              <w:rPr>
                <w:sz w:val="20"/>
                <w:szCs w:val="20"/>
                <w:color w:val="auto"/>
              </w:rPr>
            </w:pPr>
            <w:r>
              <w:rPr>
                <w:rFonts w:ascii="Arial" w:cs="Arial" w:eastAsia="Arial" w:hAnsi="Arial"/>
                <w:sz w:val="17"/>
                <w:szCs w:val="17"/>
                <w:b w:val="1"/>
                <w:bCs w:val="1"/>
                <w:color w:val="auto"/>
                <w:w w:val="93"/>
              </w:rPr>
              <w:t>Due after One Year through</w:t>
            </w:r>
          </w:p>
        </w:tc>
        <w:tc>
          <w:tcPr>
            <w:tcW w:w="160" w:type="dxa"/>
            <w:vAlign w:val="bottom"/>
          </w:tcPr>
          <w:p>
            <w:pPr>
              <w:spacing w:after="0"/>
              <w:rPr>
                <w:sz w:val="18"/>
                <w:szCs w:val="18"/>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2"/>
              </w:rPr>
              <w:t>Due after Five Years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5"/>
          </w:tcPr>
          <w:p>
            <w:pPr>
              <w:ind w:left="20"/>
              <w:spacing w:after="0"/>
              <w:rPr>
                <w:sz w:val="20"/>
                <w:szCs w:val="20"/>
                <w:color w:val="auto"/>
              </w:rPr>
            </w:pPr>
            <w:r>
              <w:rPr>
                <w:rFonts w:ascii="Arial" w:cs="Arial" w:eastAsia="Arial" w:hAnsi="Arial"/>
                <w:sz w:val="17"/>
                <w:szCs w:val="17"/>
                <w:b w:val="1"/>
                <w:bCs w:val="1"/>
                <w:color w:val="auto"/>
              </w:rPr>
              <w:t>Due in One Year or Less</w:t>
            </w:r>
          </w:p>
        </w:tc>
        <w:tc>
          <w:tcPr>
            <w:tcW w:w="100" w:type="dxa"/>
            <w:vAlign w:val="bottom"/>
          </w:tcPr>
          <w:p>
            <w:pPr>
              <w:spacing w:after="0"/>
              <w:rPr>
                <w:sz w:val="19"/>
                <w:szCs w:val="19"/>
                <w:color w:val="auto"/>
              </w:rPr>
            </w:pPr>
          </w:p>
        </w:tc>
        <w:tc>
          <w:tcPr>
            <w:tcW w:w="214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91"/>
              </w:rPr>
              <w:t>Five Years</w:t>
            </w:r>
          </w:p>
        </w:tc>
        <w:tc>
          <w:tcPr>
            <w:tcW w:w="160" w:type="dxa"/>
            <w:vAlign w:val="bottom"/>
          </w:tcPr>
          <w:p>
            <w:pPr>
              <w:spacing w:after="0"/>
              <w:rPr>
                <w:sz w:val="19"/>
                <w:szCs w:val="19"/>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1"/>
              </w:rPr>
              <w:t>through Fifteen Years</w:t>
            </w:r>
          </w:p>
        </w:tc>
        <w:tc>
          <w:tcPr>
            <w:tcW w:w="140" w:type="dxa"/>
            <w:vAlign w:val="bottom"/>
          </w:tcPr>
          <w:p>
            <w:pPr>
              <w:spacing w:after="0"/>
              <w:rPr>
                <w:sz w:val="19"/>
                <w:szCs w:val="19"/>
                <w:color w:val="auto"/>
              </w:rPr>
            </w:pPr>
          </w:p>
        </w:tc>
        <w:tc>
          <w:tcPr>
            <w:tcW w:w="2000" w:type="dxa"/>
            <w:vAlign w:val="bottom"/>
            <w:gridSpan w:val="5"/>
          </w:tcPr>
          <w:p>
            <w:pPr>
              <w:ind w:left="40"/>
              <w:spacing w:after="0"/>
              <w:rPr>
                <w:sz w:val="20"/>
                <w:szCs w:val="20"/>
                <w:color w:val="auto"/>
              </w:rPr>
            </w:pPr>
            <w:r>
              <w:rPr>
                <w:rFonts w:ascii="Arial" w:cs="Arial" w:eastAsia="Arial" w:hAnsi="Arial"/>
                <w:sz w:val="17"/>
                <w:szCs w:val="17"/>
                <w:b w:val="1"/>
                <w:bCs w:val="1"/>
                <w:color w:val="auto"/>
              </w:rPr>
              <w:t>Due after Fifteen Years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Adjustable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Adjustable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4"/>
              </w:rPr>
              <w:t>Adjustable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Adjustable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17"/>
                <w:szCs w:val="17"/>
                <w:b w:val="1"/>
                <w:bCs w:val="1"/>
                <w:color w:val="auto"/>
              </w:rPr>
              <w:t>Fixed Rate</w:t>
            </w: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Rate</w:t>
            </w:r>
          </w:p>
        </w:tc>
        <w:tc>
          <w:tcPr>
            <w:tcW w:w="10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7"/>
                <w:szCs w:val="17"/>
                <w:b w:val="1"/>
                <w:bCs w:val="1"/>
                <w:color w:val="auto"/>
              </w:rPr>
              <w:t>Fixed Rate</w:t>
            </w: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Rate</w:t>
            </w:r>
          </w:p>
        </w:tc>
        <w:tc>
          <w:tcPr>
            <w:tcW w:w="1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Fixed Rate</w:t>
            </w:r>
          </w:p>
        </w:tc>
        <w:tc>
          <w:tcPr>
            <w:tcW w:w="320" w:type="dxa"/>
            <w:vAlign w:val="bottom"/>
          </w:tcPr>
          <w:p>
            <w:pPr>
              <w:spacing w:after="0"/>
              <w:rPr>
                <w:sz w:val="19"/>
                <w:szCs w:val="19"/>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2"/>
              </w:rPr>
              <w:t>Rate</w:t>
            </w:r>
          </w:p>
        </w:tc>
        <w:tc>
          <w:tcPr>
            <w:tcW w:w="1000" w:type="dxa"/>
            <w:vAlign w:val="bottom"/>
            <w:gridSpan w:val="3"/>
          </w:tcPr>
          <w:p>
            <w:pPr>
              <w:ind w:left="60"/>
              <w:spacing w:after="0"/>
              <w:rPr>
                <w:sz w:val="20"/>
                <w:szCs w:val="20"/>
                <w:color w:val="auto"/>
              </w:rPr>
            </w:pPr>
            <w:r>
              <w:rPr>
                <w:rFonts w:ascii="Arial" w:cs="Arial" w:eastAsia="Arial" w:hAnsi="Arial"/>
                <w:sz w:val="17"/>
                <w:szCs w:val="17"/>
                <w:b w:val="1"/>
                <w:bCs w:val="1"/>
                <w:color w:val="auto"/>
              </w:rPr>
              <w:t>Fixed Rate</w:t>
            </w:r>
          </w:p>
        </w:tc>
        <w:tc>
          <w:tcPr>
            <w:tcW w:w="12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Rate</w:t>
            </w:r>
          </w:p>
        </w:tc>
        <w:tc>
          <w:tcPr>
            <w:tcW w:w="22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6"/>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center"/>
              <w:ind w:left="574"/>
              <w:spacing w:after="0"/>
              <w:rPr>
                <w:sz w:val="20"/>
                <w:szCs w:val="20"/>
                <w:color w:val="auto"/>
              </w:rPr>
            </w:pPr>
            <w:r>
              <w:rPr>
                <w:rFonts w:ascii="Arial" w:cs="Arial" w:eastAsia="Arial" w:hAnsi="Arial"/>
                <w:sz w:val="16"/>
                <w:szCs w:val="16"/>
                <w:i w:val="1"/>
                <w:iCs w:val="1"/>
                <w:color w:val="auto"/>
                <w:w w:val="89"/>
              </w:rPr>
              <w:t>(Dollars in thousands)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63,678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329,338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283,206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513,545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20,939</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73,341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1,284,047</w:t>
            </w:r>
          </w:p>
        </w:tc>
        <w:tc>
          <w:tcPr>
            <w:tcW w:w="0" w:type="dxa"/>
            <w:vAlign w:val="bottom"/>
          </w:tcPr>
          <w:p>
            <w:pPr>
              <w:spacing w:after="0"/>
              <w:rPr>
                <w:sz w:val="1"/>
                <w:szCs w:val="1"/>
                <w:color w:val="auto"/>
              </w:rPr>
            </w:pPr>
          </w:p>
        </w:tc>
      </w:tr>
      <w:tr>
        <w:trPr>
          <w:trHeight w:val="260"/>
        </w:trPr>
        <w:tc>
          <w:tcPr>
            <w:tcW w:w="1360" w:type="dxa"/>
            <w:vAlign w:val="bottom"/>
          </w:tcPr>
          <w:p>
            <w:pPr>
              <w:ind w:left="20"/>
              <w:spacing w:after="0"/>
              <w:rPr>
                <w:sz w:val="20"/>
                <w:szCs w:val="20"/>
                <w:color w:val="auto"/>
              </w:rPr>
            </w:pPr>
            <w:r>
              <w:rPr>
                <w:rFonts w:ascii="Arial" w:cs="Arial" w:eastAsia="Arial" w:hAnsi="Arial"/>
                <w:sz w:val="17"/>
                <w:szCs w:val="17"/>
                <w:color w:val="auto"/>
              </w:rPr>
              <w:t>Energy</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193,485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148,911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342,899</w:t>
            </w:r>
          </w:p>
        </w:tc>
        <w:tc>
          <w:tcPr>
            <w:tcW w:w="0" w:type="dxa"/>
            <w:vAlign w:val="bottom"/>
          </w:tcPr>
          <w:p>
            <w:pPr>
              <w:spacing w:after="0"/>
              <w:rPr>
                <w:sz w:val="1"/>
                <w:szCs w:val="1"/>
                <w:color w:val="auto"/>
              </w:rPr>
            </w:pPr>
          </w:p>
        </w:tc>
      </w:tr>
      <w:tr>
        <w:trPr>
          <w:trHeight w:val="170"/>
        </w:trPr>
        <w:tc>
          <w:tcPr>
            <w:tcW w:w="136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Commercial real</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103,513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139,707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346,489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295,986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47,092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251,547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1,191,634</w:t>
            </w:r>
          </w:p>
        </w:tc>
        <w:tc>
          <w:tcPr>
            <w:tcW w:w="0" w:type="dxa"/>
            <w:vAlign w:val="bottom"/>
          </w:tcPr>
          <w:p>
            <w:pPr>
              <w:spacing w:after="0"/>
              <w:rPr>
                <w:sz w:val="1"/>
                <w:szCs w:val="1"/>
                <w:color w:val="auto"/>
              </w:rPr>
            </w:pPr>
          </w:p>
        </w:tc>
      </w:tr>
      <w:tr>
        <w:trPr>
          <w:trHeight w:val="221"/>
        </w:trPr>
        <w:tc>
          <w:tcPr>
            <w:tcW w:w="1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estate</w:t>
            </w: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60" w:type="dxa"/>
            <w:vAlign w:val="bottom"/>
          </w:tcPr>
          <w:p>
            <w:pPr>
              <w:ind w:left="20"/>
              <w:spacing w:after="0" w:line="170" w:lineRule="exact"/>
              <w:rPr>
                <w:sz w:val="20"/>
                <w:szCs w:val="20"/>
                <w:color w:val="auto"/>
              </w:rPr>
            </w:pPr>
            <w:r>
              <w:rPr>
                <w:rFonts w:ascii="Arial" w:cs="Arial" w:eastAsia="Arial" w:hAnsi="Arial"/>
                <w:sz w:val="17"/>
                <w:szCs w:val="17"/>
                <w:color w:val="auto"/>
              </w:rPr>
              <w:t>Construction and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ind w:left="180"/>
              <w:spacing w:after="0" w:line="169" w:lineRule="exact"/>
              <w:rPr>
                <w:sz w:val="20"/>
                <w:szCs w:val="20"/>
                <w:color w:val="auto"/>
              </w:rPr>
            </w:pPr>
            <w:r>
              <w:rPr>
                <w:rFonts w:ascii="Arial" w:cs="Arial" w:eastAsia="Arial" w:hAnsi="Arial"/>
                <w:sz w:val="17"/>
                <w:szCs w:val="17"/>
                <w:color w:val="auto"/>
              </w:rPr>
              <w:t>land</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4,411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75,857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33,557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444,016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29,768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6,860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22,731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617,200</w:t>
            </w:r>
          </w:p>
        </w:tc>
        <w:tc>
          <w:tcPr>
            <w:tcW w:w="0" w:type="dxa"/>
            <w:vAlign w:val="bottom"/>
          </w:tcPr>
          <w:p>
            <w:pPr>
              <w:spacing w:after="0"/>
              <w:rPr>
                <w:sz w:val="1"/>
                <w:szCs w:val="1"/>
                <w:color w:val="auto"/>
              </w:rPr>
            </w:pPr>
          </w:p>
        </w:tc>
      </w:tr>
      <w:tr>
        <w:trPr>
          <w:trHeight w:val="221"/>
        </w:trPr>
        <w:tc>
          <w:tcPr>
            <w:tcW w:w="1360" w:type="dxa"/>
            <w:vAlign w:val="bottom"/>
          </w:tcPr>
          <w:p>
            <w:pPr>
              <w:ind w:left="180"/>
              <w:spacing w:after="0"/>
              <w:rPr>
                <w:sz w:val="20"/>
                <w:szCs w:val="20"/>
                <w:color w:val="auto"/>
              </w:rPr>
            </w:pPr>
            <w:r>
              <w:rPr>
                <w:rFonts w:ascii="Arial" w:cs="Arial" w:eastAsia="Arial" w:hAnsi="Arial"/>
                <w:sz w:val="17"/>
                <w:szCs w:val="17"/>
                <w:color w:val="auto"/>
              </w:rPr>
              <w:t>development</w:t>
            </w: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6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Residential and</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multifamily real</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20,344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112,806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69,230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143,924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110,117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8,675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222,621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687,893</w:t>
            </w:r>
          </w:p>
        </w:tc>
        <w:tc>
          <w:tcPr>
            <w:tcW w:w="0" w:type="dxa"/>
            <w:vAlign w:val="bottom"/>
          </w:tcPr>
          <w:p>
            <w:pPr>
              <w:spacing w:after="0"/>
              <w:rPr>
                <w:sz w:val="1"/>
                <w:szCs w:val="1"/>
                <w:color w:val="auto"/>
              </w:rPr>
            </w:pPr>
          </w:p>
        </w:tc>
      </w:tr>
      <w:tr>
        <w:trPr>
          <w:trHeight w:val="221"/>
        </w:trPr>
        <w:tc>
          <w:tcPr>
            <w:tcW w:w="1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estate</w:t>
            </w: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360" w:type="dxa"/>
            <w:vAlign w:val="bottom"/>
          </w:tcPr>
          <w:p>
            <w:pPr>
              <w:ind w:left="20"/>
              <w:spacing w:after="0"/>
              <w:rPr>
                <w:sz w:val="20"/>
                <w:szCs w:val="20"/>
                <w:color w:val="auto"/>
              </w:rPr>
            </w:pPr>
            <w:r>
              <w:rPr>
                <w:rFonts w:ascii="Arial" w:cs="Arial" w:eastAsia="Arial" w:hAnsi="Arial"/>
                <w:sz w:val="17"/>
                <w:szCs w:val="17"/>
                <w:color w:val="auto"/>
              </w:rPr>
              <w:t>PPP</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336,355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336,355</w:t>
            </w:r>
          </w:p>
        </w:tc>
        <w:tc>
          <w:tcPr>
            <w:tcW w:w="0" w:type="dxa"/>
            <w:vAlign w:val="bottom"/>
          </w:tcPr>
          <w:p>
            <w:pPr>
              <w:spacing w:after="0"/>
              <w:rPr>
                <w:sz w:val="1"/>
                <w:szCs w:val="1"/>
                <w:color w:val="auto"/>
              </w:rPr>
            </w:pPr>
          </w:p>
        </w:tc>
      </w:tr>
      <w:tr>
        <w:trPr>
          <w:trHeight w:val="260"/>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62,917</w:t>
            </w:r>
          </w:p>
        </w:tc>
        <w:tc>
          <w:tcPr>
            <w:tcW w:w="0" w:type="dxa"/>
            <w:vAlign w:val="bottom"/>
          </w:tcPr>
          <w:p>
            <w:pPr>
              <w:spacing w:after="0"/>
              <w:rPr>
                <w:sz w:val="1"/>
                <w:szCs w:val="1"/>
                <w:color w:val="auto"/>
              </w:rPr>
            </w:pPr>
          </w:p>
        </w:tc>
      </w:tr>
      <w:tr>
        <w:trPr>
          <w:trHeight w:val="214"/>
        </w:trPr>
        <w:tc>
          <w:tcPr>
            <w:tcW w:w="1360" w:type="dxa"/>
            <w:vAlign w:val="bottom"/>
          </w:tcPr>
          <w:p>
            <w:pPr>
              <w:ind w:left="140"/>
              <w:spacing w:after="0"/>
              <w:rPr>
                <w:sz w:val="20"/>
                <w:szCs w:val="20"/>
                <w:color w:val="auto"/>
              </w:rPr>
            </w:pPr>
            <w:r>
              <w:rPr>
                <w:rFonts w:ascii="Arial" w:cs="Arial" w:eastAsia="Arial" w:hAnsi="Arial"/>
                <w:sz w:val="17"/>
                <w:szCs w:val="17"/>
                <w:color w:val="auto"/>
              </w:rPr>
              <w:t>Gross loans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208,797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862,405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1,074,055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1,558,916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178,148</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378,663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7,036</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254,925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4,522,945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Provision and Allowance for Loan Losses (“ALLL”)</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center"/>
              <w:ind w:left="913"/>
              <w:spacing w:after="0"/>
              <w:rPr>
                <w:sz w:val="20"/>
                <w:szCs w:val="20"/>
                <w:color w:val="auto"/>
              </w:rPr>
            </w:pPr>
            <w:r>
              <w:rPr>
                <w:rFonts w:ascii="Arial" w:cs="Arial" w:eastAsia="Arial" w:hAnsi="Arial"/>
                <w:sz w:val="17"/>
                <w:szCs w:val="17"/>
                <w:b w:val="1"/>
                <w:bCs w:val="1"/>
                <w:color w:val="auto"/>
                <w:w w:val="95"/>
              </w:rPr>
              <w:t>For the Quarter Ended</w:t>
            </w:r>
          </w:p>
        </w:tc>
        <w:tc>
          <w:tcPr>
            <w:tcW w:w="1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233"/>
              <w:spacing w:after="0"/>
              <w:rPr>
                <w:sz w:val="20"/>
                <w:szCs w:val="20"/>
                <w:color w:val="auto"/>
              </w:rPr>
            </w:pPr>
            <w:r>
              <w:rPr>
                <w:rFonts w:ascii="Arial" w:cs="Arial" w:eastAsia="Arial" w:hAnsi="Arial"/>
                <w:sz w:val="17"/>
                <w:szCs w:val="17"/>
                <w:b w:val="1"/>
                <w:bCs w:val="1"/>
                <w:color w:val="auto"/>
              </w:rPr>
              <w:t>March 31,</w:t>
            </w:r>
          </w:p>
        </w:tc>
        <w:tc>
          <w:tcPr>
            <w:tcW w:w="200" w:type="dxa"/>
            <w:vAlign w:val="bottom"/>
          </w:tcPr>
          <w:p>
            <w:pPr>
              <w:spacing w:after="0"/>
              <w:rPr>
                <w:sz w:val="18"/>
                <w:szCs w:val="18"/>
                <w:color w:val="auto"/>
              </w:rPr>
            </w:pPr>
          </w:p>
        </w:tc>
        <w:tc>
          <w:tcPr>
            <w:tcW w:w="1260" w:type="dxa"/>
            <w:vAlign w:val="bottom"/>
          </w:tcPr>
          <w:p>
            <w:pPr>
              <w:jc w:val="right"/>
              <w:ind w:right="113"/>
              <w:spacing w:after="0"/>
              <w:rPr>
                <w:sz w:val="20"/>
                <w:szCs w:val="20"/>
                <w:color w:val="auto"/>
              </w:rPr>
            </w:pPr>
            <w:r>
              <w:rPr>
                <w:rFonts w:ascii="Arial" w:cs="Arial" w:eastAsia="Arial" w:hAnsi="Arial"/>
                <w:sz w:val="17"/>
                <w:szCs w:val="17"/>
                <w:b w:val="1"/>
                <w:bCs w:val="1"/>
                <w:color w:val="auto"/>
                <w:w w:val="94"/>
              </w:rPr>
              <w:t>December 31,</w:t>
            </w:r>
          </w:p>
        </w:tc>
        <w:tc>
          <w:tcPr>
            <w:tcW w:w="200" w:type="dxa"/>
            <w:vAlign w:val="bottom"/>
          </w:tcPr>
          <w:p>
            <w:pPr>
              <w:spacing w:after="0"/>
              <w:rPr>
                <w:sz w:val="18"/>
                <w:szCs w:val="18"/>
                <w:color w:val="auto"/>
              </w:rPr>
            </w:pPr>
          </w:p>
        </w:tc>
        <w:tc>
          <w:tcPr>
            <w:tcW w:w="1320" w:type="dxa"/>
            <w:vAlign w:val="bottom"/>
          </w:tcPr>
          <w:p>
            <w:pPr>
              <w:jc w:val="center"/>
              <w:ind w:right="93"/>
              <w:spacing w:after="0"/>
              <w:rPr>
                <w:sz w:val="20"/>
                <w:szCs w:val="20"/>
                <w:color w:val="auto"/>
              </w:rPr>
            </w:pPr>
            <w:r>
              <w:rPr>
                <w:rFonts w:ascii="Arial" w:cs="Arial" w:eastAsia="Arial" w:hAnsi="Arial"/>
                <w:sz w:val="17"/>
                <w:szCs w:val="17"/>
                <w:b w:val="1"/>
                <w:bCs w:val="1"/>
                <w:color w:val="auto"/>
                <w:w w:val="91"/>
              </w:rPr>
              <w:t>September 30,</w:t>
            </w:r>
          </w:p>
        </w:tc>
        <w:tc>
          <w:tcPr>
            <w:tcW w:w="260" w:type="dxa"/>
            <w:vAlign w:val="bottom"/>
          </w:tcPr>
          <w:p>
            <w:pPr>
              <w:spacing w:after="0"/>
              <w:rPr>
                <w:sz w:val="18"/>
                <w:szCs w:val="18"/>
                <w:color w:val="auto"/>
              </w:rPr>
            </w:pPr>
          </w:p>
        </w:tc>
        <w:tc>
          <w:tcPr>
            <w:tcW w:w="1160" w:type="dxa"/>
            <w:vAlign w:val="bottom"/>
          </w:tcPr>
          <w:p>
            <w:pPr>
              <w:jc w:val="right"/>
              <w:ind w:right="313"/>
              <w:spacing w:after="0"/>
              <w:rPr>
                <w:sz w:val="20"/>
                <w:szCs w:val="20"/>
                <w:color w:val="auto"/>
              </w:rPr>
            </w:pPr>
            <w:r>
              <w:rPr>
                <w:rFonts w:ascii="Arial" w:cs="Arial" w:eastAsia="Arial" w:hAnsi="Arial"/>
                <w:sz w:val="17"/>
                <w:szCs w:val="17"/>
                <w:b w:val="1"/>
                <w:bCs w:val="1"/>
                <w:color w:val="auto"/>
              </w:rPr>
              <w:t>June 30,</w:t>
            </w:r>
          </w:p>
        </w:tc>
        <w:tc>
          <w:tcPr>
            <w:tcW w:w="28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Arial" w:cs="Arial" w:eastAsia="Arial" w:hAnsi="Arial"/>
                <w:sz w:val="17"/>
                <w:szCs w:val="17"/>
                <w:b w:val="1"/>
                <w:bCs w:val="1"/>
                <w:color w:val="auto"/>
              </w:rPr>
              <w:t>March 31,</w:t>
            </w:r>
          </w:p>
        </w:tc>
      </w:tr>
      <w:tr>
        <w:trPr>
          <w:trHeight w:val="227"/>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1260" w:type="dxa"/>
            <w:vAlign w:val="bottom"/>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9"/>
                <w:szCs w:val="19"/>
                <w:color w:val="auto"/>
              </w:rPr>
            </w:pPr>
          </w:p>
        </w:tc>
        <w:tc>
          <w:tcPr>
            <w:tcW w:w="1320" w:type="dxa"/>
            <w:vAlign w:val="bottom"/>
          </w:tcPr>
          <w:p>
            <w:pPr>
              <w:jc w:val="center"/>
              <w:ind w:right="93"/>
              <w:spacing w:after="0"/>
              <w:rPr>
                <w:sz w:val="20"/>
                <w:szCs w:val="20"/>
                <w:color w:val="auto"/>
              </w:rPr>
            </w:pPr>
            <w:r>
              <w:rPr>
                <w:rFonts w:ascii="Arial" w:cs="Arial" w:eastAsia="Arial" w:hAnsi="Arial"/>
                <w:sz w:val="17"/>
                <w:szCs w:val="17"/>
                <w:b w:val="1"/>
                <w:bCs w:val="1"/>
                <w:color w:val="auto"/>
                <w:w w:val="89"/>
              </w:rPr>
              <w:t>2020</w:t>
            </w:r>
          </w:p>
        </w:tc>
        <w:tc>
          <w:tcPr>
            <w:tcW w:w="260" w:type="dxa"/>
            <w:vAlign w:val="bottom"/>
          </w:tcPr>
          <w:p>
            <w:pPr>
              <w:spacing w:after="0"/>
              <w:rPr>
                <w:sz w:val="19"/>
                <w:szCs w:val="19"/>
                <w:color w:val="auto"/>
              </w:rPr>
            </w:pPr>
          </w:p>
        </w:tc>
        <w:tc>
          <w:tcPr>
            <w:tcW w:w="1160" w:type="dxa"/>
            <w:vAlign w:val="bottom"/>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280" w:type="dxa"/>
            <w:vAlign w:val="bottom"/>
          </w:tcPr>
          <w:p>
            <w:pPr>
              <w:spacing w:after="0"/>
              <w:rPr>
                <w:sz w:val="19"/>
                <w:szCs w:val="19"/>
                <w:color w:val="auto"/>
              </w:rPr>
            </w:pPr>
          </w:p>
        </w:tc>
        <w:tc>
          <w:tcPr>
            <w:tcW w:w="1160" w:type="dxa"/>
            <w:vAlign w:val="bottom"/>
          </w:tcPr>
          <w:p>
            <w:pPr>
              <w:jc w:val="right"/>
              <w:ind w:right="433"/>
              <w:spacing w:after="0"/>
              <w:rPr>
                <w:sz w:val="20"/>
                <w:szCs w:val="20"/>
                <w:color w:val="auto"/>
              </w:rPr>
            </w:pPr>
            <w:r>
              <w:rPr>
                <w:rFonts w:ascii="Arial" w:cs="Arial" w:eastAsia="Arial" w:hAnsi="Arial"/>
                <w:sz w:val="17"/>
                <w:szCs w:val="17"/>
                <w:b w:val="1"/>
                <w:bCs w:val="1"/>
                <w:color w:val="auto"/>
              </w:rPr>
              <w:t>2020</w:t>
            </w:r>
          </w:p>
        </w:tc>
      </w:tr>
      <w:tr>
        <w:trPr>
          <w:trHeight w:val="26"/>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i w:val="1"/>
                <w:iCs w:val="1"/>
                <w:color w:val="auto"/>
                <w:w w:val="91"/>
              </w:rPr>
              <w:t>(Dollars in thousands)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1"/>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loan losses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10,875</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21,000</w:t>
            </w:r>
          </w:p>
        </w:tc>
        <w:tc>
          <w:tcPr>
            <w:tcW w:w="2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13,950</w:t>
            </w:r>
          </w:p>
        </w:tc>
      </w:tr>
      <w:tr>
        <w:trPr>
          <w:trHeight w:val="221"/>
        </w:trPr>
        <w:tc>
          <w:tcPr>
            <w:tcW w:w="3840" w:type="dxa"/>
            <w:vAlign w:val="bottom"/>
          </w:tcPr>
          <w:p>
            <w:pPr>
              <w:ind w:left="20"/>
              <w:spacing w:after="0"/>
              <w:rPr>
                <w:sz w:val="20"/>
                <w:szCs w:val="20"/>
                <w:color w:val="auto"/>
              </w:rPr>
            </w:pPr>
            <w:r>
              <w:rPr>
                <w:rFonts w:ascii="Arial" w:cs="Arial" w:eastAsia="Arial" w:hAnsi="Arial"/>
                <w:sz w:val="17"/>
                <w:szCs w:val="17"/>
                <w:color w:val="auto"/>
              </w:rPr>
              <w:t>Allowance for loan losses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74,551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75,295</w:t>
            </w:r>
          </w:p>
        </w:tc>
        <w:tc>
          <w:tcPr>
            <w:tcW w:w="20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7"/>
                <w:szCs w:val="17"/>
                <w:color w:val="auto"/>
              </w:rPr>
              <w:t>76,035</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71,185</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51,458</w:t>
            </w:r>
          </w:p>
        </w:tc>
      </w:tr>
      <w:tr>
        <w:trPr>
          <w:trHeight w:val="221"/>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charge-offs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6,025</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w:t>
            </w:r>
          </w:p>
        </w:tc>
        <w:tc>
          <w:tcPr>
            <w:tcW w:w="2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19,388</w:t>
            </w:r>
          </w:p>
        </w:tc>
      </w:tr>
    </w:tbl>
    <w:p>
      <w:pPr>
        <w:spacing w:after="0" w:line="144" w:lineRule="exact"/>
        <w:rPr>
          <w:sz w:val="20"/>
          <w:szCs w:val="20"/>
          <w:color w:val="auto"/>
        </w:rPr>
      </w:pPr>
    </w:p>
    <w:p>
      <w:pPr>
        <w:ind w:left="160" w:right="280" w:firstLine="469"/>
        <w:spacing w:after="0" w:line="266" w:lineRule="auto"/>
        <w:rPr>
          <w:sz w:val="20"/>
          <w:szCs w:val="20"/>
          <w:color w:val="auto"/>
        </w:rPr>
      </w:pPr>
      <w:r>
        <w:rPr>
          <w:rFonts w:ascii="Arial" w:cs="Arial" w:eastAsia="Arial" w:hAnsi="Arial"/>
          <w:sz w:val="17"/>
          <w:szCs w:val="17"/>
          <w:color w:val="auto"/>
        </w:rPr>
        <w:t>Refer to “Note 4: Loans and Allowance for Loan Losses (“ALLL”)” within the Notes to the Unaudited Consolidated Financial Statements for information regarding the Company’s ALLL process. The ALLL at March 31, 2021 represents our best estimate of the incurred credit losses inherent in the loan portfolio at that date. The allocation in one portfolio segment does not preclude its availability to absorb losses in other segments. The table below presents the allocation of the allowance for loan losses as of the dates indicated:</w:t>
      </w:r>
    </w:p>
    <w:p>
      <w:pPr>
        <w:spacing w:after="0" w:line="156"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60" w:type="dxa"/>
            <w:vAlign w:val="bottom"/>
            <w:gridSpan w:val="4"/>
          </w:tcPr>
          <w:p>
            <w:pPr>
              <w:ind w:left="1060"/>
              <w:spacing w:after="0"/>
              <w:rPr>
                <w:sz w:val="20"/>
                <w:szCs w:val="20"/>
                <w:color w:val="auto"/>
              </w:rPr>
            </w:pPr>
            <w:r>
              <w:rPr>
                <w:rFonts w:ascii="Arial" w:cs="Arial" w:eastAsia="Arial" w:hAnsi="Arial"/>
                <w:sz w:val="17"/>
                <w:szCs w:val="17"/>
                <w:b w:val="1"/>
                <w:bCs w:val="1"/>
                <w:color w:val="auto"/>
              </w:rPr>
              <w:t>March 31, 2021</w:t>
            </w:r>
          </w:p>
        </w:tc>
        <w:tc>
          <w:tcPr>
            <w:tcW w:w="320" w:type="dxa"/>
            <w:vAlign w:val="bottom"/>
          </w:tcPr>
          <w:p>
            <w:pPr>
              <w:spacing w:after="0"/>
              <w:rPr>
                <w:sz w:val="19"/>
                <w:szCs w:val="19"/>
                <w:color w:val="auto"/>
              </w:rPr>
            </w:pPr>
          </w:p>
        </w:tc>
        <w:tc>
          <w:tcPr>
            <w:tcW w:w="3560" w:type="dxa"/>
            <w:vAlign w:val="bottom"/>
            <w:gridSpan w:val="3"/>
          </w:tcPr>
          <w:p>
            <w:pPr>
              <w:jc w:val="right"/>
              <w:ind w:right="1153"/>
              <w:spacing w:after="0"/>
              <w:rPr>
                <w:sz w:val="20"/>
                <w:szCs w:val="20"/>
                <w:color w:val="auto"/>
              </w:rPr>
            </w:pPr>
            <w:r>
              <w:rPr>
                <w:rFonts w:ascii="Arial" w:cs="Arial" w:eastAsia="Arial" w:hAnsi="Arial"/>
                <w:sz w:val="17"/>
                <w:szCs w:val="17"/>
                <w:b w:val="1"/>
                <w:bCs w:val="1"/>
                <w:color w:val="auto"/>
              </w:rPr>
              <w:t>December 31, 2020</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7"/>
                <w:szCs w:val="17"/>
                <w:b w:val="1"/>
                <w:bCs w:val="1"/>
                <w:color w:val="auto"/>
              </w:rPr>
              <w:t>Amount</w:t>
            </w:r>
          </w:p>
        </w:tc>
        <w:tc>
          <w:tcPr>
            <w:tcW w:w="212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1"/>
              </w:rPr>
              <w:t>Percent of Allowance to</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7"/>
                <w:szCs w:val="17"/>
                <w:b w:val="1"/>
                <w:bCs w:val="1"/>
                <w:color w:val="auto"/>
              </w:rPr>
              <w:t>Amount</w:t>
            </w:r>
          </w:p>
        </w:tc>
        <w:tc>
          <w:tcPr>
            <w:tcW w:w="2100" w:type="dxa"/>
            <w:vAlign w:val="bottom"/>
            <w:tcBorders>
              <w:top w:val="single" w:sz="8" w:color="auto"/>
            </w:tcBorders>
          </w:tcPr>
          <w:p>
            <w:pPr>
              <w:jc w:val="right"/>
              <w:ind w:right="93"/>
              <w:spacing w:after="0" w:line="163" w:lineRule="exact"/>
              <w:rPr>
                <w:sz w:val="20"/>
                <w:szCs w:val="20"/>
                <w:color w:val="auto"/>
              </w:rPr>
            </w:pPr>
            <w:r>
              <w:rPr>
                <w:rFonts w:ascii="Arial" w:cs="Arial" w:eastAsia="Arial" w:hAnsi="Arial"/>
                <w:sz w:val="17"/>
                <w:szCs w:val="17"/>
                <w:b w:val="1"/>
                <w:bCs w:val="1"/>
                <w:color w:val="auto"/>
                <w:w w:val="98"/>
              </w:rPr>
              <w:t>Percent of Allowance to</w:t>
            </w: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vMerge w:val="continue"/>
          </w:tcPr>
          <w:p>
            <w:pPr>
              <w:spacing w:after="0"/>
              <w:rPr>
                <w:sz w:val="19"/>
                <w:szCs w:val="19"/>
                <w:color w:val="auto"/>
              </w:rPr>
            </w:pPr>
          </w:p>
        </w:tc>
        <w:tc>
          <w:tcPr>
            <w:tcW w:w="2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92"/>
              </w:rPr>
              <w:t>Total Allowance</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vMerge w:val="continue"/>
          </w:tcPr>
          <w:p>
            <w:pPr>
              <w:spacing w:after="0"/>
              <w:rPr>
                <w:sz w:val="19"/>
                <w:szCs w:val="19"/>
                <w:color w:val="auto"/>
              </w:rPr>
            </w:pPr>
          </w:p>
        </w:tc>
        <w:tc>
          <w:tcPr>
            <w:tcW w:w="21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Total Allowance</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5"/>
          </w:tcPr>
          <w:p>
            <w:pPr>
              <w:ind w:left="1460"/>
              <w:spacing w:after="0"/>
              <w:rPr>
                <w:sz w:val="20"/>
                <w:szCs w:val="20"/>
                <w:color w:val="auto"/>
              </w:rPr>
            </w:pPr>
            <w:r>
              <w:rPr>
                <w:rFonts w:ascii="Arial" w:cs="Arial" w:eastAsia="Arial" w:hAnsi="Arial"/>
                <w:sz w:val="16"/>
                <w:szCs w:val="16"/>
                <w:i w:val="1"/>
                <w:iCs w:val="1"/>
                <w:color w:val="auto"/>
              </w:rPr>
              <w:t>(Dollars in thousands)</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23,464</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24,693</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21"/>
        </w:trPr>
        <w:tc>
          <w:tcPr>
            <w:tcW w:w="3240" w:type="dxa"/>
            <w:vAlign w:val="bottom"/>
          </w:tcPr>
          <w:p>
            <w:pPr>
              <w:ind w:left="20"/>
              <w:spacing w:after="0"/>
              <w:rPr>
                <w:sz w:val="20"/>
                <w:szCs w:val="20"/>
                <w:color w:val="auto"/>
              </w:rPr>
            </w:pPr>
            <w:r>
              <w:rPr>
                <w:rFonts w:ascii="Arial" w:cs="Arial" w:eastAsia="Arial" w:hAnsi="Arial"/>
                <w:sz w:val="17"/>
                <w:szCs w:val="17"/>
                <w:color w:val="auto"/>
              </w:rPr>
              <w:t>Energy</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20,292</w:t>
            </w:r>
          </w:p>
        </w:tc>
        <w:tc>
          <w:tcPr>
            <w:tcW w:w="100" w:type="dxa"/>
            <w:vAlign w:val="bottom"/>
          </w:tcPr>
          <w:p>
            <w:pPr>
              <w:spacing w:after="0"/>
              <w:rPr>
                <w:sz w:val="19"/>
                <w:szCs w:val="19"/>
                <w:color w:val="auto"/>
              </w:rPr>
            </w:pPr>
          </w:p>
        </w:tc>
        <w:tc>
          <w:tcPr>
            <w:tcW w:w="2120" w:type="dxa"/>
            <w:vAlign w:val="bottom"/>
          </w:tcPr>
          <w:p>
            <w:pPr>
              <w:jc w:val="right"/>
              <w:ind w:right="134"/>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18,341</w:t>
            </w:r>
          </w:p>
        </w:tc>
        <w:tc>
          <w:tcPr>
            <w:tcW w:w="120" w:type="dxa"/>
            <w:vAlign w:val="bottom"/>
          </w:tcPr>
          <w:p>
            <w:pPr>
              <w:spacing w:after="0"/>
              <w:rPr>
                <w:sz w:val="19"/>
                <w:szCs w:val="19"/>
                <w:color w:val="auto"/>
              </w:rPr>
            </w:pPr>
          </w:p>
        </w:tc>
        <w:tc>
          <w:tcPr>
            <w:tcW w:w="2100" w:type="dxa"/>
            <w:vAlign w:val="bottom"/>
          </w:tcPr>
          <w:p>
            <w:pPr>
              <w:jc w:val="right"/>
              <w:ind w:right="113"/>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1"/>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real estate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20,609</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22,354</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1"/>
        </w:trPr>
        <w:tc>
          <w:tcPr>
            <w:tcW w:w="3240" w:type="dxa"/>
            <w:vAlign w:val="bottom"/>
          </w:tcPr>
          <w:p>
            <w:pPr>
              <w:ind w:left="20"/>
              <w:spacing w:after="0"/>
              <w:rPr>
                <w:sz w:val="20"/>
                <w:szCs w:val="20"/>
                <w:color w:val="auto"/>
              </w:rPr>
            </w:pPr>
            <w:r>
              <w:rPr>
                <w:rFonts w:ascii="Arial" w:cs="Arial" w:eastAsia="Arial" w:hAnsi="Arial"/>
                <w:sz w:val="17"/>
                <w:szCs w:val="17"/>
                <w:color w:val="auto"/>
              </w:rPr>
              <w:t>Construction and land development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3,837</w:t>
            </w:r>
          </w:p>
        </w:tc>
        <w:tc>
          <w:tcPr>
            <w:tcW w:w="100" w:type="dxa"/>
            <w:vAlign w:val="bottom"/>
          </w:tcPr>
          <w:p>
            <w:pPr>
              <w:spacing w:after="0"/>
              <w:rPr>
                <w:sz w:val="19"/>
                <w:szCs w:val="19"/>
                <w:color w:val="auto"/>
              </w:rPr>
            </w:pPr>
          </w:p>
        </w:tc>
        <w:tc>
          <w:tcPr>
            <w:tcW w:w="2120" w:type="dxa"/>
            <w:vAlign w:val="bottom"/>
          </w:tcPr>
          <w:p>
            <w:pPr>
              <w:jc w:val="right"/>
              <w:ind w:right="134"/>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3,612</w:t>
            </w:r>
          </w:p>
        </w:tc>
        <w:tc>
          <w:tcPr>
            <w:tcW w:w="120" w:type="dxa"/>
            <w:vAlign w:val="bottom"/>
          </w:tcPr>
          <w:p>
            <w:pPr>
              <w:spacing w:after="0"/>
              <w:rPr>
                <w:sz w:val="19"/>
                <w:szCs w:val="19"/>
                <w:color w:val="auto"/>
              </w:rPr>
            </w:pPr>
          </w:p>
        </w:tc>
        <w:tc>
          <w:tcPr>
            <w:tcW w:w="2100" w:type="dxa"/>
            <w:vAlign w:val="bottom"/>
          </w:tcPr>
          <w:p>
            <w:pPr>
              <w:jc w:val="right"/>
              <w:ind w:right="113"/>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1"/>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and multifamily real estate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6,056</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5,842</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1"/>
        </w:trPr>
        <w:tc>
          <w:tcPr>
            <w:tcW w:w="3240" w:type="dxa"/>
            <w:vAlign w:val="bottom"/>
          </w:tcPr>
          <w:p>
            <w:pPr>
              <w:ind w:left="20"/>
              <w:spacing w:after="0"/>
              <w:rPr>
                <w:sz w:val="20"/>
                <w:szCs w:val="20"/>
                <w:color w:val="auto"/>
              </w:rPr>
            </w:pPr>
            <w:r>
              <w:rPr>
                <w:rFonts w:ascii="Arial" w:cs="Arial" w:eastAsia="Arial" w:hAnsi="Arial"/>
                <w:sz w:val="17"/>
                <w:szCs w:val="17"/>
                <w:color w:val="auto"/>
              </w:rPr>
              <w:t>PPP</w:t>
            </w:r>
          </w:p>
        </w:tc>
        <w:tc>
          <w:tcPr>
            <w:tcW w:w="3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1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w:t>
            </w: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20" w:type="dxa"/>
            <w:vAlign w:val="bottom"/>
            <w:shd w:val="clear" w:color="auto" w:fill="CCEEFF"/>
          </w:tcPr>
          <w:p>
            <w:pPr>
              <w:spacing w:after="0"/>
              <w:rPr>
                <w:sz w:val="22"/>
                <w:szCs w:val="22"/>
                <w:color w:val="auto"/>
              </w:rPr>
            </w:pPr>
          </w:p>
        </w:tc>
        <w:tc>
          <w:tcPr>
            <w:tcW w:w="2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4"/>
        </w:trPr>
        <w:tc>
          <w:tcPr>
            <w:tcW w:w="3240" w:type="dxa"/>
            <w:vAlign w:val="bottom"/>
          </w:tcPr>
          <w:p>
            <w:pPr>
              <w:ind w:left="140"/>
              <w:spacing w:after="0"/>
              <w:rPr>
                <w:sz w:val="20"/>
                <w:szCs w:val="20"/>
                <w:color w:val="auto"/>
              </w:rPr>
            </w:pPr>
            <w:r>
              <w:rPr>
                <w:rFonts w:ascii="Arial" w:cs="Arial" w:eastAsia="Arial" w:hAnsi="Arial"/>
                <w:sz w:val="17"/>
                <w:szCs w:val="17"/>
                <w:color w:val="auto"/>
              </w:rPr>
              <w:t>Gross loans</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74,551</w:t>
            </w:r>
          </w:p>
        </w:tc>
        <w:tc>
          <w:tcPr>
            <w:tcW w:w="100" w:type="dxa"/>
            <w:vAlign w:val="bottom"/>
          </w:tcPr>
          <w:p>
            <w:pPr>
              <w:spacing w:after="0"/>
              <w:rPr>
                <w:sz w:val="18"/>
                <w:szCs w:val="18"/>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75,295</w:t>
            </w:r>
          </w:p>
        </w:tc>
        <w:tc>
          <w:tcPr>
            <w:tcW w:w="120" w:type="dxa"/>
            <w:vAlign w:val="bottom"/>
          </w:tcPr>
          <w:p>
            <w:pPr>
              <w:spacing w:after="0"/>
              <w:rPr>
                <w:sz w:val="18"/>
                <w:szCs w:val="18"/>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1">
              <w:r>
                <w:rPr>
                  <w:rFonts w:ascii="Arial" w:cs="Arial" w:eastAsia="Arial" w:hAnsi="Arial"/>
                  <w:sz w:val="17"/>
                  <w:szCs w:val="17"/>
                  <w:color w:val="0000FF"/>
                  <w:w w:val="90"/>
                </w:rPr>
                <w:t>Table of Contents</w:t>
              </w:r>
            </w:hyperlink>
          </w:p>
        </w:tc>
        <w:tc>
          <w:tcPr>
            <w:tcW w:w="6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800"/>
        </w:trPr>
        <w:tc>
          <w:tcPr>
            <w:tcW w:w="160" w:type="dxa"/>
            <w:vAlign w:val="bottom"/>
          </w:tcPr>
          <w:p>
            <w:pPr>
              <w:spacing w:after="0"/>
              <w:rPr>
                <w:sz w:val="24"/>
                <w:szCs w:val="24"/>
                <w:color w:val="auto"/>
              </w:rPr>
            </w:pPr>
          </w:p>
        </w:tc>
        <w:tc>
          <w:tcPr>
            <w:tcW w:w="7720" w:type="dxa"/>
            <w:vAlign w:val="bottom"/>
            <w:gridSpan w:val="2"/>
          </w:tcPr>
          <w:p>
            <w:pPr>
              <w:ind w:left="460"/>
              <w:spacing w:after="0"/>
              <w:rPr>
                <w:sz w:val="20"/>
                <w:szCs w:val="20"/>
                <w:color w:val="auto"/>
              </w:rPr>
            </w:pPr>
            <w:r>
              <w:rPr>
                <w:rFonts w:ascii="Arial" w:cs="Arial" w:eastAsia="Arial" w:hAnsi="Arial"/>
                <w:sz w:val="17"/>
                <w:szCs w:val="17"/>
                <w:color w:val="auto"/>
              </w:rPr>
              <w:t>Activity in the allowance for loan losses is presented in the following table:</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8"/>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740" w:type="dxa"/>
            <w:vAlign w:val="bottom"/>
            <w:gridSpan w:val="4"/>
          </w:tcPr>
          <w:p>
            <w:pPr>
              <w:jc w:val="center"/>
              <w:ind w:left="555"/>
              <w:spacing w:after="0"/>
              <w:rPr>
                <w:sz w:val="20"/>
                <w:szCs w:val="20"/>
                <w:color w:val="auto"/>
              </w:rPr>
            </w:pPr>
            <w:r>
              <w:rPr>
                <w:rFonts w:ascii="Arial" w:cs="Arial" w:eastAsia="Arial" w:hAnsi="Arial"/>
                <w:sz w:val="17"/>
                <w:szCs w:val="17"/>
                <w:b w:val="1"/>
                <w:bCs w:val="1"/>
                <w:color w:val="auto"/>
                <w:w w:val="93"/>
              </w:rPr>
              <w:t>Three Months Ended</w:t>
            </w:r>
          </w:p>
        </w:tc>
        <w:tc>
          <w:tcPr>
            <w:tcW w:w="620" w:type="dxa"/>
            <w:vAlign w:val="bottom"/>
          </w:tcPr>
          <w:p>
            <w:pPr>
              <w:spacing w:after="0"/>
              <w:rPr>
                <w:sz w:val="24"/>
                <w:szCs w:val="24"/>
                <w:color w:val="auto"/>
              </w:rPr>
            </w:pPr>
          </w:p>
        </w:tc>
      </w:tr>
      <w:tr>
        <w:trPr>
          <w:trHeight w:val="227"/>
        </w:trPr>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333"/>
              <w:spacing w:after="0"/>
              <w:rPr>
                <w:sz w:val="20"/>
                <w:szCs w:val="20"/>
                <w:color w:val="auto"/>
              </w:rPr>
            </w:pPr>
            <w:r>
              <w:rPr>
                <w:rFonts w:ascii="Arial" w:cs="Arial" w:eastAsia="Arial" w:hAnsi="Arial"/>
                <w:sz w:val="17"/>
                <w:szCs w:val="17"/>
                <w:b w:val="1"/>
                <w:bCs w:val="1"/>
                <w:color w:val="auto"/>
                <w:w w:val="96"/>
              </w:rPr>
              <w:t>March 31,</w:t>
            </w:r>
          </w:p>
        </w:tc>
        <w:tc>
          <w:tcPr>
            <w:tcW w:w="620" w:type="dxa"/>
            <w:vAlign w:val="bottom"/>
            <w:tcBorders>
              <w:bottom w:val="single" w:sz="8" w:color="auto"/>
            </w:tcBorders>
          </w:tcPr>
          <w:p>
            <w:pPr>
              <w:spacing w:after="0"/>
              <w:rPr>
                <w:sz w:val="19"/>
                <w:szCs w:val="19"/>
                <w:color w:val="auto"/>
              </w:rPr>
            </w:pPr>
          </w:p>
        </w:tc>
      </w:tr>
      <w:tr>
        <w:trPr>
          <w:trHeight w:val="214"/>
        </w:trPr>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198"/>
        </w:trPr>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740" w:type="dxa"/>
            <w:vAlign w:val="bottom"/>
            <w:gridSpan w:val="4"/>
          </w:tcPr>
          <w:p>
            <w:pPr>
              <w:jc w:val="center"/>
              <w:ind w:left="555"/>
              <w:spacing w:after="0"/>
              <w:rPr>
                <w:sz w:val="20"/>
                <w:szCs w:val="20"/>
                <w:color w:val="auto"/>
              </w:rPr>
            </w:pPr>
            <w:r>
              <w:rPr>
                <w:rFonts w:ascii="Arial" w:cs="Arial" w:eastAsia="Arial" w:hAnsi="Arial"/>
                <w:sz w:val="16"/>
                <w:szCs w:val="16"/>
                <w:i w:val="1"/>
                <w:iCs w:val="1"/>
                <w:color w:val="auto"/>
                <w:w w:val="91"/>
              </w:rPr>
              <w:t>(Dollars in thousands)</w:t>
            </w:r>
          </w:p>
        </w:tc>
        <w:tc>
          <w:tcPr>
            <w:tcW w:w="620" w:type="dxa"/>
            <w:vAlign w:val="bottom"/>
          </w:tcPr>
          <w:p>
            <w:pPr>
              <w:spacing w:after="0"/>
              <w:rPr>
                <w:sz w:val="17"/>
                <w:szCs w:val="17"/>
                <w:color w:val="auto"/>
              </w:rPr>
            </w:pPr>
          </w:p>
        </w:tc>
      </w:tr>
      <w:tr>
        <w:trPr>
          <w:trHeight w:val="224"/>
        </w:trPr>
        <w:tc>
          <w:tcPr>
            <w:tcW w:w="160" w:type="dxa"/>
            <w:vAlign w:val="bottom"/>
          </w:tcPr>
          <w:p>
            <w:pPr>
              <w:spacing w:after="0"/>
              <w:rPr>
                <w:sz w:val="19"/>
                <w:szCs w:val="19"/>
                <w:color w:val="auto"/>
              </w:rPr>
            </w:pP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Allowance for loan losses: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1"/>
        </w:trPr>
        <w:tc>
          <w:tcPr>
            <w:tcW w:w="160" w:type="dxa"/>
            <w:vAlign w:val="bottom"/>
          </w:tcPr>
          <w:p>
            <w:pPr>
              <w:spacing w:after="0"/>
              <w:rPr>
                <w:sz w:val="19"/>
                <w:szCs w:val="19"/>
                <w:color w:val="auto"/>
              </w:rPr>
            </w:pPr>
          </w:p>
        </w:tc>
        <w:tc>
          <w:tcPr>
            <w:tcW w:w="7720" w:type="dxa"/>
            <w:vAlign w:val="bottom"/>
            <w:gridSpan w:val="2"/>
          </w:tcPr>
          <w:p>
            <w:pPr>
              <w:ind w:left="20"/>
              <w:spacing w:after="0"/>
              <w:rPr>
                <w:sz w:val="20"/>
                <w:szCs w:val="20"/>
                <w:color w:val="auto"/>
              </w:rPr>
            </w:pPr>
            <w:r>
              <w:rPr>
                <w:rFonts w:ascii="Arial" w:cs="Arial" w:eastAsia="Arial" w:hAnsi="Arial"/>
                <w:sz w:val="17"/>
                <w:szCs w:val="17"/>
                <w:color w:val="auto"/>
              </w:rPr>
              <w:t>Balance at beginning of period</w:t>
            </w:r>
          </w:p>
        </w:tc>
        <w:tc>
          <w:tcPr>
            <w:tcW w:w="1040" w:type="dxa"/>
            <w:vAlign w:val="bottom"/>
          </w:tcPr>
          <w:p>
            <w:pPr>
              <w:jc w:val="right"/>
              <w:ind w:right="85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6"/>
              </w:rPr>
              <w:t>75,295</w:t>
            </w:r>
          </w:p>
        </w:tc>
        <w:tc>
          <w:tcPr>
            <w:tcW w:w="100" w:type="dxa"/>
            <w:vAlign w:val="bottom"/>
          </w:tcPr>
          <w:p>
            <w:pPr>
              <w:spacing w:after="0"/>
              <w:rPr>
                <w:sz w:val="19"/>
                <w:szCs w:val="19"/>
                <w:color w:val="auto"/>
              </w:rPr>
            </w:pPr>
          </w:p>
        </w:tc>
        <w:tc>
          <w:tcPr>
            <w:tcW w:w="1000" w:type="dxa"/>
            <w:vAlign w:val="bottom"/>
          </w:tcPr>
          <w:p>
            <w:pPr>
              <w:jc w:val="right"/>
              <w:ind w:right="813"/>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56,896</w:t>
            </w:r>
          </w:p>
        </w:tc>
      </w:tr>
      <w:tr>
        <w:trPr>
          <w:trHeight w:val="221"/>
        </w:trPr>
        <w:tc>
          <w:tcPr>
            <w:tcW w:w="160" w:type="dxa"/>
            <w:vAlign w:val="bottom"/>
          </w:tcPr>
          <w:p>
            <w:pPr>
              <w:spacing w:after="0"/>
              <w:rPr>
                <w:sz w:val="19"/>
                <w:szCs w:val="19"/>
                <w:color w:val="auto"/>
              </w:rPr>
            </w:pP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Provision for loan losses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13,950</w:t>
            </w:r>
          </w:p>
        </w:tc>
      </w:tr>
      <w:tr>
        <w:trPr>
          <w:trHeight w:val="221"/>
        </w:trPr>
        <w:tc>
          <w:tcPr>
            <w:tcW w:w="160" w:type="dxa"/>
            <w:vAlign w:val="bottom"/>
          </w:tcPr>
          <w:p>
            <w:pPr>
              <w:spacing w:after="0"/>
              <w:rPr>
                <w:sz w:val="19"/>
                <w:szCs w:val="19"/>
                <w:color w:val="auto"/>
              </w:rPr>
            </w:pPr>
          </w:p>
        </w:tc>
        <w:tc>
          <w:tcPr>
            <w:tcW w:w="7720" w:type="dxa"/>
            <w:vAlign w:val="bottom"/>
            <w:gridSpan w:val="2"/>
          </w:tcPr>
          <w:p>
            <w:pPr>
              <w:ind w:left="20"/>
              <w:spacing w:after="0"/>
              <w:rPr>
                <w:sz w:val="20"/>
                <w:szCs w:val="20"/>
                <w:color w:val="auto"/>
              </w:rPr>
            </w:pPr>
            <w:r>
              <w:rPr>
                <w:rFonts w:ascii="Arial" w:cs="Arial" w:eastAsia="Arial" w:hAnsi="Arial"/>
                <w:sz w:val="17"/>
                <w:szCs w:val="17"/>
                <w:color w:val="auto"/>
              </w:rPr>
              <w:t>Charge-offs: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1"/>
        </w:trPr>
        <w:tc>
          <w:tcPr>
            <w:tcW w:w="160" w:type="dxa"/>
            <w:vAlign w:val="bottom"/>
          </w:tcPr>
          <w:p>
            <w:pPr>
              <w:spacing w:after="0"/>
              <w:rPr>
                <w:sz w:val="19"/>
                <w:szCs w:val="19"/>
                <w:color w:val="auto"/>
              </w:rPr>
            </w:pP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(18,077)</w:t>
            </w:r>
          </w:p>
        </w:tc>
      </w:tr>
      <w:tr>
        <w:trPr>
          <w:trHeight w:val="221"/>
        </w:trPr>
        <w:tc>
          <w:tcPr>
            <w:tcW w:w="160" w:type="dxa"/>
            <w:vAlign w:val="bottom"/>
          </w:tcPr>
          <w:p>
            <w:pPr>
              <w:spacing w:after="0"/>
              <w:rPr>
                <w:sz w:val="19"/>
                <w:szCs w:val="19"/>
                <w:color w:val="auto"/>
              </w:rPr>
            </w:pPr>
          </w:p>
        </w:tc>
        <w:tc>
          <w:tcPr>
            <w:tcW w:w="7720" w:type="dxa"/>
            <w:vAlign w:val="bottom"/>
            <w:gridSpan w:val="2"/>
          </w:tcPr>
          <w:p>
            <w:pPr>
              <w:ind w:left="220"/>
              <w:spacing w:after="0"/>
              <w:rPr>
                <w:sz w:val="20"/>
                <w:szCs w:val="20"/>
                <w:color w:val="auto"/>
              </w:rPr>
            </w:pPr>
            <w:r>
              <w:rPr>
                <w:rFonts w:ascii="Arial" w:cs="Arial" w:eastAsia="Arial" w:hAnsi="Arial"/>
                <w:sz w:val="17"/>
                <w:szCs w:val="17"/>
                <w:color w:val="auto"/>
              </w:rPr>
              <w:t>Energy</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(1,279)</w:t>
            </w:r>
          </w:p>
        </w:tc>
      </w:tr>
      <w:tr>
        <w:trPr>
          <w:trHeight w:val="221"/>
        </w:trPr>
        <w:tc>
          <w:tcPr>
            <w:tcW w:w="160" w:type="dxa"/>
            <w:vAlign w:val="bottom"/>
          </w:tcPr>
          <w:p>
            <w:pPr>
              <w:spacing w:after="0"/>
              <w:rPr>
                <w:sz w:val="19"/>
                <w:szCs w:val="19"/>
                <w:color w:val="auto"/>
              </w:rPr>
            </w:pP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 real estate</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60" w:type="dxa"/>
            <w:vAlign w:val="bottom"/>
          </w:tcPr>
          <w:p>
            <w:pPr>
              <w:spacing w:after="0"/>
              <w:rPr>
                <w:sz w:val="19"/>
                <w:szCs w:val="19"/>
                <w:color w:val="auto"/>
              </w:rPr>
            </w:pPr>
          </w:p>
        </w:tc>
        <w:tc>
          <w:tcPr>
            <w:tcW w:w="7720" w:type="dxa"/>
            <w:vAlign w:val="bottom"/>
            <w:gridSpan w:val="2"/>
          </w:tcPr>
          <w:p>
            <w:pPr>
              <w:ind w:left="220"/>
              <w:spacing w:after="0"/>
              <w:rPr>
                <w:sz w:val="20"/>
                <w:szCs w:val="20"/>
                <w:color w:val="auto"/>
              </w:rPr>
            </w:pPr>
            <w:r>
              <w:rPr>
                <w:rFonts w:ascii="Arial" w:cs="Arial" w:eastAsia="Arial" w:hAnsi="Arial"/>
                <w:sz w:val="17"/>
                <w:szCs w:val="17"/>
                <w:color w:val="auto"/>
              </w:rPr>
              <w:t>Construction and land development</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60" w:type="dxa"/>
            <w:vAlign w:val="bottom"/>
          </w:tcPr>
          <w:p>
            <w:pPr>
              <w:spacing w:after="0"/>
              <w:rPr>
                <w:sz w:val="19"/>
                <w:szCs w:val="19"/>
                <w:color w:val="auto"/>
              </w:rPr>
            </w:pP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Residential and multifamily real estate</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60" w:type="dxa"/>
            <w:vAlign w:val="bottom"/>
          </w:tcPr>
          <w:p>
            <w:pPr>
              <w:spacing w:after="0"/>
              <w:rPr>
                <w:sz w:val="19"/>
                <w:szCs w:val="19"/>
                <w:color w:val="auto"/>
              </w:rPr>
            </w:pPr>
          </w:p>
        </w:tc>
        <w:tc>
          <w:tcPr>
            <w:tcW w:w="7720" w:type="dxa"/>
            <w:vAlign w:val="bottom"/>
            <w:gridSpan w:val="2"/>
          </w:tcPr>
          <w:p>
            <w:pPr>
              <w:ind w:left="220"/>
              <w:spacing w:after="0"/>
              <w:rPr>
                <w:sz w:val="20"/>
                <w:szCs w:val="20"/>
                <w:color w:val="auto"/>
              </w:rPr>
            </w:pPr>
            <w:r>
              <w:rPr>
                <w:rFonts w:ascii="Arial" w:cs="Arial" w:eastAsia="Arial" w:hAnsi="Arial"/>
                <w:sz w:val="17"/>
                <w:szCs w:val="17"/>
                <w:color w:val="auto"/>
              </w:rPr>
              <w:t>Consumer</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14"/>
        </w:trPr>
        <w:tc>
          <w:tcPr>
            <w:tcW w:w="1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charge-offs</w:t>
            </w: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(8,266)</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(19,460)</w:t>
            </w:r>
          </w:p>
        </w:tc>
      </w:tr>
      <w:tr>
        <w:trPr>
          <w:trHeight w:val="221"/>
        </w:trPr>
        <w:tc>
          <w:tcPr>
            <w:tcW w:w="160" w:type="dxa"/>
            <w:vAlign w:val="bottom"/>
          </w:tcPr>
          <w:p>
            <w:pPr>
              <w:spacing w:after="0"/>
              <w:rPr>
                <w:sz w:val="19"/>
                <w:szCs w:val="19"/>
                <w:color w:val="auto"/>
              </w:rPr>
            </w:pPr>
          </w:p>
        </w:tc>
        <w:tc>
          <w:tcPr>
            <w:tcW w:w="7720" w:type="dxa"/>
            <w:vAlign w:val="bottom"/>
            <w:gridSpan w:val="2"/>
          </w:tcPr>
          <w:p>
            <w:pPr>
              <w:ind w:left="20"/>
              <w:spacing w:after="0"/>
              <w:rPr>
                <w:sz w:val="20"/>
                <w:szCs w:val="20"/>
                <w:color w:val="auto"/>
              </w:rPr>
            </w:pPr>
            <w:r>
              <w:rPr>
                <w:rFonts w:ascii="Arial" w:cs="Arial" w:eastAsia="Arial" w:hAnsi="Arial"/>
                <w:sz w:val="17"/>
                <w:szCs w:val="17"/>
                <w:color w:val="auto"/>
              </w:rPr>
              <w:t>Recoveries: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1"/>
        </w:trPr>
        <w:tc>
          <w:tcPr>
            <w:tcW w:w="160" w:type="dxa"/>
            <w:vAlign w:val="bottom"/>
          </w:tcPr>
          <w:p>
            <w:pPr>
              <w:spacing w:after="0"/>
              <w:rPr>
                <w:sz w:val="19"/>
                <w:szCs w:val="19"/>
                <w:color w:val="auto"/>
              </w:rPr>
            </w:pP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21"/>
        </w:trPr>
        <w:tc>
          <w:tcPr>
            <w:tcW w:w="160" w:type="dxa"/>
            <w:vAlign w:val="bottom"/>
          </w:tcPr>
          <w:p>
            <w:pPr>
              <w:spacing w:after="0"/>
              <w:rPr>
                <w:sz w:val="19"/>
                <w:szCs w:val="19"/>
                <w:color w:val="auto"/>
              </w:rPr>
            </w:pPr>
          </w:p>
        </w:tc>
        <w:tc>
          <w:tcPr>
            <w:tcW w:w="7720" w:type="dxa"/>
            <w:vAlign w:val="bottom"/>
            <w:gridSpan w:val="2"/>
          </w:tcPr>
          <w:p>
            <w:pPr>
              <w:ind w:left="220"/>
              <w:spacing w:after="0"/>
              <w:rPr>
                <w:sz w:val="20"/>
                <w:szCs w:val="20"/>
                <w:color w:val="auto"/>
              </w:rPr>
            </w:pPr>
            <w:r>
              <w:rPr>
                <w:rFonts w:ascii="Arial" w:cs="Arial" w:eastAsia="Arial" w:hAnsi="Arial"/>
                <w:sz w:val="17"/>
                <w:szCs w:val="17"/>
                <w:color w:val="auto"/>
              </w:rPr>
              <w:t>Energy</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60" w:type="dxa"/>
            <w:vAlign w:val="bottom"/>
          </w:tcPr>
          <w:p>
            <w:pPr>
              <w:spacing w:after="0"/>
              <w:rPr>
                <w:sz w:val="19"/>
                <w:szCs w:val="19"/>
                <w:color w:val="auto"/>
              </w:rPr>
            </w:pP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 real estate</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60" w:type="dxa"/>
            <w:vAlign w:val="bottom"/>
          </w:tcPr>
          <w:p>
            <w:pPr>
              <w:spacing w:after="0"/>
              <w:rPr>
                <w:sz w:val="19"/>
                <w:szCs w:val="19"/>
                <w:color w:val="auto"/>
              </w:rPr>
            </w:pPr>
          </w:p>
        </w:tc>
        <w:tc>
          <w:tcPr>
            <w:tcW w:w="7720" w:type="dxa"/>
            <w:vAlign w:val="bottom"/>
            <w:gridSpan w:val="2"/>
          </w:tcPr>
          <w:p>
            <w:pPr>
              <w:ind w:left="220"/>
              <w:spacing w:after="0"/>
              <w:rPr>
                <w:sz w:val="20"/>
                <w:szCs w:val="20"/>
                <w:color w:val="auto"/>
              </w:rPr>
            </w:pPr>
            <w:r>
              <w:rPr>
                <w:rFonts w:ascii="Arial" w:cs="Arial" w:eastAsia="Arial" w:hAnsi="Arial"/>
                <w:sz w:val="17"/>
                <w:szCs w:val="17"/>
                <w:color w:val="auto"/>
              </w:rPr>
              <w:t>Construction and land development</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60" w:type="dxa"/>
            <w:vAlign w:val="bottom"/>
          </w:tcPr>
          <w:p>
            <w:pPr>
              <w:spacing w:after="0"/>
              <w:rPr>
                <w:sz w:val="19"/>
                <w:szCs w:val="19"/>
                <w:color w:val="auto"/>
              </w:rPr>
            </w:pP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Residential and multifamily real estate</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60" w:type="dxa"/>
            <w:vAlign w:val="bottom"/>
          </w:tcPr>
          <w:p>
            <w:pPr>
              <w:spacing w:after="0"/>
              <w:rPr>
                <w:sz w:val="19"/>
                <w:szCs w:val="19"/>
                <w:color w:val="auto"/>
              </w:rPr>
            </w:pPr>
          </w:p>
        </w:tc>
        <w:tc>
          <w:tcPr>
            <w:tcW w:w="7720" w:type="dxa"/>
            <w:vAlign w:val="bottom"/>
            <w:gridSpan w:val="2"/>
          </w:tcPr>
          <w:p>
            <w:pPr>
              <w:ind w:left="220"/>
              <w:spacing w:after="0"/>
              <w:rPr>
                <w:sz w:val="20"/>
                <w:szCs w:val="20"/>
                <w:color w:val="auto"/>
              </w:rPr>
            </w:pPr>
            <w:r>
              <w:rPr>
                <w:rFonts w:ascii="Arial" w:cs="Arial" w:eastAsia="Arial" w:hAnsi="Arial"/>
                <w:sz w:val="17"/>
                <w:szCs w:val="17"/>
                <w:color w:val="auto"/>
              </w:rPr>
              <w:t>Consumer</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1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recoveries</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4"/>
        </w:trPr>
        <w:tc>
          <w:tcPr>
            <w:tcW w:w="160" w:type="dxa"/>
            <w:vAlign w:val="bottom"/>
          </w:tcPr>
          <w:p>
            <w:pPr>
              <w:spacing w:after="0"/>
              <w:rPr>
                <w:sz w:val="18"/>
                <w:szCs w:val="18"/>
                <w:color w:val="auto"/>
              </w:rPr>
            </w:pPr>
          </w:p>
        </w:tc>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charge-offs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(19,388)</w:t>
            </w:r>
          </w:p>
        </w:tc>
      </w:tr>
      <w:tr>
        <w:trPr>
          <w:trHeight w:val="239"/>
        </w:trPr>
        <w:tc>
          <w:tcPr>
            <w:tcW w:w="160" w:type="dxa"/>
            <w:vAlign w:val="bottom"/>
          </w:tcPr>
          <w:p>
            <w:pPr>
              <w:spacing w:after="0"/>
              <w:rPr>
                <w:sz w:val="20"/>
                <w:szCs w:val="20"/>
                <w:color w:val="auto"/>
              </w:rPr>
            </w:pPr>
          </w:p>
        </w:tc>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74,551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51,458</w:t>
            </w:r>
          </w:p>
        </w:tc>
      </w:tr>
      <w:tr>
        <w:trPr>
          <w:trHeight w:val="20"/>
        </w:trPr>
        <w:tc>
          <w:tcPr>
            <w:tcW w:w="16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discussion of the changes in the ALLL is provided below:</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Charge-offs and Recoveries:</w:t>
      </w:r>
    </w:p>
    <w:p>
      <w:pPr>
        <w:spacing w:after="0" w:line="164" w:lineRule="exact"/>
        <w:rPr>
          <w:sz w:val="20"/>
          <w:szCs w:val="20"/>
          <w:color w:val="auto"/>
        </w:rPr>
      </w:pPr>
    </w:p>
    <w:p>
      <w:pPr>
        <w:jc w:val="both"/>
        <w:ind w:left="160" w:right="440" w:firstLine="469"/>
        <w:spacing w:after="0" w:line="271" w:lineRule="auto"/>
        <w:rPr>
          <w:sz w:val="20"/>
          <w:szCs w:val="20"/>
          <w:color w:val="auto"/>
        </w:rPr>
      </w:pPr>
      <w:r>
        <w:rPr>
          <w:rFonts w:ascii="Arial" w:cs="Arial" w:eastAsia="Arial" w:hAnsi="Arial"/>
          <w:sz w:val="17"/>
          <w:szCs w:val="17"/>
          <w:color w:val="auto"/>
        </w:rPr>
        <w:t>During the three-months ended March 31, 2021, charge-offs primarily related to two commercial borrowers that were unable to support their debt obligations. The $8 million charged-off was greater than the reserved balance in the ALLL at December 31, 2020 resulting in a $5 million increase in the provision during the quarter ended March 31, 2021.</w:t>
      </w:r>
    </w:p>
    <w:p>
      <w:pPr>
        <w:spacing w:after="0" w:line="119" w:lineRule="exact"/>
        <w:rPr>
          <w:sz w:val="20"/>
          <w:szCs w:val="20"/>
          <w:color w:val="auto"/>
        </w:rPr>
      </w:pPr>
    </w:p>
    <w:p>
      <w:pPr>
        <w:ind w:left="160" w:right="60" w:firstLine="469"/>
        <w:spacing w:after="0" w:line="271" w:lineRule="auto"/>
        <w:rPr>
          <w:sz w:val="20"/>
          <w:szCs w:val="20"/>
          <w:color w:val="auto"/>
        </w:rPr>
      </w:pPr>
      <w:r>
        <w:rPr>
          <w:rFonts w:ascii="Arial" w:cs="Arial" w:eastAsia="Arial" w:hAnsi="Arial"/>
          <w:sz w:val="17"/>
          <w:szCs w:val="17"/>
          <w:color w:val="auto"/>
        </w:rPr>
        <w:t>For the quarter ended March 31, 2020, net charge-offs included an $18 million charge-off related to a previously disclosed non-performing, commercial loan. The commercial loan had a specific reserve associated with it as of December 31, 2019, resulting in a limited impact to the first quarter 2020 provision. In addition, the Company charged off $1 million related to one oil exploration and production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below table provides the ratio of net charge-offs (recoveries) during the period to average loans outstanding based on our loan categories:</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290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5"/>
          </w:tcPr>
          <w:p>
            <w:pPr>
              <w:ind w:left="1520"/>
              <w:spacing w:after="0"/>
              <w:rPr>
                <w:sz w:val="20"/>
                <w:szCs w:val="20"/>
                <w:color w:val="auto"/>
              </w:rPr>
            </w:pPr>
            <w:r>
              <w:rPr>
                <w:rFonts w:ascii="Arial" w:cs="Arial" w:eastAsia="Arial" w:hAnsi="Arial"/>
                <w:sz w:val="17"/>
                <w:szCs w:val="17"/>
                <w:b w:val="1"/>
                <w:bCs w:val="1"/>
                <w:color w:val="auto"/>
              </w:rPr>
              <w:t>For the Quarter Ended</w:t>
            </w:r>
            <w:r>
              <w:rPr>
                <w:rFonts w:ascii="Arial" w:cs="Arial" w:eastAsia="Arial" w:hAnsi="Arial"/>
                <w:sz w:val="22"/>
                <w:szCs w:val="22"/>
                <w:b w:val="1"/>
                <w:bCs w:val="1"/>
                <w:color w:val="auto"/>
                <w:vertAlign w:val="superscript"/>
              </w:rPr>
              <w:t>(1)</w:t>
            </w: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209"/>
        </w:trPr>
        <w:tc>
          <w:tcPr>
            <w:tcW w:w="2900" w:type="dxa"/>
            <w:vAlign w:val="bottom"/>
          </w:tcPr>
          <w:p>
            <w:pPr>
              <w:spacing w:after="0"/>
              <w:rPr>
                <w:sz w:val="18"/>
                <w:szCs w:val="18"/>
                <w:color w:val="auto"/>
              </w:rPr>
            </w:pPr>
          </w:p>
        </w:tc>
        <w:tc>
          <w:tcPr>
            <w:tcW w:w="1640" w:type="dxa"/>
            <w:vAlign w:val="bottom"/>
            <w:gridSpan w:val="2"/>
          </w:tcPr>
          <w:p>
            <w:pPr>
              <w:ind w:left="400"/>
              <w:spacing w:after="0"/>
              <w:rPr>
                <w:sz w:val="20"/>
                <w:szCs w:val="20"/>
                <w:color w:val="auto"/>
              </w:rPr>
            </w:pPr>
            <w:r>
              <w:rPr>
                <w:rFonts w:ascii="Arial" w:cs="Arial" w:eastAsia="Arial" w:hAnsi="Arial"/>
                <w:sz w:val="17"/>
                <w:szCs w:val="17"/>
                <w:b w:val="1"/>
                <w:bCs w:val="1"/>
                <w:color w:val="auto"/>
              </w:rPr>
              <w:t>March 31,</w:t>
            </w:r>
          </w:p>
        </w:tc>
        <w:tc>
          <w:tcPr>
            <w:tcW w:w="1680" w:type="dxa"/>
            <w:vAlign w:val="bottom"/>
            <w:gridSpan w:val="2"/>
          </w:tcPr>
          <w:p>
            <w:pPr>
              <w:ind w:left="300"/>
              <w:spacing w:after="0"/>
              <w:rPr>
                <w:sz w:val="20"/>
                <w:szCs w:val="20"/>
                <w:color w:val="auto"/>
              </w:rPr>
            </w:pPr>
            <w:r>
              <w:rPr>
                <w:rFonts w:ascii="Arial" w:cs="Arial" w:eastAsia="Arial" w:hAnsi="Arial"/>
                <w:sz w:val="17"/>
                <w:szCs w:val="17"/>
                <w:b w:val="1"/>
                <w:bCs w:val="1"/>
                <w:color w:val="auto"/>
              </w:rPr>
              <w:t>December 31,</w:t>
            </w:r>
          </w:p>
        </w:tc>
        <w:tc>
          <w:tcPr>
            <w:tcW w:w="1920" w:type="dxa"/>
            <w:vAlign w:val="bottom"/>
            <w:gridSpan w:val="3"/>
          </w:tcPr>
          <w:p>
            <w:pPr>
              <w:ind w:left="280"/>
              <w:spacing w:after="0"/>
              <w:rPr>
                <w:sz w:val="20"/>
                <w:szCs w:val="20"/>
                <w:color w:val="auto"/>
              </w:rPr>
            </w:pPr>
            <w:r>
              <w:rPr>
                <w:rFonts w:ascii="Arial" w:cs="Arial" w:eastAsia="Arial" w:hAnsi="Arial"/>
                <w:sz w:val="17"/>
                <w:szCs w:val="17"/>
                <w:b w:val="1"/>
                <w:bCs w:val="1"/>
                <w:color w:val="auto"/>
              </w:rPr>
              <w:t>September 30,</w:t>
            </w:r>
          </w:p>
        </w:tc>
        <w:tc>
          <w:tcPr>
            <w:tcW w:w="1400" w:type="dxa"/>
            <w:vAlign w:val="bottom"/>
            <w:gridSpan w:val="2"/>
          </w:tcPr>
          <w:p>
            <w:pPr>
              <w:ind w:left="240"/>
              <w:spacing w:after="0"/>
              <w:rPr>
                <w:sz w:val="20"/>
                <w:szCs w:val="20"/>
                <w:color w:val="auto"/>
              </w:rPr>
            </w:pPr>
            <w:r>
              <w:rPr>
                <w:rFonts w:ascii="Arial" w:cs="Arial" w:eastAsia="Arial" w:hAnsi="Arial"/>
                <w:sz w:val="17"/>
                <w:szCs w:val="17"/>
                <w:b w:val="1"/>
                <w:bCs w:val="1"/>
                <w:color w:val="auto"/>
              </w:rPr>
              <w:t>June 30,</w:t>
            </w:r>
          </w:p>
        </w:tc>
        <w:tc>
          <w:tcPr>
            <w:tcW w:w="1540" w:type="dxa"/>
            <w:vAlign w:val="bottom"/>
          </w:tcPr>
          <w:p>
            <w:pPr>
              <w:jc w:val="right"/>
              <w:ind w:right="293"/>
              <w:spacing w:after="0"/>
              <w:rPr>
                <w:sz w:val="20"/>
                <w:szCs w:val="20"/>
                <w:color w:val="auto"/>
              </w:rPr>
            </w:pPr>
            <w:r>
              <w:rPr>
                <w:rFonts w:ascii="Arial" w:cs="Arial" w:eastAsia="Arial" w:hAnsi="Arial"/>
                <w:sz w:val="17"/>
                <w:szCs w:val="17"/>
                <w:b w:val="1"/>
                <w:bCs w:val="1"/>
                <w:color w:val="auto"/>
              </w:rPr>
              <w:t>March 31,</w:t>
            </w:r>
          </w:p>
        </w:tc>
      </w:tr>
      <w:tr>
        <w:trPr>
          <w:trHeight w:val="227"/>
        </w:trPr>
        <w:tc>
          <w:tcPr>
            <w:tcW w:w="2900" w:type="dxa"/>
            <w:vAlign w:val="bottom"/>
          </w:tcPr>
          <w:p>
            <w:pPr>
              <w:spacing w:after="0"/>
              <w:rPr>
                <w:sz w:val="19"/>
                <w:szCs w:val="19"/>
                <w:color w:val="auto"/>
              </w:rPr>
            </w:pPr>
          </w:p>
        </w:tc>
        <w:tc>
          <w:tcPr>
            <w:tcW w:w="1560" w:type="dxa"/>
            <w:vAlign w:val="bottom"/>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1600" w:type="dxa"/>
            <w:vAlign w:val="bottom"/>
          </w:tcPr>
          <w:p>
            <w:pPr>
              <w:jc w:val="right"/>
              <w:ind w:right="533"/>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c>
          <w:tcPr>
            <w:tcW w:w="1600" w:type="dxa"/>
            <w:vAlign w:val="bottom"/>
          </w:tcPr>
          <w:p>
            <w:pPr>
              <w:jc w:val="right"/>
              <w:ind w:right="533"/>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c>
          <w:tcPr>
            <w:tcW w:w="1540" w:type="dxa"/>
            <w:vAlign w:val="bottom"/>
          </w:tcPr>
          <w:p>
            <w:pPr>
              <w:jc w:val="right"/>
              <w:ind w:right="513"/>
              <w:spacing w:after="0"/>
              <w:rPr>
                <w:sz w:val="20"/>
                <w:szCs w:val="20"/>
                <w:color w:val="auto"/>
              </w:rPr>
            </w:pPr>
            <w:r>
              <w:rPr>
                <w:rFonts w:ascii="Arial" w:cs="Arial" w:eastAsia="Arial" w:hAnsi="Arial"/>
                <w:sz w:val="17"/>
                <w:szCs w:val="17"/>
                <w:b w:val="1"/>
                <w:bCs w:val="1"/>
                <w:color w:val="auto"/>
              </w:rPr>
              <w:t>2020</w:t>
            </w:r>
          </w:p>
        </w:tc>
      </w:tr>
      <w:tr>
        <w:trPr>
          <w:trHeight w:val="26"/>
        </w:trPr>
        <w:tc>
          <w:tcPr>
            <w:tcW w:w="2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1"/>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5.37 %</w:t>
            </w:r>
          </w:p>
        </w:tc>
      </w:tr>
      <w:tr>
        <w:trPr>
          <w:trHeight w:val="221"/>
        </w:trPr>
        <w:tc>
          <w:tcPr>
            <w:tcW w:w="2900" w:type="dxa"/>
            <w:vAlign w:val="bottom"/>
          </w:tcPr>
          <w:p>
            <w:pPr>
              <w:ind w:left="20"/>
              <w:spacing w:after="0"/>
              <w:rPr>
                <w:sz w:val="20"/>
                <w:szCs w:val="20"/>
                <w:color w:val="auto"/>
              </w:rPr>
            </w:pPr>
            <w:r>
              <w:rPr>
                <w:rFonts w:ascii="Arial" w:cs="Arial" w:eastAsia="Arial" w:hAnsi="Arial"/>
                <w:sz w:val="17"/>
                <w:szCs w:val="17"/>
                <w:color w:val="auto"/>
              </w:rPr>
              <w:t>Energy</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13"/>
              <w:spacing w:after="0"/>
              <w:rPr>
                <w:sz w:val="20"/>
                <w:szCs w:val="20"/>
                <w:color w:val="auto"/>
              </w:rPr>
            </w:pPr>
            <w:r>
              <w:rPr>
                <w:rFonts w:ascii="Arial" w:cs="Arial" w:eastAsia="Arial" w:hAnsi="Arial"/>
                <w:sz w:val="17"/>
                <w:szCs w:val="17"/>
                <w:color w:val="auto"/>
              </w:rPr>
              <w:t>3.16</w:t>
            </w:r>
          </w:p>
        </w:tc>
        <w:tc>
          <w:tcPr>
            <w:tcW w:w="80" w:type="dxa"/>
            <w:vAlign w:val="bottom"/>
          </w:tcPr>
          <w:p>
            <w:pPr>
              <w:spacing w:after="0"/>
              <w:rPr>
                <w:sz w:val="19"/>
                <w:szCs w:val="19"/>
                <w:color w:val="auto"/>
              </w:rPr>
            </w:pPr>
          </w:p>
        </w:tc>
        <w:tc>
          <w:tcPr>
            <w:tcW w:w="192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13"/>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9"/>
                <w:szCs w:val="19"/>
                <w:color w:val="auto"/>
              </w:rPr>
            </w:pPr>
          </w:p>
        </w:tc>
        <w:tc>
          <w:tcPr>
            <w:tcW w:w="1540" w:type="dxa"/>
            <w:vAlign w:val="bottom"/>
          </w:tcPr>
          <w:p>
            <w:pPr>
              <w:jc w:val="right"/>
              <w:ind w:right="113"/>
              <w:spacing w:after="0"/>
              <w:rPr>
                <w:sz w:val="20"/>
                <w:szCs w:val="20"/>
                <w:color w:val="auto"/>
              </w:rPr>
            </w:pPr>
            <w:r>
              <w:rPr>
                <w:rFonts w:ascii="Arial" w:cs="Arial" w:eastAsia="Arial" w:hAnsi="Arial"/>
                <w:sz w:val="17"/>
                <w:szCs w:val="17"/>
                <w:color w:val="auto"/>
              </w:rPr>
              <w:t>1.27</w:t>
            </w:r>
          </w:p>
        </w:tc>
      </w:tr>
      <w:tr>
        <w:trPr>
          <w:trHeight w:val="221"/>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real estate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0.53</w:t>
            </w: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r>
      <w:tr>
        <w:trPr>
          <w:trHeight w:val="221"/>
        </w:trPr>
        <w:tc>
          <w:tcPr>
            <w:tcW w:w="2900" w:type="dxa"/>
            <w:vAlign w:val="bottom"/>
          </w:tcPr>
          <w:p>
            <w:pPr>
              <w:ind w:left="20"/>
              <w:spacing w:after="0"/>
              <w:rPr>
                <w:sz w:val="20"/>
                <w:szCs w:val="20"/>
                <w:color w:val="auto"/>
              </w:rPr>
            </w:pPr>
            <w:r>
              <w:rPr>
                <w:rFonts w:ascii="Arial" w:cs="Arial" w:eastAsia="Arial" w:hAnsi="Arial"/>
                <w:sz w:val="17"/>
                <w:szCs w:val="17"/>
                <w:color w:val="auto"/>
              </w:rPr>
              <w:t>Construction and land development</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92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3"/>
              <w:spacing w:after="0"/>
              <w:rPr>
                <w:sz w:val="20"/>
                <w:szCs w:val="20"/>
                <w:color w:val="auto"/>
              </w:rPr>
            </w:pPr>
            <w:r>
              <w:rPr>
                <w:rFonts w:ascii="Arial" w:cs="Arial" w:eastAsia="Arial" w:hAnsi="Arial"/>
                <w:sz w:val="17"/>
                <w:szCs w:val="17"/>
                <w:color w:val="auto"/>
              </w:rPr>
              <w:t>—</w:t>
            </w:r>
          </w:p>
        </w:tc>
      </w:tr>
      <w:tr>
        <w:trPr>
          <w:trHeight w:val="221"/>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Residential and multifamily real estate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(0.02)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0.18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0.15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r>
      <w:tr>
        <w:trPr>
          <w:trHeight w:val="221"/>
        </w:trPr>
        <w:tc>
          <w:tcPr>
            <w:tcW w:w="2900" w:type="dxa"/>
            <w:vAlign w:val="bottom"/>
          </w:tcPr>
          <w:p>
            <w:pPr>
              <w:ind w:left="20"/>
              <w:spacing w:after="0"/>
              <w:rPr>
                <w:sz w:val="20"/>
                <w:szCs w:val="20"/>
                <w:color w:val="auto"/>
              </w:rPr>
            </w:pPr>
            <w:r>
              <w:rPr>
                <w:rFonts w:ascii="Arial" w:cs="Arial" w:eastAsia="Arial" w:hAnsi="Arial"/>
                <w:sz w:val="17"/>
                <w:szCs w:val="17"/>
                <w:color w:val="auto"/>
              </w:rPr>
              <w:t>PPP</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92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13"/>
              <w:spacing w:after="0"/>
              <w:rPr>
                <w:sz w:val="20"/>
                <w:szCs w:val="20"/>
                <w:color w:val="auto"/>
              </w:rPr>
            </w:pPr>
            <w:r>
              <w:rPr>
                <w:rFonts w:ascii="Arial" w:cs="Arial" w:eastAsia="Arial" w:hAnsi="Arial"/>
                <w:sz w:val="17"/>
                <w:szCs w:val="17"/>
                <w:color w:val="auto"/>
              </w:rPr>
              <w:t>—</w:t>
            </w:r>
          </w:p>
        </w:tc>
      </w:tr>
      <w:tr>
        <w:trPr>
          <w:trHeight w:val="221"/>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(0.09)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0.93</w:t>
            </w:r>
          </w:p>
        </w:tc>
      </w:tr>
      <w:tr>
        <w:trPr>
          <w:trHeight w:val="214"/>
        </w:trPr>
        <w:tc>
          <w:tcPr>
            <w:tcW w:w="2900" w:type="dxa"/>
            <w:vAlign w:val="bottom"/>
          </w:tcPr>
          <w:p>
            <w:pPr>
              <w:ind w:left="20"/>
              <w:spacing w:after="0"/>
              <w:rPr>
                <w:sz w:val="20"/>
                <w:szCs w:val="20"/>
                <w:color w:val="auto"/>
              </w:rPr>
            </w:pPr>
            <w:r>
              <w:rPr>
                <w:rFonts w:ascii="Arial" w:cs="Arial" w:eastAsia="Arial" w:hAnsi="Arial"/>
                <w:sz w:val="17"/>
                <w:szCs w:val="17"/>
                <w:color w:val="auto"/>
                <w:w w:val="99"/>
              </w:rPr>
              <w:t>Total net charge-offs to average loans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0.74 %</w:t>
            </w:r>
          </w:p>
        </w:tc>
        <w:tc>
          <w:tcPr>
            <w:tcW w:w="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1.03 %</w:t>
            </w:r>
          </w:p>
        </w:tc>
        <w:tc>
          <w:tcPr>
            <w:tcW w:w="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0.54 %</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0.12 %</w:t>
            </w:r>
          </w:p>
        </w:tc>
        <w:tc>
          <w:tcPr>
            <w:tcW w:w="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2.00 %</w:t>
            </w:r>
          </w:p>
        </w:tc>
      </w:tr>
    </w:tbl>
    <w:p>
      <w:pPr>
        <w:ind w:left="340" w:hanging="162"/>
        <w:spacing w:after="0" w:line="236" w:lineRule="auto"/>
        <w:tabs>
          <w:tab w:leader="none" w:pos="34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Interim periods annualized.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-119380</wp:posOffset>
            </wp:positionV>
            <wp:extent cx="51936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Impact of Risk Rating and Loss Ratio Changes:</w:t>
      </w:r>
    </w:p>
    <w:p>
      <w:pPr>
        <w:spacing w:after="0" w:line="164" w:lineRule="exact"/>
        <w:rPr>
          <w:sz w:val="20"/>
          <w:szCs w:val="20"/>
          <w:color w:val="auto"/>
        </w:rPr>
      </w:pPr>
    </w:p>
    <w:p>
      <w:pPr>
        <w:ind w:left="160" w:right="360" w:firstLine="469"/>
        <w:spacing w:after="0" w:line="295" w:lineRule="auto"/>
        <w:rPr>
          <w:sz w:val="20"/>
          <w:szCs w:val="20"/>
          <w:color w:val="auto"/>
        </w:rPr>
      </w:pPr>
      <w:r>
        <w:rPr>
          <w:rFonts w:ascii="Arial" w:cs="Arial" w:eastAsia="Arial" w:hAnsi="Arial"/>
          <w:sz w:val="16"/>
          <w:szCs w:val="16"/>
          <w:color w:val="auto"/>
        </w:rPr>
        <w:t>Loans risk rated “special mention” and “accruing, substandard” that are not TDRs declined $38 million between December 31, 2020 and March 31, 2021 resulting in a $2 million decrease to the required reserve. The decline was driven by two commercial loans partially charged-off, discussed above, totaling $28 million that were sold in the first quarter of 2021. In addition, several loan upgrades were made due to an improving economy.</w:t>
      </w:r>
    </w:p>
    <w:p>
      <w:pPr>
        <w:spacing w:after="0" w:line="103" w:lineRule="exact"/>
        <w:rPr>
          <w:sz w:val="20"/>
          <w:szCs w:val="20"/>
          <w:color w:val="auto"/>
        </w:rPr>
      </w:pPr>
    </w:p>
    <w:p>
      <w:pPr>
        <w:ind w:left="160" w:right="260" w:firstLine="469"/>
        <w:spacing w:after="0" w:line="286" w:lineRule="auto"/>
        <w:rPr>
          <w:sz w:val="20"/>
          <w:szCs w:val="20"/>
          <w:color w:val="auto"/>
        </w:rPr>
      </w:pPr>
      <w:r>
        <w:rPr>
          <w:rFonts w:ascii="Arial" w:cs="Arial" w:eastAsia="Arial" w:hAnsi="Arial"/>
          <w:sz w:val="17"/>
          <w:szCs w:val="17"/>
          <w:color w:val="auto"/>
        </w:rPr>
        <w:t>The commercial loan portfolio saw increased charge-offs over the past several quarters. The charge-offs impacted the commercial loan historical loss factor that resulted in an $860 thousand increase to the required reserve during the first quarter of 2021.</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Impaired Loans and Other Factors:</w:t>
      </w:r>
    </w:p>
    <w:p>
      <w:pPr>
        <w:spacing w:after="0" w:line="164" w:lineRule="exact"/>
        <w:rPr>
          <w:sz w:val="20"/>
          <w:szCs w:val="20"/>
          <w:color w:val="auto"/>
        </w:rPr>
      </w:pPr>
    </w:p>
    <w:p>
      <w:pPr>
        <w:ind w:left="160" w:right="60" w:firstLine="469"/>
        <w:spacing w:after="0" w:line="271" w:lineRule="auto"/>
        <w:rPr>
          <w:sz w:val="20"/>
          <w:szCs w:val="20"/>
          <w:color w:val="auto"/>
        </w:rPr>
      </w:pPr>
      <w:r>
        <w:rPr>
          <w:rFonts w:ascii="Arial" w:cs="Arial" w:eastAsia="Arial" w:hAnsi="Arial"/>
          <w:sz w:val="17"/>
          <w:szCs w:val="17"/>
          <w:color w:val="auto"/>
        </w:rPr>
        <w:t>Impaired loans declined $13 million between December 31, 2020 and March 31, 2021, driven by an $8 million loan upgraded due to an increase in capital that reduced the ALLL by $1 million and a $5 million decline as a result of payments made by several borrowers that reduced the ALLL by $1 million. The reduction in the ALLL was offset by an increase of $2 million as a result of changes in underlying collateral values.</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Nonperforming Assets and Other Asset Quality Metrics</w:t>
      </w:r>
    </w:p>
    <w:p>
      <w:pPr>
        <w:spacing w:after="0" w:line="164" w:lineRule="exact"/>
        <w:rPr>
          <w:sz w:val="20"/>
          <w:szCs w:val="20"/>
          <w:color w:val="auto"/>
        </w:rPr>
      </w:pPr>
    </w:p>
    <w:p>
      <w:pPr>
        <w:jc w:val="both"/>
        <w:ind w:left="160" w:firstLine="469"/>
        <w:spacing w:after="0" w:line="271" w:lineRule="auto"/>
        <w:rPr>
          <w:sz w:val="20"/>
          <w:szCs w:val="20"/>
          <w:color w:val="auto"/>
        </w:rPr>
      </w:pPr>
      <w:r>
        <w:rPr>
          <w:rFonts w:ascii="Arial" w:cs="Arial" w:eastAsia="Arial" w:hAnsi="Arial"/>
          <w:sz w:val="17"/>
          <w:szCs w:val="17"/>
          <w:color w:val="auto"/>
        </w:rPr>
        <w:t>Nonperforming assets include: (i) nonperforming loans - includes non-accrual loans, loans past due 90 days or more and still accruing interest, and loans modified under troubled debt restructurings (“TDRs”) that are not performing in accordance with their modified terms; (ii) foreclosed assets held for sale; (iii) repossessed assets; and (iv) impaired securities.</w:t>
      </w:r>
    </w:p>
    <w:p>
      <w:pPr>
        <w:spacing w:after="0" w:line="119" w:lineRule="exact"/>
        <w:rPr>
          <w:sz w:val="20"/>
          <w:szCs w:val="20"/>
          <w:color w:val="auto"/>
        </w:rPr>
      </w:pPr>
    </w:p>
    <w:p>
      <w:pPr>
        <w:ind w:left="160" w:right="140" w:firstLine="469"/>
        <w:spacing w:after="0" w:line="263" w:lineRule="auto"/>
        <w:rPr>
          <w:sz w:val="20"/>
          <w:szCs w:val="20"/>
          <w:color w:val="auto"/>
        </w:rPr>
      </w:pPr>
      <w:r>
        <w:rPr>
          <w:rFonts w:ascii="Arial" w:cs="Arial" w:eastAsia="Arial" w:hAnsi="Arial"/>
          <w:sz w:val="17"/>
          <w:szCs w:val="17"/>
          <w:color w:val="auto"/>
        </w:rPr>
        <w:t>Nonaccrual loans declined $12 million during the quarter ended March 31, 2021 primarily due to one commercial real estate loan that recapitalized its balance sheet and was placed back on accrual. In addition, several commercial borrowers were able to pay down a portion of the outstanding loan balance during the quarter ended March 31, 2021. Nonaccrual energy loans increased slightly between December 31, 2020 and March 31, 2021 as oil and natural gas borrowers struggled from the effects of low oil and gas prices over the past year. We anticipate improving credit metrics over the next quarter as the economy rebounds.</w:t>
      </w:r>
    </w:p>
    <w:p>
      <w:pPr>
        <w:spacing w:after="0" w:line="127" w:lineRule="exact"/>
        <w:rPr>
          <w:sz w:val="20"/>
          <w:szCs w:val="20"/>
          <w:color w:val="auto"/>
        </w:rPr>
      </w:pPr>
    </w:p>
    <w:p>
      <w:pPr>
        <w:ind w:left="160" w:right="300" w:firstLine="469"/>
        <w:spacing w:after="0" w:line="286" w:lineRule="auto"/>
        <w:rPr>
          <w:sz w:val="20"/>
          <w:szCs w:val="20"/>
          <w:color w:val="auto"/>
        </w:rPr>
      </w:pPr>
      <w:r>
        <w:rPr>
          <w:rFonts w:ascii="Arial" w:cs="Arial" w:eastAsia="Arial" w:hAnsi="Arial"/>
          <w:sz w:val="17"/>
          <w:szCs w:val="17"/>
          <w:color w:val="auto"/>
        </w:rPr>
        <w:t>During 2020, nonaccrual loans increased primarily from energy loans that did not meet the criteria to be modified under the CARES Act and several loans impacted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summarizes our nonperforming assets and related ratios as of the dates indicated:</w:t>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7"/>
                <w:szCs w:val="17"/>
                <w:b w:val="1"/>
                <w:bCs w:val="1"/>
                <w:color w:val="auto"/>
                <w:w w:val="95"/>
              </w:rPr>
              <w:t>For the Quarter Ended</w:t>
            </w: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00"/>
              <w:spacing w:after="0" w:line="163" w:lineRule="exact"/>
              <w:rPr>
                <w:sz w:val="20"/>
                <w:szCs w:val="20"/>
                <w:color w:val="auto"/>
              </w:rPr>
            </w:pPr>
            <w:r>
              <w:rPr>
                <w:rFonts w:ascii="Arial" w:cs="Arial" w:eastAsia="Arial" w:hAnsi="Arial"/>
                <w:sz w:val="17"/>
                <w:szCs w:val="17"/>
                <w:b w:val="1"/>
                <w:bCs w:val="1"/>
                <w:color w:val="auto"/>
              </w:rPr>
              <w:t>March 31,</w:t>
            </w:r>
          </w:p>
        </w:tc>
        <w:tc>
          <w:tcPr>
            <w:tcW w:w="140" w:type="dxa"/>
            <w:vAlign w:val="bottom"/>
          </w:tcPr>
          <w:p>
            <w:pPr>
              <w:spacing w:after="0"/>
              <w:rPr>
                <w:sz w:val="14"/>
                <w:szCs w:val="14"/>
                <w:color w:val="auto"/>
              </w:rPr>
            </w:pPr>
          </w:p>
        </w:tc>
        <w:tc>
          <w:tcPr>
            <w:tcW w:w="1380" w:type="dxa"/>
            <w:vAlign w:val="bottom"/>
            <w:gridSpan w:val="2"/>
          </w:tcPr>
          <w:p>
            <w:pPr>
              <w:ind w:left="60"/>
              <w:spacing w:after="0" w:line="163" w:lineRule="exact"/>
              <w:rPr>
                <w:sz w:val="20"/>
                <w:szCs w:val="20"/>
                <w:color w:val="auto"/>
              </w:rPr>
            </w:pPr>
            <w:r>
              <w:rPr>
                <w:rFonts w:ascii="Arial" w:cs="Arial" w:eastAsia="Arial" w:hAnsi="Arial"/>
                <w:sz w:val="17"/>
                <w:szCs w:val="17"/>
                <w:b w:val="1"/>
                <w:bCs w:val="1"/>
                <w:color w:val="auto"/>
              </w:rPr>
              <w:t>December 31,</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3" w:lineRule="exact"/>
              <w:rPr>
                <w:sz w:val="20"/>
                <w:szCs w:val="20"/>
                <w:color w:val="auto"/>
              </w:rPr>
            </w:pPr>
            <w:r>
              <w:rPr>
                <w:rFonts w:ascii="Arial" w:cs="Arial" w:eastAsia="Arial" w:hAnsi="Arial"/>
                <w:sz w:val="17"/>
                <w:szCs w:val="17"/>
                <w:b w:val="1"/>
                <w:bCs w:val="1"/>
                <w:color w:val="auto"/>
                <w:w w:val="91"/>
              </w:rPr>
              <w:t>September 30,</w:t>
            </w:r>
          </w:p>
        </w:tc>
        <w:tc>
          <w:tcPr>
            <w:tcW w:w="260" w:type="dxa"/>
            <w:vAlign w:val="bottom"/>
          </w:tcPr>
          <w:p>
            <w:pPr>
              <w:spacing w:after="0"/>
              <w:rPr>
                <w:sz w:val="14"/>
                <w:szCs w:val="14"/>
                <w:color w:val="auto"/>
              </w:rPr>
            </w:pPr>
          </w:p>
        </w:tc>
        <w:tc>
          <w:tcPr>
            <w:tcW w:w="1260" w:type="dxa"/>
            <w:vAlign w:val="bottom"/>
            <w:gridSpan w:val="2"/>
          </w:tcPr>
          <w:p>
            <w:pPr>
              <w:ind w:left="140"/>
              <w:spacing w:after="0" w:line="163" w:lineRule="exact"/>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4"/>
                <w:szCs w:val="14"/>
                <w:color w:val="auto"/>
              </w:rPr>
            </w:pPr>
          </w:p>
        </w:tc>
        <w:tc>
          <w:tcPr>
            <w:tcW w:w="1200" w:type="dxa"/>
            <w:vAlign w:val="bottom"/>
          </w:tcPr>
          <w:p>
            <w:pPr>
              <w:jc w:val="right"/>
              <w:ind w:right="233"/>
              <w:spacing w:after="0" w:line="163" w:lineRule="exact"/>
              <w:rPr>
                <w:sz w:val="20"/>
                <w:szCs w:val="20"/>
                <w:color w:val="auto"/>
              </w:rPr>
            </w:pPr>
            <w:r>
              <w:rPr>
                <w:rFonts w:ascii="Arial" w:cs="Arial" w:eastAsia="Arial" w:hAnsi="Arial"/>
                <w:sz w:val="17"/>
                <w:szCs w:val="17"/>
                <w:b w:val="1"/>
                <w:bCs w:val="1"/>
                <w:color w:val="auto"/>
              </w:rPr>
              <w:t>March 31,</w:t>
            </w:r>
          </w:p>
        </w:tc>
      </w:tr>
      <w:tr>
        <w:trPr>
          <w:trHeight w:val="221"/>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r>
      <w:tr>
        <w:trPr>
          <w:trHeight w:val="195"/>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i w:val="1"/>
                <w:iCs w:val="1"/>
                <w:color w:val="auto"/>
                <w:w w:val="91"/>
              </w:rPr>
              <w:t>(Dollars in thousands)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7"/>
        </w:trPr>
        <w:tc>
          <w:tcPr>
            <w:tcW w:w="3540" w:type="dxa"/>
            <w:vAlign w:val="bottom"/>
          </w:tcPr>
          <w:p>
            <w:pPr>
              <w:ind w:left="20"/>
              <w:spacing w:after="0"/>
              <w:rPr>
                <w:sz w:val="20"/>
                <w:szCs w:val="20"/>
                <w:color w:val="auto"/>
              </w:rPr>
            </w:pPr>
            <w:r>
              <w:rPr>
                <w:rFonts w:ascii="Arial" w:cs="Arial" w:eastAsia="Arial" w:hAnsi="Arial"/>
                <w:sz w:val="17"/>
                <w:szCs w:val="17"/>
                <w:color w:val="auto"/>
              </w:rPr>
              <w:t>Nonaccrual loans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13"/>
              <w:spacing w:after="0"/>
              <w:rPr>
                <w:sz w:val="20"/>
                <w:szCs w:val="20"/>
                <w:color w:val="auto"/>
              </w:rPr>
            </w:pPr>
            <w:r>
              <w:rPr>
                <w:rFonts w:ascii="Arial" w:cs="Arial" w:eastAsia="Arial" w:hAnsi="Arial"/>
                <w:sz w:val="17"/>
                <w:szCs w:val="17"/>
                <w:color w:val="auto"/>
              </w:rPr>
              <w:t>63,319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3"/>
              <w:spacing w:after="0"/>
              <w:rPr>
                <w:sz w:val="20"/>
                <w:szCs w:val="20"/>
                <w:color w:val="auto"/>
              </w:rPr>
            </w:pPr>
            <w:r>
              <w:rPr>
                <w:rFonts w:ascii="Arial" w:cs="Arial" w:eastAsia="Arial" w:hAnsi="Arial"/>
                <w:sz w:val="17"/>
                <w:szCs w:val="17"/>
                <w:color w:val="auto"/>
              </w:rPr>
              <w:t>75,051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133"/>
              <w:spacing w:after="0"/>
              <w:rPr>
                <w:sz w:val="20"/>
                <w:szCs w:val="20"/>
                <w:color w:val="auto"/>
              </w:rPr>
            </w:pPr>
            <w:r>
              <w:rPr>
                <w:rFonts w:ascii="Arial" w:cs="Arial" w:eastAsia="Arial" w:hAnsi="Arial"/>
                <w:sz w:val="17"/>
                <w:szCs w:val="17"/>
                <w:color w:val="auto"/>
              </w:rPr>
              <w:t>75,560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37,534</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26,255</w:t>
            </w:r>
          </w:p>
        </w:tc>
      </w:tr>
      <w:tr>
        <w:trPr>
          <w:trHeight w:val="221"/>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Loans past due 90 days or more and still accruing</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3,183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4,324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r>
      <w:tr>
        <w:trPr>
          <w:trHeight w:val="214"/>
        </w:trPr>
        <w:tc>
          <w:tcPr>
            <w:tcW w:w="3540" w:type="dxa"/>
            <w:vAlign w:val="bottom"/>
          </w:tcPr>
          <w:p>
            <w:pPr>
              <w:ind w:left="140"/>
              <w:spacing w:after="0"/>
              <w:rPr>
                <w:sz w:val="20"/>
                <w:szCs w:val="20"/>
                <w:color w:val="auto"/>
              </w:rPr>
            </w:pPr>
            <w:r>
              <w:rPr>
                <w:rFonts w:ascii="Arial" w:cs="Arial" w:eastAsia="Arial" w:hAnsi="Arial"/>
                <w:sz w:val="17"/>
                <w:szCs w:val="17"/>
                <w:color w:val="auto"/>
              </w:rPr>
              <w:t>Total nonperforming loans</w:t>
            </w:r>
          </w:p>
        </w:tc>
        <w:tc>
          <w:tcPr>
            <w:tcW w:w="220" w:type="dxa"/>
            <w:vAlign w:val="bottom"/>
          </w:tcPr>
          <w:p>
            <w:pPr>
              <w:spacing w:after="0"/>
              <w:rPr>
                <w:sz w:val="18"/>
                <w:szCs w:val="18"/>
                <w:color w:val="auto"/>
              </w:rPr>
            </w:pPr>
          </w:p>
        </w:tc>
        <w:tc>
          <w:tcPr>
            <w:tcW w:w="1180" w:type="dxa"/>
            <w:vAlign w:val="bottom"/>
          </w:tcPr>
          <w:p>
            <w:pPr>
              <w:jc w:val="right"/>
              <w:ind w:right="113"/>
              <w:spacing w:after="0"/>
              <w:rPr>
                <w:sz w:val="20"/>
                <w:szCs w:val="20"/>
                <w:color w:val="auto"/>
              </w:rPr>
            </w:pPr>
            <w:r>
              <w:rPr>
                <w:rFonts w:ascii="Arial" w:cs="Arial" w:eastAsia="Arial" w:hAnsi="Arial"/>
                <w:sz w:val="17"/>
                <w:szCs w:val="17"/>
                <w:color w:val="auto"/>
              </w:rPr>
              <w:t>66,502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33"/>
              <w:spacing w:after="0"/>
              <w:rPr>
                <w:sz w:val="20"/>
                <w:szCs w:val="20"/>
                <w:color w:val="auto"/>
              </w:rPr>
            </w:pPr>
            <w:r>
              <w:rPr>
                <w:rFonts w:ascii="Arial" w:cs="Arial" w:eastAsia="Arial" w:hAnsi="Arial"/>
                <w:sz w:val="17"/>
                <w:szCs w:val="17"/>
                <w:color w:val="auto"/>
              </w:rPr>
              <w:t>76,075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3"/>
              <w:spacing w:after="0"/>
              <w:rPr>
                <w:sz w:val="20"/>
                <w:szCs w:val="20"/>
                <w:color w:val="auto"/>
              </w:rPr>
            </w:pPr>
            <w:r>
              <w:rPr>
                <w:rFonts w:ascii="Arial" w:cs="Arial" w:eastAsia="Arial" w:hAnsi="Arial"/>
                <w:sz w:val="17"/>
                <w:szCs w:val="17"/>
                <w:color w:val="auto"/>
              </w:rPr>
              <w:t>79,884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37,754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26,255</w:t>
            </w:r>
          </w:p>
        </w:tc>
      </w:tr>
      <w:tr>
        <w:trPr>
          <w:trHeight w:val="221"/>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Foreclosed assets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2,347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2,347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2,349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2,502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3,619</w:t>
            </w:r>
          </w:p>
        </w:tc>
      </w:tr>
      <w:tr>
        <w:trPr>
          <w:trHeight w:val="214"/>
        </w:trPr>
        <w:tc>
          <w:tcPr>
            <w:tcW w:w="3540" w:type="dxa"/>
            <w:vAlign w:val="bottom"/>
          </w:tcPr>
          <w:p>
            <w:pPr>
              <w:ind w:left="140"/>
              <w:spacing w:after="0"/>
              <w:rPr>
                <w:sz w:val="20"/>
                <w:szCs w:val="20"/>
                <w:color w:val="auto"/>
              </w:rPr>
            </w:pPr>
            <w:r>
              <w:rPr>
                <w:rFonts w:ascii="Arial" w:cs="Arial" w:eastAsia="Arial" w:hAnsi="Arial"/>
                <w:sz w:val="17"/>
                <w:szCs w:val="17"/>
                <w:color w:val="auto"/>
              </w:rPr>
              <w:t>Total nonperforming assets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68,849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78,422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82,233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40,256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29,874</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4"/>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ALLL to total loans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ALLL to nonaccrual loans</w:t>
            </w:r>
          </w:p>
        </w:tc>
        <w:tc>
          <w:tcPr>
            <w:tcW w:w="22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7"/>
                <w:szCs w:val="17"/>
                <w:color w:val="auto"/>
              </w:rPr>
              <w:t>117.74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7"/>
                <w:szCs w:val="17"/>
                <w:color w:val="auto"/>
              </w:rPr>
              <w:t>100.33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Arial" w:cs="Arial" w:eastAsia="Arial" w:hAnsi="Arial"/>
                <w:sz w:val="17"/>
                <w:szCs w:val="17"/>
                <w:color w:val="auto"/>
              </w:rPr>
              <w:t>100.63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189.66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195.99</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ALLL to nonperforming loans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95.18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188.55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195.99</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Nonaccrual loans to total loans</w:t>
            </w:r>
          </w:p>
        </w:tc>
        <w:tc>
          <w:tcPr>
            <w:tcW w:w="22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0.85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0.66</w:t>
            </w:r>
          </w:p>
        </w:tc>
      </w:tr>
      <w:tr>
        <w:trPr>
          <w:trHeight w:val="221"/>
        </w:trPr>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Nonperforming loans to total loans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0.66</w:t>
            </w:r>
          </w:p>
        </w:tc>
      </w:tr>
      <w:tr>
        <w:trPr>
          <w:trHeight w:val="221"/>
        </w:trPr>
        <w:tc>
          <w:tcPr>
            <w:tcW w:w="3540" w:type="dxa"/>
            <w:vAlign w:val="bottom"/>
          </w:tcPr>
          <w:p>
            <w:pPr>
              <w:ind w:left="140"/>
              <w:spacing w:after="0"/>
              <w:rPr>
                <w:sz w:val="20"/>
                <w:szCs w:val="20"/>
                <w:color w:val="auto"/>
              </w:rPr>
            </w:pPr>
            <w:r>
              <w:rPr>
                <w:rFonts w:ascii="Arial" w:cs="Arial" w:eastAsia="Arial" w:hAnsi="Arial"/>
                <w:sz w:val="17"/>
                <w:szCs w:val="17"/>
                <w:color w:val="auto"/>
              </w:rPr>
              <w:t>Nonperforming assets to total assets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0.74 %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0.59 %</w:t>
            </w:r>
          </w:p>
        </w:tc>
      </w:tr>
    </w:tbl>
    <w:p>
      <w:pPr>
        <w:spacing w:after="0" w:line="196" w:lineRule="exact"/>
        <w:rPr>
          <w:sz w:val="20"/>
          <w:szCs w:val="20"/>
          <w:color w:val="auto"/>
        </w:rPr>
      </w:pPr>
    </w:p>
    <w:p>
      <w:pPr>
        <w:ind w:left="160" w:right="40" w:firstLine="469"/>
        <w:spacing w:after="0" w:line="266" w:lineRule="auto"/>
        <w:rPr>
          <w:sz w:val="20"/>
          <w:szCs w:val="20"/>
          <w:color w:val="auto"/>
        </w:rPr>
      </w:pPr>
      <w:r>
        <w:rPr>
          <w:rFonts w:ascii="Arial" w:cs="Arial" w:eastAsia="Arial" w:hAnsi="Arial"/>
          <w:sz w:val="17"/>
          <w:szCs w:val="17"/>
          <w:color w:val="auto"/>
        </w:rPr>
        <w:t>Other asset quality metrics management reviews include loans past due 30 - 89 days and classified loans. The Company defines classified loans as loans categorized as substandard - performing, substandard - nonperforming, doubtful, or loss. The definitions of substandard, doubtful and loss are provided in “Note 4 Loans and Allowance for Loan Losses” in the Notes to the Unaudited Consolidated Financial Statements. The following table summarizes our loans past due 30 - 89 days, classified assets and related ratios as of the dates indicated:</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7"/>
                <w:szCs w:val="17"/>
                <w:b w:val="1"/>
                <w:bCs w:val="1"/>
                <w:color w:val="auto"/>
              </w:rPr>
              <w:t>March 31,</w:t>
            </w:r>
          </w:p>
        </w:tc>
        <w:tc>
          <w:tcPr>
            <w:tcW w:w="14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6"/>
                <w:szCs w:val="16"/>
                <w:color w:val="auto"/>
              </w:rPr>
            </w:pPr>
          </w:p>
        </w:tc>
        <w:tc>
          <w:tcPr>
            <w:tcW w:w="1200" w:type="dxa"/>
            <w:vAlign w:val="bottom"/>
          </w:tcPr>
          <w:p>
            <w:pPr>
              <w:jc w:val="right"/>
              <w:ind w:right="253"/>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221"/>
        </w:trPr>
        <w:tc>
          <w:tcPr>
            <w:tcW w:w="3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ind w:left="20"/>
              <w:spacing w:after="0"/>
              <w:rPr>
                <w:sz w:val="20"/>
                <w:szCs w:val="20"/>
                <w:color w:val="auto"/>
              </w:rPr>
            </w:pPr>
            <w:r>
              <w:rPr>
                <w:rFonts w:ascii="Arial" w:cs="Arial" w:eastAsia="Arial" w:hAnsi="Arial"/>
                <w:sz w:val="16"/>
                <w:szCs w:val="16"/>
                <w:i w:val="1"/>
                <w:iCs w:val="1"/>
                <w:color w:val="auto"/>
                <w:w w:val="96"/>
              </w:rPr>
              <w:t>(Dollars in thousands)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Loan Past Due Detail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20" w:type="dxa"/>
            <w:vAlign w:val="bottom"/>
          </w:tcPr>
          <w:p>
            <w:pPr>
              <w:ind w:left="140"/>
              <w:spacing w:after="0"/>
              <w:rPr>
                <w:sz w:val="20"/>
                <w:szCs w:val="20"/>
                <w:color w:val="auto"/>
              </w:rPr>
            </w:pPr>
            <w:r>
              <w:rPr>
                <w:rFonts w:ascii="Arial" w:cs="Arial" w:eastAsia="Arial" w:hAnsi="Arial"/>
                <w:sz w:val="17"/>
                <w:szCs w:val="17"/>
                <w:color w:val="auto"/>
              </w:rPr>
              <w:t>30 - 59 days past due</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10,583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3"/>
              <w:spacing w:after="0"/>
              <w:rPr>
                <w:sz w:val="20"/>
                <w:szCs w:val="20"/>
                <w:color w:val="auto"/>
              </w:rPr>
            </w:pPr>
            <w:r>
              <w:rPr>
                <w:rFonts w:ascii="Arial" w:cs="Arial" w:eastAsia="Arial" w:hAnsi="Arial"/>
                <w:sz w:val="17"/>
                <w:szCs w:val="17"/>
                <w:color w:val="auto"/>
              </w:rPr>
              <w:t>10,137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33"/>
              <w:spacing w:after="0"/>
              <w:rPr>
                <w:sz w:val="20"/>
                <w:szCs w:val="20"/>
                <w:color w:val="auto"/>
              </w:rPr>
            </w:pPr>
            <w:r>
              <w:rPr>
                <w:rFonts w:ascii="Arial" w:cs="Arial" w:eastAsia="Arial" w:hAnsi="Arial"/>
                <w:sz w:val="17"/>
                <w:szCs w:val="17"/>
                <w:color w:val="auto"/>
              </w:rPr>
              <w:t>15,324</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14,205</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12,934</w:t>
            </w:r>
          </w:p>
        </w:tc>
        <w:tc>
          <w:tcPr>
            <w:tcW w:w="0" w:type="dxa"/>
            <w:vAlign w:val="bottom"/>
          </w:tcPr>
          <w:p>
            <w:pPr>
              <w:spacing w:after="0"/>
              <w:rPr>
                <w:sz w:val="1"/>
                <w:szCs w:val="1"/>
                <w:color w:val="auto"/>
              </w:rPr>
            </w:pPr>
          </w:p>
        </w:tc>
      </w:tr>
      <w:tr>
        <w:trPr>
          <w:trHeight w:val="221"/>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60 - 89 days past due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403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7,941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30,027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20,676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6,604</w:t>
            </w:r>
          </w:p>
        </w:tc>
        <w:tc>
          <w:tcPr>
            <w:tcW w:w="0" w:type="dxa"/>
            <w:vAlign w:val="bottom"/>
          </w:tcPr>
          <w:p>
            <w:pPr>
              <w:spacing w:after="0"/>
              <w:rPr>
                <w:sz w:val="1"/>
                <w:szCs w:val="1"/>
                <w:color w:val="auto"/>
              </w:rPr>
            </w:pPr>
          </w:p>
        </w:tc>
      </w:tr>
      <w:tr>
        <w:trPr>
          <w:trHeight w:val="214"/>
        </w:trPr>
        <w:tc>
          <w:tcPr>
            <w:tcW w:w="3520" w:type="dxa"/>
            <w:vAlign w:val="bottom"/>
          </w:tcPr>
          <w:p>
            <w:pPr>
              <w:ind w:left="220"/>
              <w:spacing w:after="0"/>
              <w:rPr>
                <w:sz w:val="20"/>
                <w:szCs w:val="20"/>
                <w:color w:val="auto"/>
              </w:rPr>
            </w:pPr>
            <w:r>
              <w:rPr>
                <w:rFonts w:ascii="Arial" w:cs="Arial" w:eastAsia="Arial" w:hAnsi="Arial"/>
                <w:sz w:val="17"/>
                <w:szCs w:val="17"/>
                <w:color w:val="auto"/>
              </w:rPr>
              <w:t>Total 30 - 89 days past due</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10,986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18,078</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45,351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34,881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19,538</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Loans 30 - 89 days past due / gross loans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0.79 %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0.49 %</w:t>
            </w:r>
          </w:p>
        </w:tc>
        <w:tc>
          <w:tcPr>
            <w:tcW w:w="0" w:type="dxa"/>
            <w:vAlign w:val="bottom"/>
          </w:tcPr>
          <w:p>
            <w:pPr>
              <w:spacing w:after="0"/>
              <w:rPr>
                <w:sz w:val="1"/>
                <w:szCs w:val="1"/>
                <w:color w:val="auto"/>
              </w:rPr>
            </w:pPr>
          </w:p>
        </w:tc>
      </w:tr>
      <w:tr>
        <w:trPr>
          <w:trHeight w:val="221"/>
        </w:trPr>
        <w:tc>
          <w:tcPr>
            <w:tcW w:w="3520" w:type="dxa"/>
            <w:vAlign w:val="bottom"/>
          </w:tcPr>
          <w:p>
            <w:pPr>
              <w:ind w:left="20"/>
              <w:spacing w:after="0"/>
              <w:rPr>
                <w:sz w:val="20"/>
                <w:szCs w:val="20"/>
                <w:color w:val="auto"/>
              </w:rPr>
            </w:pPr>
            <w:r>
              <w:rPr>
                <w:rFonts w:ascii="Arial" w:cs="Arial" w:eastAsia="Arial" w:hAnsi="Arial"/>
                <w:sz w:val="17"/>
                <w:szCs w:val="17"/>
                <w:b w:val="1"/>
                <w:bCs w:val="1"/>
                <w:color w:val="auto"/>
              </w:rPr>
              <w:t>Classified Loans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Substandard - performing</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205,560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211,008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224,352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199,595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80,876</w:t>
            </w:r>
          </w:p>
        </w:tc>
        <w:tc>
          <w:tcPr>
            <w:tcW w:w="0" w:type="dxa"/>
            <w:vAlign w:val="bottom"/>
          </w:tcPr>
          <w:p>
            <w:pPr>
              <w:spacing w:after="0"/>
              <w:rPr>
                <w:sz w:val="1"/>
                <w:szCs w:val="1"/>
                <w:color w:val="auto"/>
              </w:rPr>
            </w:pPr>
          </w:p>
        </w:tc>
      </w:tr>
      <w:tr>
        <w:trPr>
          <w:trHeight w:val="221"/>
        </w:trPr>
        <w:tc>
          <w:tcPr>
            <w:tcW w:w="3520" w:type="dxa"/>
            <w:vAlign w:val="bottom"/>
          </w:tcPr>
          <w:p>
            <w:pPr>
              <w:ind w:left="140"/>
              <w:spacing w:after="0"/>
              <w:rPr>
                <w:sz w:val="20"/>
                <w:szCs w:val="20"/>
                <w:color w:val="auto"/>
              </w:rPr>
            </w:pPr>
            <w:r>
              <w:rPr>
                <w:rFonts w:ascii="Arial" w:cs="Arial" w:eastAsia="Arial" w:hAnsi="Arial"/>
                <w:sz w:val="17"/>
                <w:szCs w:val="17"/>
                <w:color w:val="auto"/>
              </w:rPr>
              <w:t>Substandard - nonperforming</w:t>
            </w:r>
          </w:p>
        </w:tc>
        <w:tc>
          <w:tcPr>
            <w:tcW w:w="22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57,967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7"/>
                <w:szCs w:val="17"/>
                <w:color w:val="auto"/>
              </w:rPr>
              <w:t>70,734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7"/>
                <w:szCs w:val="17"/>
                <w:color w:val="auto"/>
              </w:rPr>
              <w:t>67,765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29,030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19,555</w:t>
            </w:r>
          </w:p>
        </w:tc>
        <w:tc>
          <w:tcPr>
            <w:tcW w:w="0" w:type="dxa"/>
            <w:vAlign w:val="bottom"/>
          </w:tcPr>
          <w:p>
            <w:pPr>
              <w:spacing w:after="0"/>
              <w:rPr>
                <w:sz w:val="1"/>
                <w:szCs w:val="1"/>
                <w:color w:val="auto"/>
              </w:rPr>
            </w:pPr>
          </w:p>
        </w:tc>
      </w:tr>
      <w:tr>
        <w:trPr>
          <w:trHeight w:val="221"/>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Doubtful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5,352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8,504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4,088</w:t>
            </w:r>
          </w:p>
        </w:tc>
        <w:tc>
          <w:tcPr>
            <w:tcW w:w="0" w:type="dxa"/>
            <w:vAlign w:val="bottom"/>
          </w:tcPr>
          <w:p>
            <w:pPr>
              <w:spacing w:after="0"/>
              <w:rPr>
                <w:sz w:val="1"/>
                <w:szCs w:val="1"/>
                <w:color w:val="auto"/>
              </w:rPr>
            </w:pPr>
          </w:p>
        </w:tc>
      </w:tr>
      <w:tr>
        <w:trPr>
          <w:trHeight w:val="221"/>
        </w:trPr>
        <w:tc>
          <w:tcPr>
            <w:tcW w:w="3520" w:type="dxa"/>
            <w:vAlign w:val="bottom"/>
          </w:tcPr>
          <w:p>
            <w:pPr>
              <w:ind w:left="140"/>
              <w:spacing w:after="0"/>
              <w:rPr>
                <w:sz w:val="20"/>
                <w:szCs w:val="20"/>
                <w:color w:val="auto"/>
              </w:rPr>
            </w:pPr>
            <w:r>
              <w:rPr>
                <w:rFonts w:ascii="Arial" w:cs="Arial" w:eastAsia="Arial" w:hAnsi="Arial"/>
                <w:sz w:val="17"/>
                <w:szCs w:val="17"/>
                <w:color w:val="auto"/>
              </w:rPr>
              <w:t>Loss</w:t>
            </w:r>
          </w:p>
        </w:tc>
        <w:tc>
          <w:tcPr>
            <w:tcW w:w="2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5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classified loans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268,879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286,057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299,911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237,129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104,519</w:t>
            </w:r>
          </w:p>
        </w:tc>
        <w:tc>
          <w:tcPr>
            <w:tcW w:w="0" w:type="dxa"/>
            <w:vAlign w:val="bottom"/>
          </w:tcPr>
          <w:p>
            <w:pPr>
              <w:spacing w:after="0"/>
              <w:rPr>
                <w:sz w:val="1"/>
                <w:szCs w:val="1"/>
                <w:color w:val="auto"/>
              </w:rPr>
            </w:pPr>
          </w:p>
        </w:tc>
      </w:tr>
      <w:tr>
        <w:trPr>
          <w:trHeight w:val="221"/>
        </w:trPr>
        <w:tc>
          <w:tcPr>
            <w:tcW w:w="35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Foreclosed assets held for sale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2,347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2,347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2,349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2,502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3,619</w:t>
            </w:r>
          </w:p>
        </w:tc>
        <w:tc>
          <w:tcPr>
            <w:tcW w:w="0" w:type="dxa"/>
            <w:vAlign w:val="bottom"/>
          </w:tcPr>
          <w:p>
            <w:pPr>
              <w:spacing w:after="0"/>
              <w:rPr>
                <w:sz w:val="1"/>
                <w:szCs w:val="1"/>
                <w:color w:val="auto"/>
              </w:rPr>
            </w:pPr>
          </w:p>
        </w:tc>
      </w:tr>
      <w:tr>
        <w:trPr>
          <w:trHeight w:val="239"/>
        </w:trPr>
        <w:tc>
          <w:tcPr>
            <w:tcW w:w="3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classified assets</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271,226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288,404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302,260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239,631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108,138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7"/>
                <w:szCs w:val="17"/>
                <w:color w:val="auto"/>
              </w:rPr>
              <w:t>Classified loans / (total capital + ALLL)</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38.2 %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line="194" w:lineRule="exact"/>
              <w:rPr>
                <w:sz w:val="20"/>
                <w:szCs w:val="20"/>
                <w:color w:val="auto"/>
              </w:rPr>
            </w:pPr>
            <w:r>
              <w:rPr>
                <w:rFonts w:ascii="Arial" w:cs="Arial" w:eastAsia="Arial" w:hAnsi="Arial"/>
                <w:sz w:val="17"/>
                <w:szCs w:val="17"/>
                <w:color w:val="auto"/>
              </w:rPr>
              <w:t>40.9 %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43.2 %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line="194" w:lineRule="exact"/>
              <w:rPr>
                <w:sz w:val="20"/>
                <w:szCs w:val="20"/>
                <w:color w:val="auto"/>
              </w:rPr>
            </w:pPr>
            <w:r>
              <w:rPr>
                <w:rFonts w:ascii="Arial" w:cs="Arial" w:eastAsia="Arial" w:hAnsi="Arial"/>
                <w:sz w:val="17"/>
                <w:szCs w:val="17"/>
                <w:color w:val="auto"/>
              </w:rPr>
              <w:t>34.9 %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15.8 %</w:t>
            </w:r>
          </w:p>
        </w:tc>
        <w:tc>
          <w:tcPr>
            <w:tcW w:w="0" w:type="dxa"/>
            <w:vAlign w:val="bottom"/>
          </w:tcPr>
          <w:p>
            <w:pPr>
              <w:spacing w:after="0"/>
              <w:rPr>
                <w:sz w:val="1"/>
                <w:szCs w:val="1"/>
                <w:color w:val="auto"/>
              </w:rPr>
            </w:pPr>
          </w:p>
        </w:tc>
      </w:tr>
      <w:tr>
        <w:trPr>
          <w:trHeight w:val="221"/>
        </w:trPr>
        <w:tc>
          <w:tcPr>
            <w:tcW w:w="3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Classified assets / (total capital + ALLL)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16.3 %</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60" w:right="540" w:firstLine="469"/>
        <w:spacing w:after="0" w:line="271" w:lineRule="auto"/>
        <w:rPr>
          <w:sz w:val="20"/>
          <w:szCs w:val="20"/>
          <w:color w:val="auto"/>
        </w:rPr>
      </w:pPr>
      <w:r>
        <w:rPr>
          <w:rFonts w:ascii="Arial" w:cs="Arial" w:eastAsia="Arial" w:hAnsi="Arial"/>
          <w:sz w:val="17"/>
          <w:szCs w:val="17"/>
          <w:color w:val="auto"/>
        </w:rPr>
        <w:t>During the quarter ended March 31, 2021, past due loans between 30 to 89 days declined primarily due to a commercial real estate loan that was recapitalized, which allowed the borrower to pay all past due amounts. Loans past due between 30 and 89 days at March 31, 2021 included a $6 million commercial loan and several smaller loans.</w:t>
      </w:r>
    </w:p>
    <w:p>
      <w:pPr>
        <w:spacing w:after="0" w:line="119" w:lineRule="exact"/>
        <w:rPr>
          <w:sz w:val="20"/>
          <w:szCs w:val="20"/>
          <w:color w:val="auto"/>
        </w:rPr>
      </w:pPr>
    </w:p>
    <w:p>
      <w:pPr>
        <w:ind w:left="160" w:right="260" w:firstLine="469"/>
        <w:spacing w:after="0" w:line="295" w:lineRule="auto"/>
        <w:rPr>
          <w:sz w:val="20"/>
          <w:szCs w:val="20"/>
          <w:color w:val="auto"/>
        </w:rPr>
      </w:pPr>
      <w:r>
        <w:rPr>
          <w:rFonts w:ascii="Arial" w:cs="Arial" w:eastAsia="Arial" w:hAnsi="Arial"/>
          <w:sz w:val="16"/>
          <w:szCs w:val="16"/>
          <w:color w:val="auto"/>
        </w:rPr>
        <w:t>The Company's classified assets as of March 31, 2021 decreased $17 million since December 31, 2020. The decline was driven by $30 million of commercial and commercial real estate loans upgraded due to improvements in the borrowers’ capital structure and $8 million in pay downs from classified loans, offset by an increase of approximately $21 million in downgraded loans, primarily from our energy and commercial loan portfolio.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Deposits and Other Borrowings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maturity of time deposits as of March 31, 2021:</w:t>
      </w:r>
    </w:p>
    <w:p>
      <w:pPr>
        <w:spacing w:after="0" w:line="16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2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3"/>
              </w:rPr>
              <w:t>As of March 31, 2021</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
        </w:trPr>
        <w:tc>
          <w:tcPr>
            <w:tcW w:w="214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7"/>
        </w:trPr>
        <w:tc>
          <w:tcPr>
            <w:tcW w:w="2140" w:type="dxa"/>
            <w:vAlign w:val="bottom"/>
          </w:tcPr>
          <w:p>
            <w:pPr>
              <w:spacing w:after="0"/>
              <w:rPr>
                <w:sz w:val="19"/>
                <w:szCs w:val="19"/>
                <w:color w:val="auto"/>
              </w:rPr>
            </w:pPr>
          </w:p>
        </w:tc>
        <w:tc>
          <w:tcPr>
            <w:tcW w:w="180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Three Months or Less</w:t>
            </w:r>
          </w:p>
        </w:tc>
        <w:tc>
          <w:tcPr>
            <w:tcW w:w="1800" w:type="dxa"/>
            <w:vAlign w:val="bottom"/>
            <w:gridSpan w:val="3"/>
          </w:tcPr>
          <w:p>
            <w:pPr>
              <w:ind w:left="100"/>
              <w:spacing w:after="0"/>
              <w:rPr>
                <w:sz w:val="20"/>
                <w:szCs w:val="20"/>
                <w:color w:val="auto"/>
              </w:rPr>
            </w:pPr>
            <w:r>
              <w:rPr>
                <w:rFonts w:ascii="Arial" w:cs="Arial" w:eastAsia="Arial" w:hAnsi="Arial"/>
                <w:sz w:val="17"/>
                <w:szCs w:val="17"/>
                <w:b w:val="1"/>
                <w:bCs w:val="1"/>
                <w:color w:val="auto"/>
              </w:rPr>
              <w:t>Three to Six Months</w:t>
            </w:r>
          </w:p>
        </w:tc>
        <w:tc>
          <w:tcPr>
            <w:tcW w:w="178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1"/>
              </w:rPr>
              <w:t>Six to Twelve Months</w:t>
            </w:r>
          </w:p>
        </w:tc>
        <w:tc>
          <w:tcPr>
            <w:tcW w:w="1800" w:type="dxa"/>
            <w:vAlign w:val="bottom"/>
            <w:gridSpan w:val="3"/>
          </w:tcPr>
          <w:p>
            <w:pPr>
              <w:ind w:left="80"/>
              <w:spacing w:after="0"/>
              <w:rPr>
                <w:sz w:val="20"/>
                <w:szCs w:val="20"/>
                <w:color w:val="auto"/>
              </w:rPr>
            </w:pPr>
            <w:r>
              <w:rPr>
                <w:rFonts w:ascii="Arial" w:cs="Arial" w:eastAsia="Arial" w:hAnsi="Arial"/>
                <w:sz w:val="17"/>
                <w:szCs w:val="17"/>
                <w:b w:val="1"/>
                <w:bCs w:val="1"/>
                <w:color w:val="auto"/>
              </w:rPr>
              <w:t>After Twelve Months</w:t>
            </w:r>
          </w:p>
        </w:tc>
        <w:tc>
          <w:tcPr>
            <w:tcW w:w="400" w:type="dxa"/>
            <w:vAlign w:val="bottom"/>
          </w:tcPr>
          <w:p>
            <w:pPr>
              <w:spacing w:after="0"/>
              <w:rPr>
                <w:sz w:val="19"/>
                <w:szCs w:val="19"/>
                <w:color w:val="auto"/>
              </w:rPr>
            </w:pPr>
          </w:p>
        </w:tc>
        <w:tc>
          <w:tcPr>
            <w:tcW w:w="1320" w:type="dxa"/>
            <w:vAlign w:val="bottom"/>
          </w:tcPr>
          <w:p>
            <w:pPr>
              <w:jc w:val="right"/>
              <w:ind w:right="573"/>
              <w:spacing w:after="0"/>
              <w:rPr>
                <w:sz w:val="20"/>
                <w:szCs w:val="20"/>
                <w:color w:val="auto"/>
              </w:rPr>
            </w:pPr>
            <w:r>
              <w:rPr>
                <w:rFonts w:ascii="Arial" w:cs="Arial" w:eastAsia="Arial" w:hAnsi="Arial"/>
                <w:sz w:val="17"/>
                <w:szCs w:val="17"/>
                <w:b w:val="1"/>
                <w:bCs w:val="1"/>
                <w:color w:val="auto"/>
              </w:rPr>
              <w:t>Total</w:t>
            </w:r>
          </w:p>
        </w:tc>
      </w:tr>
      <w:tr>
        <w:trPr>
          <w:trHeight w:val="26"/>
        </w:trPr>
        <w:tc>
          <w:tcPr>
            <w:tcW w:w="2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i w:val="1"/>
                <w:iCs w:val="1"/>
                <w:color w:val="auto"/>
                <w:w w:val="91"/>
              </w:rPr>
              <w:t>(Dollars in thousands)</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2"/>
        </w:trPr>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Time deposits in excess of</w:t>
            </w: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7"/>
        </w:trPr>
        <w:tc>
          <w:tcPr>
            <w:tcW w:w="2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FDIC insurance limit</w:t>
            </w:r>
          </w:p>
        </w:tc>
        <w:tc>
          <w:tcPr>
            <w:tcW w:w="60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111,656</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103,081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63,493</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44,464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322,694</w:t>
            </w:r>
          </w:p>
        </w:tc>
      </w:tr>
      <w:tr>
        <w:trPr>
          <w:trHeight w:val="222"/>
        </w:trPr>
        <w:tc>
          <w:tcPr>
            <w:tcW w:w="2140" w:type="dxa"/>
            <w:vAlign w:val="bottom"/>
          </w:tcPr>
          <w:p>
            <w:pPr>
              <w:ind w:left="20"/>
              <w:spacing w:after="0"/>
              <w:rPr>
                <w:sz w:val="20"/>
                <w:szCs w:val="20"/>
                <w:color w:val="auto"/>
              </w:rPr>
            </w:pPr>
            <w:r>
              <w:rPr>
                <w:rFonts w:ascii="Arial" w:cs="Arial" w:eastAsia="Arial" w:hAnsi="Arial"/>
                <w:sz w:val="17"/>
                <w:szCs w:val="17"/>
                <w:color w:val="auto"/>
              </w:rPr>
              <w:t>Time deposits below FDIC</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1"/>
        </w:trPr>
        <w:tc>
          <w:tcPr>
            <w:tcW w:w="2140" w:type="dxa"/>
            <w:vAlign w:val="bottom"/>
          </w:tcPr>
          <w:p>
            <w:pPr>
              <w:ind w:left="100"/>
              <w:spacing w:after="0"/>
              <w:rPr>
                <w:sz w:val="20"/>
                <w:szCs w:val="20"/>
                <w:color w:val="auto"/>
              </w:rPr>
            </w:pPr>
            <w:r>
              <w:rPr>
                <w:rFonts w:ascii="Arial" w:cs="Arial" w:eastAsia="Arial" w:hAnsi="Arial"/>
                <w:sz w:val="17"/>
                <w:szCs w:val="17"/>
                <w:color w:val="auto"/>
              </w:rPr>
              <w:t>insurance limit</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198,577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141,545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145,496</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123,479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609,097</w:t>
            </w:r>
          </w:p>
        </w:tc>
      </w:tr>
      <w:tr>
        <w:trPr>
          <w:trHeight w:val="26"/>
        </w:trPr>
        <w:tc>
          <w:tcPr>
            <w:tcW w:w="2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8"/>
        </w:trPr>
        <w:tc>
          <w:tcPr>
            <w:tcW w:w="2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310,233</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244,626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208,989</w:t>
            </w:r>
          </w:p>
        </w:tc>
        <w:tc>
          <w:tcPr>
            <w:tcW w:w="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167,943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931,791</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160" w:right="140" w:firstLine="469"/>
        <w:spacing w:after="0" w:line="266" w:lineRule="auto"/>
        <w:rPr>
          <w:sz w:val="20"/>
          <w:szCs w:val="20"/>
          <w:color w:val="auto"/>
        </w:rPr>
      </w:pPr>
      <w:r>
        <w:rPr>
          <w:rFonts w:ascii="Arial" w:cs="Arial" w:eastAsia="Arial" w:hAnsi="Arial"/>
          <w:sz w:val="17"/>
          <w:szCs w:val="17"/>
          <w:color w:val="auto"/>
        </w:rPr>
        <w:t>At March 31, 2021, our deposits totaled $5 billion, an increase of $357 million or 8% from December 31, 2020. Of this increase, $76 million were noninterest-bearing deposits and $392 million were money market, NOW and savings deposits. Deposit increases were driven by a customer relationship that mobilized their workforce directly impacted by the COVID-19 pandemic. The increases were offset by a $112 million decrease in time deposits between December 31, 2020 to March 31, 2021 as a result of maturities and the current interest rate environment.</w:t>
      </w:r>
    </w:p>
    <w:p>
      <w:pPr>
        <w:spacing w:after="0" w:line="123" w:lineRule="exact"/>
        <w:rPr>
          <w:sz w:val="20"/>
          <w:szCs w:val="20"/>
          <w:color w:val="auto"/>
        </w:rPr>
      </w:pPr>
    </w:p>
    <w:p>
      <w:pPr>
        <w:jc w:val="both"/>
        <w:ind w:left="160" w:right="420" w:firstLine="469"/>
        <w:spacing w:after="0" w:line="271" w:lineRule="auto"/>
        <w:rPr>
          <w:sz w:val="20"/>
          <w:szCs w:val="20"/>
          <w:color w:val="auto"/>
        </w:rPr>
      </w:pPr>
      <w:r>
        <w:rPr>
          <w:rFonts w:ascii="Arial" w:cs="Arial" w:eastAsia="Arial" w:hAnsi="Arial"/>
          <w:sz w:val="17"/>
          <w:szCs w:val="17"/>
          <w:color w:val="auto"/>
        </w:rPr>
        <w:t>Other borrowings include repurchase agreements, fed funds purchased, FHLB advances, and our trust preferred security. At March 31, 2021, other borrowings totaled $287 million, a $9 million or 3% decrease from December 31, 2020. The decline was driven by borrowings that matured and were not replaced during the quarter due to increased Company liquidity.</w:t>
      </w:r>
    </w:p>
    <w:p>
      <w:pPr>
        <w:spacing w:after="0" w:line="119" w:lineRule="exact"/>
        <w:rPr>
          <w:sz w:val="20"/>
          <w:szCs w:val="20"/>
          <w:color w:val="auto"/>
        </w:rPr>
      </w:pPr>
    </w:p>
    <w:p>
      <w:pPr>
        <w:ind w:left="160" w:right="80" w:firstLine="469"/>
        <w:spacing w:after="0" w:line="271" w:lineRule="auto"/>
        <w:rPr>
          <w:sz w:val="20"/>
          <w:szCs w:val="20"/>
          <w:color w:val="auto"/>
        </w:rPr>
      </w:pPr>
      <w:r>
        <w:rPr>
          <w:rFonts w:ascii="Arial" w:cs="Arial" w:eastAsia="Arial" w:hAnsi="Arial"/>
          <w:sz w:val="17"/>
          <w:szCs w:val="17"/>
          <w:color w:val="auto"/>
        </w:rPr>
        <w:t>As of March 31, 2021, the Company had approximately $3 billion of uninsured deposits, which is an estimated amount based on the same methodologies and assumptions used for the bank’s regulatory requirements. The Company believes that its current capital ratios and liquidity are sufficient to mitigate the risks of uninsured deposits.</w:t>
      </w:r>
    </w:p>
    <w:p>
      <w:pPr>
        <w:spacing w:after="0" w:line="119" w:lineRule="exact"/>
        <w:rPr>
          <w:sz w:val="20"/>
          <w:szCs w:val="20"/>
          <w:color w:val="auto"/>
        </w:rPr>
      </w:pPr>
    </w:p>
    <w:p>
      <w:pPr>
        <w:ind w:left="160" w:right="100" w:firstLine="469"/>
        <w:spacing w:after="0" w:line="271" w:lineRule="auto"/>
        <w:rPr>
          <w:sz w:val="20"/>
          <w:szCs w:val="20"/>
          <w:color w:val="auto"/>
        </w:rPr>
      </w:pPr>
      <w:r>
        <w:rPr>
          <w:rFonts w:ascii="Arial" w:cs="Arial" w:eastAsia="Arial" w:hAnsi="Arial"/>
          <w:sz w:val="17"/>
          <w:szCs w:val="17"/>
          <w:color w:val="auto"/>
        </w:rPr>
        <w:t>As of March 31, 2021, the Company had approximately $600 million of deposits with one customer relationship. The Company evaluated the deposit concentration and determined that a significant reduction to these deposits would not adversely impact the Company as sufficient liquidity is accessible and at favorable rates.</w:t>
      </w: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w:t>
      </w:r>
    </w:p>
    <w:p>
      <w:pPr>
        <w:spacing w:after="0" w:line="164" w:lineRule="exact"/>
        <w:rPr>
          <w:sz w:val="20"/>
          <w:szCs w:val="20"/>
          <w:color w:val="auto"/>
        </w:rPr>
      </w:pPr>
    </w:p>
    <w:p>
      <w:pPr>
        <w:ind w:left="160" w:right="40" w:firstLine="469"/>
        <w:spacing w:after="0" w:line="263" w:lineRule="auto"/>
        <w:rPr>
          <w:sz w:val="20"/>
          <w:szCs w:val="20"/>
          <w:color w:val="auto"/>
        </w:rPr>
      </w:pPr>
      <w:r>
        <w:rPr>
          <w:rFonts w:ascii="Arial" w:cs="Arial" w:eastAsia="Arial" w:hAnsi="Arial"/>
          <w:sz w:val="17"/>
          <w:szCs w:val="17"/>
          <w:color w:val="auto"/>
        </w:rPr>
        <w:t>The Company’s liquidity strategy is to maintain adequate, but not excessive, liquidity to meet the daily cash flow needs of its clients while attempting to achieve adequate earnings for its stockholders. The liquidity position is monitored continuously by the Company’s finance department. Liquidity resources can be derived from two sources: (i) on-balance sheet liquidity resources, which represent funds currently on the balance sheet and (ii) off-balance sheet liquidity resources, which represent funds available from third-party sources. Our on-balance sheet and off-balance sheet liquidity resources consisted of the following as of the dates indicated:</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6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b w:val="1"/>
                <w:bCs w:val="1"/>
                <w:color w:val="auto"/>
              </w:rPr>
              <w:t>March 31, 2021</w:t>
            </w: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December 31, 2020</w:t>
            </w:r>
          </w:p>
        </w:tc>
        <w:tc>
          <w:tcPr>
            <w:tcW w:w="0" w:type="dxa"/>
            <w:vAlign w:val="bottom"/>
          </w:tcPr>
          <w:p>
            <w:pPr>
              <w:spacing w:after="0"/>
              <w:rPr>
                <w:sz w:val="1"/>
                <w:szCs w:val="1"/>
                <w:color w:val="auto"/>
              </w:rPr>
            </w:pPr>
          </w:p>
        </w:tc>
      </w:tr>
      <w:tr>
        <w:trPr>
          <w:trHeight w:val="198"/>
        </w:trPr>
        <w:tc>
          <w:tcPr>
            <w:tcW w:w="6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gridSpan w:val="4"/>
          </w:tcPr>
          <w:p>
            <w:pPr>
              <w:jc w:val="right"/>
              <w:ind w:right="1613"/>
              <w:spacing w:after="0"/>
              <w:rPr>
                <w:sz w:val="20"/>
                <w:szCs w:val="20"/>
                <w:color w:val="auto"/>
              </w:rPr>
            </w:pPr>
            <w:r>
              <w:rPr>
                <w:rFonts w:ascii="Arial" w:cs="Arial" w:eastAsia="Arial" w:hAnsi="Arial"/>
                <w:sz w:val="16"/>
                <w:szCs w:val="16"/>
                <w:i w:val="1"/>
                <w:iCs w:val="1"/>
                <w:color w:val="auto"/>
              </w:rPr>
              <w:t>(Dollars in thousands)</w:t>
            </w: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on-balance sheet liquidity</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20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1,304,002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1,046,110</w:t>
            </w:r>
          </w:p>
        </w:tc>
        <w:tc>
          <w:tcPr>
            <w:tcW w:w="0" w:type="dxa"/>
            <w:vAlign w:val="bottom"/>
          </w:tcPr>
          <w:p>
            <w:pPr>
              <w:spacing w:after="0"/>
              <w:rPr>
                <w:sz w:val="1"/>
                <w:szCs w:val="1"/>
                <w:color w:val="auto"/>
              </w:rPr>
            </w:pPr>
          </w:p>
        </w:tc>
      </w:tr>
      <w:tr>
        <w:trPr>
          <w:trHeight w:val="22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off-balance sheet liquidity</w:t>
            </w: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748,177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756,325</w:t>
            </w:r>
          </w:p>
        </w:tc>
        <w:tc>
          <w:tcPr>
            <w:tcW w:w="0" w:type="dxa"/>
            <w:vAlign w:val="bottom"/>
          </w:tcPr>
          <w:p>
            <w:pPr>
              <w:spacing w:after="0"/>
              <w:rPr>
                <w:sz w:val="1"/>
                <w:szCs w:val="1"/>
                <w:color w:val="auto"/>
              </w:rPr>
            </w:pPr>
          </w:p>
        </w:tc>
      </w:tr>
      <w:tr>
        <w:trPr>
          <w:trHeight w:val="239"/>
        </w:trPr>
        <w:tc>
          <w:tcPr>
            <w:tcW w:w="6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liquidity</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2,052,179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1,802,435</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On-balance sheet liquidity as a percent of assets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21"/>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liquidity as a percent of assets</w:t>
            </w:r>
          </w:p>
        </w:tc>
        <w:tc>
          <w:tcPr>
            <w:tcW w:w="3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believes that its current liquidity will be sufficient to meet anticipated cash requirements for the next 12 months.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Contractual Obligations</w:t>
      </w:r>
    </w:p>
    <w:p>
      <w:pPr>
        <w:spacing w:after="0" w:line="164" w:lineRule="exact"/>
        <w:rPr>
          <w:sz w:val="20"/>
          <w:szCs w:val="20"/>
          <w:color w:val="auto"/>
        </w:rPr>
      </w:pPr>
    </w:p>
    <w:p>
      <w:pPr>
        <w:ind w:left="160" w:right="60" w:firstLine="469"/>
        <w:spacing w:after="0" w:line="271" w:lineRule="auto"/>
        <w:rPr>
          <w:sz w:val="20"/>
          <w:szCs w:val="20"/>
          <w:color w:val="auto"/>
        </w:rPr>
      </w:pPr>
      <w:r>
        <w:rPr>
          <w:rFonts w:ascii="Arial" w:cs="Arial" w:eastAsia="Arial" w:hAnsi="Arial"/>
          <w:sz w:val="17"/>
          <w:szCs w:val="17"/>
          <w:color w:val="auto"/>
        </w:rPr>
        <w:t>In the first quarter of 2021, the Company entered into an agreement with a third-party, venture capital firm. The Company will invest up to $3 million into the venture capital fund. The fund was designed to invest in companies that solve problems for community banks and help accelerate technology adoption for community banks.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ind w:left="160" w:right="100" w:firstLine="469"/>
        <w:spacing w:after="0" w:line="271" w:lineRule="auto"/>
        <w:rPr>
          <w:sz w:val="20"/>
          <w:szCs w:val="20"/>
          <w:color w:val="auto"/>
        </w:rPr>
      </w:pPr>
      <w:r>
        <w:rPr>
          <w:rFonts w:ascii="Arial" w:cs="Arial" w:eastAsia="Arial" w:hAnsi="Arial"/>
          <w:sz w:val="17"/>
          <w:szCs w:val="17"/>
          <w:color w:val="auto"/>
        </w:rPr>
        <w:t>Refer to “Note 6: Time Deposits and Borrowings” within the Notes to the Unaudited Consolidated Financial Statements for our significant contractual cash obligations to third parties. In addition, the Company has various lease agreements with approximately $30 million of future minimum lease payments at March 31, 2021.</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Contractual obligations may be satisfied through our on-balance sheet and off-balance sheet liquidity discussed above.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 Resources and Off-Balance Sheet Arrangements</w:t>
      </w:r>
    </w:p>
    <w:p>
      <w:pPr>
        <w:spacing w:after="0" w:line="164" w:lineRule="exact"/>
        <w:rPr>
          <w:sz w:val="20"/>
          <w:szCs w:val="20"/>
          <w:color w:val="auto"/>
        </w:rPr>
      </w:pPr>
    </w:p>
    <w:p>
      <w:pPr>
        <w:ind w:left="160" w:right="120" w:firstLine="469"/>
        <w:spacing w:after="0" w:line="262"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The regulatory capital requirements involve quantitative measures of the Company’s assets, liabilities, select off-balance sheet items and equity. Failure to meet minimum capital requirements can initiate certain mandatory and possibly additional discretionary actions by regulators that, if undertaken, could have a direct material effect on the Company’s consolidated financial statements. Refer to “Note 8: Regulatory Matters” in the Notes to the Unaudited Consolidated Financial Statements for additional information. Management believes that as of March 31, 2021, the Company and the bank met all capital adequacy requirements to which they are subject.</w:t>
      </w:r>
    </w:p>
    <w:p>
      <w:pPr>
        <w:spacing w:after="0" w:line="126" w:lineRule="exact"/>
        <w:rPr>
          <w:sz w:val="20"/>
          <w:szCs w:val="20"/>
          <w:color w:val="auto"/>
        </w:rPr>
      </w:pPr>
    </w:p>
    <w:p>
      <w:pPr>
        <w:ind w:left="160" w:right="120" w:firstLine="469"/>
        <w:spacing w:after="0" w:line="263" w:lineRule="auto"/>
        <w:rPr>
          <w:sz w:val="20"/>
          <w:szCs w:val="20"/>
          <w:color w:val="auto"/>
        </w:rPr>
      </w:pPr>
      <w:r>
        <w:rPr>
          <w:rFonts w:ascii="Arial" w:cs="Arial" w:eastAsia="Arial" w:hAnsi="Arial"/>
          <w:sz w:val="17"/>
          <w:szCs w:val="17"/>
          <w:color w:val="auto"/>
        </w:rPr>
        <w:t>The Company is subject to off-balance sheet risk in the normal course of business to meet the needs of its clients that have, or are reasonably likely to have, a current or future effect on our financial condition, changes in financial condition, revenues or expenses, results of operations, liquidity, capital expenditures or capital resources. Refer to “Note 12: Commitments and Credit Risk” in the Notes to Unaudited Consolidated Financial Statements for a breakout of our off-balance sheet arrangements. As of March 31, 2021, the Company believes it has sufficient access to liquid assets to support the funding of these commitments.</w:t>
      </w: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Policies and Estimates</w:t>
      </w:r>
    </w:p>
    <w:p>
      <w:pPr>
        <w:spacing w:after="0" w:line="164" w:lineRule="exact"/>
        <w:rPr>
          <w:sz w:val="20"/>
          <w:szCs w:val="20"/>
          <w:color w:val="auto"/>
        </w:rPr>
      </w:pPr>
    </w:p>
    <w:p>
      <w:pPr>
        <w:ind w:left="160" w:right="120" w:firstLine="469"/>
        <w:spacing w:after="0" w:line="283" w:lineRule="auto"/>
        <w:rPr>
          <w:sz w:val="20"/>
          <w:szCs w:val="20"/>
          <w:color w:val="auto"/>
        </w:rPr>
      </w:pPr>
      <w:r>
        <w:rPr>
          <w:rFonts w:ascii="Arial" w:cs="Arial" w:eastAsia="Arial" w:hAnsi="Arial"/>
          <w:sz w:val="16"/>
          <w:szCs w:val="16"/>
          <w:color w:val="auto"/>
        </w:rPr>
        <w:t>The Company identified several accounting policies that are critical to an understanding of our financial condition and results of operations. These policies require difficult, subjective or complex judgments and assumptions that create potential sensitivity of our financial statements to those judgments and assumptions. These policies relate to the allowance for loan and lease losses, investment securities impairment, deferred tax assets, and the fair value of financial instruments. A discussion of these policies can be found in the section captioned “Critical Accounting Policies and Estimates” in Management’s Discussion and Analysis of Financial Condition and Results of Operations included in the 2020 Form 10-K.</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have been no additional changes in the Company’s application of critical accounting policies since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Pronouncements</w:t>
      </w:r>
    </w:p>
    <w:p>
      <w:pPr>
        <w:spacing w:after="0" w:line="164" w:lineRule="exact"/>
        <w:rPr>
          <w:sz w:val="20"/>
          <w:szCs w:val="20"/>
          <w:color w:val="auto"/>
        </w:rPr>
      </w:pPr>
    </w:p>
    <w:p>
      <w:pPr>
        <w:ind w:left="160" w:firstLine="469"/>
        <w:spacing w:after="0" w:line="286" w:lineRule="auto"/>
        <w:rPr>
          <w:sz w:val="20"/>
          <w:szCs w:val="20"/>
          <w:color w:val="auto"/>
        </w:rPr>
      </w:pPr>
      <w:r>
        <w:rPr>
          <w:rFonts w:ascii="Arial" w:cs="Arial" w:eastAsia="Arial" w:hAnsi="Arial"/>
          <w:sz w:val="17"/>
          <w:szCs w:val="17"/>
          <w:color w:val="auto"/>
        </w:rPr>
        <w:t>Refer to “Note 1: Nature of Operations and Summary of Significant Accounting Policies” included in the Notes to the Unaudited Consolidated Financial Statements included elsewhere in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Interest Rate Risk</w:t>
      </w:r>
    </w:p>
    <w:p>
      <w:pPr>
        <w:spacing w:after="0" w:line="164" w:lineRule="exact"/>
        <w:rPr>
          <w:sz w:val="20"/>
          <w:szCs w:val="20"/>
          <w:color w:val="auto"/>
        </w:rPr>
      </w:pPr>
    </w:p>
    <w:p>
      <w:pPr>
        <w:ind w:left="160" w:right="60" w:firstLine="469"/>
        <w:spacing w:after="0" w:line="262" w:lineRule="auto"/>
        <w:rPr>
          <w:sz w:val="20"/>
          <w:szCs w:val="20"/>
          <w:color w:val="auto"/>
        </w:rPr>
      </w:pPr>
      <w:r>
        <w:rPr>
          <w:rFonts w:ascii="Arial" w:cs="Arial" w:eastAsia="Arial" w:hAnsi="Arial"/>
          <w:sz w:val="17"/>
          <w:szCs w:val="17"/>
          <w:color w:val="auto"/>
        </w:rPr>
        <w:t>A primary component of market risk is interest rate volatility. Interest rate risk management is a key element of the Company’s balance sheet management. Interest rate risk is the risk that NIM will erode over time due to changing market conditions. Many factors can cause margins to erode: (i) lower loan demand; (ii) increased competition for funds; (iii) weak pricing policies; (iv) balance sheet mismatches; and (v) changing liquidity demands. The objective is to maximize income while minimizing interest rate risk. The Company manages its sensitivity position using its interest rate risk policy. The management of interest rate risk is a three-step process and involves: (i) measuring the interest rate risk position; (ii) policy constraints; and (iii) strategic review and implementation.</w:t>
      </w:r>
    </w:p>
    <w:p>
      <w:pPr>
        <w:spacing w:after="0" w:line="126" w:lineRule="exact"/>
        <w:rPr>
          <w:sz w:val="20"/>
          <w:szCs w:val="20"/>
          <w:color w:val="auto"/>
        </w:rPr>
      </w:pPr>
    </w:p>
    <w:p>
      <w:pPr>
        <w:ind w:left="160" w:firstLine="469"/>
        <w:spacing w:after="0" w:line="266" w:lineRule="auto"/>
        <w:rPr>
          <w:sz w:val="20"/>
          <w:szCs w:val="20"/>
          <w:color w:val="auto"/>
        </w:rPr>
      </w:pPr>
      <w:r>
        <w:rPr>
          <w:rFonts w:ascii="Arial" w:cs="Arial" w:eastAsia="Arial" w:hAnsi="Arial"/>
          <w:sz w:val="17"/>
          <w:szCs w:val="17"/>
          <w:color w:val="auto"/>
        </w:rPr>
        <w:t>Our exposure to interest rate risk is managed by the Funds Management Committee (“FMC”). The FMC uses a combination of three systems to measure the balance sheet’s interest rate risk position. The three systems in combination are expected to provide a better overall result than a single system alone. The three systems include: (i) gap reports; (ii) earnings simulation; and (iii) economic value of equity. The FMC’s primary tools to change the interest rate risk position are: (i) investment portfolio duration; (ii) deposit and borrowing mix; and (iii) on balance sheet derivatives.</w:t>
      </w:r>
    </w:p>
    <w:p>
      <w:pPr>
        <w:spacing w:after="0" w:line="123" w:lineRule="exact"/>
        <w:rPr>
          <w:sz w:val="20"/>
          <w:szCs w:val="20"/>
          <w:color w:val="auto"/>
        </w:rPr>
      </w:pPr>
    </w:p>
    <w:p>
      <w:pPr>
        <w:ind w:left="160" w:right="20" w:firstLine="469"/>
        <w:spacing w:after="0" w:line="295" w:lineRule="auto"/>
        <w:rPr>
          <w:sz w:val="20"/>
          <w:szCs w:val="20"/>
          <w:color w:val="auto"/>
        </w:rPr>
      </w:pPr>
      <w:r>
        <w:rPr>
          <w:rFonts w:ascii="Arial" w:cs="Arial" w:eastAsia="Arial" w:hAnsi="Arial"/>
          <w:sz w:val="16"/>
          <w:szCs w:val="16"/>
          <w:color w:val="auto"/>
        </w:rPr>
        <w:t>The FMC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12-month horizon using a rate shock and rate ramp method as of the dates indicated: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Hypothetical Change in Interest Rate - Rate Shock</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246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gridSpan w:val="4"/>
          </w:tcPr>
          <w:p>
            <w:pPr>
              <w:ind w:left="1540"/>
              <w:spacing w:after="0"/>
              <w:rPr>
                <w:sz w:val="20"/>
                <w:szCs w:val="20"/>
                <w:color w:val="auto"/>
              </w:rPr>
            </w:pPr>
            <w:r>
              <w:rPr>
                <w:rFonts w:ascii="Arial" w:cs="Arial" w:eastAsia="Arial" w:hAnsi="Arial"/>
                <w:sz w:val="17"/>
                <w:szCs w:val="17"/>
                <w:b w:val="1"/>
                <w:bCs w:val="1"/>
                <w:color w:val="auto"/>
              </w:rPr>
              <w:t>March 31, 2021</w:t>
            </w:r>
          </w:p>
        </w:tc>
        <w:tc>
          <w:tcPr>
            <w:tcW w:w="4260" w:type="dxa"/>
            <w:vAlign w:val="bottom"/>
            <w:tcBorders>
              <w:top w:val="single" w:sz="8" w:color="auto"/>
            </w:tcBorders>
            <w:gridSpan w:val="3"/>
          </w:tcPr>
          <w:p>
            <w:pPr>
              <w:jc w:val="right"/>
              <w:ind w:right="1462"/>
              <w:spacing w:after="0"/>
              <w:rPr>
                <w:sz w:val="20"/>
                <w:szCs w:val="20"/>
                <w:color w:val="auto"/>
              </w:rPr>
            </w:pPr>
            <w:r>
              <w:rPr>
                <w:rFonts w:ascii="Arial" w:cs="Arial" w:eastAsia="Arial" w:hAnsi="Arial"/>
                <w:sz w:val="17"/>
                <w:szCs w:val="17"/>
                <w:b w:val="1"/>
                <w:bCs w:val="1"/>
                <w:color w:val="auto"/>
              </w:rPr>
              <w:t>March 31, 2020</w:t>
            </w:r>
          </w:p>
        </w:tc>
      </w:tr>
      <w:tr>
        <w:trPr>
          <w:trHeight w:val="162"/>
        </w:trPr>
        <w:tc>
          <w:tcPr>
            <w:tcW w:w="2460" w:type="dxa"/>
            <w:vAlign w:val="bottom"/>
          </w:tcPr>
          <w:p>
            <w:pPr>
              <w:ind w:left="20"/>
              <w:spacing w:after="0" w:line="163" w:lineRule="exact"/>
              <w:rPr>
                <w:sz w:val="20"/>
                <w:szCs w:val="20"/>
                <w:color w:val="auto"/>
              </w:rPr>
            </w:pPr>
            <w:r>
              <w:rPr>
                <w:rFonts w:ascii="Arial" w:cs="Arial" w:eastAsia="Arial" w:hAnsi="Arial"/>
                <w:sz w:val="17"/>
                <w:szCs w:val="17"/>
                <w:b w:val="1"/>
                <w:bCs w:val="1"/>
                <w:color w:val="auto"/>
              </w:rPr>
              <w:t>Change in Interest Rate</w:t>
            </w:r>
          </w:p>
        </w:tc>
        <w:tc>
          <w:tcPr>
            <w:tcW w:w="2160" w:type="dxa"/>
            <w:vAlign w:val="bottom"/>
            <w:tcBorders>
              <w:top w:val="single" w:sz="8" w:color="auto"/>
            </w:tcBorders>
            <w:gridSpan w:val="2"/>
          </w:tcPr>
          <w:p>
            <w:pPr>
              <w:jc w:val="center"/>
              <w:ind w:right="100"/>
              <w:spacing w:after="0" w:line="163" w:lineRule="exact"/>
              <w:rPr>
                <w:sz w:val="20"/>
                <w:szCs w:val="20"/>
                <w:color w:val="auto"/>
              </w:rPr>
            </w:pPr>
            <w:r>
              <w:rPr>
                <w:rFonts w:ascii="Arial" w:cs="Arial" w:eastAsia="Arial" w:hAnsi="Arial"/>
                <w:sz w:val="17"/>
                <w:szCs w:val="17"/>
                <w:b w:val="1"/>
                <w:bCs w:val="1"/>
                <w:color w:val="auto"/>
                <w:w w:val="89"/>
              </w:rPr>
              <w:t>Percent change in net</w:t>
            </w:r>
          </w:p>
        </w:tc>
        <w:tc>
          <w:tcPr>
            <w:tcW w:w="206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b w:val="1"/>
                <w:bCs w:val="1"/>
                <w:color w:val="auto"/>
                <w:w w:val="91"/>
              </w:rPr>
              <w:t>Percent change in fair</w:t>
            </w:r>
          </w:p>
        </w:tc>
        <w:tc>
          <w:tcPr>
            <w:tcW w:w="100" w:type="dxa"/>
            <w:vAlign w:val="bottom"/>
          </w:tcPr>
          <w:p>
            <w:pPr>
              <w:spacing w:after="0"/>
              <w:rPr>
                <w:sz w:val="14"/>
                <w:szCs w:val="14"/>
                <w:color w:val="auto"/>
              </w:rPr>
            </w:pPr>
          </w:p>
        </w:tc>
        <w:tc>
          <w:tcPr>
            <w:tcW w:w="2180" w:type="dxa"/>
            <w:vAlign w:val="bottom"/>
            <w:tcBorders>
              <w:top w:val="single" w:sz="8" w:color="auto"/>
            </w:tcBorders>
            <w:gridSpan w:val="2"/>
          </w:tcPr>
          <w:p>
            <w:pPr>
              <w:jc w:val="center"/>
              <w:ind w:right="100"/>
              <w:spacing w:after="0" w:line="163" w:lineRule="exact"/>
              <w:rPr>
                <w:sz w:val="20"/>
                <w:szCs w:val="20"/>
                <w:color w:val="auto"/>
              </w:rPr>
            </w:pPr>
            <w:r>
              <w:rPr>
                <w:rFonts w:ascii="Arial" w:cs="Arial" w:eastAsia="Arial" w:hAnsi="Arial"/>
                <w:sz w:val="17"/>
                <w:szCs w:val="17"/>
                <w:b w:val="1"/>
                <w:bCs w:val="1"/>
                <w:color w:val="auto"/>
                <w:w w:val="90"/>
              </w:rPr>
              <w:t>Percent change in net</w:t>
            </w:r>
          </w:p>
        </w:tc>
        <w:tc>
          <w:tcPr>
            <w:tcW w:w="2080" w:type="dxa"/>
            <w:vAlign w:val="bottom"/>
            <w:tcBorders>
              <w:top w:val="single" w:sz="8" w:color="auto"/>
            </w:tcBorders>
          </w:tcPr>
          <w:p>
            <w:pPr>
              <w:jc w:val="right"/>
              <w:ind w:right="142"/>
              <w:spacing w:after="0" w:line="163" w:lineRule="exact"/>
              <w:rPr>
                <w:sz w:val="20"/>
                <w:szCs w:val="20"/>
                <w:color w:val="auto"/>
              </w:rPr>
            </w:pPr>
            <w:r>
              <w:rPr>
                <w:rFonts w:ascii="Arial" w:cs="Arial" w:eastAsia="Arial" w:hAnsi="Arial"/>
                <w:sz w:val="17"/>
                <w:szCs w:val="17"/>
                <w:b w:val="1"/>
                <w:bCs w:val="1"/>
                <w:color w:val="auto"/>
              </w:rPr>
              <w:t>Percent change in fair</w:t>
            </w:r>
          </w:p>
        </w:tc>
      </w:tr>
      <w:tr>
        <w:trPr>
          <w:trHeight w:val="221"/>
        </w:trPr>
        <w:tc>
          <w:tcPr>
            <w:tcW w:w="2460" w:type="dxa"/>
            <w:vAlign w:val="bottom"/>
          </w:tcPr>
          <w:p>
            <w:pPr>
              <w:ind w:left="20"/>
              <w:spacing w:after="0"/>
              <w:rPr>
                <w:sz w:val="20"/>
                <w:szCs w:val="20"/>
                <w:color w:val="auto"/>
              </w:rPr>
            </w:pPr>
            <w:r>
              <w:rPr>
                <w:rFonts w:ascii="Arial" w:cs="Arial" w:eastAsia="Arial" w:hAnsi="Arial"/>
                <w:sz w:val="17"/>
                <w:szCs w:val="17"/>
                <w:b w:val="1"/>
                <w:bCs w:val="1"/>
                <w:color w:val="auto"/>
              </w:rPr>
              <w:t>(Basis Points)</w:t>
            </w:r>
          </w:p>
        </w:tc>
        <w:tc>
          <w:tcPr>
            <w:tcW w:w="21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interest income</w:t>
            </w:r>
          </w:p>
        </w:tc>
        <w:tc>
          <w:tcPr>
            <w:tcW w:w="21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value of equity</w:t>
            </w:r>
          </w:p>
        </w:tc>
        <w:tc>
          <w:tcPr>
            <w:tcW w:w="21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interest income</w:t>
            </w:r>
          </w:p>
        </w:tc>
        <w:tc>
          <w:tcPr>
            <w:tcW w:w="2080" w:type="dxa"/>
            <w:vAlign w:val="bottom"/>
          </w:tcPr>
          <w:p>
            <w:pPr>
              <w:jc w:val="right"/>
              <w:ind w:right="422"/>
              <w:spacing w:after="0"/>
              <w:rPr>
                <w:sz w:val="20"/>
                <w:szCs w:val="20"/>
                <w:color w:val="auto"/>
              </w:rPr>
            </w:pPr>
            <w:r>
              <w:rPr>
                <w:rFonts w:ascii="Arial" w:cs="Arial" w:eastAsia="Arial" w:hAnsi="Arial"/>
                <w:sz w:val="17"/>
                <w:szCs w:val="17"/>
                <w:b w:val="1"/>
                <w:bCs w:val="1"/>
                <w:color w:val="auto"/>
              </w:rPr>
              <w:t>value of equity</w:t>
            </w:r>
          </w:p>
        </w:tc>
      </w:tr>
      <w:tr>
        <w:trPr>
          <w:trHeight w:val="214"/>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+300</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7"/>
                <w:szCs w:val="17"/>
                <w:color w:val="auto"/>
                <w:w w:val="96"/>
              </w:rPr>
              <w:t>8.1 %</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21"/>
        </w:trPr>
        <w:tc>
          <w:tcPr>
            <w:tcW w:w="2460" w:type="dxa"/>
            <w:vAlign w:val="bottom"/>
          </w:tcPr>
          <w:p>
            <w:pPr>
              <w:ind w:left="20"/>
              <w:spacing w:after="0"/>
              <w:rPr>
                <w:sz w:val="20"/>
                <w:szCs w:val="20"/>
                <w:color w:val="auto"/>
              </w:rPr>
            </w:pPr>
            <w:r>
              <w:rPr>
                <w:rFonts w:ascii="Arial" w:cs="Arial" w:eastAsia="Arial" w:hAnsi="Arial"/>
                <w:sz w:val="17"/>
                <w:szCs w:val="17"/>
                <w:color w:val="auto"/>
              </w:rPr>
              <w:t>+200</w:t>
            </w:r>
          </w:p>
        </w:tc>
        <w:tc>
          <w:tcPr>
            <w:tcW w:w="2060" w:type="dxa"/>
            <w:vAlign w:val="bottom"/>
          </w:tcPr>
          <w:p>
            <w:pPr>
              <w:jc w:val="right"/>
              <w:ind w:right="81"/>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60" w:type="dxa"/>
            <w:vAlign w:val="bottom"/>
          </w:tcPr>
          <w:p>
            <w:pPr>
              <w:jc w:val="right"/>
              <w:ind w:right="82"/>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2080" w:type="dxa"/>
            <w:vAlign w:val="bottom"/>
          </w:tcPr>
          <w:p>
            <w:pPr>
              <w:ind w:left="1640"/>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2080" w:type="dxa"/>
            <w:vAlign w:val="bottom"/>
          </w:tcPr>
          <w:p>
            <w:pPr>
              <w:jc w:val="right"/>
              <w:ind w:right="82"/>
              <w:spacing w:after="0"/>
              <w:rPr>
                <w:sz w:val="20"/>
                <w:szCs w:val="20"/>
                <w:color w:val="auto"/>
              </w:rPr>
            </w:pPr>
            <w:r>
              <w:rPr>
                <w:rFonts w:ascii="Arial" w:cs="Arial" w:eastAsia="Arial" w:hAnsi="Arial"/>
                <w:sz w:val="17"/>
                <w:szCs w:val="17"/>
                <w:color w:val="auto"/>
              </w:rPr>
              <w:t>(0.7)</w:t>
            </w:r>
          </w:p>
        </w:tc>
      </w:tr>
      <w:tr>
        <w:trPr>
          <w:trHeight w:val="221"/>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+100</w:t>
            </w:r>
          </w:p>
        </w:tc>
        <w:tc>
          <w:tcPr>
            <w:tcW w:w="20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ind w:left="164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1.2</w:t>
            </w:r>
          </w:p>
        </w:tc>
      </w:tr>
      <w:tr>
        <w:trPr>
          <w:trHeight w:val="221"/>
        </w:trPr>
        <w:tc>
          <w:tcPr>
            <w:tcW w:w="2460" w:type="dxa"/>
            <w:vAlign w:val="bottom"/>
          </w:tcPr>
          <w:p>
            <w:pPr>
              <w:ind w:left="20"/>
              <w:spacing w:after="0"/>
              <w:rPr>
                <w:sz w:val="20"/>
                <w:szCs w:val="20"/>
                <w:color w:val="auto"/>
              </w:rPr>
            </w:pPr>
            <w:r>
              <w:rPr>
                <w:rFonts w:ascii="Arial" w:cs="Arial" w:eastAsia="Arial" w:hAnsi="Arial"/>
                <w:sz w:val="17"/>
                <w:szCs w:val="17"/>
                <w:color w:val="auto"/>
              </w:rPr>
              <w:t>Base</w:t>
            </w:r>
          </w:p>
        </w:tc>
        <w:tc>
          <w:tcPr>
            <w:tcW w:w="21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21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218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208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1"/>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-100</w:t>
            </w:r>
          </w:p>
        </w:tc>
        <w:tc>
          <w:tcPr>
            <w:tcW w:w="2160" w:type="dxa"/>
            <w:vAlign w:val="bottom"/>
            <w:gridSpan w:val="2"/>
            <w:shd w:val="clear" w:color="auto" w:fill="CCEEFF"/>
          </w:tcPr>
          <w:p>
            <w:pPr>
              <w:ind w:left="1660"/>
              <w:spacing w:after="0" w:line="221"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10"/>
                <w:szCs w:val="10"/>
                <w:color w:val="auto"/>
              </w:rPr>
              <w:t>(1)</w:t>
            </w:r>
          </w:p>
        </w:tc>
        <w:tc>
          <w:tcPr>
            <w:tcW w:w="2160" w:type="dxa"/>
            <w:vAlign w:val="bottom"/>
            <w:gridSpan w:val="2"/>
            <w:shd w:val="clear" w:color="auto" w:fill="CCEEFF"/>
          </w:tcPr>
          <w:p>
            <w:pPr>
              <w:jc w:val="right"/>
              <w:ind w:right="120"/>
              <w:spacing w:after="0" w:line="221"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10"/>
                <w:szCs w:val="10"/>
                <w:color w:val="auto"/>
              </w:rPr>
              <w:t>(1)</w:t>
            </w:r>
          </w:p>
        </w:tc>
        <w:tc>
          <w:tcPr>
            <w:tcW w:w="2180" w:type="dxa"/>
            <w:vAlign w:val="bottom"/>
            <w:gridSpan w:val="2"/>
            <w:shd w:val="clear" w:color="auto" w:fill="CCEEFF"/>
          </w:tcPr>
          <w:p>
            <w:pPr>
              <w:jc w:val="right"/>
              <w:ind w:right="120"/>
              <w:spacing w:after="0" w:line="221"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10"/>
                <w:szCs w:val="10"/>
                <w:color w:val="auto"/>
              </w:rPr>
              <w:t>(1)</w:t>
            </w:r>
          </w:p>
        </w:tc>
        <w:tc>
          <w:tcPr>
            <w:tcW w:w="2080" w:type="dxa"/>
            <w:vAlign w:val="bottom"/>
            <w:shd w:val="clear" w:color="auto" w:fill="CCEEFF"/>
          </w:tcPr>
          <w:p>
            <w:pPr>
              <w:jc w:val="right"/>
              <w:spacing w:after="0" w:line="221"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10"/>
                <w:szCs w:val="10"/>
                <w:color w:val="auto"/>
              </w:rPr>
              <w:t>(1)</w:t>
            </w:r>
          </w:p>
        </w:tc>
      </w:tr>
      <w:tr>
        <w:trPr>
          <w:trHeight w:val="235"/>
        </w:trPr>
        <w:tc>
          <w:tcPr>
            <w:tcW w:w="2460" w:type="dxa"/>
            <w:vAlign w:val="bottom"/>
          </w:tcPr>
          <w:p>
            <w:pPr>
              <w:ind w:left="20"/>
              <w:spacing w:after="0"/>
              <w:rPr>
                <w:sz w:val="20"/>
                <w:szCs w:val="20"/>
                <w:color w:val="auto"/>
              </w:rPr>
            </w:pPr>
            <w:r>
              <w:rPr>
                <w:rFonts w:ascii="Arial" w:cs="Arial" w:eastAsia="Arial" w:hAnsi="Arial"/>
                <w:sz w:val="17"/>
                <w:szCs w:val="17"/>
                <w:color w:val="auto"/>
              </w:rPr>
              <w:t>-200</w:t>
            </w:r>
          </w:p>
        </w:tc>
        <w:tc>
          <w:tcPr>
            <w:tcW w:w="2160" w:type="dxa"/>
            <w:vAlign w:val="bottom"/>
            <w:gridSpan w:val="2"/>
          </w:tcPr>
          <w:p>
            <w:pPr>
              <w:ind w:left="1660"/>
              <w:spacing w:after="0" w:line="235" w:lineRule="exact"/>
              <w:rPr>
                <w:sz w:val="20"/>
                <w:szCs w:val="20"/>
                <w:color w:val="auto"/>
              </w:rPr>
            </w:pPr>
            <w:r>
              <w:rPr>
                <w:rFonts w:ascii="Arial" w:cs="Arial" w:eastAsia="Arial" w:hAnsi="Arial"/>
                <w:sz w:val="27"/>
                <w:szCs w:val="27"/>
                <w:color w:val="auto"/>
                <w:vertAlign w:val="subscript"/>
              </w:rPr>
              <w:t>NA</w:t>
            </w:r>
            <w:r>
              <w:rPr>
                <w:rFonts w:ascii="Arial" w:cs="Arial" w:eastAsia="Arial" w:hAnsi="Arial"/>
                <w:sz w:val="10"/>
                <w:szCs w:val="10"/>
                <w:color w:val="auto"/>
              </w:rPr>
              <w:t>(1)</w:t>
            </w:r>
          </w:p>
        </w:tc>
        <w:tc>
          <w:tcPr>
            <w:tcW w:w="2160" w:type="dxa"/>
            <w:vAlign w:val="bottom"/>
            <w:gridSpan w:val="2"/>
          </w:tcPr>
          <w:p>
            <w:pPr>
              <w:jc w:val="right"/>
              <w:ind w:right="120"/>
              <w:spacing w:after="0" w:line="235" w:lineRule="exact"/>
              <w:rPr>
                <w:sz w:val="20"/>
                <w:szCs w:val="20"/>
                <w:color w:val="auto"/>
              </w:rPr>
            </w:pPr>
            <w:r>
              <w:rPr>
                <w:rFonts w:ascii="Arial" w:cs="Arial" w:eastAsia="Arial" w:hAnsi="Arial"/>
                <w:sz w:val="27"/>
                <w:szCs w:val="27"/>
                <w:color w:val="auto"/>
                <w:vertAlign w:val="subscript"/>
              </w:rPr>
              <w:t>NA</w:t>
            </w:r>
            <w:r>
              <w:rPr>
                <w:rFonts w:ascii="Arial" w:cs="Arial" w:eastAsia="Arial" w:hAnsi="Arial"/>
                <w:sz w:val="10"/>
                <w:szCs w:val="10"/>
                <w:color w:val="auto"/>
              </w:rPr>
              <w:t>(1)</w:t>
            </w:r>
          </w:p>
        </w:tc>
        <w:tc>
          <w:tcPr>
            <w:tcW w:w="2180" w:type="dxa"/>
            <w:vAlign w:val="bottom"/>
            <w:gridSpan w:val="2"/>
          </w:tcPr>
          <w:p>
            <w:pPr>
              <w:jc w:val="right"/>
              <w:ind w:right="120"/>
              <w:spacing w:after="0" w:line="235" w:lineRule="exact"/>
              <w:rPr>
                <w:sz w:val="20"/>
                <w:szCs w:val="20"/>
                <w:color w:val="auto"/>
              </w:rPr>
            </w:pPr>
            <w:r>
              <w:rPr>
                <w:rFonts w:ascii="Arial" w:cs="Arial" w:eastAsia="Arial" w:hAnsi="Arial"/>
                <w:sz w:val="27"/>
                <w:szCs w:val="27"/>
                <w:color w:val="auto"/>
                <w:vertAlign w:val="subscript"/>
              </w:rPr>
              <w:t>NA</w:t>
            </w:r>
            <w:r>
              <w:rPr>
                <w:rFonts w:ascii="Arial" w:cs="Arial" w:eastAsia="Arial" w:hAnsi="Arial"/>
                <w:sz w:val="10"/>
                <w:szCs w:val="10"/>
                <w:color w:val="auto"/>
              </w:rPr>
              <w:t>(1)</w:t>
            </w:r>
          </w:p>
        </w:tc>
        <w:tc>
          <w:tcPr>
            <w:tcW w:w="2080" w:type="dxa"/>
            <w:vAlign w:val="bottom"/>
          </w:tcPr>
          <w:p>
            <w:pPr>
              <w:jc w:val="right"/>
              <w:spacing w:after="0" w:line="235" w:lineRule="exact"/>
              <w:rPr>
                <w:sz w:val="20"/>
                <w:szCs w:val="20"/>
                <w:color w:val="auto"/>
              </w:rPr>
            </w:pPr>
            <w:r>
              <w:rPr>
                <w:rFonts w:ascii="Arial" w:cs="Arial" w:eastAsia="Arial" w:hAnsi="Arial"/>
                <w:sz w:val="27"/>
                <w:szCs w:val="27"/>
                <w:color w:val="auto"/>
                <w:vertAlign w:val="subscript"/>
              </w:rPr>
              <w:t>NA</w:t>
            </w:r>
            <w:r>
              <w:rPr>
                <w:rFonts w:ascii="Arial" w:cs="Arial" w:eastAsia="Arial" w:hAnsi="Arial"/>
                <w:sz w:val="10"/>
                <w:szCs w:val="10"/>
                <w:color w:val="auto"/>
              </w:rPr>
              <w:t>(1)</w:t>
            </w:r>
          </w:p>
        </w:tc>
      </w:tr>
    </w:tbl>
    <w:p>
      <w:pPr>
        <w:ind w:left="340" w:hanging="162"/>
        <w:spacing w:after="0" w:line="207" w:lineRule="auto"/>
        <w:tabs>
          <w:tab w:leader="none" w:pos="34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The Company decided to exclude the down rate environment from its analysis due to the already low interest rate environment.</w:t>
      </w: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Hypothetical Change in Interest Rate - Rate Ramp</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512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Change in Interest Rate</w:t>
            </w:r>
          </w:p>
        </w:tc>
        <w:tc>
          <w:tcPr>
            <w:tcW w:w="2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March 31, 2021</w:t>
            </w:r>
          </w:p>
        </w:tc>
        <w:tc>
          <w:tcPr>
            <w:tcW w:w="100" w:type="dxa"/>
            <w:vAlign w:val="bottom"/>
            <w:tcBorders>
              <w:top w:val="single" w:sz="8" w:color="auto"/>
            </w:tcBorders>
          </w:tcPr>
          <w:p>
            <w:pPr>
              <w:spacing w:after="0"/>
              <w:rPr>
                <w:sz w:val="18"/>
                <w:szCs w:val="18"/>
                <w:color w:val="auto"/>
              </w:rPr>
            </w:pPr>
          </w:p>
        </w:tc>
        <w:tc>
          <w:tcPr>
            <w:tcW w:w="28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7"/>
                <w:szCs w:val="17"/>
                <w:b w:val="1"/>
                <w:bCs w:val="1"/>
                <w:color w:val="auto"/>
              </w:rPr>
              <w:t>March 31, 2020</w:t>
            </w:r>
          </w:p>
        </w:tc>
        <w:tc>
          <w:tcPr>
            <w:tcW w:w="0" w:type="dxa"/>
            <w:vAlign w:val="bottom"/>
          </w:tcPr>
          <w:p>
            <w:pPr>
              <w:spacing w:after="0"/>
              <w:rPr>
                <w:sz w:val="1"/>
                <w:szCs w:val="1"/>
                <w:color w:val="auto"/>
              </w:rPr>
            </w:pPr>
          </w:p>
        </w:tc>
      </w:tr>
      <w:tr>
        <w:trPr>
          <w:trHeight w:val="149"/>
        </w:trPr>
        <w:tc>
          <w:tcPr>
            <w:tcW w:w="5120" w:type="dxa"/>
            <w:vAlign w:val="bottom"/>
            <w:vMerge w:val="continue"/>
          </w:tcPr>
          <w:p>
            <w:pPr>
              <w:spacing w:after="0"/>
              <w:rPr>
                <w:sz w:val="12"/>
                <w:szCs w:val="12"/>
                <w:color w:val="auto"/>
              </w:rPr>
            </w:pPr>
          </w:p>
        </w:tc>
        <w:tc>
          <w:tcPr>
            <w:tcW w:w="292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0"/>
              </w:rPr>
              <w:t>Percent change in net interest income</w:t>
            </w:r>
          </w:p>
        </w:tc>
        <w:tc>
          <w:tcPr>
            <w:tcW w:w="28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1"/>
              </w:rPr>
              <w:t>Percent change in net interest income</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b w:val="1"/>
                <w:bCs w:val="1"/>
                <w:color w:val="auto"/>
              </w:rPr>
              <w:t>(Basis Points)</w:t>
            </w:r>
          </w:p>
        </w:tc>
        <w:tc>
          <w:tcPr>
            <w:tcW w:w="2920" w:type="dxa"/>
            <w:vAlign w:val="bottom"/>
            <w:gridSpan w:val="2"/>
            <w:vMerge w:val="continue"/>
          </w:tcPr>
          <w:p>
            <w:pPr>
              <w:spacing w:after="0"/>
              <w:rPr>
                <w:sz w:val="19"/>
                <w:szCs w:val="19"/>
                <w:color w:val="auto"/>
              </w:rPr>
            </w:pPr>
          </w:p>
        </w:tc>
        <w:tc>
          <w:tcPr>
            <w:tcW w:w="2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+300</w:t>
            </w:r>
          </w:p>
        </w:tc>
        <w:tc>
          <w:tcPr>
            <w:tcW w:w="2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color w:val="auto"/>
              </w:rPr>
              <w:t>+200</w:t>
            </w:r>
          </w:p>
        </w:tc>
        <w:tc>
          <w:tcPr>
            <w:tcW w:w="2820" w:type="dxa"/>
            <w:vAlign w:val="bottom"/>
          </w:tcPr>
          <w:p>
            <w:pPr>
              <w:jc w:val="right"/>
              <w:ind w:right="82"/>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840" w:type="dxa"/>
            <w:vAlign w:val="bottom"/>
          </w:tcPr>
          <w:p>
            <w:pPr>
              <w:jc w:val="right"/>
              <w:ind w:right="122"/>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1"/>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+100</w:t>
            </w:r>
          </w:p>
        </w:tc>
        <w:tc>
          <w:tcPr>
            <w:tcW w:w="282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Arial" w:cs="Arial" w:eastAsia="Arial" w:hAnsi="Arial"/>
                <w:sz w:val="17"/>
                <w:szCs w:val="17"/>
                <w:color w:val="auto"/>
              </w:rPr>
              <w:t>Base</w:t>
            </w:r>
          </w:p>
        </w:tc>
        <w:tc>
          <w:tcPr>
            <w:tcW w:w="29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840" w:type="dxa"/>
            <w:vAlign w:val="bottom"/>
          </w:tcPr>
          <w:p>
            <w:pPr>
              <w:jc w:val="right"/>
              <w:ind w:right="1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-100</w:t>
            </w:r>
          </w:p>
        </w:tc>
        <w:tc>
          <w:tcPr>
            <w:tcW w:w="2920" w:type="dxa"/>
            <w:vAlign w:val="bottom"/>
            <w:gridSpan w:val="2"/>
            <w:shd w:val="clear" w:color="auto" w:fill="CCEEFF"/>
          </w:tcPr>
          <w:p>
            <w:pPr>
              <w:ind w:left="2420"/>
              <w:spacing w:after="0" w:line="221"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10"/>
                <w:szCs w:val="10"/>
                <w:color w:val="auto"/>
              </w:rPr>
              <w:t>(1)</w:t>
            </w:r>
          </w:p>
        </w:tc>
        <w:tc>
          <w:tcPr>
            <w:tcW w:w="2840" w:type="dxa"/>
            <w:vAlign w:val="bottom"/>
            <w:shd w:val="clear" w:color="auto" w:fill="CCEEFF"/>
          </w:tcPr>
          <w:p>
            <w:pPr>
              <w:jc w:val="right"/>
              <w:spacing w:after="0" w:line="221"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35"/>
        </w:trPr>
        <w:tc>
          <w:tcPr>
            <w:tcW w:w="5120" w:type="dxa"/>
            <w:vAlign w:val="bottom"/>
          </w:tcPr>
          <w:p>
            <w:pPr>
              <w:ind w:left="20"/>
              <w:spacing w:after="0"/>
              <w:rPr>
                <w:sz w:val="20"/>
                <w:szCs w:val="20"/>
                <w:color w:val="auto"/>
              </w:rPr>
            </w:pPr>
            <w:r>
              <w:rPr>
                <w:rFonts w:ascii="Arial" w:cs="Arial" w:eastAsia="Arial" w:hAnsi="Arial"/>
                <w:sz w:val="17"/>
                <w:szCs w:val="17"/>
                <w:color w:val="auto"/>
              </w:rPr>
              <w:t>-200</w:t>
            </w:r>
          </w:p>
        </w:tc>
        <w:tc>
          <w:tcPr>
            <w:tcW w:w="2920" w:type="dxa"/>
            <w:vAlign w:val="bottom"/>
            <w:gridSpan w:val="2"/>
          </w:tcPr>
          <w:p>
            <w:pPr>
              <w:ind w:left="2420"/>
              <w:spacing w:after="0" w:line="235" w:lineRule="exact"/>
              <w:rPr>
                <w:sz w:val="20"/>
                <w:szCs w:val="20"/>
                <w:color w:val="auto"/>
              </w:rPr>
            </w:pPr>
            <w:r>
              <w:rPr>
                <w:rFonts w:ascii="Arial" w:cs="Arial" w:eastAsia="Arial" w:hAnsi="Arial"/>
                <w:sz w:val="27"/>
                <w:szCs w:val="27"/>
                <w:color w:val="auto"/>
                <w:vertAlign w:val="subscript"/>
              </w:rPr>
              <w:t>NA</w:t>
            </w:r>
            <w:r>
              <w:rPr>
                <w:rFonts w:ascii="Arial" w:cs="Arial" w:eastAsia="Arial" w:hAnsi="Arial"/>
                <w:sz w:val="10"/>
                <w:szCs w:val="10"/>
                <w:color w:val="auto"/>
              </w:rPr>
              <w:t>(1)</w:t>
            </w:r>
          </w:p>
        </w:tc>
        <w:tc>
          <w:tcPr>
            <w:tcW w:w="2840" w:type="dxa"/>
            <w:vAlign w:val="bottom"/>
          </w:tcPr>
          <w:p>
            <w:pPr>
              <w:jc w:val="right"/>
              <w:spacing w:after="0" w:line="235" w:lineRule="exact"/>
              <w:rPr>
                <w:sz w:val="20"/>
                <w:szCs w:val="20"/>
                <w:color w:val="auto"/>
              </w:rPr>
            </w:pPr>
            <w:r>
              <w:rPr>
                <w:rFonts w:ascii="Arial" w:cs="Arial" w:eastAsia="Arial" w:hAnsi="Arial"/>
                <w:sz w:val="27"/>
                <w:szCs w:val="27"/>
                <w:color w:val="auto"/>
                <w:vertAlign w:val="subscript"/>
              </w:rPr>
              <w:t>NA</w:t>
            </w:r>
            <w:r>
              <w:rPr>
                <w:rFonts w:ascii="Arial" w:cs="Arial" w:eastAsia="Arial" w:hAnsi="Arial"/>
                <w:sz w:val="10"/>
                <w:szCs w:val="10"/>
                <w:color w:val="auto"/>
              </w:rPr>
              <w:t>(1)</w:t>
            </w:r>
          </w:p>
        </w:tc>
        <w:tc>
          <w:tcPr>
            <w:tcW w:w="0" w:type="dxa"/>
            <w:vAlign w:val="bottom"/>
          </w:tcPr>
          <w:p>
            <w:pPr>
              <w:spacing w:after="0"/>
              <w:rPr>
                <w:sz w:val="1"/>
                <w:szCs w:val="1"/>
                <w:color w:val="auto"/>
              </w:rPr>
            </w:pPr>
          </w:p>
        </w:tc>
      </w:tr>
    </w:tbl>
    <w:p>
      <w:pPr>
        <w:ind w:left="340" w:hanging="162"/>
        <w:spacing w:after="0" w:line="207" w:lineRule="auto"/>
        <w:tabs>
          <w:tab w:leader="none" w:pos="34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The Company decided to exclude the down rate environment from its analysis due to the already low interest rate environment.</w:t>
      </w:r>
    </w:p>
    <w:p>
      <w:pPr>
        <w:spacing w:after="0" w:line="150" w:lineRule="exact"/>
        <w:rPr>
          <w:sz w:val="20"/>
          <w:szCs w:val="20"/>
          <w:color w:val="auto"/>
        </w:rPr>
      </w:pPr>
    </w:p>
    <w:p>
      <w:pPr>
        <w:ind w:left="160" w:right="20" w:firstLine="469"/>
        <w:spacing w:after="0" w:line="279" w:lineRule="auto"/>
        <w:rPr>
          <w:sz w:val="20"/>
          <w:szCs w:val="20"/>
          <w:color w:val="auto"/>
        </w:rPr>
      </w:pPr>
      <w:r>
        <w:rPr>
          <w:rFonts w:ascii="Arial" w:cs="Arial" w:eastAsia="Arial" w:hAnsi="Arial"/>
          <w:sz w:val="16"/>
          <w:szCs w:val="16"/>
          <w:color w:val="auto"/>
        </w:rPr>
        <w:t>The Company’s position is relatively neutral as of March 31, 2021. The hypothetical change in net interest income as of March 31, 2021 in an up 100 and 200 basis point shock is mainly due to floors on variable rate loans that limit interest income growth as rates start to rise and the number of fixed-rate PPP loans outstanding. In addition, the Company reduced wholesale deposits and time deposits to lower interest rate sensitivity in the current low rate environment. As a result, our interest-bearing liabilities reprice faster than our earning assets in an up 100 and 200 basis point rate environment. The FMC has several options available, including an increase in fixed-rate deposits and using on balance sheet derivatives, that could reduce the short-term, negative impact of a rising interest rate environment. The Company expects that forgiveness of our PPP loans over the near term may improve net interest income if rates were to increase. Approximately 67% of the Company’s earning assets reprice or mature over the new 12 months.</w:t>
      </w:r>
    </w:p>
    <w:p>
      <w:pPr>
        <w:spacing w:after="0" w:line="118" w:lineRule="exact"/>
        <w:rPr>
          <w:sz w:val="20"/>
          <w:szCs w:val="20"/>
          <w:color w:val="auto"/>
        </w:rPr>
      </w:pPr>
    </w:p>
    <w:p>
      <w:pPr>
        <w:ind w:left="160" w:right="20" w:firstLine="469"/>
        <w:spacing w:after="0" w:line="266" w:lineRule="auto"/>
        <w:rPr>
          <w:sz w:val="20"/>
          <w:szCs w:val="20"/>
          <w:color w:val="auto"/>
        </w:rPr>
      </w:pPr>
      <w:r>
        <w:rPr>
          <w:rFonts w:ascii="Arial" w:cs="Arial" w:eastAsia="Arial" w:hAnsi="Arial"/>
          <w:sz w:val="17"/>
          <w:szCs w:val="17"/>
          <w:color w:val="auto"/>
        </w:rPr>
        <w:t>The models the Company uses include assumptions regarding interest rates while balances remain unchanged. These assumptions are inherently uncertain and, as a result, the model cannot precisely estimate net interest income or precisely predict the impact of higher or lower interest rates on net interest income. Actual results will differ from simulated results due to timing, magnitude and frequency of interest rate changes as well as changes in market conditions, customer behavior and management strategies, among other factors.</w:t>
      </w: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Evaluation of Disclosure Controls and Procedures</w:t>
      </w:r>
    </w:p>
    <w:p>
      <w:pPr>
        <w:spacing w:after="0" w:line="164" w:lineRule="exact"/>
        <w:rPr>
          <w:sz w:val="20"/>
          <w:szCs w:val="20"/>
          <w:color w:val="auto"/>
        </w:rPr>
      </w:pPr>
    </w:p>
    <w:p>
      <w:pPr>
        <w:ind w:left="160" w:firstLine="469"/>
        <w:spacing w:after="0" w:line="26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 13a-15(e) under the Securities Exchange Act of 1934 (“Exchange Act”)) as of March 31, 2021. Based on that evaluation, the Company’s Chief Executive Officer and Chief Financial Officer concluded that the Company’s disclosure controls and procedures were effective as of March 31, 2021.</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Changes in Internal Control over Financial Reporting</w:t>
      </w:r>
    </w:p>
    <w:p>
      <w:pPr>
        <w:spacing w:after="0" w:line="164" w:lineRule="exact"/>
        <w:rPr>
          <w:sz w:val="20"/>
          <w:szCs w:val="20"/>
          <w:color w:val="auto"/>
        </w:rPr>
      </w:pPr>
    </w:p>
    <w:p>
      <w:pPr>
        <w:jc w:val="both"/>
        <w:ind w:left="160" w:right="60" w:firstLine="469"/>
        <w:spacing w:after="0" w:line="271" w:lineRule="auto"/>
        <w:rPr>
          <w:sz w:val="20"/>
          <w:szCs w:val="20"/>
          <w:color w:val="auto"/>
        </w:rPr>
      </w:pPr>
      <w:r>
        <w:rPr>
          <w:rFonts w:ascii="Arial" w:cs="Arial" w:eastAsia="Arial" w:hAnsi="Arial"/>
          <w:sz w:val="17"/>
          <w:szCs w:val="17"/>
          <w:color w:val="auto"/>
        </w:rPr>
        <w:t>There was no change in the Company’s internal control over financial reporting (as such term is defined in Rule 13a-15(f) under the Exchange Act) that occurred during the first quarter of 2021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color w:val="auto"/>
        </w:rPr>
        <w:t>PART II - OTHER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164" w:lineRule="exact"/>
        <w:rPr>
          <w:sz w:val="20"/>
          <w:szCs w:val="20"/>
          <w:color w:val="auto"/>
        </w:rPr>
      </w:pPr>
    </w:p>
    <w:p>
      <w:pPr>
        <w:ind w:left="160" w:right="80" w:firstLine="469"/>
        <w:spacing w:after="0" w:line="262" w:lineRule="auto"/>
        <w:rPr>
          <w:sz w:val="20"/>
          <w:szCs w:val="20"/>
          <w:color w:val="auto"/>
        </w:rPr>
      </w:pPr>
      <w:r>
        <w:rPr>
          <w:rFonts w:ascii="Arial" w:cs="Arial" w:eastAsia="Arial" w:hAnsi="Arial"/>
          <w:sz w:val="17"/>
          <w:szCs w:val="17"/>
          <w:color w:val="auto"/>
        </w:rPr>
        <w:t>In the normal course of business, we are named or threatened to be named as a defendant in various lawsuits. Management, following consultation with legal counsel, does not expect the ultimate disposition of any or a combination of these matters to have a material adverse effect on our business, financial condition, results of operations, cash flows or growth prospects.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164" w:lineRule="exact"/>
        <w:rPr>
          <w:sz w:val="20"/>
          <w:szCs w:val="20"/>
          <w:color w:val="auto"/>
        </w:rPr>
      </w:pPr>
    </w:p>
    <w:p>
      <w:pPr>
        <w:ind w:left="160" w:right="160" w:firstLine="469"/>
        <w:spacing w:after="0" w:line="271"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2020 Form 10-K, which could materially affect our business, financial condition or results of operations in future periods. There were no material changes from the risk factors disclosed in the 2020 Form 10-K.</w:t>
      </w: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Share Repurchase Program</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repurchases of our common shares for the three-months ended March 31, 2021:</w:t>
      </w:r>
    </w:p>
    <w:p>
      <w:pPr>
        <w:spacing w:after="0" w:line="181"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Total Number of Shares</w:t>
            </w:r>
          </w:p>
        </w:tc>
        <w:tc>
          <w:tcPr>
            <w:tcW w:w="80" w:type="dxa"/>
            <w:vAlign w:val="bottom"/>
          </w:tcPr>
          <w:p>
            <w:pPr>
              <w:spacing w:after="0"/>
              <w:rPr>
                <w:sz w:val="16"/>
                <w:szCs w:val="16"/>
                <w:color w:val="auto"/>
              </w:rPr>
            </w:pPr>
          </w:p>
        </w:tc>
        <w:tc>
          <w:tcPr>
            <w:tcW w:w="21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Approximate Dollar Value</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ind w:right="33"/>
              <w:spacing w:after="0" w:line="169" w:lineRule="exact"/>
              <w:rPr>
                <w:sz w:val="20"/>
                <w:szCs w:val="20"/>
                <w:color w:val="auto"/>
              </w:rPr>
            </w:pPr>
            <w:r>
              <w:rPr>
                <w:rFonts w:ascii="Arial" w:cs="Arial" w:eastAsia="Arial" w:hAnsi="Arial"/>
                <w:sz w:val="17"/>
                <w:szCs w:val="17"/>
                <w:b w:val="1"/>
                <w:bCs w:val="1"/>
                <w:color w:val="auto"/>
                <w:w w:val="90"/>
              </w:rPr>
              <w:t>of Shares that may yet be</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2"/>
            <w:vMerge w:val="restart"/>
          </w:tcPr>
          <w:p>
            <w:pPr>
              <w:ind w:left="240"/>
              <w:spacing w:after="0"/>
              <w:rPr>
                <w:sz w:val="20"/>
                <w:szCs w:val="20"/>
                <w:color w:val="auto"/>
              </w:rPr>
            </w:pPr>
            <w:r>
              <w:rPr>
                <w:rFonts w:ascii="Arial" w:cs="Arial" w:eastAsia="Arial" w:hAnsi="Arial"/>
                <w:sz w:val="17"/>
                <w:szCs w:val="17"/>
                <w:b w:val="1"/>
                <w:bCs w:val="1"/>
                <w:color w:val="auto"/>
              </w:rPr>
              <w:t>Total Number of Shares</w:t>
            </w:r>
          </w:p>
        </w:tc>
        <w:tc>
          <w:tcPr>
            <w:tcW w:w="160" w:type="dxa"/>
            <w:vAlign w:val="bottom"/>
          </w:tcPr>
          <w:p>
            <w:pPr>
              <w:spacing w:after="0"/>
              <w:rPr>
                <w:sz w:val="14"/>
                <w:szCs w:val="14"/>
                <w:color w:val="auto"/>
              </w:rPr>
            </w:pPr>
          </w:p>
        </w:tc>
        <w:tc>
          <w:tcPr>
            <w:tcW w:w="206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Average Price Paid per</w:t>
            </w:r>
          </w:p>
        </w:tc>
        <w:tc>
          <w:tcPr>
            <w:tcW w:w="214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91"/>
              </w:rPr>
              <w:t>Purchased as Part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ind w:right="33"/>
              <w:spacing w:after="0" w:line="169" w:lineRule="exact"/>
              <w:rPr>
                <w:sz w:val="20"/>
                <w:szCs w:val="20"/>
                <w:color w:val="auto"/>
              </w:rPr>
            </w:pPr>
            <w:r>
              <w:rPr>
                <w:rFonts w:ascii="Arial" w:cs="Arial" w:eastAsia="Arial" w:hAnsi="Arial"/>
                <w:sz w:val="17"/>
                <w:szCs w:val="17"/>
                <w:b w:val="1"/>
                <w:bCs w:val="1"/>
                <w:color w:val="auto"/>
                <w:w w:val="91"/>
              </w:rPr>
              <w:t>Purchased as Part of</w:t>
            </w:r>
          </w:p>
        </w:tc>
        <w:tc>
          <w:tcPr>
            <w:tcW w:w="0" w:type="dxa"/>
            <w:vAlign w:val="bottom"/>
          </w:tcPr>
          <w:p>
            <w:pPr>
              <w:spacing w:after="0"/>
              <w:rPr>
                <w:sz w:val="1"/>
                <w:szCs w:val="1"/>
                <w:color w:val="auto"/>
              </w:rPr>
            </w:pPr>
          </w:p>
        </w:tc>
      </w:tr>
      <w:tr>
        <w:trPr>
          <w:trHeight w:val="169"/>
        </w:trPr>
        <w:tc>
          <w:tcPr>
            <w:tcW w:w="21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Calendar Month</w:t>
            </w:r>
          </w:p>
        </w:tc>
        <w:tc>
          <w:tcPr>
            <w:tcW w:w="80" w:type="dxa"/>
            <w:vAlign w:val="bottom"/>
            <w:vMerge w:val="restart"/>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90"/>
              </w:rPr>
              <w:t>Publicly Announced Plans</w:t>
            </w:r>
          </w:p>
        </w:tc>
        <w:tc>
          <w:tcPr>
            <w:tcW w:w="80" w:type="dxa"/>
            <w:vAlign w:val="bottom"/>
          </w:tcPr>
          <w:p>
            <w:pPr>
              <w:spacing w:after="0"/>
              <w:rPr>
                <w:sz w:val="14"/>
                <w:szCs w:val="14"/>
                <w:color w:val="auto"/>
              </w:rPr>
            </w:pPr>
          </w:p>
        </w:tc>
        <w:tc>
          <w:tcPr>
            <w:tcW w:w="2140" w:type="dxa"/>
            <w:vAlign w:val="bottom"/>
            <w:gridSpan w:val="2"/>
          </w:tcPr>
          <w:p>
            <w:pPr>
              <w:jc w:val="center"/>
              <w:spacing w:after="0" w:line="169" w:lineRule="exact"/>
              <w:rPr>
                <w:sz w:val="20"/>
                <w:szCs w:val="20"/>
                <w:color w:val="auto"/>
              </w:rPr>
            </w:pPr>
            <w:r>
              <w:rPr>
                <w:rFonts w:ascii="Arial" w:cs="Arial" w:eastAsia="Arial" w:hAnsi="Arial"/>
                <w:sz w:val="17"/>
                <w:szCs w:val="17"/>
                <w:b w:val="1"/>
                <w:bCs w:val="1"/>
                <w:color w:val="auto"/>
                <w:w w:val="90"/>
              </w:rPr>
              <w:t>Publicly Announced Plans</w:t>
            </w:r>
          </w:p>
        </w:tc>
        <w:tc>
          <w:tcPr>
            <w:tcW w:w="0" w:type="dxa"/>
            <w:vAlign w:val="bottom"/>
          </w:tcPr>
          <w:p>
            <w:pPr>
              <w:spacing w:after="0"/>
              <w:rPr>
                <w:sz w:val="1"/>
                <w:szCs w:val="1"/>
                <w:color w:val="auto"/>
              </w:rPr>
            </w:pPr>
          </w:p>
        </w:tc>
      </w:tr>
      <w:tr>
        <w:trPr>
          <w:trHeight w:val="221"/>
        </w:trPr>
        <w:tc>
          <w:tcPr>
            <w:tcW w:w="21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2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Repurchased</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Share</w:t>
            </w:r>
          </w:p>
        </w:tc>
        <w:tc>
          <w:tcPr>
            <w:tcW w:w="8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or Programs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2"/>
              </w:rPr>
              <w:t>or Programs</w:t>
            </w:r>
          </w:p>
        </w:tc>
        <w:tc>
          <w:tcPr>
            <w:tcW w:w="0" w:type="dxa"/>
            <w:vAlign w:val="bottom"/>
          </w:tcPr>
          <w:p>
            <w:pPr>
              <w:spacing w:after="0"/>
              <w:rPr>
                <w:sz w:val="1"/>
                <w:szCs w:val="1"/>
                <w:color w:val="auto"/>
              </w:rPr>
            </w:pPr>
          </w:p>
        </w:tc>
      </w:tr>
      <w:tr>
        <w:trPr>
          <w:trHeight w:val="214"/>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January 1 - 31</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w:t>
            </w:r>
          </w:p>
        </w:tc>
        <w:tc>
          <w:tcPr>
            <w:tcW w:w="8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13,382,774</w:t>
            </w:r>
          </w:p>
        </w:tc>
        <w:tc>
          <w:tcPr>
            <w:tcW w:w="0" w:type="dxa"/>
            <w:vAlign w:val="bottom"/>
          </w:tcPr>
          <w:p>
            <w:pPr>
              <w:spacing w:after="0"/>
              <w:rPr>
                <w:sz w:val="1"/>
                <w:szCs w:val="1"/>
                <w:color w:val="auto"/>
              </w:rPr>
            </w:pPr>
          </w:p>
        </w:tc>
      </w:tr>
      <w:tr>
        <w:trPr>
          <w:trHeight w:val="221"/>
        </w:trPr>
        <w:tc>
          <w:tcPr>
            <w:tcW w:w="2200" w:type="dxa"/>
            <w:vAlign w:val="bottom"/>
            <w:gridSpan w:val="2"/>
          </w:tcPr>
          <w:p>
            <w:pPr>
              <w:ind w:left="20"/>
              <w:spacing w:after="0"/>
              <w:rPr>
                <w:sz w:val="20"/>
                <w:szCs w:val="20"/>
                <w:color w:val="auto"/>
              </w:rPr>
            </w:pPr>
            <w:r>
              <w:rPr>
                <w:rFonts w:ascii="Arial" w:cs="Arial" w:eastAsia="Arial" w:hAnsi="Arial"/>
                <w:sz w:val="17"/>
                <w:szCs w:val="17"/>
                <w:color w:val="auto"/>
              </w:rPr>
              <w:t>February 1 - 28</w:t>
            </w:r>
          </w:p>
        </w:tc>
        <w:tc>
          <w:tcPr>
            <w:tcW w:w="2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13,382,774</w:t>
            </w:r>
          </w:p>
        </w:tc>
        <w:tc>
          <w:tcPr>
            <w:tcW w:w="0" w:type="dxa"/>
            <w:vAlign w:val="bottom"/>
          </w:tcPr>
          <w:p>
            <w:pPr>
              <w:spacing w:after="0"/>
              <w:rPr>
                <w:sz w:val="1"/>
                <w:szCs w:val="1"/>
                <w:color w:val="auto"/>
              </w:rPr>
            </w:pPr>
          </w:p>
        </w:tc>
      </w:tr>
      <w:tr>
        <w:trPr>
          <w:trHeight w:val="221"/>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1 - 31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35,642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8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12,905,314</w:t>
            </w:r>
          </w:p>
        </w:tc>
        <w:tc>
          <w:tcPr>
            <w:tcW w:w="0" w:type="dxa"/>
            <w:vAlign w:val="bottom"/>
          </w:tcPr>
          <w:p>
            <w:pPr>
              <w:spacing w:after="0"/>
              <w:rPr>
                <w:sz w:val="1"/>
                <w:szCs w:val="1"/>
                <w:color w:val="auto"/>
              </w:rPr>
            </w:pPr>
          </w:p>
        </w:tc>
      </w:tr>
      <w:tr>
        <w:trPr>
          <w:trHeight w:val="214"/>
        </w:trPr>
        <w:tc>
          <w:tcPr>
            <w:tcW w:w="220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88,497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11.87</w:t>
            </w:r>
          </w:p>
        </w:tc>
        <w:tc>
          <w:tcPr>
            <w:tcW w:w="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0" w:right="120" w:firstLine="469"/>
        <w:spacing w:after="0" w:line="263" w:lineRule="auto"/>
        <w:rPr>
          <w:sz w:val="20"/>
          <w:szCs w:val="20"/>
          <w:color w:val="auto"/>
        </w:rPr>
      </w:pPr>
      <w:r>
        <w:rPr>
          <w:rFonts w:ascii="Arial" w:cs="Arial" w:eastAsia="Arial" w:hAnsi="Arial"/>
          <w:sz w:val="17"/>
          <w:szCs w:val="17"/>
          <w:color w:val="auto"/>
        </w:rPr>
        <w:t>On October 20, 2020, the Company announced that its Board of Directors approved a share repurchase program under which the Company may repurchase up to $20 million of its common stock. Repurchases under the program may be made in open market or privately negotiated transactions in compliance with SEC Rule 10b-18, subject to market conditions, applicable legal requirements and other relevant factors. The program does not obligate the Company to acquire any particular amount of common stock, and it may be suspended at any time at the Company's discretion. No time limit has been set for completion of the program.</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400" w:type="dxa"/>
            <w:vAlign w:val="bottom"/>
            <w:gridSpan w:val="6"/>
          </w:tcPr>
          <w:p>
            <w:pPr>
              <w:spacing w:after="0"/>
              <w:rPr>
                <w:sz w:val="20"/>
                <w:szCs w:val="20"/>
                <w:color w:val="auto"/>
              </w:rPr>
            </w:pPr>
            <w:r>
              <w:rPr>
                <w:rFonts w:ascii="Arial" w:cs="Arial" w:eastAsia="Arial" w:hAnsi="Arial"/>
                <w:sz w:val="17"/>
                <w:szCs w:val="17"/>
                <w:b w:val="1"/>
                <w:bCs w:val="1"/>
                <w:color w:val="auto"/>
              </w:rPr>
              <w:t>Exhibit Number</w:t>
            </w:r>
          </w:p>
        </w:tc>
        <w:tc>
          <w:tcPr>
            <w:tcW w:w="20" w:type="dxa"/>
            <w:vAlign w:val="bottom"/>
          </w:tcPr>
          <w:p>
            <w:pPr>
              <w:spacing w:after="0"/>
              <w:rPr>
                <w:sz w:val="19"/>
                <w:szCs w:val="19"/>
                <w:color w:val="auto"/>
              </w:rPr>
            </w:pPr>
          </w:p>
        </w:tc>
        <w:tc>
          <w:tcPr>
            <w:tcW w:w="9640" w:type="dxa"/>
            <w:vAlign w:val="bottom"/>
            <w:gridSpan w:val="14"/>
          </w:tcPr>
          <w:p>
            <w:pPr>
              <w:spacing w:after="0"/>
              <w:rPr>
                <w:sz w:val="20"/>
                <w:szCs w:val="20"/>
                <w:color w:val="auto"/>
              </w:rPr>
            </w:pPr>
            <w:r>
              <w:rPr>
                <w:rFonts w:ascii="Arial" w:cs="Arial" w:eastAsia="Arial" w:hAnsi="Arial"/>
                <w:sz w:val="17"/>
                <w:szCs w:val="17"/>
                <w:b w:val="1"/>
                <w:bCs w:val="1"/>
                <w:color w:val="auto"/>
              </w:rPr>
              <w:t>Exhibit Description</w:t>
            </w:r>
          </w:p>
        </w:tc>
      </w:tr>
      <w:tr>
        <w:trPr>
          <w:trHeight w:val="181"/>
        </w:trPr>
        <w:tc>
          <w:tcPr>
            <w:tcW w:w="320" w:type="dxa"/>
            <w:vAlign w:val="bottom"/>
            <w:tcBorders>
              <w:top w:val="single" w:sz="8" w:color="auto"/>
            </w:tcBorders>
            <w:gridSpan w:val="3"/>
          </w:tcPr>
          <w:p>
            <w:pPr>
              <w:ind w:left="20"/>
              <w:spacing w:after="0" w:line="163" w:lineRule="exact"/>
              <w:rPr>
                <w:rFonts w:ascii="Arial" w:cs="Arial" w:eastAsia="Arial" w:hAnsi="Arial"/>
                <w:sz w:val="17"/>
                <w:szCs w:val="17"/>
                <w:color w:val="0000FF"/>
              </w:rPr>
            </w:pPr>
            <w:hyperlink r:id="rId83">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40" w:type="dxa"/>
            <w:vAlign w:val="bottom"/>
            <w:tcBorders>
              <w:top w:val="single" w:sz="8" w:color="auto"/>
            </w:tcBorders>
            <w:gridSpan w:val="14"/>
          </w:tcPr>
          <w:p>
            <w:pPr>
              <w:spacing w:after="0" w:line="163" w:lineRule="exact"/>
              <w:rPr>
                <w:rFonts w:ascii="Arial" w:cs="Arial" w:eastAsia="Arial" w:hAnsi="Arial"/>
                <w:sz w:val="17"/>
                <w:szCs w:val="17"/>
                <w:color w:val="0000FF"/>
                <w:w w:val="93"/>
              </w:rPr>
            </w:pPr>
            <w:hyperlink r:id="rId83">
              <w:r>
                <w:rPr>
                  <w:rFonts w:ascii="Arial" w:cs="Arial" w:eastAsia="Arial" w:hAnsi="Arial"/>
                  <w:sz w:val="17"/>
                  <w:szCs w:val="17"/>
                  <w:color w:val="0000FF"/>
                  <w:w w:val="93"/>
                </w:rPr>
                <w:t>Articles of Incorporation of CrossFirst Bankshares, Inc. (incorporated by reference to Exhibit 3.1 to the Company's Registration Statement</w:t>
              </w:r>
            </w:hyperlink>
          </w:p>
        </w:tc>
      </w:tr>
      <w:tr>
        <w:trPr>
          <w:trHeight w:val="182"/>
        </w:trPr>
        <w:tc>
          <w:tcPr>
            <w:tcW w:w="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5"/>
          </w:tcPr>
          <w:p>
            <w:pPr>
              <w:spacing w:after="0" w:line="182" w:lineRule="exact"/>
              <w:rPr>
                <w:rFonts w:ascii="Arial" w:cs="Arial" w:eastAsia="Arial" w:hAnsi="Arial"/>
                <w:sz w:val="17"/>
                <w:szCs w:val="17"/>
                <w:color w:val="0000FF"/>
                <w:w w:val="93"/>
              </w:rPr>
            </w:pPr>
            <w:hyperlink r:id="rId83">
              <w:r>
                <w:rPr>
                  <w:rFonts w:ascii="Arial" w:cs="Arial" w:eastAsia="Arial" w:hAnsi="Arial"/>
                  <w:sz w:val="17"/>
                  <w:szCs w:val="17"/>
                  <w:color w:val="0000FF"/>
                  <w:w w:val="93"/>
                </w:rPr>
                <w:t>on Form S-1 as filed with the SEC on July 18, 2019, File No. 333-232704).</w:t>
              </w:r>
            </w:hyperlink>
          </w:p>
        </w:tc>
        <w:tc>
          <w:tcPr>
            <w:tcW w:w="438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220"/>
        </w:trPr>
        <w:tc>
          <w:tcPr>
            <w:tcW w:w="320" w:type="dxa"/>
            <w:vAlign w:val="bottom"/>
            <w:gridSpan w:val="3"/>
          </w:tcPr>
          <w:p>
            <w:pPr>
              <w:ind w:left="20"/>
              <w:spacing w:after="0" w:line="194" w:lineRule="exact"/>
              <w:rPr>
                <w:rFonts w:ascii="Arial" w:cs="Arial" w:eastAsia="Arial" w:hAnsi="Arial"/>
                <w:sz w:val="17"/>
                <w:szCs w:val="17"/>
                <w:color w:val="0000FF"/>
              </w:rPr>
            </w:pPr>
            <w:hyperlink r:id="rId84">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14"/>
          </w:tcPr>
          <w:p>
            <w:pPr>
              <w:spacing w:after="0"/>
              <w:rPr>
                <w:rFonts w:ascii="Arial" w:cs="Arial" w:eastAsia="Arial" w:hAnsi="Arial"/>
                <w:sz w:val="17"/>
                <w:szCs w:val="17"/>
                <w:color w:val="0000FF"/>
                <w:w w:val="99"/>
              </w:rPr>
            </w:pPr>
            <w:hyperlink r:id="rId84">
              <w:r>
                <w:rPr>
                  <w:rFonts w:ascii="Arial" w:cs="Arial" w:eastAsia="Arial" w:hAnsi="Arial"/>
                  <w:sz w:val="17"/>
                  <w:szCs w:val="17"/>
                  <w:color w:val="0000FF"/>
                  <w:w w:val="99"/>
                </w:rPr>
                <w:t>Amendment to Articles of Incorporation of CrossFirst Bankshares, Inc. (incorporated by reference to Exhibit 3.2 to the Company’s</w:t>
              </w:r>
            </w:hyperlink>
          </w:p>
        </w:tc>
      </w:tr>
      <w:tr>
        <w:trPr>
          <w:trHeight w:val="182"/>
        </w:trPr>
        <w:tc>
          <w:tcPr>
            <w:tcW w:w="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top w:val="single" w:sz="8" w:color="0000FF"/>
            </w:tcBorders>
            <w:gridSpan w:val="8"/>
          </w:tcPr>
          <w:p>
            <w:pPr>
              <w:spacing w:after="0" w:line="182" w:lineRule="exact"/>
              <w:rPr>
                <w:rFonts w:ascii="Arial" w:cs="Arial" w:eastAsia="Arial" w:hAnsi="Arial"/>
                <w:sz w:val="17"/>
                <w:szCs w:val="17"/>
                <w:color w:val="0000FF"/>
              </w:rPr>
            </w:pPr>
            <w:hyperlink r:id="rId84">
              <w:r>
                <w:rPr>
                  <w:rFonts w:ascii="Arial" w:cs="Arial" w:eastAsia="Arial" w:hAnsi="Arial"/>
                  <w:sz w:val="17"/>
                  <w:szCs w:val="17"/>
                  <w:color w:val="0000FF"/>
                </w:rPr>
                <w:t>Registration Statement on Form S-1 as filed with the SEC on July 18, 2019, File No. 333-232704).</w:t>
              </w:r>
            </w:hyperlink>
          </w:p>
        </w:tc>
        <w:tc>
          <w:tcPr>
            <w:tcW w:w="560" w:type="dxa"/>
            <w:vAlign w:val="bottom"/>
            <w:gridSpan w:val="6"/>
          </w:tcPr>
          <w:p>
            <w:pPr>
              <w:spacing w:after="0"/>
              <w:rPr>
                <w:sz w:val="15"/>
                <w:szCs w:val="15"/>
                <w:color w:val="auto"/>
              </w:rPr>
            </w:pPr>
          </w:p>
        </w:tc>
      </w:tr>
      <w:tr>
        <w:trPr>
          <w:trHeight w:val="20"/>
        </w:trPr>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4"/>
        </w:trPr>
        <w:tc>
          <w:tcPr>
            <w:tcW w:w="320" w:type="dxa"/>
            <w:vAlign w:val="bottom"/>
            <w:gridSpan w:val="3"/>
          </w:tcPr>
          <w:p>
            <w:pPr>
              <w:ind w:left="20"/>
              <w:spacing w:after="0"/>
              <w:rPr>
                <w:rFonts w:ascii="Arial" w:cs="Arial" w:eastAsia="Arial" w:hAnsi="Arial"/>
                <w:sz w:val="17"/>
                <w:szCs w:val="17"/>
                <w:color w:val="0000FF"/>
              </w:rPr>
            </w:pPr>
            <w:hyperlink r:id="rId85">
              <w:r>
                <w:rPr>
                  <w:rFonts w:ascii="Arial" w:cs="Arial" w:eastAsia="Arial" w:hAnsi="Arial"/>
                  <w:sz w:val="17"/>
                  <w:szCs w:val="17"/>
                  <w:color w:val="0000FF"/>
                </w:rPr>
                <w:t>3.</w:t>
              </w:r>
              <w:r>
                <w:rPr>
                  <w:rFonts w:ascii="Arial" w:cs="Arial" w:eastAsia="Arial" w:hAnsi="Arial"/>
                  <w:sz w:val="17"/>
                  <w:szCs w:val="17"/>
                  <w:u w:val="single" w:color="auto"/>
                  <w:color w:val="0000FF"/>
                </w:rPr>
                <w:t>3</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14"/>
          </w:tcPr>
          <w:p>
            <w:pPr>
              <w:spacing w:after="0"/>
              <w:rPr>
                <w:rFonts w:ascii="Arial" w:cs="Arial" w:eastAsia="Arial" w:hAnsi="Arial"/>
                <w:sz w:val="17"/>
                <w:szCs w:val="17"/>
                <w:color w:val="0000FF"/>
                <w:w w:val="93"/>
              </w:rPr>
            </w:pPr>
            <w:hyperlink r:id="rId85">
              <w:r>
                <w:rPr>
                  <w:rFonts w:ascii="Arial" w:cs="Arial" w:eastAsia="Arial" w:hAnsi="Arial"/>
                  <w:sz w:val="17"/>
                  <w:szCs w:val="17"/>
                  <w:color w:val="0000FF"/>
                  <w:w w:val="93"/>
                </w:rPr>
                <w:t>Bylaws of CrossFirst Bankshares, Inc. (incorporated by reference to Exhibit 3.3 to the Company's Registration Statement on Form S-1 as</w:t>
              </w:r>
            </w:hyperlink>
          </w:p>
        </w:tc>
      </w:tr>
      <w:tr>
        <w:trPr>
          <w:trHeight w:val="129"/>
        </w:trPr>
        <w:tc>
          <w:tcPr>
            <w:tcW w:w="2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2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85">
              <w:r>
                <w:rPr>
                  <w:rFonts w:ascii="Arial" w:cs="Arial" w:eastAsia="Arial" w:hAnsi="Arial"/>
                  <w:sz w:val="14"/>
                  <w:szCs w:val="14"/>
                  <w:color w:val="0000FF"/>
                </w:rPr>
                <w:t>filed with the SEC on July 18, 2019, File No. 333-232704).</w:t>
              </w:r>
            </w:hyperlink>
          </w:p>
        </w:tc>
        <w:tc>
          <w:tcPr>
            <w:tcW w:w="120" w:type="dxa"/>
            <w:vAlign w:val="bottom"/>
            <w:gridSpan w:val="2"/>
          </w:tcPr>
          <w:p>
            <w:pPr>
              <w:spacing w:after="0"/>
              <w:rPr>
                <w:sz w:val="11"/>
                <w:szCs w:val="11"/>
                <w:color w:val="auto"/>
              </w:rPr>
            </w:pPr>
          </w:p>
        </w:tc>
      </w:tr>
      <w:tr>
        <w:trPr>
          <w:trHeight w:val="20"/>
        </w:trPr>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1"/>
        </w:trPr>
        <w:tc>
          <w:tcPr>
            <w:tcW w:w="400" w:type="dxa"/>
            <w:vAlign w:val="bottom"/>
            <w:gridSpan w:val="4"/>
          </w:tcPr>
          <w:p>
            <w:pPr>
              <w:ind w:left="20"/>
              <w:spacing w:after="0"/>
              <w:rPr>
                <w:rFonts w:ascii="Arial" w:cs="Arial" w:eastAsia="Arial" w:hAnsi="Arial"/>
                <w:sz w:val="17"/>
                <w:szCs w:val="17"/>
                <w:color w:val="0000FF"/>
                <w:w w:val="90"/>
              </w:rPr>
            </w:pPr>
            <w:hyperlink w:anchor="page51">
              <w:r>
                <w:rPr>
                  <w:rFonts w:ascii="Arial" w:cs="Arial" w:eastAsia="Arial" w:hAnsi="Arial"/>
                  <w:sz w:val="17"/>
                  <w:szCs w:val="17"/>
                  <w:color w:val="0000FF"/>
                  <w:w w:val="90"/>
                </w:rPr>
                <w:t>10.</w:t>
              </w:r>
            </w:hyperlink>
            <w:r>
              <w:rPr>
                <w:rFonts w:ascii="Arial" w:cs="Arial" w:eastAsia="Arial" w:hAnsi="Arial"/>
                <w:sz w:val="17"/>
                <w:szCs w:val="17"/>
                <w:u w:val="single" w:color="auto"/>
                <w:color w:val="0000FF"/>
                <w:w w:val="90"/>
              </w:rPr>
              <w:t>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4"/>
          </w:tcPr>
          <w:p>
            <w:pPr>
              <w:spacing w:after="0"/>
              <w:rPr>
                <w:rFonts w:ascii="Arial" w:cs="Arial" w:eastAsia="Arial" w:hAnsi="Arial"/>
                <w:sz w:val="17"/>
                <w:szCs w:val="17"/>
                <w:color w:val="0000FF"/>
              </w:rPr>
            </w:pPr>
            <w:hyperlink w:anchor="page51">
              <w:r>
                <w:rPr>
                  <w:rFonts w:ascii="Arial" w:cs="Arial" w:eastAsia="Arial" w:hAnsi="Arial"/>
                  <w:sz w:val="17"/>
                  <w:szCs w:val="17"/>
                  <w:color w:val="0000FF"/>
                </w:rPr>
                <w:t>Employment Agreement with Jana D. Merfen Dated January 19, 2021</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400" w:type="dxa"/>
            <w:vAlign w:val="bottom"/>
            <w:gridSpan w:val="4"/>
          </w:tcPr>
          <w:p>
            <w:pPr>
              <w:ind w:left="20"/>
              <w:spacing w:after="0"/>
              <w:rPr>
                <w:rFonts w:ascii="Arial" w:cs="Arial" w:eastAsia="Arial" w:hAnsi="Arial"/>
                <w:sz w:val="17"/>
                <w:szCs w:val="17"/>
                <w:color w:val="0000FF"/>
              </w:rPr>
            </w:pPr>
            <w:hyperlink r:id="rId86">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4"/>
          </w:tcPr>
          <w:p>
            <w:pPr>
              <w:spacing w:after="0"/>
              <w:rPr>
                <w:rFonts w:ascii="Arial" w:cs="Arial" w:eastAsia="Arial" w:hAnsi="Arial"/>
                <w:sz w:val="17"/>
                <w:szCs w:val="17"/>
                <w:color w:val="0000FF"/>
                <w:w w:val="96"/>
              </w:rPr>
            </w:pPr>
            <w:hyperlink r:id="rId86">
              <w:r>
                <w:rPr>
                  <w:rFonts w:ascii="Arial" w:cs="Arial" w:eastAsia="Arial" w:hAnsi="Arial"/>
                  <w:sz w:val="17"/>
                  <w:szCs w:val="17"/>
                  <w:color w:val="0000FF"/>
                  <w:w w:val="96"/>
                </w:rPr>
                <w:t>Amended and Restated Employment Agreement, dated March 15, 2021, between the Company and David O’Toole, incorporated by</w:t>
              </w:r>
            </w:hyperlink>
          </w:p>
        </w:tc>
      </w:tr>
      <w:tr>
        <w:trPr>
          <w:trHeight w:val="149"/>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93"/>
              </w:rPr>
            </w:pPr>
            <w:hyperlink r:id="rId86">
              <w:r>
                <w:rPr>
                  <w:rFonts w:ascii="Arial" w:cs="Arial" w:eastAsia="Arial" w:hAnsi="Arial"/>
                  <w:sz w:val="17"/>
                  <w:szCs w:val="17"/>
                  <w:color w:val="0000FF"/>
                  <w:w w:val="93"/>
                </w:rPr>
                <w:t>reference to Form 8-K filed on March 15, 2021</w:t>
              </w:r>
            </w:hyperlink>
          </w:p>
        </w:tc>
        <w:tc>
          <w:tcPr>
            <w:tcW w:w="5900" w:type="dxa"/>
            <w:vAlign w:val="bottom"/>
            <w:tcBorders>
              <w:top w:val="single" w:sz="8" w:color="0000FF"/>
            </w:tcBorders>
            <w:gridSpan w:val="7"/>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gridSpan w:val="3"/>
          </w:tcPr>
          <w:p>
            <w:pPr>
              <w:spacing w:after="0"/>
              <w:rPr>
                <w:sz w:val="12"/>
                <w:szCs w:val="12"/>
                <w:color w:val="auto"/>
              </w:rPr>
            </w:pPr>
          </w:p>
        </w:tc>
      </w:tr>
      <w:tr>
        <w:trPr>
          <w:trHeight w:val="221"/>
        </w:trPr>
        <w:tc>
          <w:tcPr>
            <w:tcW w:w="500" w:type="dxa"/>
            <w:vAlign w:val="bottom"/>
            <w:gridSpan w:val="5"/>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14"/>
          </w:tcPr>
          <w:p>
            <w:pPr>
              <w:spacing w:after="0"/>
              <w:rPr>
                <w:rFonts w:ascii="Arial" w:cs="Arial" w:eastAsia="Arial" w:hAnsi="Arial"/>
                <w:sz w:val="17"/>
                <w:szCs w:val="17"/>
                <w:color w:val="0000FF"/>
                <w:w w:val="96"/>
              </w:rPr>
            </w:pPr>
            <w:hyperlink w:anchor="page60">
              <w:r>
                <w:rPr>
                  <w:rFonts w:ascii="Arial" w:cs="Arial" w:eastAsia="Arial" w:hAnsi="Arial"/>
                  <w:sz w:val="17"/>
                  <w:szCs w:val="17"/>
                  <w:color w:val="0000FF"/>
                  <w:w w:val="96"/>
                </w:rPr>
                <w:t>Certification of Principal Executive Officer pursuant to Rule 13a-14(a) of the Exchange Act, as adopted pursuant to Section 302 of the</w:t>
              </w:r>
            </w:hyperlink>
          </w:p>
        </w:tc>
      </w:tr>
      <w:tr>
        <w:trPr>
          <w:trHeight w:val="129"/>
        </w:trPr>
        <w:tc>
          <w:tcPr>
            <w:tcW w:w="2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rPr>
            </w:pPr>
            <w:hyperlink w:anchor="page60">
              <w:r>
                <w:rPr>
                  <w:rFonts w:ascii="Arial" w:cs="Arial" w:eastAsia="Arial" w:hAnsi="Arial"/>
                  <w:sz w:val="14"/>
                  <w:szCs w:val="14"/>
                  <w:color w:val="0000FF"/>
                </w:rPr>
                <w:t>Sarbanes-Oxley Act of 2002</w:t>
              </w:r>
            </w:hyperlink>
          </w:p>
        </w:tc>
        <w:tc>
          <w:tcPr>
            <w:tcW w:w="7360" w:type="dxa"/>
            <w:vAlign w:val="bottom"/>
            <w:tcBorders>
              <w:top w:val="single" w:sz="8" w:color="0000FF"/>
            </w:tcBorders>
            <w:gridSpan w:val="10"/>
          </w:tcPr>
          <w:p>
            <w:pPr>
              <w:spacing w:after="0"/>
              <w:rPr>
                <w:sz w:val="11"/>
                <w:szCs w:val="11"/>
                <w:color w:val="auto"/>
              </w:rPr>
            </w:pPr>
          </w:p>
        </w:tc>
        <w:tc>
          <w:tcPr>
            <w:tcW w:w="300" w:type="dxa"/>
            <w:vAlign w:val="bottom"/>
            <w:gridSpan w:val="3"/>
          </w:tcPr>
          <w:p>
            <w:pPr>
              <w:spacing w:after="0"/>
              <w:rPr>
                <w:sz w:val="11"/>
                <w:szCs w:val="11"/>
                <w:color w:val="auto"/>
              </w:rPr>
            </w:pPr>
          </w:p>
        </w:tc>
      </w:tr>
      <w:tr>
        <w:trPr>
          <w:trHeight w:val="201"/>
        </w:trPr>
        <w:tc>
          <w:tcPr>
            <w:tcW w:w="500" w:type="dxa"/>
            <w:vAlign w:val="bottom"/>
            <w:gridSpan w:val="5"/>
          </w:tcPr>
          <w:p>
            <w:pPr>
              <w:ind w:left="20"/>
              <w:spacing w:after="0"/>
              <w:rPr>
                <w:rFonts w:ascii="Arial" w:cs="Arial" w:eastAsia="Arial" w:hAnsi="Arial"/>
                <w:sz w:val="17"/>
                <w:szCs w:val="17"/>
                <w:color w:val="0000FF"/>
              </w:rPr>
            </w:pPr>
            <w:hyperlink w:anchor="page61">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4"/>
          </w:tcPr>
          <w:p>
            <w:pPr>
              <w:spacing w:after="0"/>
              <w:rPr>
                <w:rFonts w:ascii="Arial" w:cs="Arial" w:eastAsia="Arial" w:hAnsi="Arial"/>
                <w:sz w:val="17"/>
                <w:szCs w:val="17"/>
                <w:color w:val="0000FF"/>
                <w:w w:val="96"/>
              </w:rPr>
            </w:pPr>
            <w:hyperlink w:anchor="page61">
              <w:r>
                <w:rPr>
                  <w:rFonts w:ascii="Arial" w:cs="Arial" w:eastAsia="Arial" w:hAnsi="Arial"/>
                  <w:sz w:val="17"/>
                  <w:szCs w:val="17"/>
                  <w:color w:val="0000FF"/>
                  <w:w w:val="96"/>
                </w:rPr>
                <w:t>Certification of Principal Financial Officer pursuant to Rule 13a-14(a) of the Exchange Act, as adopted pursuant to Section 302 of the</w:t>
              </w:r>
            </w:hyperlink>
          </w:p>
        </w:tc>
      </w:tr>
      <w:tr>
        <w:trPr>
          <w:trHeight w:val="149"/>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92"/>
              </w:rPr>
            </w:pPr>
            <w:hyperlink w:anchor="page61">
              <w:r>
                <w:rPr>
                  <w:rFonts w:ascii="Arial" w:cs="Arial" w:eastAsia="Arial" w:hAnsi="Arial"/>
                  <w:sz w:val="17"/>
                  <w:szCs w:val="17"/>
                  <w:color w:val="0000FF"/>
                  <w:w w:val="92"/>
                </w:rPr>
                <w:t>Sarbanes-Oxley Act of 2002</w:t>
              </w:r>
            </w:hyperlink>
          </w:p>
        </w:tc>
        <w:tc>
          <w:tcPr>
            <w:tcW w:w="7320" w:type="dxa"/>
            <w:vAlign w:val="bottom"/>
            <w:tcBorders>
              <w:top w:val="single" w:sz="8" w:color="0000FF"/>
            </w:tcBorders>
            <w:gridSpan w:val="9"/>
          </w:tcPr>
          <w:p>
            <w:pPr>
              <w:spacing w:after="0"/>
              <w:rPr>
                <w:sz w:val="12"/>
                <w:szCs w:val="12"/>
                <w:color w:val="auto"/>
              </w:rPr>
            </w:pPr>
          </w:p>
        </w:tc>
        <w:tc>
          <w:tcPr>
            <w:tcW w:w="340" w:type="dxa"/>
            <w:vAlign w:val="bottom"/>
            <w:gridSpan w:val="4"/>
          </w:tcPr>
          <w:p>
            <w:pPr>
              <w:spacing w:after="0"/>
              <w:rPr>
                <w:sz w:val="12"/>
                <w:szCs w:val="12"/>
                <w:color w:val="auto"/>
              </w:rPr>
            </w:pPr>
          </w:p>
        </w:tc>
      </w:tr>
      <w:tr>
        <w:trPr>
          <w:trHeight w:val="201"/>
        </w:trPr>
        <w:tc>
          <w:tcPr>
            <w:tcW w:w="500" w:type="dxa"/>
            <w:vAlign w:val="bottom"/>
            <w:gridSpan w:val="5"/>
          </w:tcPr>
          <w:p>
            <w:pPr>
              <w:ind w:left="20"/>
              <w:spacing w:after="0"/>
              <w:rPr>
                <w:rFonts w:ascii="Arial" w:cs="Arial" w:eastAsia="Arial" w:hAnsi="Arial"/>
                <w:sz w:val="17"/>
                <w:szCs w:val="17"/>
                <w:color w:val="0000FF"/>
                <w:w w:val="99"/>
              </w:rPr>
            </w:pPr>
            <w:hyperlink w:anchor="page62">
              <w:r>
                <w:rPr>
                  <w:rFonts w:ascii="Arial" w:cs="Arial" w:eastAsia="Arial" w:hAnsi="Arial"/>
                  <w:sz w:val="17"/>
                  <w:szCs w:val="17"/>
                  <w:color w:val="0000FF"/>
                  <w:w w:val="99"/>
                </w:rPr>
                <w:t>32.</w:t>
              </w:r>
              <w:r>
                <w:rPr>
                  <w:rFonts w:ascii="Arial" w:cs="Arial" w:eastAsia="Arial" w:hAnsi="Arial"/>
                  <w:sz w:val="17"/>
                  <w:szCs w:val="17"/>
                  <w:u w:val="single" w:color="auto"/>
                  <w:color w:val="0000FF"/>
                  <w:w w:val="99"/>
                </w:rPr>
                <w:t>1**</w:t>
              </w:r>
            </w:hyperlink>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4"/>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Certification pursuant to 18 U.S.C. Section 1350, as adopted pursuant to Section 906 of the Sarbanes-Oxley Act of 2002</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gridSpan w:val="6"/>
          </w:tcPr>
          <w:p>
            <w:pPr>
              <w:spacing w:after="0" w:line="189" w:lineRule="exact"/>
              <w:rPr>
                <w:sz w:val="20"/>
                <w:szCs w:val="20"/>
                <w:color w:val="auto"/>
              </w:rPr>
            </w:pPr>
            <w:r>
              <w:rPr>
                <w:rFonts w:ascii="Arial" w:cs="Arial" w:eastAsia="Arial" w:hAnsi="Arial"/>
                <w:sz w:val="17"/>
                <w:szCs w:val="17"/>
                <w:color w:val="auto"/>
              </w:rPr>
              <w:t>101.INS*</w:t>
            </w:r>
          </w:p>
        </w:tc>
        <w:tc>
          <w:tcPr>
            <w:tcW w:w="20" w:type="dxa"/>
            <w:vAlign w:val="bottom"/>
          </w:tcPr>
          <w:p>
            <w:pPr>
              <w:spacing w:after="0"/>
              <w:rPr>
                <w:sz w:val="16"/>
                <w:szCs w:val="16"/>
                <w:color w:val="auto"/>
              </w:rPr>
            </w:pPr>
          </w:p>
        </w:tc>
        <w:tc>
          <w:tcPr>
            <w:tcW w:w="9640" w:type="dxa"/>
            <w:vAlign w:val="bottom"/>
            <w:gridSpan w:val="14"/>
          </w:tcPr>
          <w:p>
            <w:pPr>
              <w:spacing w:after="0" w:line="189" w:lineRule="exact"/>
              <w:rPr>
                <w:sz w:val="20"/>
                <w:szCs w:val="20"/>
                <w:color w:val="auto"/>
              </w:rPr>
            </w:pPr>
            <w:r>
              <w:rPr>
                <w:rFonts w:ascii="Arial" w:cs="Arial" w:eastAsia="Arial" w:hAnsi="Arial"/>
                <w:sz w:val="17"/>
                <w:szCs w:val="17"/>
                <w:color w:val="auto"/>
                <w:w w:val="95"/>
              </w:rPr>
              <w:t>XBRL Instance Document - the instance document does not appear in the Interactive Data File because its XBRL tags are embedded</w:t>
            </w:r>
          </w:p>
        </w:tc>
      </w:tr>
      <w:tr>
        <w:trPr>
          <w:trHeight w:val="221"/>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14"/>
          </w:tcPr>
          <w:p>
            <w:pPr>
              <w:spacing w:after="0"/>
              <w:rPr>
                <w:sz w:val="20"/>
                <w:szCs w:val="20"/>
                <w:color w:val="auto"/>
              </w:rPr>
            </w:pPr>
            <w:r>
              <w:rPr>
                <w:rFonts w:ascii="Arial" w:cs="Arial" w:eastAsia="Arial" w:hAnsi="Arial"/>
                <w:sz w:val="17"/>
                <w:szCs w:val="17"/>
                <w:color w:val="auto"/>
              </w:rPr>
              <w:t>within the Inline XBRL document</w:t>
            </w:r>
          </w:p>
        </w:tc>
      </w:tr>
      <w:tr>
        <w:trPr>
          <w:trHeight w:val="221"/>
        </w:trPr>
        <w:tc>
          <w:tcPr>
            <w:tcW w:w="20" w:type="dxa"/>
            <w:vAlign w:val="bottom"/>
          </w:tcPr>
          <w:p>
            <w:pPr>
              <w:spacing w:after="0"/>
              <w:rPr>
                <w:sz w:val="19"/>
                <w:szCs w:val="19"/>
                <w:color w:val="auto"/>
              </w:rPr>
            </w:pPr>
          </w:p>
        </w:tc>
        <w:tc>
          <w:tcPr>
            <w:tcW w:w="1400" w:type="dxa"/>
            <w:vAlign w:val="bottom"/>
            <w:gridSpan w:val="6"/>
          </w:tcPr>
          <w:p>
            <w:pPr>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19"/>
                <w:szCs w:val="19"/>
                <w:color w:val="auto"/>
              </w:rPr>
            </w:pPr>
          </w:p>
        </w:tc>
        <w:tc>
          <w:tcPr>
            <w:tcW w:w="9640" w:type="dxa"/>
            <w:vAlign w:val="bottom"/>
            <w:gridSpan w:val="14"/>
          </w:tcPr>
          <w:p>
            <w:pPr>
              <w:spacing w:after="0"/>
              <w:rPr>
                <w:sz w:val="20"/>
                <w:szCs w:val="20"/>
                <w:color w:val="auto"/>
              </w:rPr>
            </w:pPr>
            <w:r>
              <w:rPr>
                <w:rFonts w:ascii="Arial" w:cs="Arial" w:eastAsia="Arial" w:hAnsi="Arial"/>
                <w:sz w:val="17"/>
                <w:szCs w:val="17"/>
                <w:color w:val="auto"/>
              </w:rPr>
              <w:t>XBRL Taxonomy Extension Schema Document</w:t>
            </w:r>
          </w:p>
        </w:tc>
      </w:tr>
      <w:tr>
        <w:trPr>
          <w:trHeight w:val="221"/>
        </w:trPr>
        <w:tc>
          <w:tcPr>
            <w:tcW w:w="20" w:type="dxa"/>
            <w:vAlign w:val="bottom"/>
          </w:tcPr>
          <w:p>
            <w:pPr>
              <w:spacing w:after="0"/>
              <w:rPr>
                <w:sz w:val="19"/>
                <w:szCs w:val="19"/>
                <w:color w:val="auto"/>
              </w:rPr>
            </w:pPr>
          </w:p>
        </w:tc>
        <w:tc>
          <w:tcPr>
            <w:tcW w:w="1400" w:type="dxa"/>
            <w:vAlign w:val="bottom"/>
            <w:gridSpan w:val="6"/>
          </w:tcPr>
          <w:p>
            <w:pPr>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19"/>
                <w:szCs w:val="19"/>
                <w:color w:val="auto"/>
              </w:rPr>
            </w:pPr>
          </w:p>
        </w:tc>
        <w:tc>
          <w:tcPr>
            <w:tcW w:w="9640" w:type="dxa"/>
            <w:vAlign w:val="bottom"/>
            <w:gridSpan w:val="14"/>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21"/>
        </w:trPr>
        <w:tc>
          <w:tcPr>
            <w:tcW w:w="20" w:type="dxa"/>
            <w:vAlign w:val="bottom"/>
          </w:tcPr>
          <w:p>
            <w:pPr>
              <w:spacing w:after="0"/>
              <w:rPr>
                <w:sz w:val="19"/>
                <w:szCs w:val="19"/>
                <w:color w:val="auto"/>
              </w:rPr>
            </w:pPr>
          </w:p>
        </w:tc>
        <w:tc>
          <w:tcPr>
            <w:tcW w:w="1400" w:type="dxa"/>
            <w:vAlign w:val="bottom"/>
            <w:gridSpan w:val="6"/>
          </w:tcPr>
          <w:p>
            <w:pPr>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19"/>
                <w:szCs w:val="19"/>
                <w:color w:val="auto"/>
              </w:rPr>
            </w:pPr>
          </w:p>
        </w:tc>
        <w:tc>
          <w:tcPr>
            <w:tcW w:w="9640" w:type="dxa"/>
            <w:vAlign w:val="bottom"/>
            <w:gridSpan w:val="14"/>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21"/>
        </w:trPr>
        <w:tc>
          <w:tcPr>
            <w:tcW w:w="20" w:type="dxa"/>
            <w:vAlign w:val="bottom"/>
          </w:tcPr>
          <w:p>
            <w:pPr>
              <w:spacing w:after="0"/>
              <w:rPr>
                <w:sz w:val="19"/>
                <w:szCs w:val="19"/>
                <w:color w:val="auto"/>
              </w:rPr>
            </w:pPr>
          </w:p>
        </w:tc>
        <w:tc>
          <w:tcPr>
            <w:tcW w:w="1400" w:type="dxa"/>
            <w:vAlign w:val="bottom"/>
            <w:gridSpan w:val="6"/>
          </w:tcPr>
          <w:p>
            <w:pPr>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19"/>
                <w:szCs w:val="19"/>
                <w:color w:val="auto"/>
              </w:rPr>
            </w:pPr>
          </w:p>
        </w:tc>
        <w:tc>
          <w:tcPr>
            <w:tcW w:w="9640" w:type="dxa"/>
            <w:vAlign w:val="bottom"/>
            <w:gridSpan w:val="14"/>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21"/>
        </w:trPr>
        <w:tc>
          <w:tcPr>
            <w:tcW w:w="20" w:type="dxa"/>
            <w:vAlign w:val="bottom"/>
          </w:tcPr>
          <w:p>
            <w:pPr>
              <w:spacing w:after="0"/>
              <w:rPr>
                <w:sz w:val="19"/>
                <w:szCs w:val="19"/>
                <w:color w:val="auto"/>
              </w:rPr>
            </w:pPr>
          </w:p>
        </w:tc>
        <w:tc>
          <w:tcPr>
            <w:tcW w:w="1400" w:type="dxa"/>
            <w:vAlign w:val="bottom"/>
            <w:gridSpan w:val="6"/>
          </w:tcPr>
          <w:p>
            <w:pPr>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19"/>
                <w:szCs w:val="19"/>
                <w:color w:val="auto"/>
              </w:rPr>
            </w:pPr>
          </w:p>
        </w:tc>
        <w:tc>
          <w:tcPr>
            <w:tcW w:w="9640" w:type="dxa"/>
            <w:vAlign w:val="bottom"/>
            <w:gridSpan w:val="14"/>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21"/>
        </w:trPr>
        <w:tc>
          <w:tcPr>
            <w:tcW w:w="400" w:type="dxa"/>
            <w:vAlign w:val="bottom"/>
            <w:gridSpan w:val="4"/>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14"/>
          </w:tcPr>
          <w:p>
            <w:pPr>
              <w:spacing w:after="0"/>
              <w:rPr>
                <w:sz w:val="20"/>
                <w:szCs w:val="20"/>
                <w:color w:val="auto"/>
              </w:rPr>
            </w:pPr>
            <w:r>
              <w:rPr>
                <w:rFonts w:ascii="Arial" w:cs="Arial" w:eastAsia="Arial" w:hAnsi="Arial"/>
                <w:sz w:val="17"/>
                <w:szCs w:val="17"/>
                <w:color w:val="auto"/>
              </w:rPr>
              <w:t>Cover Page Interactive Data File (formation in Inline XBRL and contained in Exhibit 101)</w:t>
            </w:r>
          </w:p>
        </w:tc>
      </w:tr>
    </w:tbl>
    <w:p>
      <w:pPr>
        <w:spacing w:after="0" w:line="200" w:lineRule="exact"/>
        <w:rPr>
          <w:sz w:val="20"/>
          <w:szCs w:val="20"/>
          <w:color w:val="auto"/>
        </w:rPr>
      </w:pPr>
    </w:p>
    <w:p>
      <w:pPr>
        <w:spacing w:after="0" w:line="335" w:lineRule="exact"/>
        <w:rPr>
          <w:sz w:val="20"/>
          <w:szCs w:val="20"/>
          <w:color w:val="auto"/>
        </w:rPr>
      </w:pPr>
    </w:p>
    <w:p>
      <w:pPr>
        <w:ind w:left="940" w:hanging="311"/>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69" w:lineRule="exact"/>
        <w:rPr>
          <w:sz w:val="20"/>
          <w:szCs w:val="20"/>
          <w:color w:val="auto"/>
        </w:rPr>
      </w:pPr>
    </w:p>
    <w:p>
      <w:pPr>
        <w:ind w:left="620"/>
        <w:spacing w:after="0"/>
        <w:tabs>
          <w:tab w:leader="none" w:pos="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164" w:lineRule="exact"/>
        <w:rPr>
          <w:sz w:val="20"/>
          <w:szCs w:val="20"/>
          <w:color w:val="auto"/>
        </w:rPr>
      </w:pPr>
    </w:p>
    <w:p>
      <w:pPr>
        <w:ind w:left="160" w:right="460" w:firstLine="469"/>
        <w:spacing w:after="0" w:line="28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536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7"/>
                <w:szCs w:val="17"/>
                <w:color w:val="auto"/>
              </w:rPr>
              <w:t>CrossFirst Bankshares Inc.</w:t>
            </w:r>
          </w:p>
        </w:tc>
      </w:tr>
      <w:tr>
        <w:trPr>
          <w:trHeight w:val="847"/>
        </w:trPr>
        <w:tc>
          <w:tcPr>
            <w:tcW w:w="5360" w:type="dxa"/>
            <w:vAlign w:val="bottom"/>
          </w:tcPr>
          <w:p>
            <w:pPr>
              <w:spacing w:after="0"/>
              <w:rPr>
                <w:sz w:val="20"/>
                <w:szCs w:val="20"/>
                <w:color w:val="auto"/>
              </w:rPr>
            </w:pPr>
            <w:r>
              <w:rPr>
                <w:rFonts w:ascii="Arial" w:cs="Arial" w:eastAsia="Arial" w:hAnsi="Arial"/>
                <w:sz w:val="17"/>
                <w:szCs w:val="17"/>
                <w:color w:val="auto"/>
              </w:rPr>
              <w:t>May 6, 2021</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David L. O’Toole</w:t>
            </w:r>
          </w:p>
        </w:tc>
      </w:tr>
      <w:tr>
        <w:trPr>
          <w:trHeight w:val="214"/>
        </w:trPr>
        <w:tc>
          <w:tcPr>
            <w:tcW w:w="53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7"/>
                <w:szCs w:val="17"/>
                <w:color w:val="auto"/>
              </w:rPr>
              <w:t>David L. O’Toole</w:t>
            </w:r>
          </w:p>
        </w:tc>
      </w:tr>
      <w:tr>
        <w:trPr>
          <w:trHeight w:val="221"/>
        </w:trPr>
        <w:tc>
          <w:tcPr>
            <w:tcW w:w="536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1"/>
        </w:trPr>
        <w:tc>
          <w:tcPr>
            <w:tcW w:w="536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7"/>
                <w:szCs w:val="17"/>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060"/>
          </w:cols>
          <w:pgMar w:left="320" w:top="127" w:right="51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2901950</wp:posOffset>
            </wp:positionH>
            <wp:positionV relativeFrom="page">
              <wp:posOffset>543560</wp:posOffset>
            </wp:positionV>
            <wp:extent cx="1753235" cy="9842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753235" cy="98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EMPLOYMENT AGREEMENT</w:t>
      </w:r>
    </w:p>
    <w:p>
      <w:pPr>
        <w:spacing w:after="0" w:line="258" w:lineRule="exact"/>
        <w:rPr>
          <w:sz w:val="20"/>
          <w:szCs w:val="20"/>
          <w:color w:val="auto"/>
        </w:rPr>
      </w:pPr>
    </w:p>
    <w:p>
      <w:pPr>
        <w:ind w:right="20" w:firstLine="625"/>
        <w:spacing w:after="0" w:line="259" w:lineRule="auto"/>
        <w:rPr>
          <w:sz w:val="20"/>
          <w:szCs w:val="20"/>
          <w:color w:val="auto"/>
        </w:rPr>
      </w:pPr>
      <w:r>
        <w:rPr>
          <w:rFonts w:ascii="Arial" w:cs="Arial" w:eastAsia="Arial" w:hAnsi="Arial"/>
          <w:sz w:val="19"/>
          <w:szCs w:val="19"/>
          <w:color w:val="auto"/>
        </w:rPr>
        <w:t>THIS EMPLOYMENT AGREEMENT (the "Agreement”) is effective as of January 27, 2021 (the "Effective Date")</w:t>
      </w:r>
      <w:r>
        <w:rPr>
          <w:rFonts w:ascii="Arial" w:cs="Arial" w:eastAsia="Arial" w:hAnsi="Arial"/>
          <w:sz w:val="19"/>
          <w:szCs w:val="19"/>
          <w:b w:val="1"/>
          <w:bCs w:val="1"/>
          <w:color w:val="auto"/>
        </w:rPr>
        <w:t>,</w:t>
      </w:r>
      <w:r>
        <w:rPr>
          <w:rFonts w:ascii="Arial" w:cs="Arial" w:eastAsia="Arial" w:hAnsi="Arial"/>
          <w:sz w:val="19"/>
          <w:szCs w:val="19"/>
          <w:color w:val="auto"/>
        </w:rPr>
        <w:t xml:space="preserve"> is by and between CrossFirst Bank, a state bank organized under the laws of the State of Kansas (the "Company"), CrossFirst Bankshares, Inc. a Kansas Corporation (the "Holding Company"), and Jana D. Merfen ("Employee"), with reference to the following facts: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198" w:lineRule="exact"/>
        <w:rPr>
          <w:sz w:val="20"/>
          <w:szCs w:val="20"/>
          <w:color w:val="auto"/>
        </w:rPr>
      </w:pPr>
    </w:p>
    <w:p>
      <w:pPr>
        <w:ind w:right="480" w:firstLine="625"/>
        <w:spacing w:after="0" w:line="269" w:lineRule="auto"/>
        <w:rPr>
          <w:sz w:val="20"/>
          <w:szCs w:val="20"/>
          <w:color w:val="auto"/>
        </w:rPr>
      </w:pPr>
      <w:r>
        <w:rPr>
          <w:rFonts w:ascii="Arial" w:cs="Arial" w:eastAsia="Arial" w:hAnsi="Arial"/>
          <w:sz w:val="19"/>
          <w:szCs w:val="19"/>
          <w:color w:val="auto"/>
        </w:rPr>
        <w:t>The parties have agreed to execute this Agreement in order to memorialize the terms and conditions on which the Company shall employ Employee from and after the Effective Date of this Agreement.</w:t>
      </w:r>
    </w:p>
    <w:p>
      <w:pPr>
        <w:spacing w:after="0" w:line="44" w:lineRule="exact"/>
        <w:rPr>
          <w:sz w:val="20"/>
          <w:szCs w:val="20"/>
          <w:color w:val="auto"/>
        </w:rPr>
      </w:pPr>
    </w:p>
    <w:p>
      <w:pPr>
        <w:ind w:right="200" w:firstLine="625"/>
        <w:spacing w:after="0" w:line="269" w:lineRule="auto"/>
        <w:rPr>
          <w:sz w:val="20"/>
          <w:szCs w:val="20"/>
          <w:color w:val="auto"/>
        </w:rPr>
      </w:pPr>
      <w:r>
        <w:rPr>
          <w:rFonts w:ascii="Arial" w:cs="Arial" w:eastAsia="Arial" w:hAnsi="Arial"/>
          <w:sz w:val="19"/>
          <w:szCs w:val="19"/>
          <w:color w:val="auto"/>
        </w:rPr>
        <w:t>Certain rights described below may inure to the benefit of other companies affiliated with the Company by virtue of being controlled by the Company or under common control with the Holding Company (“Affiliated Companies”).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AGREEMENTS: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Now, THEREFORE, the parties hereto, intending to be legally bound, do hereby agree as follows:</w:t>
      </w:r>
    </w:p>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8"/>
          <w:szCs w:val="18"/>
          <w:color w:val="auto"/>
        </w:rPr>
        <w:t>POSITION AND DUTIES.</w:t>
      </w:r>
    </w:p>
    <w:p>
      <w:pPr>
        <w:spacing w:after="0" w:line="81"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color w:val="auto"/>
        </w:rPr>
        <w:t>POSITION AND TITLE. The Company hereby hires Employee to serve as Managing Partner, Chief Technology Officer.</w:t>
      </w:r>
    </w:p>
    <w:p>
      <w:pPr>
        <w:spacing w:after="0" w:line="224" w:lineRule="exact"/>
        <w:rPr>
          <w:sz w:val="20"/>
          <w:szCs w:val="20"/>
          <w:color w:val="auto"/>
        </w:rPr>
      </w:pPr>
    </w:p>
    <w:p>
      <w:pPr>
        <w:ind w:left="1760" w:right="20" w:hanging="626"/>
        <w:spacing w:after="0" w:line="283" w:lineRule="auto"/>
        <w:tabs>
          <w:tab w:leader="none" w:pos="1778" w:val="left"/>
        </w:tabs>
        <w:numPr>
          <w:ilvl w:val="0"/>
          <w:numId w:val="22"/>
        </w:numPr>
        <w:rPr>
          <w:rFonts w:ascii="Arial" w:cs="Arial" w:eastAsia="Arial" w:hAnsi="Arial"/>
          <w:sz w:val="19"/>
          <w:szCs w:val="19"/>
          <w:color w:val="auto"/>
        </w:rPr>
      </w:pPr>
      <w:r>
        <w:rPr>
          <w:rFonts w:ascii="Arial" w:cs="Arial" w:eastAsia="Arial" w:hAnsi="Arial"/>
          <w:sz w:val="17"/>
          <w:szCs w:val="17"/>
          <w:color w:val="auto"/>
        </w:rPr>
        <w:t>LIMITS ON AUTHORITY. Employee shall, to the best of her abilities, perform her duties in such capacity pursuant to this Agreement in compliance with applicable law, consistent with such direction as the Company provides to Employee from time to time, and in accordance with Company's policies and procedures as published from time to time.</w:t>
      </w:r>
    </w:p>
    <w:p>
      <w:pPr>
        <w:spacing w:after="0" w:line="114" w:lineRule="exact"/>
        <w:rPr>
          <w:rFonts w:ascii="Arial" w:cs="Arial" w:eastAsia="Arial" w:hAnsi="Arial"/>
          <w:sz w:val="19"/>
          <w:szCs w:val="19"/>
          <w:color w:val="auto"/>
        </w:rPr>
      </w:pPr>
    </w:p>
    <w:p>
      <w:pPr>
        <w:ind w:left="1760" w:hanging="626"/>
        <w:spacing w:after="0" w:line="274" w:lineRule="auto"/>
        <w:tabs>
          <w:tab w:leader="none" w:pos="1765" w:val="left"/>
        </w:tabs>
        <w:numPr>
          <w:ilvl w:val="0"/>
          <w:numId w:val="22"/>
        </w:numPr>
        <w:rPr>
          <w:rFonts w:ascii="Arial" w:cs="Arial" w:eastAsia="Arial" w:hAnsi="Arial"/>
          <w:sz w:val="19"/>
          <w:szCs w:val="19"/>
          <w:color w:val="auto"/>
        </w:rPr>
      </w:pPr>
      <w:r>
        <w:rPr>
          <w:rFonts w:ascii="Arial" w:cs="Arial" w:eastAsia="Arial" w:hAnsi="Arial"/>
          <w:sz w:val="17"/>
          <w:szCs w:val="17"/>
          <w:color w:val="auto"/>
        </w:rPr>
        <w:t>REPORTING AND AUTHORITY. Employee shall report to the Company as directed by the Company. Subject to the directions of the Company, Employee shall have full authority and responsibility for supervising and managing to the best of her ability, the daily affairs in her scope of work or as assigned including but not limited to: (i) provide strategic technology leadership with an integral role in the growth and continued development of digital services and automation and data strategies (ii) working with the Company to develop and approve business objectives, policies and plans that improve the Company’s profitability; (iii) communicating business objectives and plans to subordinates, (iv) working with the Company to ensure the technology strategy meets the long-term business strategy (v) identifying technology investment and innovation opportunities and managing the internal data environment to support data analytics solutions, (vi) providing periodic financial information concerning the operations of the projects and growth plans to the Company, and (vii) ensuring that the operation of the projects comply with applicable laws.</w:t>
      </w:r>
    </w:p>
    <w:p>
      <w:pPr>
        <w:spacing w:after="0" w:line="112" w:lineRule="exact"/>
        <w:rPr>
          <w:sz w:val="20"/>
          <w:szCs w:val="20"/>
          <w:color w:val="auto"/>
        </w:rPr>
      </w:pPr>
    </w:p>
    <w:p>
      <w:pPr>
        <w:ind w:left="920" w:right="40" w:hanging="624"/>
        <w:spacing w:after="0" w:line="251" w:lineRule="auto"/>
        <w:tabs>
          <w:tab w:leader="none" w:pos="900" w:val="left"/>
        </w:tabs>
        <w:rPr>
          <w:sz w:val="20"/>
          <w:szCs w:val="20"/>
          <w:color w:val="auto"/>
        </w:rPr>
      </w:pPr>
      <w:r>
        <w:rPr>
          <w:rFonts w:ascii="Arial" w:cs="Arial" w:eastAsia="Arial" w:hAnsi="Arial"/>
          <w:sz w:val="19"/>
          <w:szCs w:val="19"/>
          <w:color w:val="auto"/>
        </w:rPr>
        <w:t>1.2</w:t>
        <w:tab/>
        <w:t>ACCEPTANCE. Employee hereby accepts employment by the Company in the capacity set forth in Section 1.1, above, and agrees to perform the duties of such position from and after the Effective Date of this Agreement in a diligent, efficient, trustworthy, and businesslike manner. Employee agrees that, to the best of the Employee's ability and experience, Employee at all times shall loyally and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980"/>
          </w:cols>
          <w:pgMar w:left="440" w:top="1440" w:right="479" w:bottom="1440" w:gutter="0" w:footer="0" w:header="0"/>
        </w:sectPr>
      </w:pPr>
    </w:p>
    <w:bookmarkStart w:id="51" w:name="page52"/>
    <w:bookmarkEnd w:id="51"/>
    <w:p>
      <w:pPr>
        <w:jc w:val="center"/>
        <w:ind w:right="-110"/>
        <w:spacing w:after="0"/>
        <w:rPr>
          <w:sz w:val="20"/>
          <w:szCs w:val="20"/>
          <w:color w:val="auto"/>
        </w:rPr>
      </w:pPr>
      <w:r>
        <w:rPr>
          <w:rFonts w:ascii="Arial" w:cs="Arial" w:eastAsia="Arial" w:hAnsi="Arial"/>
          <w:sz w:val="19"/>
          <w:szCs w:val="19"/>
          <w:color w:val="auto"/>
        </w:rPr>
        <w:t>conscientiously discharge all of the duties and responsibilities imposed upon Employee pursuant to this Agreement.</w:t>
      </w:r>
    </w:p>
    <w:p>
      <w:pPr>
        <w:spacing w:after="0" w:line="133" w:lineRule="exact"/>
        <w:rPr>
          <w:sz w:val="20"/>
          <w:szCs w:val="20"/>
          <w:color w:val="auto"/>
        </w:rPr>
      </w:pPr>
    </w:p>
    <w:p>
      <w:pPr>
        <w:jc w:val="both"/>
        <w:ind w:left="971" w:right="380" w:hanging="624"/>
        <w:spacing w:after="0" w:line="256" w:lineRule="auto"/>
        <w:tabs>
          <w:tab w:leader="none" w:pos="950" w:val="left"/>
        </w:tabs>
        <w:rPr>
          <w:sz w:val="20"/>
          <w:szCs w:val="20"/>
          <w:color w:val="auto"/>
        </w:rPr>
      </w:pPr>
      <w:r>
        <w:rPr>
          <w:rFonts w:ascii="Arial" w:cs="Arial" w:eastAsia="Arial" w:hAnsi="Arial"/>
          <w:sz w:val="19"/>
          <w:szCs w:val="19"/>
          <w:color w:val="auto"/>
        </w:rPr>
        <w:t>1.3</w:t>
        <w:tab/>
        <w:t>BUSINESS TIME. Employee shall devote her exclusive business time to the performance of her duties to the Company under Section 1.1 and elsewhere in this Agreement. Employee shall not undertake any activities that conflict with or significantly detract from her primary duties to the Company.</w:t>
      </w:r>
    </w:p>
    <w:p>
      <w:pPr>
        <w:spacing w:after="0" w:line="108" w:lineRule="exact"/>
        <w:rPr>
          <w:sz w:val="20"/>
          <w:szCs w:val="20"/>
          <w:color w:val="auto"/>
        </w:rPr>
      </w:pPr>
    </w:p>
    <w:p>
      <w:pPr>
        <w:ind w:left="931" w:right="80" w:hanging="624"/>
        <w:spacing w:after="0" w:line="270" w:lineRule="auto"/>
        <w:tabs>
          <w:tab w:leader="none" w:pos="91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8"/>
          <w:szCs w:val="18"/>
          <w:color w:val="auto"/>
        </w:rPr>
        <w:t>LOCATION. Employee shall perform her duties under this Agreement primarily in Leawood, Kansas and potentially other regions of the United States where the Company, or its Affiliated Companies, are active in conducting banking and other related service activities. Employee acknowledges and agrees that from time to time she shall be required to travel (at the cost and expense of the Company) to such other locations in order to discharge her duties under this Agreement.</w:t>
      </w:r>
    </w:p>
    <w:p>
      <w:pPr>
        <w:spacing w:after="0" w:line="97" w:lineRule="exact"/>
        <w:rPr>
          <w:sz w:val="20"/>
          <w:szCs w:val="20"/>
          <w:color w:val="auto"/>
        </w:rPr>
      </w:pPr>
    </w:p>
    <w:p>
      <w:pPr>
        <w:ind w:left="931" w:right="80" w:hanging="624"/>
        <w:spacing w:after="0" w:line="251" w:lineRule="auto"/>
        <w:tabs>
          <w:tab w:leader="none" w:pos="910" w:val="left"/>
        </w:tabs>
        <w:rPr>
          <w:sz w:val="20"/>
          <w:szCs w:val="20"/>
          <w:color w:val="auto"/>
        </w:rPr>
      </w:pPr>
      <w:r>
        <w:rPr>
          <w:rFonts w:ascii="Arial" w:cs="Arial" w:eastAsia="Arial" w:hAnsi="Arial"/>
          <w:sz w:val="19"/>
          <w:szCs w:val="19"/>
          <w:color w:val="auto"/>
        </w:rPr>
        <w:t>1.5</w:t>
        <w:tab/>
        <w:t>TERM. The term of this Agreement commenced as of the Effective Date and shall be for a term of two (2) years, which term shall thereafter automatically renew for successive one (1) year terms unless: i) Company or Employee serve a Notice of Termination upon the other party of intent to not renew the term of this Agreement within thirty (30) days prior to the ensuing termination date, or ii) earlier terminated in accordance with Section 3, below.</w:t>
      </w:r>
    </w:p>
    <w:p>
      <w:pPr>
        <w:spacing w:after="0" w:line="102" w:lineRule="exact"/>
        <w:rPr>
          <w:sz w:val="20"/>
          <w:szCs w:val="20"/>
          <w:color w:val="auto"/>
        </w:rPr>
      </w:pPr>
    </w:p>
    <w:p>
      <w:pPr>
        <w:ind w:left="931" w:right="100" w:hanging="624"/>
        <w:spacing w:after="0" w:line="261" w:lineRule="auto"/>
        <w:tabs>
          <w:tab w:leader="none" w:pos="91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color w:val="auto"/>
        </w:rPr>
        <w:t>STOCKHOLDING REQUIREMENT. The Board of Directors of the Company believes that it will be essential for Employee to participate in the Company’s future growth as an equity stakeholder as well as an employee. As a condition to Employee’s employment with the Company, Employee will be required to hold a minimum of two hundred thousand dollars ($200,000) worth of Company stock (“Required Stock”). As a condition of Employee’s continued employment with the Company, Employee shall not sell or transfer any Required Stock without the prior consent of the Compensation Committee of the Board of Directors (the “Compensation Committee"). In the event Employee fails to hold sufficient Company stock with a value equal to or in excess of the required minimum value for more than ninety (90) consecutive days, and unless such requirement is waived by the Compensation Committee, Employee shall be deemed to be in material breach of this Agreement. Employee will have three years from the date hereof to reach the Required Stock threshold.</w:t>
      </w:r>
    </w:p>
    <w:p>
      <w:pPr>
        <w:spacing w:after="0" w:line="110" w:lineRule="exact"/>
        <w:rPr>
          <w:sz w:val="20"/>
          <w:szCs w:val="20"/>
          <w:color w:val="auto"/>
        </w:rPr>
      </w:pPr>
    </w:p>
    <w:p>
      <w:pPr>
        <w:ind w:left="491" w:right="1600" w:hanging="491"/>
        <w:spacing w:after="0" w:line="349" w:lineRule="auto"/>
        <w:tabs>
          <w:tab w:leader="none" w:pos="325"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COMPENSATION. The Company shall compensate Employee for her services pursuant to this Agreement as follows: 2.1 BASE COMPENSATION.</w:t>
      </w:r>
    </w:p>
    <w:p>
      <w:pPr>
        <w:spacing w:after="0" w:line="2" w:lineRule="exact"/>
        <w:rPr>
          <w:rFonts w:ascii="Arial" w:cs="Arial" w:eastAsia="Arial" w:hAnsi="Arial"/>
          <w:sz w:val="19"/>
          <w:szCs w:val="19"/>
          <w:color w:val="auto"/>
        </w:rPr>
      </w:pPr>
    </w:p>
    <w:p>
      <w:pPr>
        <w:ind w:left="1751" w:hanging="626"/>
        <w:spacing w:after="0" w:line="243" w:lineRule="auto"/>
        <w:tabs>
          <w:tab w:leader="none" w:pos="1768" w:val="left"/>
        </w:tabs>
        <w:numPr>
          <w:ilvl w:val="1"/>
          <w:numId w:val="23"/>
        </w:numPr>
        <w:rPr>
          <w:rFonts w:ascii="Arial" w:cs="Arial" w:eastAsia="Arial" w:hAnsi="Arial"/>
          <w:sz w:val="21"/>
          <w:szCs w:val="21"/>
          <w:color w:val="auto"/>
        </w:rPr>
      </w:pPr>
      <w:r>
        <w:rPr>
          <w:rFonts w:ascii="Arial" w:cs="Arial" w:eastAsia="Arial" w:hAnsi="Arial"/>
          <w:sz w:val="19"/>
          <w:szCs w:val="19"/>
          <w:color w:val="auto"/>
        </w:rPr>
        <w:t>BASE SALARY. The Company shall pay to Employee an annual salary in the amount of Three Hundred Thousand Dollars ("Base Salary"), payable in periodic installments in accordance with the Company's regular payroll practices as in effect from time to time. Such annual salary shall be subject to approval by the Compensation Committee. In addition, such annual salary is subject to periodic increases, in such amounts (if any) as the Company may determine to be appropriate, at the time of Employee's annual review pursuant to Section 2.1(b), below, or at such other times (if any) as the Company may select.</w:t>
      </w:r>
    </w:p>
    <w:p>
      <w:pPr>
        <w:spacing w:after="0" w:line="160" w:lineRule="exact"/>
        <w:rPr>
          <w:rFonts w:ascii="Arial" w:cs="Arial" w:eastAsia="Arial" w:hAnsi="Arial"/>
          <w:sz w:val="21"/>
          <w:szCs w:val="21"/>
          <w:color w:val="auto"/>
        </w:rPr>
      </w:pPr>
    </w:p>
    <w:p>
      <w:pPr>
        <w:ind w:left="1751" w:right="20" w:hanging="626"/>
        <w:spacing w:after="0" w:line="243" w:lineRule="auto"/>
        <w:tabs>
          <w:tab w:leader="none" w:pos="1755" w:val="left"/>
        </w:tabs>
        <w:numPr>
          <w:ilvl w:val="1"/>
          <w:numId w:val="23"/>
        </w:numPr>
        <w:rPr>
          <w:rFonts w:ascii="Arial" w:cs="Arial" w:eastAsia="Arial" w:hAnsi="Arial"/>
          <w:sz w:val="21"/>
          <w:szCs w:val="21"/>
          <w:color w:val="auto"/>
        </w:rPr>
      </w:pPr>
      <w:r>
        <w:rPr>
          <w:rFonts w:ascii="Arial" w:cs="Arial" w:eastAsia="Arial" w:hAnsi="Arial"/>
          <w:sz w:val="19"/>
          <w:szCs w:val="19"/>
          <w:color w:val="auto"/>
        </w:rPr>
        <w:t>PERIODIC REVIEWS. The Company shall review Employee's performance of her duties pursuant to this Agreement at least annually and from time to time and advise Employee of the results of that review. In connection with each such review, the Company shall evaluate whether any increase in Employee's compensation under Section 2.1(a), above, is appropriate. Any annual salary increase shall be effective as of such date as the Company, in its discretion, determines to be appropriate.</w:t>
      </w:r>
    </w:p>
    <w:p>
      <w:pPr>
        <w:spacing w:after="0" w:line="212" w:lineRule="exact"/>
        <w:rPr>
          <w:sz w:val="20"/>
          <w:szCs w:val="20"/>
          <w:color w:val="auto"/>
        </w:rPr>
      </w:pPr>
    </w:p>
    <w:p>
      <w:pPr>
        <w:ind w:left="491"/>
        <w:spacing w:after="0"/>
        <w:tabs>
          <w:tab w:leader="none" w:pos="101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color w:val="auto"/>
        </w:rPr>
        <w:t>BONUSES.</w:t>
      </w:r>
    </w:p>
    <w:p>
      <w:pPr>
        <w:spacing w:after="0" w:line="94" w:lineRule="exact"/>
        <w:rPr>
          <w:sz w:val="20"/>
          <w:szCs w:val="20"/>
          <w:color w:val="auto"/>
        </w:rPr>
      </w:pPr>
    </w:p>
    <w:p>
      <w:pPr>
        <w:ind w:left="1751" w:right="40" w:hanging="626"/>
        <w:spacing w:after="0" w:line="251" w:lineRule="auto"/>
        <w:tabs>
          <w:tab w:leader="none" w:pos="17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CRITERIA. Employee shall be eligible to receive periodic incentive bonuses under the Company’s Incentive Plan (the "Bonuses") in such amounts, if any, and at such times as may be determined by the Compensation Committee, in its sole discretion. Employee’s bonus opportunity shall be 40% of Employee’s Base Salary. By no later than March 15th of each year,</w:t>
      </w:r>
    </w:p>
    <w:p>
      <w:pPr>
        <w:spacing w:after="0" w:line="200" w:lineRule="exact"/>
        <w:rPr>
          <w:sz w:val="20"/>
          <w:szCs w:val="20"/>
          <w:color w:val="auto"/>
        </w:rPr>
      </w:pPr>
    </w:p>
    <w:p>
      <w:pPr>
        <w:spacing w:after="0" w:line="349"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91"/>
          </w:cols>
          <w:pgMar w:left="449" w:top="839" w:right="459" w:bottom="1440" w:gutter="0" w:footer="0" w:header="0"/>
        </w:sectPr>
      </w:pPr>
    </w:p>
    <w:bookmarkStart w:id="52" w:name="page53"/>
    <w:bookmarkEnd w:id="52"/>
    <w:p>
      <w:pPr>
        <w:ind w:left="1260"/>
        <w:spacing w:after="0" w:line="269" w:lineRule="auto"/>
        <w:rPr>
          <w:sz w:val="20"/>
          <w:szCs w:val="20"/>
          <w:color w:val="auto"/>
        </w:rPr>
      </w:pPr>
      <w:r>
        <w:rPr>
          <w:rFonts w:ascii="Arial" w:cs="Arial" w:eastAsia="Arial" w:hAnsi="Arial"/>
          <w:sz w:val="19"/>
          <w:szCs w:val="19"/>
          <w:color w:val="auto"/>
        </w:rPr>
        <w:t>the Compensation Committee will define the terms and conditions of such Bonuses for Employee for the following year based upon reasonable, measurable and obtainable goals for Employee and the Company.</w:t>
      </w:r>
    </w:p>
    <w:p>
      <w:pPr>
        <w:spacing w:after="0" w:line="135" w:lineRule="exact"/>
        <w:rPr>
          <w:sz w:val="20"/>
          <w:szCs w:val="20"/>
          <w:color w:val="auto"/>
        </w:rPr>
      </w:pPr>
    </w:p>
    <w:p>
      <w:pPr>
        <w:jc w:val="both"/>
        <w:ind w:left="1260" w:right="80" w:hanging="626"/>
        <w:spacing w:after="0" w:line="243" w:lineRule="auto"/>
        <w:tabs>
          <w:tab w:leader="none" w:pos="1265" w:val="left"/>
        </w:tabs>
        <w:numPr>
          <w:ilvl w:val="0"/>
          <w:numId w:val="25"/>
        </w:numPr>
        <w:rPr>
          <w:rFonts w:ascii="Arial" w:cs="Arial" w:eastAsia="Arial" w:hAnsi="Arial"/>
          <w:sz w:val="21"/>
          <w:szCs w:val="21"/>
          <w:color w:val="auto"/>
        </w:rPr>
      </w:pPr>
      <w:r>
        <w:rPr>
          <w:rFonts w:ascii="Arial" w:cs="Arial" w:eastAsia="Arial" w:hAnsi="Arial"/>
          <w:sz w:val="19"/>
          <w:szCs w:val="19"/>
          <w:color w:val="auto"/>
        </w:rPr>
        <w:t>TIMING OF PAYMENT. The Bonus, if any, payable for each calendar year during the term of this Agreement shall be payable on or before March 15st of the calendar year immediately following the end of the calendar year in which such Bonus is earned.</w:t>
      </w:r>
    </w:p>
    <w:p>
      <w:pPr>
        <w:spacing w:after="0" w:line="134" w:lineRule="exact"/>
        <w:rPr>
          <w:sz w:val="20"/>
          <w:szCs w:val="20"/>
          <w:color w:val="auto"/>
        </w:rPr>
      </w:pPr>
    </w:p>
    <w:p>
      <w:pPr>
        <w:spacing w:after="0"/>
        <w:tabs>
          <w:tab w:leader="none" w:pos="42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color w:val="auto"/>
        </w:rPr>
        <w:t>FRINGE BENEFITS/VACATION.</w:t>
      </w:r>
    </w:p>
    <w:p>
      <w:pPr>
        <w:spacing w:after="0" w:line="94" w:lineRule="exact"/>
        <w:rPr>
          <w:sz w:val="20"/>
          <w:szCs w:val="20"/>
          <w:color w:val="auto"/>
        </w:rPr>
      </w:pPr>
    </w:p>
    <w:p>
      <w:pPr>
        <w:ind w:left="1260" w:right="960" w:hanging="626"/>
        <w:spacing w:after="0" w:line="297" w:lineRule="auto"/>
        <w:tabs>
          <w:tab w:leader="none" w:pos="1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VACATION. Employee is trusted to take reasonable vacation time when needed. Employee will not receive compensation upon termination or credit in future calendar years for any unused vacation time.</w:t>
      </w:r>
    </w:p>
    <w:p>
      <w:pPr>
        <w:spacing w:after="0" w:line="112" w:lineRule="exact"/>
        <w:rPr>
          <w:rFonts w:ascii="Arial" w:cs="Arial" w:eastAsia="Arial" w:hAnsi="Arial"/>
          <w:sz w:val="18"/>
          <w:szCs w:val="18"/>
          <w:color w:val="auto"/>
        </w:rPr>
      </w:pPr>
    </w:p>
    <w:p>
      <w:pPr>
        <w:ind w:left="1260" w:right="20" w:hanging="626"/>
        <w:spacing w:after="0" w:line="243" w:lineRule="auto"/>
        <w:tabs>
          <w:tab w:leader="none" w:pos="1265" w:val="left"/>
        </w:tabs>
        <w:numPr>
          <w:ilvl w:val="0"/>
          <w:numId w:val="26"/>
        </w:numPr>
        <w:rPr>
          <w:rFonts w:ascii="Arial" w:cs="Arial" w:eastAsia="Arial" w:hAnsi="Arial"/>
          <w:sz w:val="21"/>
          <w:szCs w:val="21"/>
          <w:color w:val="auto"/>
        </w:rPr>
      </w:pPr>
      <w:r>
        <w:rPr>
          <w:rFonts w:ascii="Arial" w:cs="Arial" w:eastAsia="Arial" w:hAnsi="Arial"/>
          <w:sz w:val="19"/>
          <w:szCs w:val="19"/>
          <w:color w:val="auto"/>
        </w:rPr>
        <w:t>OTHER FRINGE BENEFITS. Employee shall be eligible to participate, on the same terms and conditions as all other employees of the Company, in all reasonable and customary fringe benefit plans made available to the employees of the Company and its Affiliated Companies, including but not limited to, Group Health Insurance (medical, vision and dental) and Long and Short Term Disability Insurance.</w:t>
      </w:r>
    </w:p>
    <w:p>
      <w:pPr>
        <w:spacing w:after="0" w:line="159" w:lineRule="exact"/>
        <w:rPr>
          <w:rFonts w:ascii="Arial" w:cs="Arial" w:eastAsia="Arial" w:hAnsi="Arial"/>
          <w:sz w:val="21"/>
          <w:szCs w:val="21"/>
          <w:color w:val="auto"/>
        </w:rPr>
      </w:pPr>
    </w:p>
    <w:p>
      <w:pPr>
        <w:ind w:left="1260" w:hanging="626"/>
        <w:spacing w:after="0" w:line="279" w:lineRule="auto"/>
        <w:tabs>
          <w:tab w:leader="none" w:pos="1279" w:val="left"/>
        </w:tabs>
        <w:numPr>
          <w:ilvl w:val="0"/>
          <w:numId w:val="26"/>
        </w:numPr>
        <w:rPr>
          <w:rFonts w:ascii="Arial" w:cs="Arial" w:eastAsia="Arial" w:hAnsi="Arial"/>
          <w:sz w:val="19"/>
          <w:szCs w:val="19"/>
          <w:color w:val="auto"/>
        </w:rPr>
      </w:pPr>
      <w:r>
        <w:rPr>
          <w:rFonts w:ascii="Arial" w:cs="Arial" w:eastAsia="Arial" w:hAnsi="Arial"/>
          <w:sz w:val="17"/>
          <w:szCs w:val="17"/>
          <w:color w:val="auto"/>
        </w:rPr>
        <w:t>MOBILE COMMUNICATIONS. The Company at its expense shall provide Employee with iPhones and iPads and data plan for her use in connection with the Company’s business with a provider acceptable to the Company. Employee shall use and maintain such devises in a reasonable manner. The Company shall pay for the purchase of such initial devices for Employee’s use and a replacement when such devices are eligible for full replacement under Employee’s data plan.</w:t>
      </w:r>
    </w:p>
    <w:p>
      <w:pPr>
        <w:spacing w:after="0" w:line="132" w:lineRule="exact"/>
        <w:rPr>
          <w:rFonts w:ascii="Arial" w:cs="Arial" w:eastAsia="Arial" w:hAnsi="Arial"/>
          <w:sz w:val="19"/>
          <w:szCs w:val="19"/>
          <w:color w:val="auto"/>
        </w:rPr>
      </w:pPr>
    </w:p>
    <w:p>
      <w:pPr>
        <w:ind w:left="1260" w:right="180" w:hanging="626"/>
        <w:spacing w:after="0" w:line="243" w:lineRule="auto"/>
        <w:tabs>
          <w:tab w:leader="none" w:pos="1265" w:val="left"/>
        </w:tabs>
        <w:numPr>
          <w:ilvl w:val="0"/>
          <w:numId w:val="26"/>
        </w:numPr>
        <w:rPr>
          <w:rFonts w:ascii="Arial" w:cs="Arial" w:eastAsia="Arial" w:hAnsi="Arial"/>
          <w:sz w:val="21"/>
          <w:szCs w:val="21"/>
          <w:color w:val="auto"/>
        </w:rPr>
      </w:pPr>
      <w:r>
        <w:rPr>
          <w:rFonts w:ascii="Arial" w:cs="Arial" w:eastAsia="Arial" w:hAnsi="Arial"/>
          <w:sz w:val="19"/>
          <w:szCs w:val="19"/>
          <w:color w:val="auto"/>
        </w:rPr>
        <w:t>AUTOMOBILE ALLOWANCE. The Company shall provide Employee with an automobile allowance of $600 per month, prorated for partial months worked, which shall be in lieu of any expense reimbursement for automobile or automobile-related expenditures (other than expenditures for car service or other transportation costs associated with Employee's business travel, which shall be reimbursed in accordance with the terms of Section 2.4, below) or use of a Company owned or leased vehicle.</w:t>
      </w:r>
    </w:p>
    <w:p>
      <w:pPr>
        <w:spacing w:after="0" w:line="290" w:lineRule="exact"/>
        <w:rPr>
          <w:sz w:val="20"/>
          <w:szCs w:val="20"/>
          <w:color w:val="auto"/>
        </w:rPr>
      </w:pPr>
    </w:p>
    <w:p>
      <w:pPr>
        <w:ind w:left="440" w:hanging="624"/>
        <w:spacing w:after="0" w:line="270" w:lineRule="auto"/>
        <w:tabs>
          <w:tab w:leader="none" w:pos="42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color w:val="auto"/>
        </w:rPr>
        <w:t>REIMBURSEMENT OF EXPENSES. The Company shall reimburse Employee for business expenses incurred by Employee in the performance of her duties, provided that such expenses are authorized under the Company’s Expense Reimbursement policy, in reasonable amounts, incurred for ordinary and necessary Company-related business expenses and are supported by itemized accountings and expense receipts that are timely submitted to the Company prior to any reimbursement.</w:t>
      </w:r>
    </w:p>
    <w:p>
      <w:pPr>
        <w:spacing w:after="0" w:line="319" w:lineRule="exact"/>
        <w:rPr>
          <w:sz w:val="20"/>
          <w:szCs w:val="20"/>
          <w:color w:val="auto"/>
        </w:rPr>
      </w:pPr>
    </w:p>
    <w:p>
      <w:pPr>
        <w:ind w:left="440" w:hanging="624"/>
        <w:spacing w:after="0" w:line="246" w:lineRule="auto"/>
        <w:tabs>
          <w:tab w:leader="none" w:pos="420" w:val="left"/>
        </w:tabs>
        <w:rPr>
          <w:sz w:val="20"/>
          <w:szCs w:val="20"/>
          <w:color w:val="auto"/>
        </w:rPr>
      </w:pPr>
      <w:r>
        <w:rPr>
          <w:rFonts w:ascii="Arial" w:cs="Arial" w:eastAsia="Arial" w:hAnsi="Arial"/>
          <w:sz w:val="19"/>
          <w:szCs w:val="19"/>
          <w:color w:val="auto"/>
        </w:rPr>
        <w:t>2.5</w:t>
        <w:tab/>
        <w:t>EQUITY INCENTIVE PLAN. As an active key employee in Company and its affiliates, Employee shall have the right to participate in the current CrossFirst Bankshares, Inc. 2018 Omnibus Equity Incentive Plan, (the “Equity Incentive Plan”) for certain eligible key employees, a copy of which has been provided by Employer. As a part of Employee’s compensation under this Agreement, Employee shall have the right to participate in the Equity Incentive Plan as determined by the Committee, subject to vesting and other rights described in the Equity Incentive Plan or approved by the Compensation Committee. Employee’s rights in any equity may change in accordance with the provisions of the Equity Incentive Plan. The Committee reserves the right, in its sole discretion and at any time, to change the type of equity incentive awards granted to Employee, provided that the Committee shall only grant to Employee awards which may be granted under the terms of the Equity Incentive Plan. For 2021, you will receive a grant of 10,000 time-based RSUs that will vest in 1/3 increments. You will be eligible for additional awards under the Equity Incentive Plan in 2022.</w:t>
      </w:r>
    </w:p>
    <w:p>
      <w:pPr>
        <w:spacing w:after="0" w:line="200" w:lineRule="exact"/>
        <w:rPr>
          <w:sz w:val="20"/>
          <w:szCs w:val="20"/>
          <w:color w:val="auto"/>
        </w:rPr>
      </w:pPr>
    </w:p>
    <w:p>
      <w:pPr>
        <w:spacing w:after="0" w:line="27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40"/>
          </w:cols>
          <w:pgMar w:left="940" w:top="748" w:right="519" w:bottom="1440" w:gutter="0" w:footer="0" w:header="0"/>
        </w:sectPr>
      </w:pPr>
    </w:p>
    <w:bookmarkStart w:id="53" w:name="page54"/>
    <w:bookmarkEnd w:id="53"/>
    <w:p>
      <w:pPr>
        <w:spacing w:after="0"/>
        <w:tabs>
          <w:tab w:leader="none" w:pos="32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8"/>
          <w:szCs w:val="18"/>
          <w:color w:val="auto"/>
        </w:rPr>
        <w:t>TERMINATION.</w:t>
      </w:r>
    </w:p>
    <w:p>
      <w:pPr>
        <w:spacing w:after="0" w:line="211"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color w:val="auto"/>
        </w:rPr>
        <w:t>DEFINTIONS. For purposes of this Agreement, the term:</w:t>
      </w:r>
    </w:p>
    <w:p>
      <w:pPr>
        <w:spacing w:after="0" w:line="263" w:lineRule="exact"/>
        <w:rPr>
          <w:sz w:val="20"/>
          <w:szCs w:val="20"/>
          <w:color w:val="auto"/>
        </w:rPr>
      </w:pPr>
    </w:p>
    <w:p>
      <w:pPr>
        <w:ind w:left="1720" w:right="20" w:hanging="626"/>
        <w:spacing w:after="0" w:line="243" w:lineRule="auto"/>
        <w:tabs>
          <w:tab w:leader="none" w:pos="1738" w:val="left"/>
        </w:tabs>
        <w:numPr>
          <w:ilvl w:val="0"/>
          <w:numId w:val="27"/>
        </w:numPr>
        <w:rPr>
          <w:rFonts w:ascii="Arial" w:cs="Arial" w:eastAsia="Arial" w:hAnsi="Arial"/>
          <w:sz w:val="21"/>
          <w:szCs w:val="21"/>
          <w:color w:val="auto"/>
        </w:rPr>
      </w:pPr>
      <w:r>
        <w:rPr>
          <w:rFonts w:ascii="Arial" w:cs="Arial" w:eastAsia="Arial" w:hAnsi="Arial"/>
          <w:sz w:val="19"/>
          <w:szCs w:val="19"/>
          <w:color w:val="auto"/>
        </w:rPr>
        <w:t>“DATE OF TERMINATION” or "TERMINATION DATE" shall mean the date specified in a Notice of Termination (as defined below).</w:t>
      </w:r>
    </w:p>
    <w:p>
      <w:pPr>
        <w:spacing w:after="0" w:line="159" w:lineRule="exact"/>
        <w:rPr>
          <w:rFonts w:ascii="Arial" w:cs="Arial" w:eastAsia="Arial" w:hAnsi="Arial"/>
          <w:sz w:val="21"/>
          <w:szCs w:val="21"/>
          <w:color w:val="auto"/>
        </w:rPr>
      </w:pPr>
    </w:p>
    <w:p>
      <w:pPr>
        <w:ind w:left="1720" w:right="20" w:hanging="626"/>
        <w:spacing w:after="0" w:line="259" w:lineRule="auto"/>
        <w:tabs>
          <w:tab w:leader="none" w:pos="1725" w:val="left"/>
        </w:tabs>
        <w:numPr>
          <w:ilvl w:val="0"/>
          <w:numId w:val="27"/>
        </w:numPr>
        <w:rPr>
          <w:rFonts w:ascii="Arial" w:cs="Arial" w:eastAsia="Arial" w:hAnsi="Arial"/>
          <w:sz w:val="20"/>
          <w:szCs w:val="20"/>
          <w:color w:val="auto"/>
        </w:rPr>
      </w:pPr>
      <w:r>
        <w:rPr>
          <w:rFonts w:ascii="Arial" w:cs="Arial" w:eastAsia="Arial" w:hAnsi="Arial"/>
          <w:sz w:val="18"/>
          <w:szCs w:val="18"/>
          <w:color w:val="auto"/>
        </w:rPr>
        <w:t>"NOTICE OF TERMINATION" shall mean a written notice, which includes the effective Date of Termination and (i) if delivered by the Company in connection with the Company's decision to terminate Employee's employment with the Company, sets forth in reasonable detail the reason for termination of Employee's employment, or (ii) if delivered by Employee in connection with a Constructive Termination (as such term is defined in the Severance Plan (as defined in Section 3.1(c) below)), specifies in reasonable detail the basis for such resignation.</w:t>
      </w:r>
    </w:p>
    <w:p>
      <w:pPr>
        <w:spacing w:after="0" w:line="147" w:lineRule="exact"/>
        <w:rPr>
          <w:rFonts w:ascii="Arial" w:cs="Arial" w:eastAsia="Arial" w:hAnsi="Arial"/>
          <w:sz w:val="20"/>
          <w:szCs w:val="20"/>
          <w:color w:val="auto"/>
        </w:rPr>
      </w:pPr>
    </w:p>
    <w:p>
      <w:pPr>
        <w:ind w:left="1740" w:hanging="646"/>
        <w:spacing w:after="0"/>
        <w:tabs>
          <w:tab w:leader="none" w:pos="1740" w:val="left"/>
        </w:tabs>
        <w:numPr>
          <w:ilvl w:val="0"/>
          <w:numId w:val="27"/>
        </w:numPr>
        <w:rPr>
          <w:rFonts w:ascii="Arial" w:cs="Arial" w:eastAsia="Arial" w:hAnsi="Arial"/>
          <w:sz w:val="21"/>
          <w:szCs w:val="21"/>
          <w:color w:val="auto"/>
        </w:rPr>
      </w:pPr>
      <w:r>
        <w:rPr>
          <w:rFonts w:ascii="Arial" w:cs="Arial" w:eastAsia="Arial" w:hAnsi="Arial"/>
          <w:sz w:val="19"/>
          <w:szCs w:val="19"/>
          <w:color w:val="auto"/>
        </w:rPr>
        <w:t>"SEVERANCE PLAN" shall mean the CrossFirst Bankshares, Inc. Senior Executive Severance Plan.</w:t>
      </w:r>
    </w:p>
    <w:p>
      <w:pPr>
        <w:spacing w:after="0" w:line="214" w:lineRule="exact"/>
        <w:rPr>
          <w:sz w:val="20"/>
          <w:szCs w:val="20"/>
          <w:color w:val="auto"/>
        </w:rPr>
      </w:pPr>
    </w:p>
    <w:p>
      <w:pPr>
        <w:ind w:left="940" w:right="200" w:hanging="624"/>
        <w:spacing w:after="0" w:line="256" w:lineRule="auto"/>
        <w:tabs>
          <w:tab w:leader="none" w:pos="920" w:val="left"/>
        </w:tabs>
        <w:rPr>
          <w:sz w:val="20"/>
          <w:szCs w:val="20"/>
          <w:color w:val="auto"/>
        </w:rPr>
      </w:pPr>
      <w:r>
        <w:rPr>
          <w:rFonts w:ascii="Arial" w:cs="Arial" w:eastAsia="Arial" w:hAnsi="Arial"/>
          <w:sz w:val="19"/>
          <w:szCs w:val="19"/>
          <w:color w:val="auto"/>
        </w:rPr>
        <w:t>3.2.</w:t>
        <w:tab/>
        <w:t>TERMINATION BY EMPLOYEE OR COMPANY DUE TO DEATH OR DISABILITY. If the Company terminates Employee during the term of this Agreement due to death or Disability or Employee terminates this Agreement due to Disability then following such termination the Company shall pay to Employee or Employee’s legal representative:</w:t>
      </w:r>
    </w:p>
    <w:p>
      <w:pPr>
        <w:spacing w:after="0" w:line="173" w:lineRule="exact"/>
        <w:rPr>
          <w:sz w:val="20"/>
          <w:szCs w:val="20"/>
          <w:color w:val="auto"/>
        </w:rPr>
      </w:pPr>
    </w:p>
    <w:p>
      <w:pPr>
        <w:ind w:left="1720" w:right="120" w:hanging="626"/>
        <w:spacing w:after="0" w:line="270" w:lineRule="auto"/>
        <w:tabs>
          <w:tab w:leader="none" w:pos="17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ACCRUED OBLIGATION. A lump sum cash payment equal to Employee’s accrued, earned but unpaid compensation and bonuses for the period ending on the Date of Termination, provided, that such payment shall not include any potential or unearned bonuses or any other potential or unearned or benefits ("Accrued Obligations") shall be made on the sixtieth (60th) day following the Employee’s Date of Termination; and</w:t>
      </w:r>
    </w:p>
    <w:p>
      <w:pPr>
        <w:spacing w:after="0" w:line="136" w:lineRule="exact"/>
        <w:rPr>
          <w:rFonts w:ascii="Arial" w:cs="Arial" w:eastAsia="Arial" w:hAnsi="Arial"/>
          <w:sz w:val="18"/>
          <w:szCs w:val="18"/>
          <w:color w:val="auto"/>
        </w:rPr>
      </w:pPr>
    </w:p>
    <w:p>
      <w:pPr>
        <w:ind w:left="1720" w:right="60" w:hanging="626"/>
        <w:spacing w:after="0" w:line="243" w:lineRule="auto"/>
        <w:tabs>
          <w:tab w:leader="none" w:pos="1725" w:val="left"/>
        </w:tabs>
        <w:numPr>
          <w:ilvl w:val="0"/>
          <w:numId w:val="28"/>
        </w:numPr>
        <w:rPr>
          <w:rFonts w:ascii="Arial" w:cs="Arial" w:eastAsia="Arial" w:hAnsi="Arial"/>
          <w:sz w:val="21"/>
          <w:szCs w:val="21"/>
          <w:color w:val="auto"/>
        </w:rPr>
      </w:pPr>
      <w:r>
        <w:rPr>
          <w:rFonts w:ascii="Arial" w:cs="Arial" w:eastAsia="Arial" w:hAnsi="Arial"/>
          <w:sz w:val="19"/>
          <w:szCs w:val="19"/>
          <w:color w:val="auto"/>
        </w:rPr>
        <w:t>COBRA PAYMENT. A lump sum cash payment equal to twelve (12) times the Company-paid portion of the monthly COBRA continuation premium for Employee and his eligible dependents, if any, for COBRA continuation coverage under the Company's health, vision and dental plans in effect as of Employee's Date of Termination due to Disability or death. Such amount will include the Company paid portion of the cost of the premiums for coverage of Employee's dependents if, and only to the extent that, such dependents were enrolled in a health, vision or dental plan sponsored by the Company before the Date of Termination.</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9"/>
          <w:szCs w:val="19"/>
          <w:color w:val="auto"/>
        </w:rPr>
        <w:t>For purposes of this Agreement, "Disability" shall have the meaning ascribed in the Severance Plan</w:t>
      </w:r>
    </w:p>
    <w:p>
      <w:pPr>
        <w:spacing w:after="0" w:line="211" w:lineRule="exact"/>
        <w:rPr>
          <w:sz w:val="20"/>
          <w:szCs w:val="20"/>
          <w:color w:val="auto"/>
        </w:rPr>
      </w:pPr>
    </w:p>
    <w:p>
      <w:pPr>
        <w:ind w:left="940" w:right="60" w:hanging="624"/>
        <w:spacing w:after="0" w:line="297" w:lineRule="auto"/>
        <w:tabs>
          <w:tab w:leader="none" w:pos="92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OTHER TERMINATIONS. In the case of a termination for any reason other than Employee's death or Disability, Employee shall only be entitled to those severance benefits, if any, provided for under the Severance Plan ("Severance Payments").</w:t>
      </w:r>
    </w:p>
    <w:p>
      <w:pPr>
        <w:spacing w:after="0" w:line="139" w:lineRule="exact"/>
        <w:rPr>
          <w:sz w:val="20"/>
          <w:szCs w:val="20"/>
          <w:color w:val="auto"/>
        </w:rPr>
      </w:pPr>
    </w:p>
    <w:p>
      <w:pPr>
        <w:ind w:left="940" w:right="160" w:hanging="624"/>
        <w:spacing w:after="0" w:line="269" w:lineRule="auto"/>
        <w:tabs>
          <w:tab w:leader="none" w:pos="920" w:val="left"/>
        </w:tabs>
        <w:rPr>
          <w:sz w:val="20"/>
          <w:szCs w:val="20"/>
          <w:color w:val="auto"/>
        </w:rPr>
      </w:pPr>
      <w:r>
        <w:rPr>
          <w:rFonts w:ascii="Arial" w:cs="Arial" w:eastAsia="Arial" w:hAnsi="Arial"/>
          <w:sz w:val="19"/>
          <w:szCs w:val="19"/>
          <w:color w:val="auto"/>
        </w:rPr>
        <w:t>3.4</w:t>
        <w:tab/>
        <w:t>CONDITIONAL NATURE OF SEVERANCE PAYMENTS. Notwithstanding any other provision of this Section 3 or any other provision of this Agreement to the contrary:</w:t>
      </w:r>
    </w:p>
    <w:p>
      <w:pPr>
        <w:spacing w:after="0" w:line="161" w:lineRule="exact"/>
        <w:rPr>
          <w:sz w:val="20"/>
          <w:szCs w:val="20"/>
          <w:color w:val="auto"/>
        </w:rPr>
      </w:pPr>
    </w:p>
    <w:p>
      <w:pPr>
        <w:ind w:left="1720" w:hanging="626"/>
        <w:spacing w:after="0" w:line="281" w:lineRule="auto"/>
        <w:tabs>
          <w:tab w:leader="none" w:pos="17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NONSOLICITATION. Employee understands and agrees that because of his employment with the Company that she will acquire or have access to certain information of a confidential and secret nature derived from the operations of the Company’s and its Affiliated Companies’ business. Employee further understands and agrees that all correspondence, customer and investor lists and information, loan pricing techniques, underwriting methods, systems and products of the Company are confidential and trade secrets (“Confidential Information”) and the disclosure or unauthorized use of such information would be detrimental to the Company. Employee understands and agrees that the nature of the Company's business is such that if Employee were to directly solicit, interfere with, or attempt to interfere with any of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00"/>
          </w:cols>
          <w:pgMar w:left="480" w:top="839" w:right="519" w:bottom="1440" w:gutter="0" w:footer="0" w:header="0"/>
        </w:sectPr>
      </w:pPr>
    </w:p>
    <w:bookmarkStart w:id="54" w:name="page55"/>
    <w:bookmarkEnd w:id="54"/>
    <w:p>
      <w:pPr>
        <w:ind w:left="760" w:right="280"/>
        <w:spacing w:after="0" w:line="248" w:lineRule="auto"/>
        <w:rPr>
          <w:sz w:val="20"/>
          <w:szCs w:val="20"/>
          <w:color w:val="auto"/>
        </w:rPr>
      </w:pPr>
      <w:r>
        <w:rPr>
          <w:rFonts w:ascii="Arial" w:cs="Arial" w:eastAsia="Arial" w:hAnsi="Arial"/>
          <w:sz w:val="19"/>
          <w:szCs w:val="19"/>
          <w:color w:val="auto"/>
        </w:rPr>
        <w:t>Company’s customer relationships or to directly or indirectly solicit, interfere with, or attempt to interfere with any of the Company’s other employees relationships that existed at Employee’s Termination Date and during the one (1) year period following the termination of Employee's employment with the Company, then it would be injurious to the Company. Therefore in consideration of the Employee and the Company complying with the terms of his employment, and subject to the condition precedent of the Company timely providing Employee the payments called for hereunder, Employee agrees:</w:t>
      </w:r>
    </w:p>
    <w:p>
      <w:pPr>
        <w:spacing w:after="0" w:line="156" w:lineRule="exact"/>
        <w:rPr>
          <w:sz w:val="20"/>
          <w:szCs w:val="20"/>
          <w:color w:val="auto"/>
        </w:rPr>
      </w:pPr>
    </w:p>
    <w:p>
      <w:pPr>
        <w:ind w:left="1860" w:right="300" w:hanging="944"/>
        <w:spacing w:after="0" w:line="243" w:lineRule="auto"/>
        <w:tabs>
          <w:tab w:leader="none" w:pos="1860" w:val="left"/>
        </w:tabs>
        <w:numPr>
          <w:ilvl w:val="0"/>
          <w:numId w:val="30"/>
        </w:numPr>
        <w:rPr>
          <w:rFonts w:ascii="Arial" w:cs="Arial" w:eastAsia="Arial" w:hAnsi="Arial"/>
          <w:sz w:val="21"/>
          <w:szCs w:val="21"/>
          <w:color w:val="auto"/>
        </w:rPr>
      </w:pPr>
      <w:r>
        <w:rPr>
          <w:rFonts w:ascii="Arial" w:cs="Arial" w:eastAsia="Arial" w:hAnsi="Arial"/>
          <w:sz w:val="19"/>
          <w:szCs w:val="19"/>
          <w:color w:val="auto"/>
        </w:rPr>
        <w:t>that, without the prior written consent of the Company, she will not directly or indirectly solicit interfere with or attempt to interfere with any of the Company’s customer relationships or other employee relationships that existed at Employee’s Termination Date and during the one (1) year period of time thereafter;</w:t>
      </w:r>
    </w:p>
    <w:p>
      <w:pPr>
        <w:spacing w:after="0" w:line="211" w:lineRule="exact"/>
        <w:rPr>
          <w:rFonts w:ascii="Arial" w:cs="Arial" w:eastAsia="Arial" w:hAnsi="Arial"/>
          <w:sz w:val="21"/>
          <w:szCs w:val="21"/>
          <w:color w:val="auto"/>
        </w:rPr>
      </w:pPr>
    </w:p>
    <w:p>
      <w:pPr>
        <w:ind w:left="1860" w:right="140" w:hanging="944"/>
        <w:spacing w:after="0" w:line="267" w:lineRule="auto"/>
        <w:tabs>
          <w:tab w:leader="none" w:pos="1854" w:val="left"/>
        </w:tabs>
        <w:numPr>
          <w:ilvl w:val="0"/>
          <w:numId w:val="30"/>
        </w:numPr>
        <w:rPr>
          <w:rFonts w:ascii="Arial" w:cs="Arial" w:eastAsia="Arial" w:hAnsi="Arial"/>
          <w:sz w:val="19"/>
          <w:szCs w:val="19"/>
          <w:color w:val="auto"/>
        </w:rPr>
      </w:pPr>
      <w:r>
        <w:rPr>
          <w:rFonts w:ascii="Arial" w:cs="Arial" w:eastAsia="Arial" w:hAnsi="Arial"/>
          <w:sz w:val="17"/>
          <w:szCs w:val="17"/>
          <w:color w:val="auto"/>
        </w:rPr>
        <w:t>to assist in the avoidance of the unauthorized disclosure of the Company's Confidential Information, in addition to other remedies available to the Company and its Affiliated Companies, Employee will not, and understands and agrees that his right to receive the severance consideration described in Sections 3.2 and</w:t>
      </w:r>
    </w:p>
    <w:p>
      <w:pPr>
        <w:spacing w:after="0" w:line="2" w:lineRule="exact"/>
        <w:rPr>
          <w:rFonts w:ascii="Arial" w:cs="Arial" w:eastAsia="Arial" w:hAnsi="Arial"/>
          <w:sz w:val="19"/>
          <w:szCs w:val="19"/>
          <w:color w:val="auto"/>
        </w:rPr>
      </w:pPr>
    </w:p>
    <w:p>
      <w:pPr>
        <w:ind w:left="1860" w:right="60"/>
        <w:spacing w:after="0" w:line="258" w:lineRule="auto"/>
        <w:rPr>
          <w:rFonts w:ascii="Arial" w:cs="Arial" w:eastAsia="Arial" w:hAnsi="Arial"/>
          <w:sz w:val="19"/>
          <w:szCs w:val="19"/>
          <w:color w:val="auto"/>
        </w:rPr>
      </w:pPr>
      <w:r>
        <w:rPr>
          <w:rFonts w:ascii="Arial" w:cs="Arial" w:eastAsia="Arial" w:hAnsi="Arial"/>
          <w:sz w:val="18"/>
          <w:szCs w:val="18"/>
          <w:color w:val="auto"/>
        </w:rPr>
        <w:t>3.3 above (to the extent Employee is otherwise entitled to such payments thereunder) shall be conditioned upon Employee not: i) directly or indirectly engaging in (whether as an employee, consultant, agent, proprietor, principal, partner, stockholder, corporate officer, director or otherwise); or ii) acquiring any ownership interest in or participating in the financing, operation, management or control of, any person, firm, corporation or business that directly or indirectly solicits, interferes with or attempts to interfere with any of the Company’s customer relationships or other employee relationships that existed at Employee’s Termination Date in any Metropolitan Statistical Area as defined from time to time by the U.S. Office of Management and Budget, Bureau of Labor Statistics, in which the Company or its successor owns controlling voting interest in any banking or other financial institution as such banking or other financial institutions are controlled by the Company or its Affiliated Companies upon Employee’s Termination Date. The limitation upon Employee’s ownership of outstanding shares or other units of ownership shall be excluded from this Section 3.4, provided such ownership is less than five (5) percent in any publicly-traded bank or financial institution;</w:t>
      </w:r>
    </w:p>
    <w:p>
      <w:pPr>
        <w:spacing w:after="0" w:line="152" w:lineRule="exact"/>
        <w:rPr>
          <w:rFonts w:ascii="Arial" w:cs="Arial" w:eastAsia="Arial" w:hAnsi="Arial"/>
          <w:sz w:val="19"/>
          <w:szCs w:val="19"/>
          <w:color w:val="auto"/>
        </w:rPr>
      </w:pPr>
    </w:p>
    <w:p>
      <w:pPr>
        <w:ind w:left="1860" w:right="100" w:hanging="944"/>
        <w:spacing w:after="0" w:line="243" w:lineRule="auto"/>
        <w:tabs>
          <w:tab w:leader="none" w:pos="1848" w:val="left"/>
        </w:tabs>
        <w:numPr>
          <w:ilvl w:val="0"/>
          <w:numId w:val="30"/>
        </w:numPr>
        <w:rPr>
          <w:rFonts w:ascii="Arial" w:cs="Arial" w:eastAsia="Arial" w:hAnsi="Arial"/>
          <w:sz w:val="21"/>
          <w:szCs w:val="21"/>
          <w:color w:val="auto"/>
        </w:rPr>
      </w:pPr>
      <w:r>
        <w:rPr>
          <w:rFonts w:ascii="Arial" w:cs="Arial" w:eastAsia="Arial" w:hAnsi="Arial"/>
          <w:sz w:val="19"/>
          <w:szCs w:val="19"/>
          <w:color w:val="auto"/>
        </w:rPr>
        <w:t>without the prior written consent of the Company, Employee will not solicit, directly or indirectly, actively or inactively, the employees or independent contractors of the Company to become employees or independent contractors of any person, firm, corporation, business, or banking or other financial institution that directly or indirectly competes with the Company or solicits, interferes with, or attempts to interfere with the Company’s customers; and,</w:t>
      </w:r>
    </w:p>
    <w:p>
      <w:pPr>
        <w:spacing w:after="0" w:line="159" w:lineRule="exact"/>
        <w:rPr>
          <w:rFonts w:ascii="Arial" w:cs="Arial" w:eastAsia="Arial" w:hAnsi="Arial"/>
          <w:sz w:val="21"/>
          <w:szCs w:val="21"/>
          <w:color w:val="auto"/>
        </w:rPr>
      </w:pPr>
    </w:p>
    <w:p>
      <w:pPr>
        <w:ind w:left="1860" w:right="20" w:hanging="944"/>
        <w:spacing w:after="0" w:line="277" w:lineRule="auto"/>
        <w:tabs>
          <w:tab w:leader="none" w:pos="1858" w:val="left"/>
        </w:tabs>
        <w:numPr>
          <w:ilvl w:val="0"/>
          <w:numId w:val="30"/>
        </w:numPr>
        <w:rPr>
          <w:rFonts w:ascii="Arial" w:cs="Arial" w:eastAsia="Arial" w:hAnsi="Arial"/>
          <w:sz w:val="19"/>
          <w:szCs w:val="19"/>
          <w:color w:val="auto"/>
        </w:rPr>
      </w:pPr>
      <w:r>
        <w:rPr>
          <w:rFonts w:ascii="Arial" w:cs="Arial" w:eastAsia="Arial" w:hAnsi="Arial"/>
          <w:sz w:val="17"/>
          <w:szCs w:val="17"/>
          <w:color w:val="auto"/>
        </w:rPr>
        <w:t>on or before the Date of Termination, Employee shall return to Company, all records, lists, compositions, documents and other items which contain, disclose and/or embody any Confidential Information (including, without limitation, all copies, reproductions, summaries and notes of the contents thereof, expressly including all electronically stored data, wherever stored), regardless of the person causing the same to be in such form, and Employee will certify that the provisions of this paragraph have been complied with.</w:t>
      </w:r>
    </w:p>
    <w:p>
      <w:pPr>
        <w:spacing w:after="0" w:line="109" w:lineRule="exact"/>
        <w:rPr>
          <w:sz w:val="20"/>
          <w:szCs w:val="20"/>
          <w:color w:val="auto"/>
        </w:rPr>
      </w:pPr>
    </w:p>
    <w:p>
      <w:pPr>
        <w:ind w:left="140"/>
        <w:spacing w:after="0" w:line="269" w:lineRule="auto"/>
        <w:rPr>
          <w:sz w:val="20"/>
          <w:szCs w:val="20"/>
          <w:color w:val="auto"/>
        </w:rPr>
      </w:pPr>
      <w:r>
        <w:rPr>
          <w:rFonts w:ascii="Arial" w:cs="Arial" w:eastAsia="Arial" w:hAnsi="Arial"/>
          <w:sz w:val="19"/>
          <w:szCs w:val="19"/>
          <w:color w:val="auto"/>
        </w:rPr>
        <w:t>If Employee violates any restriction described in Section 3.4(a), then all Severance Payments and consideration to which Employee otherwise may be entitled under Section 3.2 and 3.3 above, as</w:t>
      </w:r>
    </w:p>
    <w:p>
      <w:pPr>
        <w:spacing w:after="0" w:line="200" w:lineRule="exact"/>
        <w:rPr>
          <w:sz w:val="20"/>
          <w:szCs w:val="20"/>
          <w:color w:val="auto"/>
        </w:rPr>
      </w:pP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20"/>
          </w:cols>
          <w:pgMar w:left="1440" w:top="748" w:right="339" w:bottom="1440" w:gutter="0" w:footer="0" w:header="0"/>
        </w:sectPr>
      </w:pPr>
    </w:p>
    <w:bookmarkStart w:id="55" w:name="page56"/>
    <w:bookmarkEnd w:id="55"/>
    <w:p>
      <w:pPr>
        <w:jc w:val="both"/>
        <w:ind w:left="1100"/>
        <w:spacing w:after="0" w:line="249" w:lineRule="auto"/>
        <w:rPr>
          <w:sz w:val="20"/>
          <w:szCs w:val="20"/>
          <w:color w:val="auto"/>
        </w:rPr>
      </w:pPr>
      <w:r>
        <w:rPr>
          <w:rFonts w:ascii="Arial" w:cs="Arial" w:eastAsia="Arial" w:hAnsi="Arial"/>
          <w:sz w:val="19"/>
          <w:szCs w:val="19"/>
          <w:color w:val="auto"/>
        </w:rPr>
        <w:t>applicable, thereupon shall cease and Employee shall promptly return to the Company all severance payments received and other severance benefits theretofore incurred by Company for Employee’s benefit. The Company agrees that nothing herein shall preclude Employee from retaining copies of his calendar, contact list or documents related to his investment in Company or responsibilities as a director to Company, and that Employee shall be entitled to freely offer employment references to the Company’s other current or former employees.</w:t>
      </w:r>
    </w:p>
    <w:p>
      <w:pPr>
        <w:spacing w:after="0" w:line="182" w:lineRule="exact"/>
        <w:rPr>
          <w:sz w:val="20"/>
          <w:szCs w:val="20"/>
          <w:color w:val="auto"/>
        </w:rPr>
      </w:pPr>
    </w:p>
    <w:p>
      <w:pPr>
        <w:ind w:left="1720" w:right="200" w:hanging="626"/>
        <w:spacing w:after="0" w:line="264" w:lineRule="auto"/>
        <w:tabs>
          <w:tab w:leader="none" w:pos="1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EMPLOYMENT. In the event Employee becomes employed as an employee or consultant for a company that provides banking services similar to services provided by the Company or its Affiliated Companies in a Metropolitan Statistical Area, described in Section 3.4(a)(ii), above, Employee shall not be entitled to receive any further amount of the severance consideration described in Sections 3.2 and 3.3 above, subsequent to the date of such employment. Employee acknowledges that this limitation is fair to both Employee and the Company and does not in any way restrain employee from exercising Employees lawful profession, trade or business.</w:t>
      </w:r>
    </w:p>
    <w:p>
      <w:pPr>
        <w:spacing w:after="0" w:line="144" w:lineRule="exact"/>
        <w:rPr>
          <w:rFonts w:ascii="Arial" w:cs="Arial" w:eastAsia="Arial" w:hAnsi="Arial"/>
          <w:sz w:val="18"/>
          <w:szCs w:val="18"/>
          <w:color w:val="auto"/>
        </w:rPr>
      </w:pPr>
    </w:p>
    <w:p>
      <w:pPr>
        <w:ind w:left="1720" w:right="240" w:hanging="626"/>
        <w:spacing w:after="0" w:line="274" w:lineRule="auto"/>
        <w:tabs>
          <w:tab w:leader="none" w:pos="1739" w:val="left"/>
        </w:tabs>
        <w:numPr>
          <w:ilvl w:val="0"/>
          <w:numId w:val="31"/>
        </w:numPr>
        <w:rPr>
          <w:rFonts w:ascii="Arial" w:cs="Arial" w:eastAsia="Arial" w:hAnsi="Arial"/>
          <w:sz w:val="19"/>
          <w:szCs w:val="19"/>
          <w:color w:val="auto"/>
        </w:rPr>
      </w:pPr>
      <w:r>
        <w:rPr>
          <w:rFonts w:ascii="Arial" w:cs="Arial" w:eastAsia="Arial" w:hAnsi="Arial"/>
          <w:sz w:val="17"/>
          <w:szCs w:val="17"/>
          <w:color w:val="auto"/>
        </w:rPr>
        <w:t>GENERAL RELEASE. Employee shall not be entitled to receive any benefits upon termination of employment described in this Section 3 (including any Severance Payments under the Severance Plan or described in Section 3.2 above) unless prior to receiving the same Employee executes a release pursuant to Section 9 of the Severance Plan, as applicable, or a general release of all known claims against the Company and its directors, officers, employees, stockholders, and other agents and their respective insurers, successors, and assigns, of all claims arising from or in any way relating to Employee's employment by the Company or the termination of that employment, provided that such release shall not extend to (i) any claims for benefits under any qualified retirement plan maintained by the Company, (ii) any claims for governmental unemployment benefits, or (iii) any claims for workers compensation benefits; (iv) Employee’s rights, if any, under the Plan, (v) Employee’s rights, if any, as an owner of any Shares of the Company, (vi) Employee’s rights under this Agreement, or (vii) Employee's right to receive indemnification from the Company under applicable provisions of the law of the State where Employee is employed or the articles of organization, articles of incorporation, By Laws or Operating Agreement of the Company or its Affiliated Companies, as the case may be.</w:t>
      </w:r>
    </w:p>
    <w:p>
      <w:pPr>
        <w:spacing w:after="0" w:line="187" w:lineRule="exact"/>
        <w:rPr>
          <w:sz w:val="20"/>
          <w:szCs w:val="20"/>
          <w:color w:val="auto"/>
        </w:rPr>
      </w:pPr>
    </w:p>
    <w:p>
      <w:pPr>
        <w:jc w:val="both"/>
        <w:ind w:left="980" w:hanging="624"/>
        <w:spacing w:after="0" w:line="262" w:lineRule="auto"/>
        <w:tabs>
          <w:tab w:leader="none" w:pos="9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8"/>
          <w:szCs w:val="18"/>
          <w:color w:val="auto"/>
        </w:rPr>
        <w:t>EQUITABLE REMEDIES. Employee acknowledges that irreparable harm will result to the Company in the event of a material breach by Employee of any of the covenants contained in Section 3.4. Employee agrees that, in the event of such a breach and in addition to any other legal or equitable remedies available to the Company, the Company will be entitled to specific performance of the covenants in Section 3.4; to an injunction to restrain the violation of such covenants by Employee and all other persons acting for or with Employee; or to both specific performance and an injunction. Employee further agrees that, in the event the Company brings an action for the enforcement of any of those covenants, and if the court finds any part of the covenant unreasonable as to time, area or activity covered, then the court shall make a finding as to what is reasonable and shall enforce this Agreement by judgment or decree to the extent of such findings.</w:t>
      </w:r>
    </w:p>
    <w:p>
      <w:pPr>
        <w:spacing w:after="0" w:line="172" w:lineRule="exact"/>
        <w:rPr>
          <w:sz w:val="20"/>
          <w:szCs w:val="20"/>
          <w:color w:val="auto"/>
        </w:rPr>
      </w:pPr>
    </w:p>
    <w:p>
      <w:pPr>
        <w:ind w:left="340" w:hanging="340"/>
        <w:spacing w:after="0"/>
        <w:tabs>
          <w:tab w:leader="none" w:pos="3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MISCELLANEOUS</w:t>
      </w:r>
    </w:p>
    <w:p>
      <w:pPr>
        <w:spacing w:after="0" w:line="198" w:lineRule="exact"/>
        <w:rPr>
          <w:sz w:val="20"/>
          <w:szCs w:val="20"/>
          <w:color w:val="auto"/>
        </w:rPr>
      </w:pPr>
    </w:p>
    <w:p>
      <w:pPr>
        <w:jc w:val="both"/>
        <w:ind w:left="1000" w:right="120" w:hanging="624"/>
        <w:spacing w:after="0" w:line="238" w:lineRule="auto"/>
        <w:tabs>
          <w:tab w:leader="none" w:pos="98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NOTICES. All notices permitted or required by this Agreement shall be in writing, and shall be deemed to have been delivered and received (i) when personally delivered, or (ii) on the third (3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business day after the date on which deposited in the United States mail, postage prepaid, certified or registered mail, return receipt requested, or (iii) on the date on which transmitted by other electronic means generating a receipt confirming a successful transmission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on that same date a copy of such notice is deposited in the United States mail, postage prepaid, certified or registered mail, return receipt requested), or (iv) on the next business day after the date on which deposited with a regulated public carrier (e.g., Federal Express) designating overnight delivery service with a return receipt requested or equivalent thereof administered by such regulated public carrier, freight prepaid, and addressed in a</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080"/>
          </w:cols>
          <w:pgMar w:left="480" w:top="748" w:right="339" w:bottom="1440" w:gutter="0" w:footer="0" w:header="0"/>
        </w:sectPr>
      </w:pPr>
    </w:p>
    <w:bookmarkStart w:id="56" w:name="page57"/>
    <w:bookmarkEnd w:id="56"/>
    <w:p>
      <w:pPr>
        <w:jc w:val="both"/>
        <w:ind w:left="640"/>
        <w:spacing w:after="0" w:line="277" w:lineRule="auto"/>
        <w:rPr>
          <w:sz w:val="20"/>
          <w:szCs w:val="20"/>
          <w:color w:val="auto"/>
        </w:rPr>
      </w:pPr>
      <w:r>
        <w:rPr>
          <w:rFonts w:ascii="Arial" w:cs="Arial" w:eastAsia="Arial" w:hAnsi="Arial"/>
          <w:sz w:val="18"/>
          <w:szCs w:val="18"/>
          <w:color w:val="auto"/>
        </w:rPr>
        <w:t>sealed envelope to the party for whom intended at the address appearing on the signature page of this Agreement (if to the Company to the attention of the Secretary of the Company and if to the Employee to the attention of the Employee), or such other address or facsimile number, notice of which is given in a manner permitted by this Section 4.1.</w:t>
      </w:r>
    </w:p>
    <w:p>
      <w:pPr>
        <w:spacing w:after="0" w:line="78" w:lineRule="exact"/>
        <w:rPr>
          <w:sz w:val="20"/>
          <w:szCs w:val="20"/>
          <w:color w:val="auto"/>
        </w:rPr>
      </w:pPr>
    </w:p>
    <w:p>
      <w:pPr>
        <w:jc w:val="both"/>
        <w:ind w:left="520" w:hanging="624"/>
        <w:spacing w:after="0" w:line="256" w:lineRule="auto"/>
        <w:tabs>
          <w:tab w:leader="none" w:pos="500" w:val="left"/>
        </w:tabs>
        <w:rPr>
          <w:sz w:val="20"/>
          <w:szCs w:val="20"/>
          <w:color w:val="auto"/>
        </w:rPr>
      </w:pPr>
      <w:r>
        <w:rPr>
          <w:rFonts w:ascii="Arial" w:cs="Arial" w:eastAsia="Arial" w:hAnsi="Arial"/>
          <w:sz w:val="19"/>
          <w:szCs w:val="19"/>
          <w:color w:val="auto"/>
        </w:rPr>
        <w:t>4.2</w:t>
        <w:tab/>
        <w:t>EFFECT ON OTHER REMEDIES. Nothing in this Agreement is intended to preclude, and no provision of this Agreement shall be construed to preclude, the exercise of any other right or remedy which the Company or Employee may have by reason of the other's breach of obligations under this Agreement.</w:t>
      </w:r>
    </w:p>
    <w:p>
      <w:pPr>
        <w:spacing w:after="0" w:line="108" w:lineRule="exact"/>
        <w:rPr>
          <w:sz w:val="20"/>
          <w:szCs w:val="20"/>
          <w:color w:val="auto"/>
        </w:rPr>
      </w:pPr>
    </w:p>
    <w:p>
      <w:pPr>
        <w:jc w:val="both"/>
        <w:ind w:left="540" w:hanging="624"/>
        <w:spacing w:after="0" w:line="269" w:lineRule="auto"/>
        <w:tabs>
          <w:tab w:leader="none" w:pos="52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9"/>
          <w:szCs w:val="19"/>
          <w:color w:val="auto"/>
        </w:rPr>
        <w:t>BINDING ON SUCCESSORS; ASSIGNMENT. This Agreement shall be binding upon, and inure to the benefit of, each of the parties hereto, as well as their respective heirs, successors, assigns, and personal representatives.</w:t>
      </w:r>
    </w:p>
    <w:p>
      <w:pPr>
        <w:spacing w:after="0" w:line="96" w:lineRule="exact"/>
        <w:rPr>
          <w:sz w:val="20"/>
          <w:szCs w:val="20"/>
          <w:color w:val="auto"/>
        </w:rPr>
      </w:pPr>
    </w:p>
    <w:p>
      <w:pPr>
        <w:jc w:val="both"/>
        <w:ind w:left="580" w:hanging="624"/>
        <w:spacing w:after="0" w:line="266" w:lineRule="auto"/>
        <w:tabs>
          <w:tab w:leader="none" w:pos="56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8"/>
          <w:szCs w:val="18"/>
          <w:color w:val="auto"/>
        </w:rPr>
        <w:t>GOVERNING LAW, JURISDICTION AND VENUE. This Agreement shall be construed in accordance with and shall be governed by the laws of the State of Kansas, without regard to conflict of law principles. Each party consents to the jurisdiction of the courts of the State of Kansas as the exclusive jurisdiction for the purposes of construing or enforcing this Agreement and the venue of the District Court of the State of Kansas in Johnson, County, Kansas and that any dispute relating to this Agreement shall be brought in the District Court of the State of Kansas in Johnson, County, Kansas.</w:t>
      </w:r>
    </w:p>
    <w:p>
      <w:pPr>
        <w:spacing w:after="0" w:line="90" w:lineRule="exact"/>
        <w:rPr>
          <w:sz w:val="20"/>
          <w:szCs w:val="20"/>
          <w:color w:val="auto"/>
        </w:rPr>
      </w:pPr>
    </w:p>
    <w:p>
      <w:pPr>
        <w:jc w:val="both"/>
        <w:ind w:left="520" w:hanging="624"/>
        <w:spacing w:after="0" w:line="286" w:lineRule="auto"/>
        <w:tabs>
          <w:tab w:leader="none" w:pos="50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7"/>
          <w:szCs w:val="17"/>
          <w:color w:val="auto"/>
        </w:rPr>
        <w:t>SEVERABILITY. If any of the provisions of this Agreement shall otherwise contravene or be invalid under the laws of any state, country or other jurisdiction where this Agreement is applicable but for such contravention or invalidity, such contravention or invalidity shall not invalidate all of the provisions of this Agreement but rather it shall be construed, insofar as the laws of that state or other jurisdiction are concerned, as not containing the provision or provisions contravening or invalid under the laws of that state or jurisdiction, and the rights and obligations created hereby shall be construed and enforced accordingly.</w:t>
      </w:r>
    </w:p>
    <w:p>
      <w:pPr>
        <w:spacing w:after="0" w:line="34" w:lineRule="exact"/>
        <w:rPr>
          <w:sz w:val="20"/>
          <w:szCs w:val="20"/>
          <w:color w:val="auto"/>
        </w:rPr>
      </w:pPr>
    </w:p>
    <w:p>
      <w:pPr>
        <w:jc w:val="both"/>
        <w:ind w:left="500" w:hanging="624"/>
        <w:spacing w:after="0" w:line="269" w:lineRule="auto"/>
        <w:tabs>
          <w:tab w:leader="none" w:pos="480" w:val="left"/>
        </w:tabs>
        <w:rPr>
          <w:sz w:val="20"/>
          <w:szCs w:val="20"/>
          <w:color w:val="auto"/>
        </w:rPr>
      </w:pPr>
      <w:r>
        <w:rPr>
          <w:rFonts w:ascii="Arial" w:cs="Arial" w:eastAsia="Arial" w:hAnsi="Arial"/>
          <w:sz w:val="19"/>
          <w:szCs w:val="19"/>
          <w:color w:val="auto"/>
        </w:rPr>
        <w:t>4.6</w:t>
        <w:tab/>
        <w:t>COUNTERPARTS. This Agreement may be executed in counterparts, each of which shall be deemed an original and all of which, taken together, shall be one and the same instrument, binding on all the signatories.</w:t>
      </w:r>
    </w:p>
    <w:p>
      <w:pPr>
        <w:spacing w:after="0" w:line="96" w:lineRule="exact"/>
        <w:rPr>
          <w:sz w:val="20"/>
          <w:szCs w:val="20"/>
          <w:color w:val="auto"/>
        </w:rPr>
      </w:pPr>
    </w:p>
    <w:p>
      <w:pPr>
        <w:jc w:val="both"/>
        <w:ind w:left="480" w:right="20" w:hanging="624"/>
        <w:spacing w:after="0" w:line="269" w:lineRule="auto"/>
        <w:tabs>
          <w:tab w:leader="none" w:pos="460" w:val="left"/>
        </w:tabs>
        <w:rPr>
          <w:sz w:val="20"/>
          <w:szCs w:val="20"/>
          <w:color w:val="auto"/>
        </w:rPr>
      </w:pPr>
      <w:r>
        <w:rPr>
          <w:rFonts w:ascii="Arial" w:cs="Arial" w:eastAsia="Arial" w:hAnsi="Arial"/>
          <w:sz w:val="19"/>
          <w:szCs w:val="19"/>
          <w:color w:val="auto"/>
        </w:rPr>
        <w:t>4.7</w:t>
        <w:tab/>
        <w:t>FURTHER ASSURANCES. Each party agrees, upon the request of another party, to make, execute, and deliver, and to take such additional steps as may be necessary to effectuate the purposes of this Agreement.</w:t>
      </w:r>
    </w:p>
    <w:p>
      <w:pPr>
        <w:spacing w:after="0" w:line="83" w:lineRule="exact"/>
        <w:rPr>
          <w:sz w:val="20"/>
          <w:szCs w:val="20"/>
          <w:color w:val="auto"/>
        </w:rPr>
      </w:pPr>
    </w:p>
    <w:p>
      <w:pPr>
        <w:jc w:val="both"/>
        <w:ind w:left="600" w:right="20" w:hanging="624"/>
        <w:spacing w:after="0" w:line="269" w:lineRule="auto"/>
        <w:tabs>
          <w:tab w:leader="none" w:pos="58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9"/>
          <w:szCs w:val="19"/>
          <w:color w:val="auto"/>
        </w:rPr>
        <w:t>REASONABLE VERIFICATION. Company agrees that Employee shall have reasonable access to the Company's books and records in order to verify the accuracy of Bonus calculations that may be necessary following termination.</w:t>
      </w:r>
    </w:p>
    <w:p>
      <w:pPr>
        <w:spacing w:after="0" w:line="96" w:lineRule="exact"/>
        <w:rPr>
          <w:sz w:val="20"/>
          <w:szCs w:val="20"/>
          <w:color w:val="auto"/>
        </w:rPr>
      </w:pPr>
    </w:p>
    <w:p>
      <w:pPr>
        <w:jc w:val="both"/>
        <w:ind w:left="560" w:hanging="624"/>
        <w:spacing w:after="0" w:line="251" w:lineRule="auto"/>
        <w:tabs>
          <w:tab w:leader="none" w:pos="540" w:val="left"/>
        </w:tabs>
        <w:rPr>
          <w:sz w:val="20"/>
          <w:szCs w:val="20"/>
          <w:color w:val="auto"/>
        </w:rPr>
      </w:pPr>
      <w:r>
        <w:rPr>
          <w:rFonts w:ascii="Arial" w:cs="Arial" w:eastAsia="Arial" w:hAnsi="Arial"/>
          <w:sz w:val="19"/>
          <w:szCs w:val="19"/>
          <w:color w:val="auto"/>
        </w:rPr>
        <w:t>4.9</w:t>
      </w:r>
      <w:r>
        <w:rPr>
          <w:sz w:val="20"/>
          <w:szCs w:val="20"/>
          <w:color w:val="auto"/>
        </w:rPr>
        <w:tab/>
      </w:r>
      <w:r>
        <w:rPr>
          <w:rFonts w:ascii="Arial" w:cs="Arial" w:eastAsia="Arial" w:hAnsi="Arial"/>
          <w:sz w:val="19"/>
          <w:szCs w:val="19"/>
          <w:color w:val="auto"/>
        </w:rPr>
        <w:t>ENTIRE AGREEMENT; AMENDMENT. This Agreement (a) represents the entire understanding of the parties with respect to the subject matter hereof, and supersedes all prior and contemporaneous understandings, whether written or oral, regarding the subject matter hereof, and (b) may not be modified or amended, except by a written instrument, executed by the party against whom enforcement of such amendment may be sought.</w:t>
      </w:r>
    </w:p>
    <w:p>
      <w:pPr>
        <w:spacing w:after="0" w:line="115"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4.10</w:t>
      </w:r>
      <w:r>
        <w:rPr>
          <w:sz w:val="20"/>
          <w:szCs w:val="20"/>
          <w:color w:val="auto"/>
        </w:rPr>
        <w:tab/>
      </w:r>
      <w:r>
        <w:rPr>
          <w:rFonts w:ascii="Arial" w:cs="Arial" w:eastAsia="Arial" w:hAnsi="Arial"/>
          <w:sz w:val="17"/>
          <w:szCs w:val="17"/>
          <w:color w:val="auto"/>
        </w:rPr>
        <w:t>TAXES.</w:t>
      </w:r>
    </w:p>
    <w:p>
      <w:pPr>
        <w:spacing w:after="0" w:line="159" w:lineRule="exact"/>
        <w:rPr>
          <w:sz w:val="20"/>
          <w:szCs w:val="20"/>
          <w:color w:val="auto"/>
        </w:rPr>
      </w:pPr>
    </w:p>
    <w:p>
      <w:pPr>
        <w:jc w:val="both"/>
        <w:ind w:left="1260" w:hanging="626"/>
        <w:spacing w:after="0" w:line="243" w:lineRule="auto"/>
        <w:tabs>
          <w:tab w:leader="none" w:pos="1278" w:val="left"/>
        </w:tabs>
        <w:numPr>
          <w:ilvl w:val="0"/>
          <w:numId w:val="33"/>
        </w:numPr>
        <w:rPr>
          <w:rFonts w:ascii="Arial" w:cs="Arial" w:eastAsia="Arial" w:hAnsi="Arial"/>
          <w:sz w:val="21"/>
          <w:szCs w:val="21"/>
          <w:color w:val="auto"/>
        </w:rPr>
      </w:pPr>
      <w:r>
        <w:rPr>
          <w:rFonts w:ascii="Arial" w:cs="Arial" w:eastAsia="Arial" w:hAnsi="Arial"/>
          <w:sz w:val="19"/>
          <w:szCs w:val="19"/>
          <w:color w:val="auto"/>
        </w:rPr>
        <w:t>Anything to the contrary notwithstanding, all payments made by the Company to Employee or Employee’s estate or beneficiaries will be subject to tax withholding pursuant to any applicable laws or regulations. Employee will be solely liable and responsible for the payment of taxes arising as a result of any payment hereunder including without limitation any unexpected or adverse tax consequence.</w:t>
      </w:r>
    </w:p>
    <w:p>
      <w:pPr>
        <w:spacing w:after="0" w:line="146" w:lineRule="exact"/>
        <w:rPr>
          <w:rFonts w:ascii="Arial" w:cs="Arial" w:eastAsia="Arial" w:hAnsi="Arial"/>
          <w:sz w:val="21"/>
          <w:szCs w:val="21"/>
          <w:color w:val="auto"/>
        </w:rPr>
      </w:pPr>
    </w:p>
    <w:p>
      <w:pPr>
        <w:jc w:val="both"/>
        <w:ind w:left="1260" w:hanging="626"/>
        <w:spacing w:after="0" w:line="243" w:lineRule="auto"/>
        <w:tabs>
          <w:tab w:leader="none" w:pos="1265" w:val="left"/>
        </w:tabs>
        <w:numPr>
          <w:ilvl w:val="0"/>
          <w:numId w:val="33"/>
        </w:numPr>
        <w:rPr>
          <w:rFonts w:ascii="Arial" w:cs="Arial" w:eastAsia="Arial" w:hAnsi="Arial"/>
          <w:sz w:val="21"/>
          <w:szCs w:val="21"/>
          <w:color w:val="auto"/>
        </w:rPr>
      </w:pPr>
      <w:r>
        <w:rPr>
          <w:rFonts w:ascii="Arial" w:cs="Arial" w:eastAsia="Arial" w:hAnsi="Arial"/>
          <w:sz w:val="19"/>
          <w:szCs w:val="19"/>
          <w:color w:val="auto"/>
        </w:rPr>
        <w:t>This Agreement is intended to comply with the requirements of Code Section 409A (“Section 409A”). Accordingly, all provisions herein, or incorporated by reference, shall be construed and interpreted to comply with Section 409A and if necessary, any provision shall be held null and</w:t>
      </w:r>
    </w:p>
    <w:p>
      <w:pPr>
        <w:spacing w:after="0" w:line="200" w:lineRule="exact"/>
        <w:rPr>
          <w:sz w:val="20"/>
          <w:szCs w:val="20"/>
          <w:color w:val="auto"/>
        </w:rPr>
      </w:pPr>
    </w:p>
    <w:p>
      <w:pPr>
        <w:spacing w:after="0" w:line="251"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00"/>
          </w:cols>
          <w:pgMar w:left="940" w:top="839" w:right="459" w:bottom="1440" w:gutter="0" w:footer="0" w:header="0"/>
        </w:sectPr>
      </w:pPr>
    </w:p>
    <w:bookmarkStart w:id="57" w:name="page58"/>
    <w:bookmarkEnd w:id="57"/>
    <w:p>
      <w:pPr>
        <w:ind w:left="1260"/>
        <w:spacing w:after="0"/>
        <w:rPr>
          <w:sz w:val="20"/>
          <w:szCs w:val="20"/>
          <w:color w:val="auto"/>
        </w:rPr>
      </w:pPr>
      <w:r>
        <w:rPr>
          <w:rFonts w:ascii="Arial" w:cs="Arial" w:eastAsia="Arial" w:hAnsi="Arial"/>
          <w:sz w:val="19"/>
          <w:szCs w:val="19"/>
          <w:color w:val="auto"/>
        </w:rPr>
        <w:t>void to the extent such provision (or part thereof) fails to comply with Section 409A or regulations thereunder.</w:t>
      </w:r>
    </w:p>
    <w:p>
      <w:pPr>
        <w:spacing w:after="0" w:line="81" w:lineRule="exact"/>
        <w:rPr>
          <w:sz w:val="20"/>
          <w:szCs w:val="20"/>
          <w:color w:val="auto"/>
        </w:rPr>
      </w:pPr>
    </w:p>
    <w:p>
      <w:pPr>
        <w:jc w:val="both"/>
        <w:ind w:left="1260" w:hanging="626"/>
        <w:spacing w:after="0" w:line="259" w:lineRule="auto"/>
        <w:tabs>
          <w:tab w:leader="none" w:pos="1279" w:val="left"/>
        </w:tabs>
        <w:numPr>
          <w:ilvl w:val="0"/>
          <w:numId w:val="34"/>
        </w:numPr>
        <w:rPr>
          <w:rFonts w:ascii="Arial" w:cs="Arial" w:eastAsia="Arial" w:hAnsi="Arial"/>
          <w:sz w:val="20"/>
          <w:szCs w:val="20"/>
          <w:color w:val="auto"/>
        </w:rPr>
      </w:pPr>
      <w:r>
        <w:rPr>
          <w:rFonts w:ascii="Arial" w:cs="Arial" w:eastAsia="Arial" w:hAnsi="Arial"/>
          <w:sz w:val="18"/>
          <w:szCs w:val="18"/>
          <w:color w:val="auto"/>
        </w:rPr>
        <w:t>If Employee is a specified employee (within the meaning of Code Section 409A) at the time Employee incurs a separation from service (within the meaning of Section 409A), then to the extent necessary to comply with Code Section 409A and avoid the imposition of taxes under Code Section 409A, the payment of certain benefits owed to Employee under this Agreement will be delayed and instead paid (without interest) to Employee upon the earlier of the first business day of the seventh month following Employee’s separation from service or death.</w:t>
      </w:r>
    </w:p>
    <w:p>
      <w:pPr>
        <w:spacing w:after="0" w:line="147" w:lineRule="exact"/>
        <w:rPr>
          <w:rFonts w:ascii="Arial" w:cs="Arial" w:eastAsia="Arial" w:hAnsi="Arial"/>
          <w:sz w:val="20"/>
          <w:szCs w:val="20"/>
          <w:color w:val="auto"/>
        </w:rPr>
      </w:pPr>
    </w:p>
    <w:p>
      <w:pPr>
        <w:jc w:val="both"/>
        <w:ind w:left="1260" w:hanging="626"/>
        <w:spacing w:after="0" w:line="243" w:lineRule="auto"/>
        <w:tabs>
          <w:tab w:leader="none" w:pos="1265" w:val="left"/>
        </w:tabs>
        <w:numPr>
          <w:ilvl w:val="0"/>
          <w:numId w:val="34"/>
        </w:numPr>
        <w:rPr>
          <w:rFonts w:ascii="Arial" w:cs="Arial" w:eastAsia="Arial" w:hAnsi="Arial"/>
          <w:sz w:val="21"/>
          <w:szCs w:val="21"/>
          <w:color w:val="auto"/>
        </w:rPr>
      </w:pPr>
      <w:r>
        <w:rPr>
          <w:rFonts w:ascii="Arial" w:cs="Arial" w:eastAsia="Arial" w:hAnsi="Arial"/>
          <w:sz w:val="19"/>
          <w:szCs w:val="19"/>
          <w:color w:val="auto"/>
        </w:rPr>
        <w:t>The Company and Employee agree that, for purposes of the limitations on nonqualified deferred compensation under Section 409A, each payment of compensation under this Agreement shall be treated as a separate payment of compensation for purposes of applying Section 409A deferral election rules and the exclusion from Section 409A for certain short-term deferral amounts. The Company and Employee also agree that any amounts payable solely on account of an involuntary separation from service of the Executive within the meaning of Section 409A shall be excludible from the requirements of Section 409A, either as involuntary separation pay or as short-term deferral amounts (e.g., amounts payable under the schedule prior to March 15 of the calendar year following the calendar year of involuntary separation) to the maximum possible extent.</w:t>
      </w:r>
    </w:p>
    <w:p>
      <w:pPr>
        <w:spacing w:after="0" w:line="160" w:lineRule="exact"/>
        <w:rPr>
          <w:rFonts w:ascii="Arial" w:cs="Arial" w:eastAsia="Arial" w:hAnsi="Arial"/>
          <w:sz w:val="21"/>
          <w:szCs w:val="21"/>
          <w:color w:val="auto"/>
        </w:rPr>
      </w:pPr>
    </w:p>
    <w:p>
      <w:pPr>
        <w:jc w:val="both"/>
        <w:ind w:left="1260" w:hanging="626"/>
        <w:spacing w:after="0" w:line="243" w:lineRule="auto"/>
        <w:tabs>
          <w:tab w:leader="none" w:pos="1278" w:val="left"/>
        </w:tabs>
        <w:numPr>
          <w:ilvl w:val="0"/>
          <w:numId w:val="34"/>
        </w:numPr>
        <w:rPr>
          <w:rFonts w:ascii="Arial" w:cs="Arial" w:eastAsia="Arial" w:hAnsi="Arial"/>
          <w:sz w:val="21"/>
          <w:szCs w:val="21"/>
          <w:color w:val="auto"/>
        </w:rPr>
      </w:pPr>
      <w:r>
        <w:rPr>
          <w:rFonts w:ascii="Arial" w:cs="Arial" w:eastAsia="Arial" w:hAnsi="Arial"/>
          <w:sz w:val="19"/>
          <w:szCs w:val="19"/>
          <w:color w:val="auto"/>
        </w:rPr>
        <w:t>Notwithstanding anything to the contrary in this Agreement, all reimbursements and in kind benefits provided under this Agreement shall be made or provided in accordance with the requirements of Section 409A,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day of the calendar year following the year in which the expense is incurred, and (iv) the right to reimbursement or in kind benefits is not subject to liquidation or exchange for another benefit.</w:t>
      </w:r>
    </w:p>
    <w:p>
      <w:pPr>
        <w:spacing w:after="0" w:line="69" w:lineRule="exact"/>
        <w:rPr>
          <w:sz w:val="20"/>
          <w:szCs w:val="20"/>
          <w:color w:val="auto"/>
        </w:rPr>
      </w:pPr>
    </w:p>
    <w:p>
      <w:pPr>
        <w:jc w:val="both"/>
        <w:ind w:left="640" w:hanging="624"/>
        <w:spacing w:after="0" w:line="248" w:lineRule="auto"/>
        <w:tabs>
          <w:tab w:leader="none" w:pos="620" w:val="left"/>
        </w:tabs>
        <w:rPr>
          <w:sz w:val="20"/>
          <w:szCs w:val="20"/>
          <w:color w:val="auto"/>
        </w:rPr>
      </w:pPr>
      <w:r>
        <w:rPr>
          <w:rFonts w:ascii="Arial" w:cs="Arial" w:eastAsia="Arial" w:hAnsi="Arial"/>
          <w:sz w:val="19"/>
          <w:szCs w:val="19"/>
          <w:color w:val="auto"/>
        </w:rPr>
        <w:t>4.11</w:t>
      </w:r>
      <w:r>
        <w:rPr>
          <w:sz w:val="20"/>
          <w:szCs w:val="20"/>
          <w:color w:val="auto"/>
        </w:rPr>
        <w:tab/>
      </w:r>
      <w:r>
        <w:rPr>
          <w:rFonts w:ascii="Arial" w:cs="Arial" w:eastAsia="Arial" w:hAnsi="Arial"/>
          <w:sz w:val="19"/>
          <w:szCs w:val="19"/>
          <w:color w:val="auto"/>
        </w:rPr>
        <w:t>409A. To the extent that any payment or other consideration due from the Company to Employee hereunder would trigger any tax or penalty under Section 409A, the Company agrees that it will accelerate such payment or other consideration to the extent allowed by law in order to eliminate such tax or penalty. To the extent that any payment or other consideration called to be made under this Agreement fails to meet the requirements of Section 409A and the regulations relating to that statute, the Company shall immediately pay to Employee an additional sum equal to any amount required to be included as income as a result of such noncompliance.</w:t>
      </w:r>
    </w:p>
    <w:p>
      <w:pPr>
        <w:spacing w:after="0" w:line="378"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00"/>
          </w:cols>
          <w:pgMar w:left="940" w:top="748" w:right="45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IN WITNESS WHEREOF, the parties hereto have executed this Agreement, effective as of the date set forth above.</w:t>
      </w:r>
    </w:p>
    <w:p>
      <w:pPr>
        <w:spacing w:after="0" w:line="200" w:lineRule="exact"/>
        <w:rPr>
          <w:sz w:val="20"/>
          <w:szCs w:val="20"/>
          <w:color w:val="auto"/>
        </w:rPr>
      </w:pP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9"/>
          <w:szCs w:val="19"/>
          <w:b w:val="1"/>
          <w:bCs w:val="1"/>
          <w:color w:val="auto"/>
        </w:rPr>
        <w:t>CROSSFIRST BANK</w:t>
      </w: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29210</wp:posOffset>
            </wp:positionV>
            <wp:extent cx="35560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3556000" cy="8255"/>
                    </a:xfrm>
                    <a:prstGeom prst="rect">
                      <a:avLst/>
                    </a:prstGeom>
                    <a:noFill/>
                  </pic:spPr>
                </pic:pic>
              </a:graphicData>
            </a:graphic>
          </wp:anchor>
        </w:drawing>
      </w:r>
    </w:p>
    <w:p>
      <w:pPr>
        <w:spacing w:after="0" w:line="61"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Michael J. Maddox</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President and CEO</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9"/>
          <w:szCs w:val="19"/>
          <w:b w:val="1"/>
          <w:bCs w:val="1"/>
          <w:color w:val="auto"/>
        </w:rPr>
        <w:t>CROSSFIRST BANKSHARES, INC.</w:t>
      </w: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29210</wp:posOffset>
            </wp:positionV>
            <wp:extent cx="35560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556000" cy="8255"/>
                    </a:xfrm>
                    <a:prstGeom prst="rect">
                      <a:avLst/>
                    </a:prstGeom>
                    <a:noFill/>
                  </pic:spPr>
                </pic:pic>
              </a:graphicData>
            </a:graphic>
          </wp:anchor>
        </w:drawing>
      </w:r>
    </w:p>
    <w:p>
      <w:pPr>
        <w:spacing w:after="0" w:line="61"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Michael J. Maddox</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President and CEO</w:t>
      </w:r>
    </w:p>
    <w:p>
      <w:pPr>
        <w:spacing w:after="0" w:line="200" w:lineRule="exact"/>
        <w:rPr>
          <w:sz w:val="20"/>
          <w:szCs w:val="20"/>
          <w:color w:val="auto"/>
        </w:rPr>
      </w:pPr>
    </w:p>
    <w:p>
      <w:pPr>
        <w:spacing w:after="0" w:line="292" w:lineRule="exact"/>
        <w:rPr>
          <w:sz w:val="20"/>
          <w:szCs w:val="20"/>
          <w:color w:val="auto"/>
        </w:rPr>
      </w:pPr>
    </w:p>
    <w:p>
      <w:pPr>
        <w:ind w:left="6800"/>
        <w:spacing w:after="0"/>
        <w:rPr>
          <w:sz w:val="20"/>
          <w:szCs w:val="20"/>
          <w:color w:val="auto"/>
        </w:rPr>
      </w:pPr>
      <w:r>
        <w:rPr>
          <w:rFonts w:ascii="Arial" w:cs="Arial" w:eastAsia="Arial" w:hAnsi="Arial"/>
          <w:sz w:val="19"/>
          <w:szCs w:val="19"/>
          <w:b w:val="1"/>
          <w:bCs w:val="1"/>
          <w:color w:val="auto"/>
        </w:rPr>
        <w:t>JANA D. MERFEN</w:t>
      </w:r>
    </w:p>
    <w:p>
      <w:pPr>
        <w:spacing w:after="0" w:line="321"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/s/ Jana D. Merfen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29210</wp:posOffset>
            </wp:positionV>
            <wp:extent cx="32867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286760" cy="8255"/>
                    </a:xfrm>
                    <a:prstGeom prst="rect">
                      <a:avLst/>
                    </a:prstGeom>
                    <a:noFill/>
                  </pic:spPr>
                </pic:pic>
              </a:graphicData>
            </a:graphic>
          </wp:anchor>
        </w:drawing>
      </w:r>
    </w:p>
    <w:p>
      <w:pPr>
        <w:spacing w:after="0" w:line="61"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Jana D. Merfen</w:t>
      </w:r>
    </w:p>
    <w:p>
      <w:pPr>
        <w:spacing w:after="0" w:line="68"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CTO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139"/>
          </w:cols>
          <w:pgMar w:left="320" w:top="839" w:right="1440"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21"/>
          <w:szCs w:val="21"/>
          <w:b w:val="1"/>
          <w:bCs w:val="1"/>
          <w:color w:val="auto"/>
        </w:rPr>
        <w:t>Certification of Chief Executive Officer</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Pursuant to Rules 13a-14(a) and 15d-14(a) of the Securities Exchange Act of 1934</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and 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 Michael J. Maddox, certify that:</w:t>
      </w:r>
    </w:p>
    <w:p>
      <w:pPr>
        <w:spacing w:after="0" w:line="221" w:lineRule="exact"/>
        <w:rPr>
          <w:sz w:val="20"/>
          <w:szCs w:val="20"/>
          <w:color w:val="auto"/>
        </w:rPr>
      </w:pPr>
    </w:p>
    <w:p>
      <w:pPr>
        <w:ind w:left="1260" w:hanging="631"/>
        <w:spacing w:after="0"/>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CrossFirst Bankshares, Inc.;</w:t>
      </w:r>
    </w:p>
    <w:p>
      <w:pPr>
        <w:spacing w:after="0" w:line="169" w:lineRule="exact"/>
        <w:rPr>
          <w:rFonts w:ascii="Arial" w:cs="Arial" w:eastAsia="Arial" w:hAnsi="Arial"/>
          <w:sz w:val="17"/>
          <w:szCs w:val="17"/>
          <w:color w:val="auto"/>
        </w:rPr>
      </w:pPr>
    </w:p>
    <w:p>
      <w:pPr>
        <w:jc w:val="both"/>
        <w:ind w:left="1260" w:right="100" w:hanging="631"/>
        <w:spacing w:after="0" w:line="271"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1260" w:right="60" w:hanging="631"/>
        <w:spacing w:after="0" w:line="319" w:lineRule="auto"/>
        <w:tabs>
          <w:tab w:leader="none" w:pos="1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260" w:right="40" w:hanging="631"/>
        <w:spacing w:after="0" w:line="286"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7"/>
          <w:szCs w:val="17"/>
          <w:color w:val="auto"/>
        </w:rPr>
      </w:pPr>
    </w:p>
    <w:p>
      <w:pPr>
        <w:ind w:left="1960" w:hanging="706"/>
        <w:spacing w:after="0" w:line="271" w:lineRule="auto"/>
        <w:tabs>
          <w:tab w:leader="none" w:pos="195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ind w:left="1960" w:right="140" w:hanging="706"/>
        <w:spacing w:after="0" w:line="271" w:lineRule="auto"/>
        <w:tabs>
          <w:tab w:leader="none" w:pos="1954"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ind w:left="1960" w:right="240" w:hanging="706"/>
        <w:spacing w:after="0" w:line="295" w:lineRule="auto"/>
        <w:tabs>
          <w:tab w:leader="none" w:pos="1957"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6"/>
          <w:szCs w:val="16"/>
          <w:color w:val="auto"/>
        </w:rPr>
      </w:pPr>
    </w:p>
    <w:p>
      <w:pPr>
        <w:ind w:left="1260" w:hanging="631"/>
        <w:spacing w:after="0" w:line="319" w:lineRule="auto"/>
        <w:tabs>
          <w:tab w:leader="none" w:pos="1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960" w:right="100" w:hanging="706"/>
        <w:spacing w:after="0" w:line="357" w:lineRule="auto"/>
        <w:tabs>
          <w:tab w:leader="none" w:pos="1957" w:val="left"/>
        </w:tabs>
        <w:numPr>
          <w:ilvl w:val="1"/>
          <w:numId w:val="3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5"/>
          <w:szCs w:val="15"/>
          <w:color w:val="auto"/>
        </w:rPr>
      </w:pPr>
    </w:p>
    <w:p>
      <w:pPr>
        <w:ind w:left="1960" w:right="380" w:hanging="706"/>
        <w:spacing w:after="0" w:line="286" w:lineRule="auto"/>
        <w:tabs>
          <w:tab w:leader="none" w:pos="1954"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Date:  May 6, 2021</w:t>
      </w:r>
    </w:p>
    <w:p>
      <w:pPr>
        <w:spacing w:after="0" w:line="286"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15875</wp:posOffset>
            </wp:positionV>
            <wp:extent cx="2291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Michael J. Maddox</w:t>
      </w:r>
    </w:p>
    <w:p>
      <w:pPr>
        <w:spacing w:after="0" w:line="26"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Chief Executive Officer</w:t>
      </w:r>
    </w:p>
    <w:p>
      <w:pPr>
        <w:spacing w:after="0" w:line="26"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00"/>
          </w:cols>
          <w:pgMar w:left="320" w:top="829" w:right="37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21"/>
          <w:szCs w:val="21"/>
          <w:b w:val="1"/>
          <w:bCs w:val="1"/>
          <w:color w:val="auto"/>
        </w:rPr>
        <w:t>Certification of Chief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Rules 13a-14(a) and 15d-14(a) of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 David L. O’Toole, certify that:</w:t>
      </w:r>
    </w:p>
    <w:p>
      <w:pPr>
        <w:spacing w:after="0" w:line="234" w:lineRule="exact"/>
        <w:rPr>
          <w:sz w:val="20"/>
          <w:szCs w:val="20"/>
          <w:color w:val="auto"/>
        </w:rPr>
      </w:pPr>
    </w:p>
    <w:p>
      <w:pPr>
        <w:ind w:left="1260" w:hanging="631"/>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CrossFirst Bankshares, Inc.;</w:t>
      </w:r>
    </w:p>
    <w:p>
      <w:pPr>
        <w:spacing w:after="0" w:line="182" w:lineRule="exact"/>
        <w:rPr>
          <w:rFonts w:ascii="Arial" w:cs="Arial" w:eastAsia="Arial" w:hAnsi="Arial"/>
          <w:sz w:val="17"/>
          <w:szCs w:val="17"/>
          <w:color w:val="auto"/>
        </w:rPr>
      </w:pPr>
    </w:p>
    <w:p>
      <w:pPr>
        <w:jc w:val="both"/>
        <w:ind w:left="1260" w:right="140" w:hanging="631"/>
        <w:spacing w:after="0" w:line="287" w:lineRule="auto"/>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1260" w:right="100" w:hanging="631"/>
        <w:spacing w:after="0" w:line="336" w:lineRule="auto"/>
        <w:tabs>
          <w:tab w:leader="none" w:pos="1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260" w:right="80" w:hanging="631"/>
        <w:spacing w:after="0" w:line="302" w:lineRule="auto"/>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2040" w:right="160" w:hanging="786"/>
        <w:spacing w:after="0" w:line="295" w:lineRule="auto"/>
        <w:tabs>
          <w:tab w:leader="none" w:pos="2037"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ind w:left="2040" w:right="100" w:hanging="786"/>
        <w:spacing w:after="0" w:line="271" w:lineRule="auto"/>
        <w:tabs>
          <w:tab w:leader="none" w:pos="2034"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ind w:left="2040" w:right="200" w:hanging="786"/>
        <w:spacing w:after="0" w:line="295" w:lineRule="auto"/>
        <w:tabs>
          <w:tab w:leader="none" w:pos="2037"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6"/>
          <w:szCs w:val="16"/>
          <w:color w:val="auto"/>
        </w:rPr>
      </w:pPr>
    </w:p>
    <w:p>
      <w:pPr>
        <w:ind w:left="1260" w:right="40" w:hanging="631"/>
        <w:spacing w:after="0" w:line="336" w:lineRule="auto"/>
        <w:tabs>
          <w:tab w:leader="none" w:pos="1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2040" w:hanging="786"/>
        <w:spacing w:after="0" w:line="336" w:lineRule="auto"/>
        <w:tabs>
          <w:tab w:leader="none" w:pos="203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2040" w:hanging="786"/>
        <w:spacing w:after="0" w:line="302" w:lineRule="auto"/>
        <w:tabs>
          <w:tab w:leader="none" w:pos="2034"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Date:  May 6, 2021</w:t>
      </w:r>
    </w:p>
    <w:p>
      <w:pPr>
        <w:spacing w:after="0" w:line="286"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15875</wp:posOffset>
            </wp:positionV>
            <wp:extent cx="2291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David L. O’Toole</w:t>
      </w:r>
    </w:p>
    <w:p>
      <w:pPr>
        <w:spacing w:after="0" w:line="26"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Chief Financial Officer</w:t>
      </w:r>
    </w:p>
    <w:p>
      <w:pPr>
        <w:spacing w:after="0" w:line="26"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29"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Exhibit 32.1</w:t>
      </w:r>
    </w:p>
    <w:p>
      <w:pPr>
        <w:spacing w:after="0" w:line="251" w:lineRule="exact"/>
        <w:rPr>
          <w:sz w:val="20"/>
          <w:szCs w:val="20"/>
          <w:color w:val="auto"/>
        </w:rPr>
      </w:pPr>
    </w:p>
    <w:p>
      <w:pPr>
        <w:ind w:right="140"/>
        <w:spacing w:after="0" w:line="275" w:lineRule="auto"/>
        <w:rPr>
          <w:sz w:val="20"/>
          <w:szCs w:val="20"/>
          <w:color w:val="auto"/>
        </w:rPr>
      </w:pPr>
      <w:r>
        <w:rPr>
          <w:rFonts w:ascii="Arial" w:cs="Arial" w:eastAsia="Arial" w:hAnsi="Arial"/>
          <w:sz w:val="21"/>
          <w:szCs w:val="21"/>
          <w:b w:val="1"/>
          <w:bCs w:val="1"/>
          <w:color w:val="auto"/>
        </w:rPr>
        <w:t>CERTIFICATION OF PRINCIPAL EXECUTIVE OFFICER AND PRINCIPAL FINANCIAL OFFICER UNDER 18 U.S.C. § 1350 FURNISHED PURSUANT TO SECURITIES EXCHANGE ACT RULE 13a-14(b)</w:t>
      </w:r>
    </w:p>
    <w:p>
      <w:pPr>
        <w:spacing w:after="0" w:line="15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connection with the Quarterly Report of CrossFirst Bankshares, Inc. (the “Company”) on Form 10-Q for the period ended on March 31, 2021, as filed with the Securities and Exchange Commission on the date hereof (the “Report”), each of the undersigned, in his respective capacities indicated below, hereby certifies, pursuant to 18 U.S.C. § 1350, as enacted by Section 906 of the Sarbanes-Oxley Act of 2002, that, to his knowledge and belief,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 May 6, 2021</w:t>
      </w:r>
    </w:p>
    <w:p>
      <w:pPr>
        <w:spacing w:after="0" w:line="286"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23495</wp:posOffset>
            </wp:positionV>
            <wp:extent cx="406908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4069080" cy="16510"/>
                    </a:xfrm>
                    <a:prstGeom prst="rect">
                      <a:avLst/>
                    </a:prstGeom>
                    <a:noFill/>
                  </pic:spPr>
                </pic:pic>
              </a:graphicData>
            </a:graphic>
          </wp:anchor>
        </w:drawing>
      </w:r>
    </w:p>
    <w:p>
      <w:pPr>
        <w:spacing w:after="0" w:line="43" w:lineRule="exact"/>
        <w:rPr>
          <w:sz w:val="20"/>
          <w:szCs w:val="20"/>
          <w:color w:val="auto"/>
        </w:rPr>
      </w:pPr>
    </w:p>
    <w:p>
      <w:pPr>
        <w:ind w:left="9880"/>
        <w:spacing w:after="0"/>
        <w:rPr>
          <w:sz w:val="20"/>
          <w:szCs w:val="20"/>
          <w:color w:val="auto"/>
        </w:rPr>
      </w:pPr>
      <w:r>
        <w:rPr>
          <w:rFonts w:ascii="Arial" w:cs="Arial" w:eastAsia="Arial" w:hAnsi="Arial"/>
          <w:sz w:val="16"/>
          <w:szCs w:val="16"/>
          <w:color w:val="auto"/>
        </w:rPr>
        <w:t>Michael J. Maddox</w:t>
      </w:r>
    </w:p>
    <w:p>
      <w:pPr>
        <w:spacing w:after="0" w:line="37"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President and Chief Executive Officer (Principal Executive Officer)</w:t>
      </w:r>
    </w:p>
    <w:p>
      <w:pPr>
        <w:spacing w:after="0" w:line="200" w:lineRule="exact"/>
        <w:rPr>
          <w:sz w:val="20"/>
          <w:szCs w:val="20"/>
          <w:color w:val="auto"/>
        </w:rPr>
      </w:pPr>
    </w:p>
    <w:p>
      <w:pPr>
        <w:spacing w:after="0" w:line="202"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23495</wp:posOffset>
            </wp:positionV>
            <wp:extent cx="406908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4069080" cy="16510"/>
                    </a:xfrm>
                    <a:prstGeom prst="rect">
                      <a:avLst/>
                    </a:prstGeom>
                    <a:noFill/>
                  </pic:spPr>
                </pic:pic>
              </a:graphicData>
            </a:graphic>
          </wp:anchor>
        </w:drawing>
      </w:r>
    </w:p>
    <w:p>
      <w:pPr>
        <w:spacing w:after="0" w:line="43"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David L. O'Toole</w:t>
      </w:r>
    </w:p>
    <w:p>
      <w:pPr>
        <w:spacing w:after="0" w:line="25"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Chief Financial Officer (Principal Financial Officer and</w:t>
      </w:r>
    </w:p>
    <w:p>
      <w:pPr>
        <w:jc w:val="right"/>
        <w:ind w:right="20"/>
        <w:spacing w:after="0"/>
        <w:rPr>
          <w:sz w:val="20"/>
          <w:szCs w:val="20"/>
          <w:color w:val="auto"/>
        </w:rPr>
      </w:pPr>
      <w:r>
        <w:rPr>
          <w:rFonts w:ascii="Arial" w:cs="Arial" w:eastAsia="Arial" w:hAnsi="Arial"/>
          <w:sz w:val="17"/>
          <w:szCs w:val="17"/>
          <w:color w:val="auto"/>
        </w:rPr>
        <w:t>Principal Accounting Officer)</w:t>
      </w:r>
    </w:p>
    <w:sectPr>
      <w:pgSz w:w="11900" w:h="16838" w:orient="portrait"/>
      <w:cols w:equalWidth="0" w:num="1">
        <w:col w:w="11240"/>
      </w:cols>
      <w:pgMar w:left="320" w:top="13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upperLetter"/>
      <w:start w:val="68"/>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decimal"/>
      <w:start w:val="2"/>
    </w:lvl>
    <w:lvl w:ilvl="1">
      <w:lvlJc w:val="left"/>
      <w:lvlText w:val="%2."/>
      <w:numFmt w:val="lowerLetter"/>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2"/>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Roman"/>
      <w:start w:val="1"/>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1."/>
      <w:numFmt w:val="decimal"/>
      <w:start w:val="4"/>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3"/>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jpe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83" Type="http://schemas.openxmlformats.org/officeDocument/2006/relationships/hyperlink" Target="https://www.sec.gov/Archives/edgar/data/1458412/000114036119013110/s002626x8_ex3-1.htm" TargetMode="External"/><Relationship Id="rId84" Type="http://schemas.openxmlformats.org/officeDocument/2006/relationships/hyperlink" Target="https://www.sec.gov/Archives/edgar/data/1458412/000114036119013110/s002626x8_ex3-2.htm" TargetMode="External"/><Relationship Id="rId85" Type="http://schemas.openxmlformats.org/officeDocument/2006/relationships/hyperlink" Target="https://www.sec.gov/Archives/edgar/data/1458412/000114036119013110/s002626x8_ex3-3.htm" TargetMode="External"/><Relationship Id="rId86" Type="http://schemas.openxmlformats.org/officeDocument/2006/relationships/hyperlink" Target="https://www.sec.gov/Archives/edgar/data/1458412/000145841221000012/exec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2021-05-06T09:54:36Z</dcterms:created>
  <dcterms:modified xsi:type="dcterms:W3CDTF">2021-05-06T09:54:36Z</dcterms:modified>
</cp:coreProperties>
</file>