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333- 269943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S-3 Registration Statement No. 333- 269943</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CROSSFIRST BANKSHARES,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Kansas</w:t>
      </w:r>
    </w:p>
    <w:p>
      <w:pPr>
        <w:spacing w:after="0" w:line="3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26-3212879</w:t>
      </w:r>
    </w:p>
    <w:p>
      <w:pPr>
        <w:spacing w:after="0" w:line="3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427" w:lineRule="exact"/>
        <w:rPr>
          <w:sz w:val="24"/>
          <w:szCs w:val="24"/>
          <w:color w:val="auto"/>
        </w:rPr>
      </w:pPr>
    </w:p>
    <w:p>
      <w:pPr>
        <w:sectPr>
          <w:pgSz w:w="11900" w:h="16838" w:orient="portrait"/>
          <w:cols w:equalWidth="0" w:num="2">
            <w:col w:w="6300" w:space="720"/>
            <w:col w:w="4220"/>
          </w:cols>
          <w:pgMar w:left="320" w:top="22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11440 Tomahawk Creek Parkway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Leawood, Kansas 66211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(913) 312-6822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 A. Dukeman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W. University Ave.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Champaign, Illinois 61820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(217) 365-4500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7"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and Exchange Act of 1934, as amended (the “Exchange Act”). (Check one):</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2920" w:type="dxa"/>
            <w:vAlign w:val="bottom"/>
          </w:tcPr>
          <w:p>
            <w:pPr>
              <w:ind w:left="520"/>
              <w:spacing w:after="0" w:line="207" w:lineRule="exact"/>
              <w:rPr>
                <w:sz w:val="20"/>
                <w:szCs w:val="20"/>
                <w:color w:val="auto"/>
              </w:rPr>
            </w:pPr>
            <w:r>
              <w:rPr>
                <w:rFonts w:ascii="Times New Roman" w:cs="Times New Roman" w:eastAsia="Times New Roman" w:hAnsi="Times New Roman"/>
                <w:sz w:val="18"/>
                <w:szCs w:val="18"/>
                <w:color w:val="auto"/>
              </w:rPr>
              <w:t>Large accelerated filer </w:t>
            </w:r>
            <w:r>
              <w:rPr>
                <w:rFonts w:ascii="MS PGothic" w:cs="MS PGothic" w:eastAsia="MS PGothic" w:hAnsi="MS PGothic"/>
                <w:sz w:val="18"/>
                <w:szCs w:val="18"/>
                <w:color w:val="auto"/>
              </w:rPr>
              <w:t>☐</w:t>
            </w:r>
          </w:p>
        </w:tc>
        <w:tc>
          <w:tcPr>
            <w:tcW w:w="2400" w:type="dxa"/>
            <w:vAlign w:val="bottom"/>
          </w:tcPr>
          <w:p>
            <w:pPr>
              <w:ind w:left="600"/>
              <w:spacing w:after="0" w:line="207" w:lineRule="exact"/>
              <w:rPr>
                <w:sz w:val="20"/>
                <w:szCs w:val="20"/>
                <w:color w:val="auto"/>
              </w:rPr>
            </w:pPr>
            <w:r>
              <w:rPr>
                <w:rFonts w:ascii="Times New Roman" w:cs="Times New Roman" w:eastAsia="Times New Roman" w:hAnsi="Times New Roman"/>
                <w:sz w:val="18"/>
                <w:szCs w:val="18"/>
                <w:color w:val="auto"/>
              </w:rPr>
              <w:t>Accelerated filer </w:t>
            </w:r>
            <w:r>
              <w:rPr>
                <w:rFonts w:ascii="MS PGothic" w:cs="MS PGothic" w:eastAsia="MS PGothic" w:hAnsi="MS PGothic"/>
                <w:sz w:val="18"/>
                <w:szCs w:val="18"/>
                <w:color w:val="auto"/>
              </w:rPr>
              <w:t>☒</w:t>
            </w:r>
          </w:p>
        </w:tc>
        <w:tc>
          <w:tcPr>
            <w:tcW w:w="3220" w:type="dxa"/>
            <w:vAlign w:val="bottom"/>
          </w:tcPr>
          <w:p>
            <w:pPr>
              <w:jc w:val="center"/>
              <w:ind w:left="110"/>
              <w:spacing w:after="0" w:line="207" w:lineRule="exact"/>
              <w:rPr>
                <w:sz w:val="20"/>
                <w:szCs w:val="20"/>
                <w:color w:val="auto"/>
              </w:rPr>
            </w:pPr>
            <w:r>
              <w:rPr>
                <w:rFonts w:ascii="Times New Roman" w:cs="Times New Roman" w:eastAsia="Times New Roman" w:hAnsi="Times New Roman"/>
                <w:sz w:val="18"/>
                <w:szCs w:val="18"/>
                <w:color w:val="auto"/>
                <w:w w:val="99"/>
              </w:rPr>
              <w:t xml:space="preserve">Non-accelerated filer </w:t>
            </w:r>
            <w:r>
              <w:rPr>
                <w:rFonts w:ascii="MS PGothic" w:cs="MS PGothic" w:eastAsia="MS PGothic" w:hAnsi="MS PGothic"/>
                <w:sz w:val="18"/>
                <w:szCs w:val="18"/>
                <w:color w:val="auto"/>
                <w:w w:val="99"/>
              </w:rPr>
              <w:t>☐</w:t>
            </w:r>
          </w:p>
        </w:tc>
        <w:tc>
          <w:tcPr>
            <w:tcW w:w="270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Smaller reporting company </w:t>
            </w:r>
            <w:r>
              <w:rPr>
                <w:rFonts w:ascii="MS PGothic" w:cs="MS PGothic" w:eastAsia="MS PGothic" w:hAnsi="MS PGothic"/>
                <w:sz w:val="18"/>
                <w:szCs w:val="18"/>
                <w:color w:val="auto"/>
              </w:rPr>
              <w:t>☐</w:t>
            </w:r>
          </w:p>
        </w:tc>
      </w:tr>
      <w:tr>
        <w:trPr>
          <w:trHeight w:val="216"/>
        </w:trPr>
        <w:tc>
          <w:tcPr>
            <w:tcW w:w="2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(Do not check if a smaller reporting</w:t>
            </w:r>
          </w:p>
        </w:tc>
        <w:tc>
          <w:tcPr>
            <w:tcW w:w="2700" w:type="dxa"/>
            <w:vAlign w:val="bottom"/>
          </w:tcPr>
          <w:p>
            <w:pPr>
              <w:spacing w:after="0"/>
              <w:rPr>
                <w:sz w:val="18"/>
                <w:szCs w:val="18"/>
                <w:color w:val="auto"/>
              </w:rPr>
            </w:pPr>
          </w:p>
        </w:tc>
      </w:tr>
      <w:tr>
        <w:trPr>
          <w:trHeight w:val="234"/>
        </w:trPr>
        <w:tc>
          <w:tcPr>
            <w:tcW w:w="29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company)</w:t>
            </w:r>
          </w:p>
        </w:tc>
        <w:tc>
          <w:tcPr>
            <w:tcW w:w="2700" w:type="dxa"/>
            <w:vAlign w:val="bottom"/>
          </w:tcPr>
          <w:p>
            <w:pPr>
              <w:spacing w:after="0"/>
              <w:rPr>
                <w:sz w:val="20"/>
                <w:szCs w:val="20"/>
                <w:color w:val="auto"/>
              </w:rPr>
            </w:pPr>
          </w:p>
        </w:tc>
      </w:tr>
      <w:tr>
        <w:trPr>
          <w:trHeight w:val="216"/>
        </w:trPr>
        <w:tc>
          <w:tcPr>
            <w:tcW w:w="29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r>
      <w:tr>
        <w:trPr>
          <w:trHeight w:val="28"/>
        </w:trPr>
        <w:tc>
          <w:tcPr>
            <w:tcW w:w="29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675"/>
        </w:trPr>
        <w:tc>
          <w:tcPr>
            <w:tcW w:w="29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Post-Effective Amendment No. 1 to the following registration statement on Form S-3 (the “</w:t>
      </w:r>
      <w:r>
        <w:rPr>
          <w:rFonts w:ascii="Times New Roman" w:cs="Times New Roman" w:eastAsia="Times New Roman" w:hAnsi="Times New Roman"/>
          <w:sz w:val="18"/>
          <w:szCs w:val="18"/>
          <w:u w:val="single" w:color="auto"/>
          <w:color w:val="auto"/>
        </w:rPr>
        <w:t>Prior Registration Statement</w:t>
      </w:r>
      <w:r>
        <w:rPr>
          <w:rFonts w:ascii="Times New Roman" w:cs="Times New Roman" w:eastAsia="Times New Roman" w:hAnsi="Times New Roman"/>
          <w:sz w:val="18"/>
          <w:szCs w:val="18"/>
          <w:color w:val="auto"/>
        </w:rPr>
        <w:t>”) is being filed by CrossFirst Bankshares, Inc. (“</w:t>
      </w:r>
      <w:r>
        <w:rPr>
          <w:rFonts w:ascii="Times New Roman" w:cs="Times New Roman" w:eastAsia="Times New Roman" w:hAnsi="Times New Roman"/>
          <w:sz w:val="18"/>
          <w:szCs w:val="18"/>
          <w:u w:val="single" w:color="auto"/>
          <w:color w:val="auto"/>
        </w:rPr>
        <w:t>CrossFirst</w:t>
      </w:r>
      <w:r>
        <w:rPr>
          <w:rFonts w:ascii="Times New Roman" w:cs="Times New Roman" w:eastAsia="Times New Roman" w:hAnsi="Times New Roman"/>
          <w:sz w:val="18"/>
          <w:szCs w:val="18"/>
          <w:color w:val="auto"/>
        </w:rPr>
        <w:t>”) to terminate all offerings under the Prior Registration Statement and to deregister any and all shares of CrossFirst common stock, par value $0.01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registered but unsold as of the date hereof thereunder:</w:t>
      </w:r>
    </w:p>
    <w:p>
      <w:pPr>
        <w:spacing w:after="0" w:line="176"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Registration Statement on Form S-3, File No. 333-269943, filed with the Securities and Exchange Commission on February 23, 2023, registering securities of CrossFirst for a maximum aggregate offering price of up to $250,000,000.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2025, pursuant to the Agreement and Plan of Merger, dated as of August 26, 2024, by and between First Busey Corporation, a Nevada corporation (“</w:t>
      </w:r>
      <w:r>
        <w:rPr>
          <w:rFonts w:ascii="Times New Roman" w:cs="Times New Roman" w:eastAsia="Times New Roman" w:hAnsi="Times New Roman"/>
          <w:sz w:val="18"/>
          <w:szCs w:val="18"/>
          <w:u w:val="single" w:color="auto"/>
          <w:color w:val="auto"/>
        </w:rPr>
        <w:t>Busey</w:t>
      </w:r>
      <w:r>
        <w:rPr>
          <w:rFonts w:ascii="Times New Roman" w:cs="Times New Roman" w:eastAsia="Times New Roman" w:hAnsi="Times New Roman"/>
          <w:sz w:val="18"/>
          <w:szCs w:val="18"/>
          <w:color w:val="auto"/>
        </w:rPr>
        <w:t>”), and CrossFirst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CrossFirst merged with and into Busey, with Busey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Merger, CrossFirst has terminated all offerings of CrossFirst’s securities pursuant to the Prior Registration Statement. Accordingly, pursuant to the undertakings made by CrossFirst in the Prior Registration Statement to remove from registration, by means of a post-effective amendment, any of the securities that remain unsold at the termination of the offerings, this Post-Effective Amendment No. 1 hereby removes from registration all of such securities registered under the Prior Registration Statement that remain unsold as of the date of this Post-Effective Amendment No. 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Post-Effective Amendment No. 1 to the Prior Registration Statement to be signed on its behalf by the undersigned, thereunto duly authorized, in the City of Champaign, State of Illinois, on March 7, 2025.</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successor-in-interest to CrossFirst Bankshares,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Scott A. Phillips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Interim Chief Financial Officer, Executive Vice President and Chief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No. 1 to the Prior Registration Statements in reliance upon Rule 478 under the Securities Act of 1933, as amended.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2025-03-07T16:16:31Z</dcterms:created>
  <dcterms:modified xsi:type="dcterms:W3CDTF">2025-03-07T16:16:31Z</dcterms:modified>
</cp:coreProperties>
</file>