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SECURITIES AND EXCHANGE COMMISSION</w:t>
      </w:r>
    </w:p>
    <w:p>
      <w:pPr>
        <w:spacing w:after="0" w:line="7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WASHINGTON, DC 20549</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FORM 10-Q</w:t>
      </w:r>
    </w:p>
    <w:p>
      <w:pPr>
        <w:spacing w:after="0" w:line="79" w:lineRule="exact"/>
        <w:rPr>
          <w:sz w:val="24"/>
          <w:szCs w:val="24"/>
          <w:color w:val="auto"/>
        </w:rPr>
      </w:pPr>
    </w:p>
    <w:p>
      <w:pPr>
        <w:ind w:left="1160" w:hanging="155"/>
        <w:spacing w:after="0"/>
        <w:tabs>
          <w:tab w:leader="none" w:pos="1160" w:val="left"/>
        </w:tabs>
        <w:numPr>
          <w:ilvl w:val="0"/>
          <w:numId w:val="1"/>
        </w:numPr>
        <w:rPr>
          <w:rFonts w:ascii="MS PGothic" w:cs="MS PGothic" w:eastAsia="MS PGothic" w:hAnsi="MS PGothic"/>
          <w:sz w:val="23"/>
          <w:szCs w:val="23"/>
          <w:color w:val="auto"/>
          <w:vertAlign w:val="superscript"/>
        </w:rPr>
      </w:pPr>
      <w:r>
        <w:rPr>
          <w:rFonts w:ascii="Arial" w:cs="Arial" w:eastAsia="Arial" w:hAnsi="Arial"/>
          <w:sz w:val="12"/>
          <w:szCs w:val="12"/>
          <w:color w:val="auto"/>
        </w:rPr>
        <w:t>QUARTERLY REPORT PURSUANT TO SECTION 13 OR 15(d) OF THE SECURITIES EXCHANGE ACT OF 1934</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 the quarterly period ended June 30, 2022</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5" w:lineRule="exact"/>
        <w:rPr>
          <w:sz w:val="24"/>
          <w:szCs w:val="24"/>
          <w:color w:val="auto"/>
        </w:rPr>
      </w:pPr>
    </w:p>
    <w:p>
      <w:pPr>
        <w:jc w:val="center"/>
        <w:ind w:left="3100" w:right="1019" w:hanging="2095"/>
        <w:spacing w:after="0" w:line="397" w:lineRule="auto"/>
        <w:tabs>
          <w:tab w:leader="none" w:pos="1147"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 to ______</w:t>
      </w:r>
    </w:p>
    <w:p>
      <w:pPr>
        <w:ind w:left="3460"/>
        <w:spacing w:after="0"/>
        <w:rPr>
          <w:rFonts w:ascii="MS PGothic" w:cs="MS PGothic" w:eastAsia="MS PGothic" w:hAnsi="MS PGothic"/>
          <w:sz w:val="14"/>
          <w:szCs w:val="14"/>
          <w:color w:val="auto"/>
        </w:rPr>
      </w:pPr>
      <w:r>
        <w:rPr>
          <w:rFonts w:ascii="Arial" w:cs="Arial" w:eastAsia="Arial" w:hAnsi="Arial"/>
          <w:sz w:val="14"/>
          <w:szCs w:val="14"/>
          <w:color w:val="auto"/>
        </w:rPr>
        <w:t>Commission file number 001-39028</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CROSSFIRST BANKSHARES, INC.</w:t>
      </w:r>
    </w:p>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95" w:lineRule="exact"/>
        <w:rPr>
          <w:sz w:val="24"/>
          <w:szCs w:val="24"/>
          <w:color w:val="auto"/>
        </w:rPr>
      </w:pPr>
    </w:p>
    <w:tbl>
      <w:tblPr>
        <w:tblLayout w:type="fixed"/>
        <w:tblInd w:w="880" w:type="dxa"/>
        <w:tblCellMar>
          <w:top w:w="0" w:type="dxa"/>
          <w:left w:w="0" w:type="dxa"/>
          <w:bottom w:w="0" w:type="dxa"/>
          <w:right w:w="0" w:type="dxa"/>
        </w:tblCellMar>
      </w:tblPr>
      <w:tr>
        <w:trPr>
          <w:trHeight w:val="164"/>
        </w:trPr>
        <w:tc>
          <w:tcPr>
            <w:tcW w:w="3900" w:type="dxa"/>
            <w:vAlign w:val="bottom"/>
          </w:tcPr>
          <w:p>
            <w:pPr>
              <w:jc w:val="center"/>
              <w:ind w:right="752"/>
              <w:spacing w:after="0"/>
              <w:rPr>
                <w:sz w:val="20"/>
                <w:szCs w:val="20"/>
                <w:color w:val="auto"/>
              </w:rPr>
            </w:pPr>
            <w:r>
              <w:rPr>
                <w:rFonts w:ascii="Arial" w:cs="Arial" w:eastAsia="Arial" w:hAnsi="Arial"/>
                <w:sz w:val="14"/>
                <w:szCs w:val="14"/>
                <w:color w:val="auto"/>
                <w:w w:val="85"/>
              </w:rPr>
              <w:t>Kansas</w:t>
            </w:r>
          </w:p>
        </w:tc>
        <w:tc>
          <w:tcPr>
            <w:tcW w:w="2700" w:type="dxa"/>
            <w:vAlign w:val="bottom"/>
          </w:tcPr>
          <w:p>
            <w:pPr>
              <w:jc w:val="right"/>
              <w:ind w:right="533"/>
              <w:spacing w:after="0"/>
              <w:rPr>
                <w:sz w:val="20"/>
                <w:szCs w:val="20"/>
                <w:color w:val="auto"/>
              </w:rPr>
            </w:pPr>
            <w:r>
              <w:rPr>
                <w:rFonts w:ascii="Arial" w:cs="Arial" w:eastAsia="Arial" w:hAnsi="Arial"/>
                <w:sz w:val="14"/>
                <w:szCs w:val="14"/>
                <w:color w:val="auto"/>
              </w:rPr>
              <w:t>26-3212879</w:t>
            </w:r>
          </w:p>
        </w:tc>
      </w:tr>
      <w:tr>
        <w:trPr>
          <w:trHeight w:val="162"/>
        </w:trPr>
        <w:tc>
          <w:tcPr>
            <w:tcW w:w="3900" w:type="dxa"/>
            <w:vAlign w:val="bottom"/>
          </w:tcPr>
          <w:p>
            <w:pPr>
              <w:jc w:val="center"/>
              <w:ind w:right="772"/>
              <w:spacing w:after="0"/>
              <w:rPr>
                <w:sz w:val="20"/>
                <w:szCs w:val="20"/>
                <w:color w:val="auto"/>
              </w:rPr>
            </w:pPr>
            <w:r>
              <w:rPr>
                <w:rFonts w:ascii="Arial" w:cs="Arial" w:eastAsia="Arial" w:hAnsi="Arial"/>
                <w:sz w:val="13"/>
                <w:szCs w:val="13"/>
                <w:color w:val="auto"/>
                <w:w w:val="91"/>
              </w:rPr>
              <w:t>(State or other jurisdiction of incorporation or organization)</w:t>
            </w:r>
          </w:p>
        </w:tc>
        <w:tc>
          <w:tcPr>
            <w:tcW w:w="2700" w:type="dxa"/>
            <w:vAlign w:val="bottom"/>
          </w:tcPr>
          <w:p>
            <w:pPr>
              <w:jc w:val="center"/>
              <w:ind w:left="773"/>
              <w:spacing w:after="0"/>
              <w:rPr>
                <w:sz w:val="20"/>
                <w:szCs w:val="20"/>
                <w:color w:val="auto"/>
              </w:rPr>
            </w:pPr>
            <w:r>
              <w:rPr>
                <w:rFonts w:ascii="Arial" w:cs="Arial" w:eastAsia="Arial" w:hAnsi="Arial"/>
                <w:sz w:val="13"/>
                <w:szCs w:val="13"/>
                <w:color w:val="auto"/>
                <w:w w:val="92"/>
              </w:rPr>
              <w:t>(I.R.S. Employer Identification No.)</w:t>
            </w:r>
          </w:p>
        </w:tc>
      </w:tr>
      <w:tr>
        <w:trPr>
          <w:trHeight w:val="293"/>
        </w:trPr>
        <w:tc>
          <w:tcPr>
            <w:tcW w:w="3900" w:type="dxa"/>
            <w:vAlign w:val="bottom"/>
          </w:tcPr>
          <w:p>
            <w:pPr>
              <w:jc w:val="center"/>
              <w:ind w:right="772"/>
              <w:spacing w:after="0"/>
              <w:rPr>
                <w:sz w:val="20"/>
                <w:szCs w:val="20"/>
                <w:color w:val="auto"/>
              </w:rPr>
            </w:pPr>
            <w:r>
              <w:rPr>
                <w:rFonts w:ascii="Arial" w:cs="Arial" w:eastAsia="Arial" w:hAnsi="Arial"/>
                <w:sz w:val="14"/>
                <w:szCs w:val="14"/>
                <w:color w:val="auto"/>
                <w:w w:val="90"/>
              </w:rPr>
              <w:t>11440 Tomahawk Creek Parkway</w:t>
            </w:r>
          </w:p>
        </w:tc>
        <w:tc>
          <w:tcPr>
            <w:tcW w:w="2700" w:type="dxa"/>
            <w:vAlign w:val="bottom"/>
          </w:tcPr>
          <w:p>
            <w:pPr>
              <w:spacing w:after="0"/>
              <w:rPr>
                <w:sz w:val="24"/>
                <w:szCs w:val="24"/>
                <w:color w:val="auto"/>
              </w:rPr>
            </w:pPr>
          </w:p>
        </w:tc>
      </w:tr>
      <w:tr>
        <w:trPr>
          <w:trHeight w:val="164"/>
        </w:trPr>
        <w:tc>
          <w:tcPr>
            <w:tcW w:w="3900" w:type="dxa"/>
            <w:vAlign w:val="bottom"/>
          </w:tcPr>
          <w:p>
            <w:pPr>
              <w:ind w:left="900"/>
              <w:spacing w:after="0"/>
              <w:rPr>
                <w:sz w:val="20"/>
                <w:szCs w:val="20"/>
                <w:color w:val="auto"/>
              </w:rPr>
            </w:pPr>
            <w:r>
              <w:rPr>
                <w:rFonts w:ascii="Arial" w:cs="Arial" w:eastAsia="Arial" w:hAnsi="Arial"/>
                <w:sz w:val="14"/>
                <w:szCs w:val="14"/>
                <w:color w:val="auto"/>
              </w:rPr>
              <w:t>Leawood,  KS</w:t>
            </w:r>
          </w:p>
        </w:tc>
        <w:tc>
          <w:tcPr>
            <w:tcW w:w="2700" w:type="dxa"/>
            <w:vAlign w:val="bottom"/>
          </w:tcPr>
          <w:p>
            <w:pPr>
              <w:jc w:val="right"/>
              <w:ind w:right="693"/>
              <w:spacing w:after="0"/>
              <w:rPr>
                <w:sz w:val="20"/>
                <w:szCs w:val="20"/>
                <w:color w:val="auto"/>
              </w:rPr>
            </w:pPr>
            <w:r>
              <w:rPr>
                <w:rFonts w:ascii="Arial" w:cs="Arial" w:eastAsia="Arial" w:hAnsi="Arial"/>
                <w:sz w:val="14"/>
                <w:szCs w:val="14"/>
                <w:color w:val="auto"/>
              </w:rPr>
              <w:t>66211</w:t>
            </w:r>
          </w:p>
        </w:tc>
      </w:tr>
      <w:tr>
        <w:trPr>
          <w:trHeight w:val="162"/>
        </w:trPr>
        <w:tc>
          <w:tcPr>
            <w:tcW w:w="3900" w:type="dxa"/>
            <w:vAlign w:val="bottom"/>
          </w:tcPr>
          <w:p>
            <w:pPr>
              <w:jc w:val="center"/>
              <w:ind w:right="752"/>
              <w:spacing w:after="0"/>
              <w:rPr>
                <w:sz w:val="20"/>
                <w:szCs w:val="20"/>
                <w:color w:val="auto"/>
              </w:rPr>
            </w:pPr>
            <w:r>
              <w:rPr>
                <w:rFonts w:ascii="Arial" w:cs="Arial" w:eastAsia="Arial" w:hAnsi="Arial"/>
                <w:sz w:val="13"/>
                <w:szCs w:val="13"/>
                <w:color w:val="auto"/>
                <w:w w:val="91"/>
              </w:rPr>
              <w:t>(Address of principal executive offices)</w:t>
            </w:r>
          </w:p>
        </w:tc>
        <w:tc>
          <w:tcPr>
            <w:tcW w:w="2700" w:type="dxa"/>
            <w:vAlign w:val="bottom"/>
          </w:tcPr>
          <w:p>
            <w:pPr>
              <w:jc w:val="center"/>
              <w:ind w:left="753"/>
              <w:spacing w:after="0"/>
              <w:rPr>
                <w:sz w:val="20"/>
                <w:szCs w:val="20"/>
                <w:color w:val="auto"/>
              </w:rPr>
            </w:pPr>
            <w:r>
              <w:rPr>
                <w:rFonts w:ascii="Arial" w:cs="Arial" w:eastAsia="Arial" w:hAnsi="Arial"/>
                <w:sz w:val="13"/>
                <w:szCs w:val="13"/>
                <w:color w:val="auto"/>
                <w:w w:val="91"/>
              </w:rPr>
              <w:t>(Zip Code)</w:t>
            </w: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(913) 754-9704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pacing w:after="0" w:line="80" w:lineRule="exact"/>
        <w:rPr>
          <w:sz w:val="24"/>
          <w:szCs w:val="24"/>
          <w:color w:val="auto"/>
        </w:rPr>
      </w:pPr>
    </w:p>
    <w:tbl>
      <w:tblPr>
        <w:tblLayout w:type="fixed"/>
        <w:tblInd w:w="540" w:type="dxa"/>
        <w:tblCellMar>
          <w:top w:w="0" w:type="dxa"/>
          <w:left w:w="0" w:type="dxa"/>
          <w:bottom w:w="0" w:type="dxa"/>
          <w:right w:w="0" w:type="dxa"/>
        </w:tblCellMar>
      </w:tblPr>
      <w:tr>
        <w:trPr>
          <w:trHeight w:val="174"/>
        </w:trPr>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40" w:type="dxa"/>
            <w:vAlign w:val="bottom"/>
          </w:tcPr>
          <w:p>
            <w:pPr>
              <w:spacing w:after="0"/>
              <w:rPr>
                <w:sz w:val="15"/>
                <w:szCs w:val="15"/>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1"/>
        </w:trPr>
        <w:tc>
          <w:tcPr>
            <w:tcW w:w="2980" w:type="dxa"/>
            <w:vAlign w:val="bottom"/>
          </w:tcPr>
          <w:p>
            <w:pPr>
              <w:jc w:val="center"/>
              <w:spacing w:after="0"/>
              <w:rPr>
                <w:sz w:val="20"/>
                <w:szCs w:val="20"/>
                <w:color w:val="auto"/>
              </w:rPr>
            </w:pPr>
            <w:r>
              <w:rPr>
                <w:rFonts w:ascii="Arial" w:cs="Arial" w:eastAsia="Arial" w:hAnsi="Arial"/>
                <w:sz w:val="14"/>
                <w:szCs w:val="14"/>
                <w:color w:val="auto"/>
                <w:w w:val="90"/>
              </w:rPr>
              <w:t>Common Stock, par value $0.01 per share</w:t>
            </w:r>
          </w:p>
        </w:tc>
        <w:tc>
          <w:tcPr>
            <w:tcW w:w="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CFB</w:t>
            </w:r>
          </w:p>
        </w:tc>
        <w:tc>
          <w:tcPr>
            <w:tcW w:w="14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color w:val="auto"/>
                <w:w w:val="92"/>
              </w:rPr>
              <w:t>The Nasdaq Stock Market LLC</w:t>
            </w:r>
          </w:p>
        </w:tc>
      </w:tr>
    </w:tbl>
    <w:p>
      <w:pPr>
        <w:spacing w:after="0" w:line="151" w:lineRule="exact"/>
        <w:rPr>
          <w:sz w:val="24"/>
          <w:szCs w:val="24"/>
          <w:color w:val="auto"/>
        </w:rPr>
      </w:pPr>
    </w:p>
    <w:p>
      <w:pPr>
        <w:ind w:left="540" w:right="639"/>
        <w:spacing w:after="0" w:line="29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540" w:right="4619" w:hanging="5"/>
        <w:spacing w:after="0" w:line="176" w:lineRule="exact"/>
        <w:tabs>
          <w:tab w:leader="none" w:pos="74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7" w:lineRule="exact"/>
        <w:rPr>
          <w:sz w:val="24"/>
          <w:szCs w:val="24"/>
          <w:color w:val="auto"/>
        </w:rPr>
      </w:pPr>
    </w:p>
    <w:p>
      <w:pPr>
        <w:ind w:left="540" w:right="619"/>
        <w:spacing w:after="0" w:line="28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w:t>
      </w:r>
    </w:p>
    <w:p>
      <w:pPr>
        <w:ind w:left="540"/>
        <w:spacing w:after="0" w:line="161" w:lineRule="exact"/>
        <w:tabs>
          <w:tab w:leader="none" w:pos="2620" w:val="left"/>
          <w:tab w:leader="none" w:pos="3160" w:val="left"/>
        </w:tabs>
        <w:rPr>
          <w:sz w:val="20"/>
          <w:szCs w:val="20"/>
          <w:color w:val="auto"/>
        </w:rPr>
      </w:pPr>
      <w:r>
        <w:rPr>
          <w:rFonts w:ascii="Arial" w:cs="Arial" w:eastAsia="Arial" w:hAnsi="Arial"/>
          <w:sz w:val="14"/>
          <w:szCs w:val="14"/>
          <w:color w:val="auto"/>
        </w:rPr>
        <w:t>was required to submit such 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1" w:lineRule="exact"/>
        <w:rPr>
          <w:sz w:val="24"/>
          <w:szCs w:val="24"/>
          <w:color w:val="auto"/>
        </w:rPr>
      </w:pPr>
    </w:p>
    <w:p>
      <w:pPr>
        <w:ind w:left="540" w:right="779"/>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58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8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2"/>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1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ind w:left="8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3"/>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1500" w:type="dxa"/>
            <w:vAlign w:val="bottom"/>
          </w:tcPr>
          <w:p>
            <w:pPr>
              <w:ind w:left="500"/>
              <w:spacing w:after="0" w:line="141" w:lineRule="exact"/>
              <w:rPr>
                <w:sz w:val="20"/>
                <w:szCs w:val="20"/>
                <w:color w:val="auto"/>
              </w:rPr>
            </w:pPr>
            <w:r>
              <w:rPr>
                <w:rFonts w:ascii="MS PGothic" w:cs="MS PGothic" w:eastAsia="MS PGothic" w:hAnsi="MS PGothic"/>
                <w:sz w:val="14"/>
                <w:szCs w:val="14"/>
                <w:color w:val="auto"/>
              </w:rPr>
              <w:t>☒</w:t>
            </w:r>
          </w:p>
        </w:tc>
        <w:tc>
          <w:tcPr>
            <w:tcW w:w="296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57"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w:t>
      </w:r>
    </w:p>
    <w:p>
      <w:pPr>
        <w:sectPr>
          <w:pgSz w:w="11900" w:h="16838" w:orient="portrait"/>
          <w:cols w:equalWidth="0" w:num="1">
            <w:col w:w="9019"/>
          </w:cols>
          <w:pgMar w:left="1440" w:top="949" w:right="1440" w:bottom="1440" w:gutter="0" w:footer="0" w:header="0"/>
        </w:sectPr>
      </w:pPr>
    </w:p>
    <w:p>
      <w:pPr>
        <w:spacing w:after="0" w:line="32" w:lineRule="exact"/>
        <w:rPr>
          <w:sz w:val="24"/>
          <w:szCs w:val="24"/>
          <w:color w:val="auto"/>
        </w:rPr>
      </w:pPr>
    </w:p>
    <w:p>
      <w:pPr>
        <w:ind w:left="540"/>
        <w:spacing w:after="0"/>
        <w:rPr>
          <w:sz w:val="20"/>
          <w:szCs w:val="20"/>
          <w:color w:val="auto"/>
        </w:rPr>
      </w:pPr>
      <w:r>
        <w:rPr>
          <w:rFonts w:ascii="Arial" w:cs="Arial" w:eastAsia="Arial" w:hAnsi="Arial"/>
          <w:sz w:val="12"/>
          <w:szCs w:val="12"/>
          <w:color w:val="auto"/>
        </w:rPr>
        <w:t>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ectPr>
          <w:pgSz w:w="11900" w:h="16838" w:orient="portrait"/>
          <w:cols w:equalWidth="0" w:num="2">
            <w:col w:w="7540" w:space="120"/>
            <w:col w:w="1359"/>
          </w:cols>
          <w:pgMar w:left="1440" w:top="949" w:right="1440" w:bottom="1440" w:gutter="0" w:footer="0" w:header="0"/>
          <w:type w:val="continuous"/>
        </w:sectPr>
      </w:pPr>
    </w:p>
    <w:p>
      <w:pPr>
        <w:spacing w:after="0" w:line="47" w:lineRule="exact"/>
        <w:rPr>
          <w:sz w:val="24"/>
          <w:szCs w:val="24"/>
          <w:color w:val="auto"/>
        </w:rPr>
      </w:pPr>
    </w:p>
    <w:p>
      <w:pPr>
        <w:ind w:left="54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3" w:lineRule="exact"/>
        <w:rPr>
          <w:sz w:val="24"/>
          <w:szCs w:val="24"/>
          <w:color w:val="auto"/>
        </w:rPr>
      </w:pPr>
    </w:p>
    <w:p>
      <w:pPr>
        <w:sectPr>
          <w:pgSz w:w="11900" w:h="16838" w:orient="portrait"/>
          <w:cols w:equalWidth="0" w:num="4">
            <w:col w:w="7220" w:space="120"/>
            <w:col w:w="120" w:space="180"/>
            <w:col w:w="180" w:space="100"/>
            <w:col w:w="1099"/>
          </w:cols>
          <w:pgMar w:left="1440" w:top="949" w:right="1440" w:bottom="1440" w:gutter="0" w:footer="0" w:header="0"/>
          <w:type w:val="continuous"/>
        </w:sectPr>
      </w:pPr>
    </w:p>
    <w:p>
      <w:pPr>
        <w:ind w:left="540"/>
        <w:spacing w:after="0"/>
        <w:rPr>
          <w:sz w:val="20"/>
          <w:szCs w:val="20"/>
          <w:color w:val="auto"/>
        </w:rPr>
      </w:pPr>
      <w:r>
        <w:rPr>
          <w:rFonts w:ascii="Arial" w:cs="Arial" w:eastAsia="Arial" w:hAnsi="Arial"/>
          <w:sz w:val="12"/>
          <w:szCs w:val="12"/>
          <w:color w:val="auto"/>
        </w:rPr>
        <w:t>As of August 1, 2022, the registrant had 49,310,909 shares of common stock, par value $0.01, outstanding.</w:t>
      </w:r>
    </w:p>
    <w:p>
      <w:pPr>
        <w:sectPr>
          <w:pgSz w:w="11900" w:h="16838" w:orient="portrait"/>
          <w:cols w:equalWidth="0" w:num="1">
            <w:col w:w="9019"/>
          </w:cols>
          <w:pgMar w:left="1440" w:top="949" w:right="1440" w:bottom="1440" w:gutter="0" w:footer="0" w:header="0"/>
          <w:type w:val="continuous"/>
        </w:sectPr>
      </w:pPr>
    </w:p>
    <w:bookmarkStart w:id="1" w:name="page2"/>
    <w:bookmarkEnd w:id="1"/>
    <w:p>
      <w:pPr>
        <w:jc w:val="center"/>
        <w:ind w:right="-5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CrossFirst Bankshares, Inc.</w:t>
      </w:r>
    </w:p>
    <w:p>
      <w:pPr>
        <w:spacing w:after="0" w:line="11"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Form 10-Q for the Quarter Ended June 30, 2022</w:t>
      </w:r>
    </w:p>
    <w:p>
      <w:pPr>
        <w:spacing w:after="0" w:line="7"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auto"/>
        </w:rPr>
        <w:t>Index</w:t>
      </w:r>
    </w:p>
    <w:p>
      <w:pPr>
        <w:spacing w:after="0" w:line="30" w:lineRule="exact"/>
        <w:rPr>
          <w:sz w:val="20"/>
          <w:szCs w:val="20"/>
          <w:color w:val="auto"/>
        </w:rPr>
      </w:pPr>
    </w:p>
    <w:tbl>
      <w:tblPr>
        <w:tblLayout w:type="fixed"/>
        <w:tblInd w:w="580" w:type="dxa"/>
        <w:tblCellMar>
          <w:top w:w="0" w:type="dxa"/>
          <w:left w:w="0" w:type="dxa"/>
          <w:bottom w:w="0" w:type="dxa"/>
          <w:right w:w="0" w:type="dxa"/>
        </w:tblCellMar>
      </w:tblPr>
      <w:tr>
        <w:trPr>
          <w:trHeight w:val="180"/>
        </w:trPr>
        <w:tc>
          <w:tcPr>
            <w:tcW w:w="6400" w:type="dxa"/>
            <w:vAlign w:val="bottom"/>
            <w:gridSpan w:val="39"/>
          </w:tcPr>
          <w:p>
            <w:pPr>
              <w:spacing w:after="0"/>
              <w:rPr>
                <w:sz w:val="20"/>
                <w:szCs w:val="20"/>
                <w:color w:val="auto"/>
              </w:rPr>
            </w:pPr>
            <w:r>
              <w:rPr>
                <w:rFonts w:ascii="Arial" w:cs="Arial" w:eastAsia="Arial" w:hAnsi="Arial"/>
                <w:sz w:val="14"/>
                <w:szCs w:val="14"/>
                <w:color w:val="auto"/>
              </w:rPr>
              <w:t>Part I. Financial Information</w:t>
            </w:r>
          </w:p>
        </w:tc>
        <w:tc>
          <w:tcPr>
            <w:tcW w:w="940" w:type="dxa"/>
            <w:vAlign w:val="bottom"/>
          </w:tcPr>
          <w:p>
            <w:pPr>
              <w:spacing w:after="0"/>
              <w:rPr>
                <w:sz w:val="15"/>
                <w:szCs w:val="15"/>
                <w:color w:val="auto"/>
              </w:rPr>
            </w:pPr>
          </w:p>
        </w:tc>
      </w:tr>
      <w:tr>
        <w:trPr>
          <w:trHeight w:val="181"/>
        </w:trPr>
        <w:tc>
          <w:tcPr>
            <w:tcW w:w="100" w:type="dxa"/>
            <w:vAlign w:val="bottom"/>
          </w:tcPr>
          <w:p>
            <w:pPr>
              <w:spacing w:after="0"/>
              <w:rPr>
                <w:sz w:val="15"/>
                <w:szCs w:val="15"/>
                <w:color w:val="auto"/>
              </w:rPr>
            </w:pPr>
          </w:p>
        </w:tc>
        <w:tc>
          <w:tcPr>
            <w:tcW w:w="6300" w:type="dxa"/>
            <w:vAlign w:val="bottom"/>
            <w:gridSpan w:val="38"/>
          </w:tcPr>
          <w:p>
            <w:pPr>
              <w:spacing w:after="0"/>
              <w:rPr>
                <w:sz w:val="20"/>
                <w:szCs w:val="20"/>
                <w:color w:val="auto"/>
              </w:rPr>
            </w:pPr>
            <w:r>
              <w:rPr>
                <w:rFonts w:ascii="Arial" w:cs="Arial" w:eastAsia="Arial" w:hAnsi="Arial"/>
                <w:sz w:val="14"/>
                <w:szCs w:val="14"/>
                <w:color w:val="auto"/>
              </w:rPr>
              <w:t>Item 1. Condensed Consolidated Financial Statements</w:t>
            </w:r>
          </w:p>
        </w:tc>
        <w:tc>
          <w:tcPr>
            <w:tcW w:w="940" w:type="dxa"/>
            <w:vAlign w:val="bottom"/>
          </w:tcPr>
          <w:p>
            <w:pPr>
              <w:spacing w:after="0"/>
              <w:rPr>
                <w:sz w:val="15"/>
                <w:szCs w:val="15"/>
                <w:color w:val="auto"/>
              </w:rPr>
            </w:pPr>
          </w:p>
        </w:tc>
      </w:tr>
      <w:tr>
        <w:trPr>
          <w:trHeight w:val="181"/>
        </w:trPr>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140" w:type="dxa"/>
            <w:vAlign w:val="bottom"/>
            <w:gridSpan w:val="37"/>
          </w:tcPr>
          <w:p>
            <w:pPr>
              <w:spacing w:after="0"/>
              <w:rPr>
                <w:sz w:val="20"/>
                <w:szCs w:val="20"/>
                <w:color w:val="auto"/>
              </w:rPr>
            </w:pPr>
            <w:r>
              <w:rPr>
                <w:rFonts w:ascii="Arial" w:cs="Arial" w:eastAsia="Arial" w:hAnsi="Arial"/>
                <w:sz w:val="14"/>
                <w:szCs w:val="14"/>
                <w:color w:val="auto"/>
              </w:rPr>
              <w:t>Forward-Looking Information</w:t>
            </w:r>
          </w:p>
        </w:tc>
        <w:tc>
          <w:tcPr>
            <w:tcW w:w="940" w:type="dxa"/>
            <w:vAlign w:val="bottom"/>
          </w:tcPr>
          <w:p>
            <w:pPr>
              <w:spacing w:after="0"/>
              <w:rPr>
                <w:sz w:val="15"/>
                <w:szCs w:val="15"/>
                <w:color w:val="auto"/>
              </w:rPr>
            </w:pPr>
          </w:p>
        </w:tc>
      </w:tr>
      <w:tr>
        <w:trPr>
          <w:trHeight w:val="150"/>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gridSpan w:val="37"/>
          </w:tcPr>
          <w:p>
            <w:pPr>
              <w:spacing w:after="0" w:line="150" w:lineRule="exact"/>
              <w:rPr>
                <w:rFonts w:ascii="Arial" w:cs="Arial" w:eastAsia="Arial" w:hAnsi="Arial"/>
                <w:sz w:val="14"/>
                <w:szCs w:val="14"/>
                <w:color w:val="0000FF"/>
              </w:rPr>
            </w:pPr>
            <w:hyperlink w:anchor="page4">
              <w:r>
                <w:rPr>
                  <w:rFonts w:ascii="Arial" w:cs="Arial" w:eastAsia="Arial" w:hAnsi="Arial"/>
                  <w:sz w:val="14"/>
                  <w:szCs w:val="14"/>
                  <w:color w:val="0000FF"/>
                </w:rPr>
                <w:t>Condensed Consolidated Balance Sheets - Unaudited</w:t>
              </w:r>
            </w:hyperlink>
          </w:p>
        </w:tc>
        <w:tc>
          <w:tcPr>
            <w:tcW w:w="940" w:type="dxa"/>
            <w:vAlign w:val="bottom"/>
          </w:tcPr>
          <w:p>
            <w:pPr>
              <w:ind w:left="780"/>
              <w:spacing w:after="0" w:line="150" w:lineRule="exact"/>
              <w:rPr>
                <w:sz w:val="20"/>
                <w:szCs w:val="20"/>
                <w:color w:val="auto"/>
              </w:rPr>
            </w:pPr>
            <w:r>
              <w:rPr>
                <w:rFonts w:ascii="Arial" w:cs="Arial" w:eastAsia="Arial" w:hAnsi="Arial"/>
                <w:sz w:val="14"/>
                <w:szCs w:val="14"/>
                <w:color w:val="auto"/>
              </w:rPr>
              <w:t>4</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7"/>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Condensed Consolidated Statements of Income - Unaudited</w:t>
              </w:r>
            </w:hyperlink>
          </w:p>
        </w:tc>
        <w:tc>
          <w:tcPr>
            <w:tcW w:w="940" w:type="dxa"/>
            <w:vAlign w:val="bottom"/>
          </w:tcPr>
          <w:p>
            <w:pPr>
              <w:ind w:left="780"/>
              <w:spacing w:after="0"/>
              <w:rPr>
                <w:sz w:val="20"/>
                <w:szCs w:val="20"/>
                <w:color w:val="auto"/>
              </w:rPr>
            </w:pPr>
            <w:r>
              <w:rPr>
                <w:rFonts w:ascii="Arial" w:cs="Arial" w:eastAsia="Arial" w:hAnsi="Arial"/>
                <w:sz w:val="14"/>
                <w:szCs w:val="14"/>
                <w:color w:val="auto"/>
              </w:rPr>
              <w:t>5</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gridSpan w:val="37"/>
          </w:tcPr>
          <w:p>
            <w:pPr>
              <w:spacing w:after="0" w:line="151" w:lineRule="exact"/>
              <w:rPr>
                <w:rFonts w:ascii="Arial" w:cs="Arial" w:eastAsia="Arial" w:hAnsi="Arial"/>
                <w:sz w:val="14"/>
                <w:szCs w:val="14"/>
                <w:color w:val="0000FF"/>
              </w:rPr>
            </w:pPr>
            <w:hyperlink w:anchor="page6">
              <w:r>
                <w:rPr>
                  <w:rFonts w:ascii="Arial" w:cs="Arial" w:eastAsia="Arial" w:hAnsi="Arial"/>
                  <w:sz w:val="14"/>
                  <w:szCs w:val="14"/>
                  <w:color w:val="0000FF"/>
                </w:rPr>
                <w:t>Condensed Consolidated Statements of Comprehensive Income (Loss) - Unaudited</w:t>
              </w:r>
            </w:hyperlink>
          </w:p>
        </w:tc>
        <w:tc>
          <w:tcPr>
            <w:tcW w:w="940" w:type="dxa"/>
            <w:vAlign w:val="bottom"/>
          </w:tcPr>
          <w:p>
            <w:pPr>
              <w:ind w:left="780"/>
              <w:spacing w:after="0" w:line="151" w:lineRule="exact"/>
              <w:rPr>
                <w:sz w:val="20"/>
                <w:szCs w:val="20"/>
                <w:color w:val="auto"/>
              </w:rPr>
            </w:pPr>
            <w:r>
              <w:rPr>
                <w:rFonts w:ascii="Arial" w:cs="Arial" w:eastAsia="Arial" w:hAnsi="Arial"/>
                <w:sz w:val="14"/>
                <w:szCs w:val="14"/>
                <w:color w:val="auto"/>
              </w:rPr>
              <w:t>6</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160" w:type="dxa"/>
            <w:vAlign w:val="bottom"/>
            <w:tcBorders>
              <w:top w:val="single" w:sz="8" w:color="0000FF"/>
              <w:bottom w:val="single" w:sz="8" w:color="0000FF"/>
            </w:tcBorders>
            <w:gridSpan w:val="34"/>
          </w:tcPr>
          <w:p>
            <w:pPr>
              <w:spacing w:after="0"/>
              <w:rPr>
                <w:rFonts w:ascii="Arial" w:cs="Arial" w:eastAsia="Arial" w:hAnsi="Arial"/>
                <w:sz w:val="14"/>
                <w:szCs w:val="14"/>
                <w:color w:val="0000FF"/>
                <w:w w:val="91"/>
              </w:rPr>
            </w:pPr>
            <w:hyperlink w:anchor="page7">
              <w:r>
                <w:rPr>
                  <w:rFonts w:ascii="Arial" w:cs="Arial" w:eastAsia="Arial" w:hAnsi="Arial"/>
                  <w:sz w:val="14"/>
                  <w:szCs w:val="14"/>
                  <w:color w:val="0000FF"/>
                  <w:w w:val="91"/>
                </w:rPr>
                <w:t>Condensed Consolidated Statements of Stockholders’ Equity - Unaudited</w:t>
              </w:r>
            </w:hyperlink>
          </w:p>
        </w:tc>
        <w:tc>
          <w:tcPr>
            <w:tcW w:w="560" w:type="dxa"/>
            <w:vAlign w:val="bottom"/>
            <w:tcBorders>
              <w:top w:val="single" w:sz="8" w:color="0000FF"/>
            </w:tcBorders>
            <w:gridSpan w:val="2"/>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rPr>
              <w:t>7</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7"/>
          </w:tcPr>
          <w:p>
            <w:pPr>
              <w:spacing w:after="0"/>
              <w:rPr>
                <w:rFonts w:ascii="Arial" w:cs="Arial" w:eastAsia="Arial" w:hAnsi="Arial"/>
                <w:sz w:val="14"/>
                <w:szCs w:val="14"/>
                <w:color w:val="0000FF"/>
              </w:rPr>
            </w:pPr>
            <w:hyperlink w:anchor="page9">
              <w:r>
                <w:rPr>
                  <w:rFonts w:ascii="Arial" w:cs="Arial" w:eastAsia="Arial" w:hAnsi="Arial"/>
                  <w:sz w:val="14"/>
                  <w:szCs w:val="14"/>
                  <w:color w:val="0000FF"/>
                </w:rPr>
                <w:t>Condensed Consolidated Statements of Cash Flows - Unaudited</w:t>
              </w:r>
            </w:hyperlink>
          </w:p>
        </w:tc>
        <w:tc>
          <w:tcPr>
            <w:tcW w:w="940" w:type="dxa"/>
            <w:vAlign w:val="bottom"/>
          </w:tcPr>
          <w:p>
            <w:pPr>
              <w:ind w:left="780"/>
              <w:spacing w:after="0"/>
              <w:rPr>
                <w:sz w:val="20"/>
                <w:szCs w:val="20"/>
                <w:color w:val="auto"/>
              </w:rPr>
            </w:pPr>
            <w:r>
              <w:rPr>
                <w:rFonts w:ascii="Arial" w:cs="Arial" w:eastAsia="Arial" w:hAnsi="Arial"/>
                <w:sz w:val="14"/>
                <w:szCs w:val="14"/>
                <w:color w:val="auto"/>
              </w:rPr>
              <w:t>9</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140" w:type="dxa"/>
            <w:vAlign w:val="bottom"/>
            <w:gridSpan w:val="37"/>
          </w:tcPr>
          <w:p>
            <w:pPr>
              <w:spacing w:after="0"/>
              <w:rPr>
                <w:sz w:val="20"/>
                <w:szCs w:val="20"/>
                <w:color w:val="auto"/>
              </w:rPr>
            </w:pPr>
            <w:r>
              <w:rPr>
                <w:rFonts w:ascii="Arial" w:cs="Arial" w:eastAsia="Arial" w:hAnsi="Arial"/>
                <w:sz w:val="14"/>
                <w:szCs w:val="14"/>
                <w:color w:val="auto"/>
              </w:rPr>
              <w:t>Notes to Condensed Consolidated Financial Statements (unaudited)</w:t>
            </w:r>
          </w:p>
        </w:tc>
        <w:tc>
          <w:tcPr>
            <w:tcW w:w="940" w:type="dxa"/>
            <w:vAlign w:val="bottom"/>
          </w:tcPr>
          <w:p>
            <w:pPr>
              <w:spacing w:after="0"/>
              <w:rPr>
                <w:sz w:val="16"/>
                <w:szCs w:val="16"/>
                <w:color w:val="auto"/>
              </w:rPr>
            </w:pPr>
          </w:p>
        </w:tc>
      </w:tr>
      <w:tr>
        <w:trPr>
          <w:trHeight w:val="150"/>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60" w:type="dxa"/>
            <w:vAlign w:val="bottom"/>
            <w:gridSpan w:val="36"/>
          </w:tcPr>
          <w:p>
            <w:pPr>
              <w:spacing w:after="0" w:line="150" w:lineRule="exact"/>
              <w:rPr>
                <w:rFonts w:ascii="Arial" w:cs="Arial" w:eastAsia="Arial" w:hAnsi="Arial"/>
                <w:sz w:val="14"/>
                <w:szCs w:val="14"/>
                <w:color w:val="0000FF"/>
              </w:rPr>
            </w:pPr>
            <w:hyperlink w:anchor="page10">
              <w:r>
                <w:rPr>
                  <w:rFonts w:ascii="Arial" w:cs="Arial" w:eastAsia="Arial" w:hAnsi="Arial"/>
                  <w:sz w:val="14"/>
                  <w:szCs w:val="14"/>
                  <w:color w:val="0000FF"/>
                </w:rPr>
                <w:t>Note 1: Nature of Operations and Summary of Significant Accounting Policies</w:t>
              </w:r>
            </w:hyperlink>
          </w:p>
        </w:tc>
        <w:tc>
          <w:tcPr>
            <w:tcW w:w="940" w:type="dxa"/>
            <w:vAlign w:val="bottom"/>
          </w:tcPr>
          <w:p>
            <w:pPr>
              <w:ind w:left="780"/>
              <w:spacing w:after="0" w:line="150" w:lineRule="exact"/>
              <w:rPr>
                <w:sz w:val="20"/>
                <w:szCs w:val="20"/>
                <w:color w:val="auto"/>
              </w:rPr>
            </w:pPr>
            <w:r>
              <w:rPr>
                <w:rFonts w:ascii="Arial" w:cs="Arial" w:eastAsia="Arial" w:hAnsi="Arial"/>
                <w:sz w:val="14"/>
                <w:szCs w:val="14"/>
                <w:color w:val="auto"/>
                <w:w w:val="89"/>
              </w:rPr>
              <w:t>10</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Borders>
              <w:top w:val="single" w:sz="8" w:color="0000FF"/>
              <w:bottom w:val="single" w:sz="8" w:color="0000FF"/>
            </w:tcBorders>
            <w:gridSpan w:val="12"/>
          </w:tcPr>
          <w:p>
            <w:pPr>
              <w:spacing w:after="0"/>
              <w:rPr>
                <w:rFonts w:ascii="Arial" w:cs="Arial" w:eastAsia="Arial" w:hAnsi="Arial"/>
                <w:sz w:val="14"/>
                <w:szCs w:val="14"/>
                <w:color w:val="0000FF"/>
                <w:w w:val="88"/>
              </w:rPr>
            </w:pPr>
            <w:hyperlink w:anchor="page15">
              <w:r>
                <w:rPr>
                  <w:rFonts w:ascii="Arial" w:cs="Arial" w:eastAsia="Arial" w:hAnsi="Arial"/>
                  <w:sz w:val="14"/>
                  <w:szCs w:val="14"/>
                  <w:color w:val="0000FF"/>
                  <w:w w:val="88"/>
                </w:rPr>
                <w:t>Note 2: Earnings Per Share</w:t>
              </w:r>
            </w:hyperlink>
          </w:p>
        </w:tc>
        <w:tc>
          <w:tcPr>
            <w:tcW w:w="2920" w:type="dxa"/>
            <w:vAlign w:val="bottom"/>
            <w:tcBorders>
              <w:top w:val="single" w:sz="8" w:color="0000FF"/>
            </w:tcBorders>
            <w:gridSpan w:val="22"/>
          </w:tcPr>
          <w:p>
            <w:pPr>
              <w:spacing w:after="0"/>
              <w:rPr>
                <w:sz w:val="14"/>
                <w:szCs w:val="14"/>
                <w:color w:val="auto"/>
              </w:rPr>
            </w:pPr>
          </w:p>
        </w:tc>
        <w:tc>
          <w:tcPr>
            <w:tcW w:w="1600" w:type="dxa"/>
            <w:vAlign w:val="bottom"/>
            <w:gridSpan w:val="2"/>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15</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0000FF"/>
            </w:tcBorders>
            <w:gridSpan w:val="7"/>
          </w:tcPr>
          <w:p>
            <w:pPr>
              <w:spacing w:after="0"/>
              <w:rPr>
                <w:rFonts w:ascii="Arial" w:cs="Arial" w:eastAsia="Arial" w:hAnsi="Arial"/>
                <w:sz w:val="14"/>
                <w:szCs w:val="14"/>
                <w:color w:val="0000FF"/>
                <w:w w:val="92"/>
              </w:rPr>
            </w:pPr>
            <w:hyperlink w:anchor="page15">
              <w:r>
                <w:rPr>
                  <w:rFonts w:ascii="Arial" w:cs="Arial" w:eastAsia="Arial" w:hAnsi="Arial"/>
                  <w:sz w:val="14"/>
                  <w:szCs w:val="14"/>
                  <w:color w:val="0000FF"/>
                  <w:w w:val="92"/>
                </w:rPr>
                <w:t>Note 3: Securities</w:t>
              </w:r>
            </w:hyperlink>
          </w:p>
        </w:tc>
        <w:tc>
          <w:tcPr>
            <w:tcW w:w="5020" w:type="dxa"/>
            <w:vAlign w:val="bottom"/>
            <w:gridSpan w:val="29"/>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15</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tcBorders>
              <w:bottom w:val="single" w:sz="8" w:color="0000FF"/>
            </w:tcBorders>
            <w:gridSpan w:val="25"/>
          </w:tcPr>
          <w:p>
            <w:pPr>
              <w:spacing w:after="0"/>
              <w:rPr>
                <w:rFonts w:ascii="Arial" w:cs="Arial" w:eastAsia="Arial" w:hAnsi="Arial"/>
                <w:sz w:val="14"/>
                <w:szCs w:val="14"/>
                <w:color w:val="0000FF"/>
                <w:w w:val="91"/>
              </w:rPr>
            </w:pPr>
            <w:hyperlink w:anchor="page19">
              <w:r>
                <w:rPr>
                  <w:rFonts w:ascii="Arial" w:cs="Arial" w:eastAsia="Arial" w:hAnsi="Arial"/>
                  <w:sz w:val="14"/>
                  <w:szCs w:val="14"/>
                  <w:color w:val="0000FF"/>
                  <w:w w:val="91"/>
                </w:rPr>
                <w:t>Note 4: Loans and Allowance for Credit Losses</w:t>
              </w:r>
            </w:hyperlink>
          </w:p>
        </w:tc>
        <w:tc>
          <w:tcPr>
            <w:tcW w:w="3360" w:type="dxa"/>
            <w:vAlign w:val="bottom"/>
            <w:gridSpan w:val="11"/>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19</w:t>
            </w: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Borders>
              <w:bottom w:val="single" w:sz="8" w:color="0000FF"/>
            </w:tcBorders>
            <w:gridSpan w:val="18"/>
          </w:tcPr>
          <w:p>
            <w:pPr>
              <w:spacing w:after="0" w:line="151" w:lineRule="exact"/>
              <w:rPr>
                <w:rFonts w:ascii="Arial" w:cs="Arial" w:eastAsia="Arial" w:hAnsi="Arial"/>
                <w:sz w:val="14"/>
                <w:szCs w:val="14"/>
                <w:color w:val="0000FF"/>
                <w:w w:val="92"/>
              </w:rPr>
            </w:pPr>
            <w:hyperlink w:anchor="page37">
              <w:r>
                <w:rPr>
                  <w:rFonts w:ascii="Arial" w:cs="Arial" w:eastAsia="Arial" w:hAnsi="Arial"/>
                  <w:sz w:val="14"/>
                  <w:szCs w:val="14"/>
                  <w:color w:val="0000FF"/>
                  <w:w w:val="92"/>
                </w:rPr>
                <w:t>Note 5: Derivatives and Hedging</w:t>
              </w:r>
            </w:hyperlink>
          </w:p>
        </w:tc>
        <w:tc>
          <w:tcPr>
            <w:tcW w:w="4180" w:type="dxa"/>
            <w:vAlign w:val="bottom"/>
            <w:gridSpan w:val="18"/>
          </w:tcPr>
          <w:p>
            <w:pPr>
              <w:spacing w:after="0"/>
              <w:rPr>
                <w:sz w:val="13"/>
                <w:szCs w:val="13"/>
                <w:color w:val="auto"/>
              </w:rPr>
            </w:pPr>
          </w:p>
        </w:tc>
        <w:tc>
          <w:tcPr>
            <w:tcW w:w="940" w:type="dxa"/>
            <w:vAlign w:val="bottom"/>
          </w:tcPr>
          <w:p>
            <w:pPr>
              <w:ind w:left="780"/>
              <w:spacing w:after="0" w:line="151" w:lineRule="exact"/>
              <w:rPr>
                <w:sz w:val="20"/>
                <w:szCs w:val="20"/>
                <w:color w:val="auto"/>
              </w:rPr>
            </w:pPr>
            <w:r>
              <w:rPr>
                <w:rFonts w:ascii="Arial" w:cs="Arial" w:eastAsia="Arial" w:hAnsi="Arial"/>
                <w:sz w:val="14"/>
                <w:szCs w:val="14"/>
                <w:color w:val="auto"/>
                <w:w w:val="89"/>
              </w:rPr>
              <w:t>37</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60" w:type="dxa"/>
            <w:vAlign w:val="bottom"/>
            <w:gridSpan w:val="36"/>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Note 6: Time Deposits and Borrowings</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39</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60" w:type="dxa"/>
            <w:vAlign w:val="bottom"/>
            <w:gridSpan w:val="36"/>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Note 7: Change in Accumulated Other Comprehensive Income (Loss)</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39</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13"/>
          </w:tcPr>
          <w:p>
            <w:pPr>
              <w:spacing w:after="0"/>
              <w:rPr>
                <w:rFonts w:ascii="Arial" w:cs="Arial" w:eastAsia="Arial" w:hAnsi="Arial"/>
                <w:sz w:val="14"/>
                <w:szCs w:val="14"/>
                <w:color w:val="0000FF"/>
                <w:w w:val="92"/>
              </w:rPr>
            </w:pPr>
            <w:hyperlink w:anchor="page39">
              <w:r>
                <w:rPr>
                  <w:rFonts w:ascii="Arial" w:cs="Arial" w:eastAsia="Arial" w:hAnsi="Arial"/>
                  <w:sz w:val="14"/>
                  <w:szCs w:val="14"/>
                  <w:color w:val="0000FF"/>
                  <w:w w:val="92"/>
                </w:rPr>
                <w:t>Note 8: Regulatory Matters</w:t>
              </w:r>
            </w:hyperlink>
          </w:p>
        </w:tc>
        <w:tc>
          <w:tcPr>
            <w:tcW w:w="2400" w:type="dxa"/>
            <w:vAlign w:val="bottom"/>
            <w:tcBorders>
              <w:top w:val="single" w:sz="8" w:color="0000FF"/>
            </w:tcBorders>
            <w:gridSpan w:val="19"/>
          </w:tcPr>
          <w:p>
            <w:pPr>
              <w:spacing w:after="0"/>
              <w:rPr>
                <w:sz w:val="14"/>
                <w:szCs w:val="14"/>
                <w:color w:val="auto"/>
              </w:rPr>
            </w:pPr>
          </w:p>
        </w:tc>
        <w:tc>
          <w:tcPr>
            <w:tcW w:w="2100" w:type="dxa"/>
            <w:vAlign w:val="bottom"/>
            <w:gridSpan w:val="4"/>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39</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60" w:type="dxa"/>
            <w:vAlign w:val="bottom"/>
            <w:gridSpan w:val="36"/>
          </w:tcPr>
          <w:p>
            <w:pPr>
              <w:spacing w:after="0"/>
              <w:rPr>
                <w:rFonts w:ascii="Arial" w:cs="Arial" w:eastAsia="Arial" w:hAnsi="Arial"/>
                <w:sz w:val="14"/>
                <w:szCs w:val="14"/>
                <w:color w:val="0000FF"/>
              </w:rPr>
            </w:pPr>
            <w:hyperlink w:anchor="page40">
              <w:r>
                <w:rPr>
                  <w:rFonts w:ascii="Arial" w:cs="Arial" w:eastAsia="Arial" w:hAnsi="Arial"/>
                  <w:sz w:val="14"/>
                  <w:szCs w:val="14"/>
                  <w:color w:val="0000FF"/>
                </w:rPr>
                <w:t>Note 9: Stock-Based Compensation</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40</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top w:val="single" w:sz="8" w:color="0000FF"/>
              <w:bottom w:val="single" w:sz="8" w:color="0000FF"/>
            </w:tcBorders>
            <w:gridSpan w:val="10"/>
          </w:tcPr>
          <w:p>
            <w:pPr>
              <w:spacing w:after="0"/>
              <w:rPr>
                <w:rFonts w:ascii="Arial" w:cs="Arial" w:eastAsia="Arial" w:hAnsi="Arial"/>
                <w:sz w:val="14"/>
                <w:szCs w:val="14"/>
                <w:color w:val="0000FF"/>
                <w:w w:val="90"/>
              </w:rPr>
            </w:pPr>
            <w:hyperlink w:anchor="page42">
              <w:r>
                <w:rPr>
                  <w:rFonts w:ascii="Arial" w:cs="Arial" w:eastAsia="Arial" w:hAnsi="Arial"/>
                  <w:sz w:val="14"/>
                  <w:szCs w:val="14"/>
                  <w:color w:val="0000FF"/>
                  <w:w w:val="90"/>
                </w:rPr>
                <w:t>Note 10: Income Tax</w:t>
              </w:r>
            </w:hyperlink>
          </w:p>
        </w:tc>
        <w:tc>
          <w:tcPr>
            <w:tcW w:w="820" w:type="dxa"/>
            <w:vAlign w:val="bottom"/>
            <w:tcBorders>
              <w:top w:val="single" w:sz="8" w:color="0000FF"/>
            </w:tcBorders>
            <w:gridSpan w:val="9"/>
          </w:tcPr>
          <w:p>
            <w:pPr>
              <w:spacing w:after="0"/>
              <w:rPr>
                <w:sz w:val="14"/>
                <w:szCs w:val="14"/>
                <w:color w:val="auto"/>
              </w:rPr>
            </w:pPr>
          </w:p>
        </w:tc>
        <w:tc>
          <w:tcPr>
            <w:tcW w:w="4040" w:type="dxa"/>
            <w:vAlign w:val="bottom"/>
            <w:gridSpan w:val="17"/>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42</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80" w:type="dxa"/>
            <w:vAlign w:val="bottom"/>
            <w:tcBorders>
              <w:bottom w:val="single" w:sz="8" w:color="0000FF"/>
            </w:tcBorders>
            <w:gridSpan w:val="30"/>
          </w:tcPr>
          <w:p>
            <w:pPr>
              <w:spacing w:after="0"/>
              <w:rPr>
                <w:rFonts w:ascii="Arial" w:cs="Arial" w:eastAsia="Arial" w:hAnsi="Arial"/>
                <w:sz w:val="14"/>
                <w:szCs w:val="14"/>
                <w:color w:val="0000FF"/>
                <w:w w:val="91"/>
              </w:rPr>
            </w:pPr>
            <w:hyperlink w:anchor="page42">
              <w:r>
                <w:rPr>
                  <w:rFonts w:ascii="Arial" w:cs="Arial" w:eastAsia="Arial" w:hAnsi="Arial"/>
                  <w:sz w:val="14"/>
                  <w:szCs w:val="14"/>
                  <w:color w:val="0000FF"/>
                  <w:w w:val="91"/>
                </w:rPr>
                <w:t>Note 11: Disclosures about Fair Value of Financial Instruments</w:t>
              </w:r>
            </w:hyperlink>
          </w:p>
        </w:tc>
        <w:tc>
          <w:tcPr>
            <w:tcW w:w="2480" w:type="dxa"/>
            <w:vAlign w:val="bottom"/>
            <w:gridSpan w:val="6"/>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42</w:t>
            </w: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Borders>
              <w:bottom w:val="single" w:sz="8" w:color="0000FF"/>
            </w:tcBorders>
            <w:gridSpan w:val="21"/>
          </w:tcPr>
          <w:p>
            <w:pPr>
              <w:spacing w:after="0" w:line="151" w:lineRule="exact"/>
              <w:rPr>
                <w:rFonts w:ascii="Arial" w:cs="Arial" w:eastAsia="Arial" w:hAnsi="Arial"/>
                <w:sz w:val="14"/>
                <w:szCs w:val="14"/>
                <w:color w:val="0000FF"/>
                <w:w w:val="92"/>
              </w:rPr>
            </w:pPr>
            <w:hyperlink w:anchor="page46">
              <w:r>
                <w:rPr>
                  <w:rFonts w:ascii="Arial" w:cs="Arial" w:eastAsia="Arial" w:hAnsi="Arial"/>
                  <w:sz w:val="14"/>
                  <w:szCs w:val="14"/>
                  <w:color w:val="0000FF"/>
                  <w:w w:val="92"/>
                </w:rPr>
                <w:t>Note 12: Commitments and Credit Risk</w:t>
              </w:r>
            </w:hyperlink>
          </w:p>
        </w:tc>
        <w:tc>
          <w:tcPr>
            <w:tcW w:w="3800" w:type="dxa"/>
            <w:vAlign w:val="bottom"/>
            <w:gridSpan w:val="15"/>
          </w:tcPr>
          <w:p>
            <w:pPr>
              <w:spacing w:after="0"/>
              <w:rPr>
                <w:sz w:val="13"/>
                <w:szCs w:val="13"/>
                <w:color w:val="auto"/>
              </w:rPr>
            </w:pPr>
          </w:p>
        </w:tc>
        <w:tc>
          <w:tcPr>
            <w:tcW w:w="940" w:type="dxa"/>
            <w:vAlign w:val="bottom"/>
          </w:tcPr>
          <w:p>
            <w:pPr>
              <w:ind w:left="780"/>
              <w:spacing w:after="0" w:line="151" w:lineRule="exact"/>
              <w:rPr>
                <w:sz w:val="20"/>
                <w:szCs w:val="20"/>
                <w:color w:val="auto"/>
              </w:rPr>
            </w:pPr>
            <w:r>
              <w:rPr>
                <w:rFonts w:ascii="Arial" w:cs="Arial" w:eastAsia="Arial" w:hAnsi="Arial"/>
                <w:sz w:val="14"/>
                <w:szCs w:val="14"/>
                <w:color w:val="auto"/>
                <w:w w:val="89"/>
              </w:rPr>
              <w:t>46</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Borders>
              <w:bottom w:val="single" w:sz="8" w:color="0000FF"/>
            </w:tcBorders>
            <w:gridSpan w:val="24"/>
          </w:tcPr>
          <w:p>
            <w:pPr>
              <w:spacing w:after="0"/>
              <w:rPr>
                <w:rFonts w:ascii="Arial" w:cs="Arial" w:eastAsia="Arial" w:hAnsi="Arial"/>
                <w:sz w:val="14"/>
                <w:szCs w:val="14"/>
                <w:color w:val="0000FF"/>
                <w:w w:val="90"/>
              </w:rPr>
            </w:pPr>
            <w:hyperlink w:anchor="page46">
              <w:r>
                <w:rPr>
                  <w:rFonts w:ascii="Arial" w:cs="Arial" w:eastAsia="Arial" w:hAnsi="Arial"/>
                  <w:sz w:val="14"/>
                  <w:szCs w:val="14"/>
                  <w:color w:val="0000FF"/>
                  <w:w w:val="90"/>
                </w:rPr>
                <w:t>Note 13: Legal and Regulatory Proceedings</w:t>
              </w:r>
            </w:hyperlink>
          </w:p>
        </w:tc>
        <w:tc>
          <w:tcPr>
            <w:tcW w:w="3580" w:type="dxa"/>
            <w:vAlign w:val="bottom"/>
            <w:gridSpan w:val="12"/>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46</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0000FF"/>
            </w:tcBorders>
            <w:gridSpan w:val="4"/>
          </w:tcPr>
          <w:p>
            <w:pPr>
              <w:spacing w:after="0"/>
              <w:rPr>
                <w:rFonts w:ascii="Arial" w:cs="Arial" w:eastAsia="Arial" w:hAnsi="Arial"/>
                <w:sz w:val="14"/>
                <w:szCs w:val="14"/>
                <w:color w:val="0000FF"/>
                <w:w w:val="88"/>
              </w:rPr>
            </w:pPr>
            <w:hyperlink w:anchor="page46">
              <w:r>
                <w:rPr>
                  <w:rFonts w:ascii="Arial" w:cs="Arial" w:eastAsia="Arial" w:hAnsi="Arial"/>
                  <w:sz w:val="14"/>
                  <w:szCs w:val="14"/>
                  <w:color w:val="0000FF"/>
                  <w:w w:val="88"/>
                </w:rPr>
                <w:t>Note 14: Leases</w:t>
              </w:r>
            </w:hyperlink>
          </w:p>
        </w:tc>
        <w:tc>
          <w:tcPr>
            <w:tcW w:w="5140" w:type="dxa"/>
            <w:vAlign w:val="bottom"/>
            <w:gridSpan w:val="32"/>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46</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bottom w:val="single" w:sz="8" w:color="0000FF"/>
            </w:tcBorders>
            <w:gridSpan w:val="7"/>
          </w:tcPr>
          <w:p>
            <w:pPr>
              <w:spacing w:after="0"/>
              <w:rPr>
                <w:rFonts w:ascii="Arial" w:cs="Arial" w:eastAsia="Arial" w:hAnsi="Arial"/>
                <w:sz w:val="14"/>
                <w:szCs w:val="14"/>
                <w:color w:val="0000FF"/>
                <w:w w:val="89"/>
              </w:rPr>
            </w:pPr>
            <w:hyperlink w:anchor="page48">
              <w:r>
                <w:rPr>
                  <w:rFonts w:ascii="Arial" w:cs="Arial" w:eastAsia="Arial" w:hAnsi="Arial"/>
                  <w:sz w:val="14"/>
                  <w:szCs w:val="14"/>
                  <w:color w:val="0000FF"/>
                  <w:w w:val="89"/>
                </w:rPr>
                <w:t>Note 15: Warrants</w:t>
              </w:r>
            </w:hyperlink>
          </w:p>
        </w:tc>
        <w:tc>
          <w:tcPr>
            <w:tcW w:w="5020" w:type="dxa"/>
            <w:vAlign w:val="bottom"/>
            <w:gridSpan w:val="29"/>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48</w:t>
            </w:r>
          </w:p>
        </w:tc>
      </w:tr>
      <w:tr>
        <w:trPr>
          <w:trHeight w:val="193"/>
        </w:trPr>
        <w:tc>
          <w:tcPr>
            <w:tcW w:w="100" w:type="dxa"/>
            <w:vAlign w:val="bottom"/>
          </w:tcPr>
          <w:p>
            <w:pPr>
              <w:spacing w:after="0"/>
              <w:rPr>
                <w:sz w:val="16"/>
                <w:szCs w:val="16"/>
                <w:color w:val="auto"/>
              </w:rPr>
            </w:pPr>
          </w:p>
        </w:tc>
        <w:tc>
          <w:tcPr>
            <w:tcW w:w="6300" w:type="dxa"/>
            <w:vAlign w:val="bottom"/>
            <w:gridSpan w:val="38"/>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940" w:type="dxa"/>
            <w:vAlign w:val="bottom"/>
          </w:tcPr>
          <w:p>
            <w:pPr>
              <w:spacing w:after="0"/>
              <w:rPr>
                <w:sz w:val="16"/>
                <w:szCs w:val="16"/>
                <w:color w:val="auto"/>
              </w:rPr>
            </w:pPr>
          </w:p>
        </w:tc>
      </w:tr>
      <w:tr>
        <w:trPr>
          <w:trHeight w:val="150"/>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Borders>
              <w:bottom w:val="single" w:sz="8" w:color="0000FF"/>
            </w:tcBorders>
            <w:gridSpan w:val="18"/>
          </w:tcPr>
          <w:p>
            <w:pPr>
              <w:spacing w:after="0" w:line="150" w:lineRule="exact"/>
              <w:rPr>
                <w:rFonts w:ascii="Arial" w:cs="Arial" w:eastAsia="Arial" w:hAnsi="Arial"/>
                <w:sz w:val="14"/>
                <w:szCs w:val="14"/>
                <w:color w:val="0000FF"/>
                <w:w w:val="91"/>
              </w:rPr>
            </w:pPr>
            <w:hyperlink w:anchor="page49">
              <w:r>
                <w:rPr>
                  <w:rFonts w:ascii="Arial" w:cs="Arial" w:eastAsia="Arial" w:hAnsi="Arial"/>
                  <w:sz w:val="14"/>
                  <w:szCs w:val="14"/>
                  <w:color w:val="0000FF"/>
                  <w:w w:val="91"/>
                </w:rPr>
                <w:t>Second Quarter 2022 Highlights</w:t>
              </w:r>
            </w:hyperlink>
          </w:p>
        </w:tc>
        <w:tc>
          <w:tcPr>
            <w:tcW w:w="4300" w:type="dxa"/>
            <w:vAlign w:val="bottom"/>
            <w:gridSpan w:val="19"/>
          </w:tcPr>
          <w:p>
            <w:pPr>
              <w:spacing w:after="0"/>
              <w:rPr>
                <w:sz w:val="13"/>
                <w:szCs w:val="13"/>
                <w:color w:val="auto"/>
              </w:rPr>
            </w:pPr>
          </w:p>
        </w:tc>
        <w:tc>
          <w:tcPr>
            <w:tcW w:w="940" w:type="dxa"/>
            <w:vAlign w:val="bottom"/>
          </w:tcPr>
          <w:p>
            <w:pPr>
              <w:ind w:left="780"/>
              <w:spacing w:after="0" w:line="150" w:lineRule="exact"/>
              <w:rPr>
                <w:sz w:val="20"/>
                <w:szCs w:val="20"/>
                <w:color w:val="auto"/>
              </w:rPr>
            </w:pPr>
            <w:r>
              <w:rPr>
                <w:rFonts w:ascii="Arial" w:cs="Arial" w:eastAsia="Arial" w:hAnsi="Arial"/>
                <w:sz w:val="14"/>
                <w:szCs w:val="14"/>
                <w:color w:val="auto"/>
                <w:w w:val="89"/>
              </w:rPr>
              <w:t>49</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7"/>
          </w:tcPr>
          <w:p>
            <w:pPr>
              <w:spacing w:after="0"/>
              <w:rPr>
                <w:rFonts w:ascii="Arial" w:cs="Arial" w:eastAsia="Arial" w:hAnsi="Arial"/>
                <w:sz w:val="14"/>
                <w:szCs w:val="14"/>
                <w:color w:val="0000FF"/>
              </w:rPr>
            </w:pPr>
            <w:hyperlink w:anchor="page51">
              <w:r>
                <w:rPr>
                  <w:rFonts w:ascii="Arial" w:cs="Arial" w:eastAsia="Arial" w:hAnsi="Arial"/>
                  <w:sz w:val="14"/>
                  <w:szCs w:val="14"/>
                  <w:color w:val="0000FF"/>
                </w:rPr>
                <w:t>Results of Operations</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51</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Borders>
              <w:top w:val="single" w:sz="8" w:color="0000FF"/>
              <w:bottom w:val="single" w:sz="8" w:color="0000FF"/>
            </w:tcBorders>
            <w:gridSpan w:val="8"/>
          </w:tcPr>
          <w:p>
            <w:pPr>
              <w:spacing w:after="0"/>
              <w:rPr>
                <w:rFonts w:ascii="Arial" w:cs="Arial" w:eastAsia="Arial" w:hAnsi="Arial"/>
                <w:sz w:val="14"/>
                <w:szCs w:val="14"/>
                <w:color w:val="0000FF"/>
                <w:w w:val="90"/>
              </w:rPr>
            </w:pPr>
            <w:hyperlink w:anchor="page51">
              <w:r>
                <w:rPr>
                  <w:rFonts w:ascii="Arial" w:cs="Arial" w:eastAsia="Arial" w:hAnsi="Arial"/>
                  <w:sz w:val="14"/>
                  <w:szCs w:val="14"/>
                  <w:color w:val="0000FF"/>
                  <w:w w:val="90"/>
                </w:rPr>
                <w:t>Net Interest Income</w:t>
              </w:r>
            </w:hyperlink>
          </w:p>
        </w:tc>
        <w:tc>
          <w:tcPr>
            <w:tcW w:w="100" w:type="dxa"/>
            <w:vAlign w:val="bottom"/>
            <w:tcBorders>
              <w:top w:val="single" w:sz="8" w:color="0000FF"/>
            </w:tcBorders>
            <w:gridSpan w:val="2"/>
          </w:tcPr>
          <w:p>
            <w:pPr>
              <w:spacing w:after="0"/>
              <w:rPr>
                <w:sz w:val="14"/>
                <w:szCs w:val="14"/>
                <w:color w:val="auto"/>
              </w:rPr>
            </w:pPr>
          </w:p>
        </w:tc>
        <w:tc>
          <w:tcPr>
            <w:tcW w:w="4920" w:type="dxa"/>
            <w:vAlign w:val="bottom"/>
            <w:gridSpan w:val="27"/>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51</w:t>
            </w: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gridSpan w:val="37"/>
          </w:tcPr>
          <w:p>
            <w:pPr>
              <w:spacing w:after="0" w:line="151" w:lineRule="exact"/>
              <w:rPr>
                <w:rFonts w:ascii="Arial" w:cs="Arial" w:eastAsia="Arial" w:hAnsi="Arial"/>
                <w:sz w:val="14"/>
                <w:szCs w:val="14"/>
                <w:color w:val="0000FF"/>
              </w:rPr>
            </w:pPr>
            <w:hyperlink w:anchor="page55">
              <w:r>
                <w:rPr>
                  <w:rFonts w:ascii="Arial" w:cs="Arial" w:eastAsia="Arial" w:hAnsi="Arial"/>
                  <w:sz w:val="14"/>
                  <w:szCs w:val="14"/>
                  <w:color w:val="0000FF"/>
                </w:rPr>
                <w:t>Non-Interest Income</w:t>
              </w:r>
            </w:hyperlink>
          </w:p>
        </w:tc>
        <w:tc>
          <w:tcPr>
            <w:tcW w:w="940" w:type="dxa"/>
            <w:vAlign w:val="bottom"/>
          </w:tcPr>
          <w:p>
            <w:pPr>
              <w:ind w:left="780"/>
              <w:spacing w:after="0" w:line="151" w:lineRule="exact"/>
              <w:rPr>
                <w:sz w:val="20"/>
                <w:szCs w:val="20"/>
                <w:color w:val="auto"/>
              </w:rPr>
            </w:pPr>
            <w:r>
              <w:rPr>
                <w:rFonts w:ascii="Arial" w:cs="Arial" w:eastAsia="Arial" w:hAnsi="Arial"/>
                <w:sz w:val="14"/>
                <w:szCs w:val="14"/>
                <w:color w:val="auto"/>
                <w:w w:val="89"/>
              </w:rPr>
              <w:t>55</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7"/>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Non-Interest Expense</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56</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Borders>
              <w:top w:val="single" w:sz="8" w:color="0000FF"/>
            </w:tcBorders>
            <w:gridSpan w:val="10"/>
          </w:tcPr>
          <w:p>
            <w:pPr>
              <w:spacing w:after="0"/>
              <w:rPr>
                <w:rFonts w:ascii="Arial" w:cs="Arial" w:eastAsia="Arial" w:hAnsi="Arial"/>
                <w:sz w:val="14"/>
                <w:szCs w:val="14"/>
                <w:color w:val="0000FF"/>
              </w:rPr>
            </w:pPr>
            <w:hyperlink w:anchor="page58">
              <w:r>
                <w:rPr>
                  <w:rFonts w:ascii="Arial" w:cs="Arial" w:eastAsia="Arial" w:hAnsi="Arial"/>
                  <w:sz w:val="14"/>
                  <w:szCs w:val="14"/>
                  <w:color w:val="0000FF"/>
                </w:rPr>
                <w:t>Income Taxes</w:t>
              </w:r>
            </w:hyperlink>
          </w:p>
        </w:tc>
        <w:tc>
          <w:tcPr>
            <w:tcW w:w="4920" w:type="dxa"/>
            <w:vAlign w:val="bottom"/>
            <w:gridSpan w:val="27"/>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58</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Borders>
              <w:bottom w:val="single" w:sz="8" w:color="0000FF"/>
            </w:tcBorders>
            <w:gridSpan w:val="17"/>
          </w:tcPr>
          <w:p>
            <w:pPr>
              <w:spacing w:after="0"/>
              <w:rPr>
                <w:rFonts w:ascii="Arial" w:cs="Arial" w:eastAsia="Arial" w:hAnsi="Arial"/>
                <w:sz w:val="14"/>
                <w:szCs w:val="14"/>
                <w:color w:val="0000FF"/>
                <w:w w:val="94"/>
              </w:rPr>
            </w:pPr>
            <w:hyperlink w:anchor="page59">
              <w:r>
                <w:rPr>
                  <w:rFonts w:ascii="Arial" w:cs="Arial" w:eastAsia="Arial" w:hAnsi="Arial"/>
                  <w:sz w:val="14"/>
                  <w:szCs w:val="14"/>
                  <w:color w:val="0000FF"/>
                  <w:w w:val="94"/>
                </w:rPr>
                <w:t>Analysis of Financial Condition</w:t>
              </w:r>
            </w:hyperlink>
          </w:p>
        </w:tc>
        <w:tc>
          <w:tcPr>
            <w:tcW w:w="4320" w:type="dxa"/>
            <w:vAlign w:val="bottom"/>
            <w:gridSpan w:val="20"/>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59</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0000FF"/>
            </w:tcBorders>
            <w:gridSpan w:val="7"/>
          </w:tcPr>
          <w:p>
            <w:pPr>
              <w:spacing w:after="0"/>
              <w:rPr>
                <w:rFonts w:ascii="Arial" w:cs="Arial" w:eastAsia="Arial" w:hAnsi="Arial"/>
                <w:sz w:val="14"/>
                <w:szCs w:val="14"/>
                <w:color w:val="0000FF"/>
                <w:w w:val="92"/>
              </w:rPr>
            </w:pPr>
            <w:hyperlink w:anchor="page59">
              <w:r>
                <w:rPr>
                  <w:rFonts w:ascii="Arial" w:cs="Arial" w:eastAsia="Arial" w:hAnsi="Arial"/>
                  <w:sz w:val="14"/>
                  <w:szCs w:val="14"/>
                  <w:color w:val="0000FF"/>
                  <w:w w:val="92"/>
                </w:rPr>
                <w:t>Securities Portfolio</w:t>
              </w:r>
            </w:hyperlink>
          </w:p>
        </w:tc>
        <w:tc>
          <w:tcPr>
            <w:tcW w:w="5040" w:type="dxa"/>
            <w:vAlign w:val="bottom"/>
            <w:gridSpan w:val="30"/>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59</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7"/>
          </w:tcPr>
          <w:p>
            <w:pPr>
              <w:spacing w:after="0"/>
              <w:rPr>
                <w:rFonts w:ascii="Arial" w:cs="Arial" w:eastAsia="Arial" w:hAnsi="Arial"/>
                <w:sz w:val="14"/>
                <w:szCs w:val="14"/>
                <w:color w:val="0000FF"/>
              </w:rPr>
            </w:pPr>
            <w:hyperlink w:anchor="page59">
              <w:r>
                <w:rPr>
                  <w:rFonts w:ascii="Arial" w:cs="Arial" w:eastAsia="Arial" w:hAnsi="Arial"/>
                  <w:sz w:val="14"/>
                  <w:szCs w:val="14"/>
                  <w:color w:val="0000FF"/>
                </w:rPr>
                <w:t>Loan Portfolio</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59</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tcBorders>
              <w:bottom w:val="single" w:sz="8" w:color="0000FF"/>
            </w:tcBorders>
            <w:gridSpan w:val="24"/>
          </w:tcPr>
          <w:p>
            <w:pPr>
              <w:spacing w:after="0"/>
              <w:rPr>
                <w:rFonts w:ascii="Arial" w:cs="Arial" w:eastAsia="Arial" w:hAnsi="Arial"/>
                <w:sz w:val="14"/>
                <w:szCs w:val="14"/>
                <w:color w:val="0000FF"/>
                <w:w w:val="92"/>
              </w:rPr>
            </w:pPr>
            <w:hyperlink w:anchor="page60">
              <w:r>
                <w:rPr>
                  <w:rFonts w:ascii="Arial" w:cs="Arial" w:eastAsia="Arial" w:hAnsi="Arial"/>
                  <w:sz w:val="14"/>
                  <w:szCs w:val="14"/>
                  <w:color w:val="0000FF"/>
                  <w:w w:val="92"/>
                </w:rPr>
                <w:t>Provision and Allowance for Credit Losses</w:t>
              </w:r>
            </w:hyperlink>
          </w:p>
        </w:tc>
        <w:tc>
          <w:tcPr>
            <w:tcW w:w="3700" w:type="dxa"/>
            <w:vAlign w:val="bottom"/>
            <w:gridSpan w:val="13"/>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60</w:t>
            </w:r>
          </w:p>
        </w:tc>
      </w:t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140" w:type="dxa"/>
            <w:vAlign w:val="bottom"/>
            <w:gridSpan w:val="37"/>
          </w:tcPr>
          <w:p>
            <w:pPr>
              <w:spacing w:after="0" w:line="151" w:lineRule="exact"/>
              <w:rPr>
                <w:rFonts w:ascii="Arial" w:cs="Arial" w:eastAsia="Arial" w:hAnsi="Arial"/>
                <w:sz w:val="14"/>
                <w:szCs w:val="14"/>
                <w:color w:val="0000FF"/>
              </w:rPr>
            </w:pPr>
            <w:hyperlink w:anchor="page63">
              <w:r>
                <w:rPr>
                  <w:rFonts w:ascii="Arial" w:cs="Arial" w:eastAsia="Arial" w:hAnsi="Arial"/>
                  <w:sz w:val="14"/>
                  <w:szCs w:val="14"/>
                  <w:color w:val="0000FF"/>
                </w:rPr>
                <w:t>Non-performing Assets and Other Asset Quality Metrics</w:t>
              </w:r>
            </w:hyperlink>
          </w:p>
        </w:tc>
        <w:tc>
          <w:tcPr>
            <w:tcW w:w="940" w:type="dxa"/>
            <w:vAlign w:val="bottom"/>
          </w:tcPr>
          <w:p>
            <w:pPr>
              <w:ind w:left="780"/>
              <w:spacing w:after="0" w:line="151" w:lineRule="exact"/>
              <w:rPr>
                <w:sz w:val="20"/>
                <w:szCs w:val="20"/>
                <w:color w:val="auto"/>
              </w:rPr>
            </w:pPr>
            <w:r>
              <w:rPr>
                <w:rFonts w:ascii="Arial" w:cs="Arial" w:eastAsia="Arial" w:hAnsi="Arial"/>
                <w:sz w:val="14"/>
                <w:szCs w:val="14"/>
                <w:color w:val="auto"/>
                <w:w w:val="89"/>
              </w:rPr>
              <w:t>63</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Borders>
              <w:top w:val="single" w:sz="8" w:color="0000FF"/>
              <w:bottom w:val="single" w:sz="8" w:color="0000FF"/>
            </w:tcBorders>
            <w:gridSpan w:val="16"/>
          </w:tcPr>
          <w:p>
            <w:pPr>
              <w:spacing w:after="0"/>
              <w:rPr>
                <w:rFonts w:ascii="Arial" w:cs="Arial" w:eastAsia="Arial" w:hAnsi="Arial"/>
                <w:sz w:val="14"/>
                <w:szCs w:val="14"/>
                <w:color w:val="0000FF"/>
                <w:w w:val="91"/>
              </w:rPr>
            </w:pPr>
            <w:hyperlink w:anchor="page66">
              <w:r>
                <w:rPr>
                  <w:rFonts w:ascii="Arial" w:cs="Arial" w:eastAsia="Arial" w:hAnsi="Arial"/>
                  <w:sz w:val="14"/>
                  <w:szCs w:val="14"/>
                  <w:color w:val="0000FF"/>
                  <w:w w:val="91"/>
                </w:rPr>
                <w:t>Deposits and Other Borrowings</w:t>
              </w:r>
            </w:hyperlink>
          </w:p>
        </w:tc>
        <w:tc>
          <w:tcPr>
            <w:tcW w:w="1400" w:type="dxa"/>
            <w:vAlign w:val="bottom"/>
            <w:tcBorders>
              <w:top w:val="single" w:sz="8" w:color="0000FF"/>
            </w:tcBorders>
            <w:gridSpan w:val="12"/>
          </w:tcPr>
          <w:p>
            <w:pPr>
              <w:spacing w:after="0"/>
              <w:rPr>
                <w:sz w:val="14"/>
                <w:szCs w:val="14"/>
                <w:color w:val="auto"/>
              </w:rPr>
            </w:pPr>
          </w:p>
        </w:tc>
        <w:tc>
          <w:tcPr>
            <w:tcW w:w="2940" w:type="dxa"/>
            <w:vAlign w:val="bottom"/>
            <w:gridSpan w:val="9"/>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66</w:t>
            </w: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7"/>
          </w:tcPr>
          <w:p>
            <w:pPr>
              <w:spacing w:after="0"/>
              <w:rPr>
                <w:rFonts w:ascii="Arial" w:cs="Arial" w:eastAsia="Arial" w:hAnsi="Arial"/>
                <w:sz w:val="14"/>
                <w:szCs w:val="14"/>
                <w:color w:val="0000FF"/>
              </w:rPr>
            </w:pPr>
            <w:hyperlink w:anchor="page67">
              <w:r>
                <w:rPr>
                  <w:rFonts w:ascii="Arial" w:cs="Arial" w:eastAsia="Arial" w:hAnsi="Arial"/>
                  <w:sz w:val="14"/>
                  <w:szCs w:val="14"/>
                  <w:color w:val="0000FF"/>
                </w:rPr>
                <w:t>Liquidity and Capital Resources</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67</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140" w:type="dxa"/>
            <w:vAlign w:val="bottom"/>
            <w:gridSpan w:val="37"/>
          </w:tcPr>
          <w:p>
            <w:pPr>
              <w:spacing w:after="0"/>
              <w:rPr>
                <w:rFonts w:ascii="Arial" w:cs="Arial" w:eastAsia="Arial" w:hAnsi="Arial"/>
                <w:sz w:val="14"/>
                <w:szCs w:val="14"/>
                <w:color w:val="0000FF"/>
              </w:rPr>
            </w:pPr>
            <w:hyperlink w:anchor="page68">
              <w:r>
                <w:rPr>
                  <w:rFonts w:ascii="Arial" w:cs="Arial" w:eastAsia="Arial" w:hAnsi="Arial"/>
                  <w:sz w:val="14"/>
                  <w:szCs w:val="14"/>
                  <w:color w:val="0000FF"/>
                </w:rPr>
                <w:t>Critical Accounting Policies and Estimates</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68</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760" w:type="dxa"/>
            <w:vAlign w:val="bottom"/>
            <w:gridSpan w:val="8"/>
            <w:shd w:val="clear" w:color="auto" w:fill="0000FF"/>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3820" w:type="dxa"/>
            <w:vAlign w:val="bottom"/>
            <w:tcBorders>
              <w:bottom w:val="single" w:sz="8" w:color="0000FF"/>
            </w:tcBorders>
            <w:gridSpan w:val="32"/>
          </w:tcPr>
          <w:p>
            <w:pPr>
              <w:spacing w:after="0"/>
              <w:rPr>
                <w:rFonts w:ascii="Arial" w:cs="Arial" w:eastAsia="Arial" w:hAnsi="Arial"/>
                <w:sz w:val="14"/>
                <w:szCs w:val="14"/>
                <w:color w:val="0000FF"/>
                <w:w w:val="92"/>
              </w:rPr>
            </w:pPr>
            <w:hyperlink w:anchor="page70">
              <w:r>
                <w:rPr>
                  <w:rFonts w:ascii="Arial" w:cs="Arial" w:eastAsia="Arial" w:hAnsi="Arial"/>
                  <w:sz w:val="14"/>
                  <w:szCs w:val="14"/>
                  <w:color w:val="0000FF"/>
                  <w:w w:val="92"/>
                </w:rPr>
                <w:t>Item 3. Quantitative and Qualitative Disclosures about Market Risk</w:t>
              </w:r>
            </w:hyperlink>
          </w:p>
        </w:tc>
        <w:tc>
          <w:tcPr>
            <w:tcW w:w="2480" w:type="dxa"/>
            <w:vAlign w:val="bottom"/>
            <w:gridSpan w:val="6"/>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70</w:t>
            </w:r>
          </w:p>
        </w:tc>
      </w:tr>
      <w:tr>
        <w:trPr>
          <w:trHeight w:val="161"/>
        </w:trPr>
        <w:tc>
          <w:tcPr>
            <w:tcW w:w="100" w:type="dxa"/>
            <w:vAlign w:val="bottom"/>
          </w:tcPr>
          <w:p>
            <w:pPr>
              <w:spacing w:after="0"/>
              <w:rPr>
                <w:sz w:val="14"/>
                <w:szCs w:val="14"/>
                <w:color w:val="auto"/>
              </w:rPr>
            </w:pPr>
          </w:p>
        </w:tc>
        <w:tc>
          <w:tcPr>
            <w:tcW w:w="6300" w:type="dxa"/>
            <w:vAlign w:val="bottom"/>
            <w:gridSpan w:val="38"/>
          </w:tcPr>
          <w:p>
            <w:pPr>
              <w:spacing w:after="0"/>
              <w:rPr>
                <w:rFonts w:ascii="Arial" w:cs="Arial" w:eastAsia="Arial" w:hAnsi="Arial"/>
                <w:sz w:val="14"/>
                <w:szCs w:val="14"/>
                <w:color w:val="0000FF"/>
              </w:rPr>
            </w:pPr>
            <w:hyperlink w:anchor="page71">
              <w:r>
                <w:rPr>
                  <w:rFonts w:ascii="Arial" w:cs="Arial" w:eastAsia="Arial" w:hAnsi="Arial"/>
                  <w:sz w:val="14"/>
                  <w:szCs w:val="14"/>
                  <w:color w:val="0000FF"/>
                </w:rPr>
                <w:t>Item 4. Controls and Procedures</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71</w:t>
            </w:r>
          </w:p>
        </w:tc>
      </w:tr>
      <w:tr>
        <w:trPr>
          <w:trHeight w:val="20"/>
        </w:trPr>
        <w:tc>
          <w:tcPr>
            <w:tcW w:w="10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6"/>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20" w:type="dxa"/>
            <w:vAlign w:val="bottom"/>
            <w:gridSpan w:val="17"/>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3"/>
        </w:trPr>
        <w:tc>
          <w:tcPr>
            <w:tcW w:w="6400" w:type="dxa"/>
            <w:vAlign w:val="bottom"/>
            <w:gridSpan w:val="39"/>
          </w:tcPr>
          <w:p>
            <w:pPr>
              <w:spacing w:after="0"/>
              <w:rPr>
                <w:sz w:val="20"/>
                <w:szCs w:val="20"/>
                <w:color w:val="auto"/>
              </w:rPr>
            </w:pPr>
            <w:r>
              <w:rPr>
                <w:rFonts w:ascii="Arial" w:cs="Arial" w:eastAsia="Arial" w:hAnsi="Arial"/>
                <w:sz w:val="14"/>
                <w:szCs w:val="14"/>
                <w:color w:val="auto"/>
              </w:rPr>
              <w:t>Part II. Other Information</w:t>
            </w:r>
          </w:p>
        </w:tc>
        <w:tc>
          <w:tcPr>
            <w:tcW w:w="940" w:type="dxa"/>
            <w:vAlign w:val="bottom"/>
          </w:tcPr>
          <w:p>
            <w:pPr>
              <w:spacing w:after="0"/>
              <w:rPr>
                <w:sz w:val="16"/>
                <w:szCs w:val="16"/>
                <w:color w:val="auto"/>
              </w:rPr>
            </w:pPr>
          </w:p>
        </w:tc>
      </w:tr>
      <w:tr>
        <w:trPr>
          <w:trHeight w:val="150"/>
        </w:trPr>
        <w:tc>
          <w:tcPr>
            <w:tcW w:w="100" w:type="dxa"/>
            <w:vAlign w:val="bottom"/>
          </w:tcPr>
          <w:p>
            <w:pPr>
              <w:spacing w:after="0"/>
              <w:rPr>
                <w:sz w:val="13"/>
                <w:szCs w:val="13"/>
                <w:color w:val="auto"/>
              </w:rPr>
            </w:pPr>
          </w:p>
        </w:tc>
        <w:tc>
          <w:tcPr>
            <w:tcW w:w="1480" w:type="dxa"/>
            <w:vAlign w:val="bottom"/>
            <w:tcBorders>
              <w:bottom w:val="single" w:sz="8" w:color="0000FF"/>
            </w:tcBorders>
            <w:gridSpan w:val="13"/>
          </w:tcPr>
          <w:p>
            <w:pPr>
              <w:spacing w:after="0" w:line="150" w:lineRule="exact"/>
              <w:rPr>
                <w:rFonts w:ascii="Arial" w:cs="Arial" w:eastAsia="Arial" w:hAnsi="Arial"/>
                <w:sz w:val="14"/>
                <w:szCs w:val="14"/>
                <w:color w:val="0000FF"/>
                <w:w w:val="89"/>
              </w:rPr>
            </w:pPr>
            <w:hyperlink w:anchor="page71">
              <w:r>
                <w:rPr>
                  <w:rFonts w:ascii="Arial" w:cs="Arial" w:eastAsia="Arial" w:hAnsi="Arial"/>
                  <w:sz w:val="14"/>
                  <w:szCs w:val="14"/>
                  <w:color w:val="0000FF"/>
                  <w:w w:val="89"/>
                </w:rPr>
                <w:t>Item 1. Legal Proceedings</w:t>
              </w:r>
            </w:hyperlink>
          </w:p>
        </w:tc>
        <w:tc>
          <w:tcPr>
            <w:tcW w:w="4820" w:type="dxa"/>
            <w:vAlign w:val="bottom"/>
            <w:gridSpan w:val="25"/>
          </w:tcPr>
          <w:p>
            <w:pPr>
              <w:spacing w:after="0"/>
              <w:rPr>
                <w:sz w:val="13"/>
                <w:szCs w:val="13"/>
                <w:color w:val="auto"/>
              </w:rPr>
            </w:pPr>
          </w:p>
        </w:tc>
        <w:tc>
          <w:tcPr>
            <w:tcW w:w="940" w:type="dxa"/>
            <w:vAlign w:val="bottom"/>
          </w:tcPr>
          <w:p>
            <w:pPr>
              <w:ind w:left="780"/>
              <w:spacing w:after="0" w:line="150" w:lineRule="exact"/>
              <w:rPr>
                <w:sz w:val="20"/>
                <w:szCs w:val="20"/>
                <w:color w:val="auto"/>
              </w:rPr>
            </w:pPr>
            <w:r>
              <w:rPr>
                <w:rFonts w:ascii="Arial" w:cs="Arial" w:eastAsia="Arial" w:hAnsi="Arial"/>
                <w:sz w:val="14"/>
                <w:szCs w:val="14"/>
                <w:color w:val="auto"/>
                <w:w w:val="89"/>
              </w:rPr>
              <w:t>71</w:t>
            </w:r>
          </w:p>
        </w:tc>
      </w:tr>
      <w:tr>
        <w:trPr>
          <w:trHeight w:val="151"/>
        </w:trPr>
        <w:tc>
          <w:tcPr>
            <w:tcW w:w="100" w:type="dxa"/>
            <w:vAlign w:val="bottom"/>
          </w:tcPr>
          <w:p>
            <w:pPr>
              <w:spacing w:after="0"/>
              <w:rPr>
                <w:sz w:val="13"/>
                <w:szCs w:val="13"/>
                <w:color w:val="auto"/>
              </w:rPr>
            </w:pPr>
          </w:p>
        </w:tc>
        <w:tc>
          <w:tcPr>
            <w:tcW w:w="6300" w:type="dxa"/>
            <w:vAlign w:val="bottom"/>
            <w:gridSpan w:val="38"/>
          </w:tcPr>
          <w:p>
            <w:pPr>
              <w:spacing w:after="0" w:line="151" w:lineRule="exact"/>
              <w:rPr>
                <w:rFonts w:ascii="Arial" w:cs="Arial" w:eastAsia="Arial" w:hAnsi="Arial"/>
                <w:sz w:val="14"/>
                <w:szCs w:val="14"/>
                <w:color w:val="0000FF"/>
              </w:rPr>
            </w:pPr>
            <w:hyperlink w:anchor="page71">
              <w:r>
                <w:rPr>
                  <w:rFonts w:ascii="Arial" w:cs="Arial" w:eastAsia="Arial" w:hAnsi="Arial"/>
                  <w:sz w:val="14"/>
                  <w:szCs w:val="14"/>
                  <w:color w:val="0000FF"/>
                </w:rPr>
                <w:t>Item 1A. Risk Factors</w:t>
              </w:r>
            </w:hyperlink>
          </w:p>
        </w:tc>
        <w:tc>
          <w:tcPr>
            <w:tcW w:w="940" w:type="dxa"/>
            <w:vAlign w:val="bottom"/>
          </w:tcPr>
          <w:p>
            <w:pPr>
              <w:ind w:left="780"/>
              <w:spacing w:after="0" w:line="151" w:lineRule="exact"/>
              <w:rPr>
                <w:sz w:val="20"/>
                <w:szCs w:val="20"/>
                <w:color w:val="auto"/>
              </w:rPr>
            </w:pPr>
            <w:r>
              <w:rPr>
                <w:rFonts w:ascii="Arial" w:cs="Arial" w:eastAsia="Arial" w:hAnsi="Arial"/>
                <w:sz w:val="14"/>
                <w:szCs w:val="14"/>
                <w:color w:val="auto"/>
                <w:w w:val="89"/>
              </w:rPr>
              <w:t>71</w:t>
            </w:r>
          </w:p>
        </w:tc>
      </w:tr>
      <w:tr>
        <w:trPr>
          <w:trHeight w:val="20"/>
        </w:trPr>
        <w:tc>
          <w:tcPr>
            <w:tcW w:w="10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2640" w:type="dxa"/>
            <w:vAlign w:val="bottom"/>
            <w:tcBorders>
              <w:left w:val="single" w:sz="8" w:color="0000FF"/>
            </w:tcBorders>
            <w:gridSpan w:val="26"/>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1"/>
        </w:trPr>
        <w:tc>
          <w:tcPr>
            <w:tcW w:w="100" w:type="dxa"/>
            <w:vAlign w:val="bottom"/>
          </w:tcPr>
          <w:p>
            <w:pPr>
              <w:spacing w:after="0"/>
              <w:rPr>
                <w:sz w:val="14"/>
                <w:szCs w:val="14"/>
                <w:color w:val="auto"/>
              </w:rPr>
            </w:pPr>
          </w:p>
        </w:tc>
        <w:tc>
          <w:tcPr>
            <w:tcW w:w="6300" w:type="dxa"/>
            <w:vAlign w:val="bottom"/>
            <w:gridSpan w:val="38"/>
          </w:tcPr>
          <w:p>
            <w:pPr>
              <w:spacing w:after="0"/>
              <w:rPr>
                <w:rFonts w:ascii="Arial" w:cs="Arial" w:eastAsia="Arial" w:hAnsi="Arial"/>
                <w:sz w:val="14"/>
                <w:szCs w:val="14"/>
                <w:color w:val="0000FF"/>
              </w:rPr>
            </w:pPr>
            <w:hyperlink w:anchor="page72">
              <w:r>
                <w:rPr>
                  <w:rFonts w:ascii="Arial" w:cs="Arial" w:eastAsia="Arial" w:hAnsi="Arial"/>
                  <w:sz w:val="14"/>
                  <w:szCs w:val="14"/>
                  <w:color w:val="0000FF"/>
                </w:rPr>
                <w:t>Item 2. Unregistered Sales of Equity Securities and Use of Proceeds</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72</w:t>
            </w:r>
          </w:p>
        </w:tc>
      </w:tr>
      <w:tr>
        <w:trPr>
          <w:trHeight w:val="161"/>
        </w:trPr>
        <w:tc>
          <w:tcPr>
            <w:tcW w:w="100" w:type="dxa"/>
            <w:vAlign w:val="bottom"/>
          </w:tcPr>
          <w:p>
            <w:pPr>
              <w:spacing w:after="0"/>
              <w:rPr>
                <w:sz w:val="14"/>
                <w:szCs w:val="14"/>
                <w:color w:val="auto"/>
              </w:rPr>
            </w:pPr>
          </w:p>
        </w:tc>
        <w:tc>
          <w:tcPr>
            <w:tcW w:w="3840" w:type="dxa"/>
            <w:vAlign w:val="bottom"/>
            <w:tcBorders>
              <w:top w:val="single" w:sz="8" w:color="0000FF"/>
            </w:tcBorders>
            <w:gridSpan w:val="33"/>
          </w:tcPr>
          <w:p>
            <w:pPr>
              <w:spacing w:after="0"/>
              <w:rPr>
                <w:rFonts w:ascii="Arial" w:cs="Arial" w:eastAsia="Arial" w:hAnsi="Arial"/>
                <w:sz w:val="14"/>
                <w:szCs w:val="14"/>
                <w:color w:val="0000FF"/>
              </w:rPr>
            </w:pPr>
            <w:hyperlink w:anchor="page73">
              <w:r>
                <w:rPr>
                  <w:rFonts w:ascii="Arial" w:cs="Arial" w:eastAsia="Arial" w:hAnsi="Arial"/>
                  <w:sz w:val="14"/>
                  <w:szCs w:val="14"/>
                  <w:color w:val="0000FF"/>
                </w:rPr>
                <w:t>Item 6. Exhibit Index</w:t>
              </w:r>
            </w:hyperlink>
          </w:p>
        </w:tc>
        <w:tc>
          <w:tcPr>
            <w:tcW w:w="2460" w:type="dxa"/>
            <w:vAlign w:val="bottom"/>
            <w:gridSpan w:val="5"/>
          </w:tcPr>
          <w:p>
            <w:pPr>
              <w:spacing w:after="0"/>
              <w:rPr>
                <w:sz w:val="14"/>
                <w:szCs w:val="14"/>
                <w:color w:val="auto"/>
              </w:rPr>
            </w:pPr>
          </w:p>
        </w:tc>
        <w:tc>
          <w:tcPr>
            <w:tcW w:w="940" w:type="dxa"/>
            <w:vAlign w:val="bottom"/>
          </w:tcPr>
          <w:p>
            <w:pPr>
              <w:ind w:left="780"/>
              <w:spacing w:after="0"/>
              <w:rPr>
                <w:sz w:val="20"/>
                <w:szCs w:val="20"/>
                <w:color w:val="auto"/>
              </w:rPr>
            </w:pPr>
            <w:r>
              <w:rPr>
                <w:rFonts w:ascii="Arial" w:cs="Arial" w:eastAsia="Arial" w:hAnsi="Arial"/>
                <w:sz w:val="14"/>
                <w:szCs w:val="14"/>
                <w:color w:val="auto"/>
                <w:w w:val="89"/>
              </w:rPr>
              <w:t>73</w:t>
            </w:r>
          </w:p>
        </w:tc>
      </w:tr>
      <w:tr>
        <w:trPr>
          <w:trHeight w:val="20"/>
        </w:trPr>
        <w:tc>
          <w:tcPr>
            <w:tcW w:w="100" w:type="dxa"/>
            <w:vAlign w:val="bottom"/>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100" w:type="dxa"/>
            <w:vAlign w:val="bottom"/>
            <w:gridSpan w:val="31"/>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61"/>
        </w:trPr>
        <w:tc>
          <w:tcPr>
            <w:tcW w:w="6400" w:type="dxa"/>
            <w:vAlign w:val="bottom"/>
            <w:gridSpan w:val="39"/>
          </w:tcPr>
          <w:p>
            <w:pPr>
              <w:spacing w:after="0"/>
              <w:rPr>
                <w:rFonts w:ascii="Arial" w:cs="Arial" w:eastAsia="Arial" w:hAnsi="Arial"/>
                <w:sz w:val="14"/>
                <w:szCs w:val="14"/>
                <w:color w:val="0000FF"/>
              </w:rPr>
            </w:pPr>
            <w:hyperlink w:anchor="page74">
              <w:r>
                <w:rPr>
                  <w:rFonts w:ascii="Arial" w:cs="Arial" w:eastAsia="Arial" w:hAnsi="Arial"/>
                  <w:sz w:val="14"/>
                  <w:szCs w:val="14"/>
                  <w:color w:val="0000FF"/>
                </w:rPr>
                <w:t>Signature</w:t>
              </w:r>
            </w:hyperlink>
          </w:p>
        </w:tc>
        <w:tc>
          <w:tcPr>
            <w:tcW w:w="940" w:type="dxa"/>
            <w:vAlign w:val="bottom"/>
          </w:tcPr>
          <w:p>
            <w:pPr>
              <w:ind w:left="780"/>
              <w:spacing w:after="0"/>
              <w:rPr>
                <w:sz w:val="20"/>
                <w:szCs w:val="20"/>
                <w:color w:val="auto"/>
              </w:rPr>
            </w:pPr>
            <w:r>
              <w:rPr>
                <w:rFonts w:ascii="Arial" w:cs="Arial" w:eastAsia="Arial" w:hAnsi="Arial"/>
                <w:sz w:val="14"/>
                <w:szCs w:val="14"/>
                <w:color w:val="auto"/>
                <w:w w:val="89"/>
              </w:rPr>
              <w:t>74</w:t>
            </w:r>
          </w:p>
        </w:tc>
      </w:tr>
      <w:tr>
        <w:trPr>
          <w:trHeight w:val="20"/>
        </w:trPr>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859" w:right="1440" w:bottom="1440" w:gutter="0" w:footer="0" w:header="0"/>
        </w:sectPr>
      </w:pPr>
    </w:p>
    <w:bookmarkStart w:id="2" w:name="page3"/>
    <w:bookmarkEnd w:id="2"/>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0" w:lineRule="exact"/>
        <w:rPr>
          <w:sz w:val="20"/>
          <w:szCs w:val="20"/>
          <w:color w:val="auto"/>
        </w:rPr>
      </w:pPr>
    </w:p>
    <w:p>
      <w:pPr>
        <w:ind w:left="680"/>
        <w:spacing w:after="0"/>
        <w:rPr>
          <w:sz w:val="20"/>
          <w:szCs w:val="20"/>
          <w:color w:val="auto"/>
        </w:rPr>
      </w:pPr>
      <w:r>
        <w:rPr>
          <w:rFonts w:ascii="Arial" w:cs="Arial" w:eastAsia="Arial" w:hAnsi="Arial"/>
          <w:sz w:val="20"/>
          <w:szCs w:val="20"/>
          <w:b w:val="1"/>
          <w:bCs w:val="1"/>
          <w:color w:val="auto"/>
        </w:rPr>
        <w:t>Forward-Looking Information</w:t>
      </w:r>
    </w:p>
    <w:p>
      <w:pPr>
        <w:spacing w:after="0" w:line="184" w:lineRule="exact"/>
        <w:rPr>
          <w:sz w:val="20"/>
          <w:szCs w:val="20"/>
          <w:color w:val="auto"/>
        </w:rPr>
      </w:pPr>
    </w:p>
    <w:p>
      <w:pPr>
        <w:ind w:left="680" w:right="719" w:firstLine="384"/>
        <w:spacing w:after="0" w:line="295" w:lineRule="auto"/>
        <w:rPr>
          <w:sz w:val="20"/>
          <w:szCs w:val="20"/>
          <w:color w:val="auto"/>
        </w:rPr>
      </w:pPr>
      <w:r>
        <w:rPr>
          <w:rFonts w:ascii="Arial" w:cs="Arial" w:eastAsia="Arial" w:hAnsi="Arial"/>
          <w:sz w:val="14"/>
          <w:szCs w:val="14"/>
          <w:color w:val="auto"/>
        </w:rPr>
        <w:t>All statements contained in this quarterly report on Form 10-Q that do not directly and exclusively relate to historical facts constitute forward-looking statements.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of these words or other comparable words or phrases of a future or forward-looking nature. For example, our forward-looking statements include statements regarding our expectations, opportunities or plans for growth; the proposed acquisition of Farmers &amp; Stockmens Bank, the bank subsidiary of Central Bancorp, Inc. (collectively, Farmers &amp; Stockmens Bank and Central Bancorp, Inc. are herein referred as “Central”); our anticipated expenses, cash requirements and sources of liquidity; and our capital allocation strategies and plans.</w:t>
      </w:r>
    </w:p>
    <w:p>
      <w:pPr>
        <w:spacing w:after="0" w:line="107" w:lineRule="exact"/>
        <w:rPr>
          <w:sz w:val="20"/>
          <w:szCs w:val="20"/>
          <w:color w:val="auto"/>
        </w:rPr>
      </w:pPr>
    </w:p>
    <w:p>
      <w:pPr>
        <w:ind w:left="680" w:right="599" w:firstLine="384"/>
        <w:spacing w:after="0" w:line="308" w:lineRule="auto"/>
        <w:rPr>
          <w:sz w:val="20"/>
          <w:szCs w:val="20"/>
          <w:color w:val="auto"/>
        </w:rPr>
      </w:pPr>
      <w:r>
        <w:rPr>
          <w:rFonts w:ascii="Arial" w:cs="Arial" w:eastAsia="Arial" w:hAnsi="Arial"/>
          <w:sz w:val="14"/>
          <w:szCs w:val="14"/>
          <w:color w:val="auto"/>
        </w:rPr>
        <w:t>Unless we state otherwise or the context otherwise requires, references below to “we,” “our,” “us,” and the “Company” refer to CrossFirst Bankshares, Inc., and its consolidated subsidiaries. References to “CrossFirst Bank” and the “Bank” refer to CrossFirst Bank, our wholly owned consolidated bank subsidiary.</w:t>
      </w:r>
    </w:p>
    <w:p>
      <w:pPr>
        <w:spacing w:after="0" w:line="95" w:lineRule="exact"/>
        <w:rPr>
          <w:sz w:val="20"/>
          <w:szCs w:val="20"/>
          <w:color w:val="auto"/>
        </w:rPr>
      </w:pPr>
    </w:p>
    <w:p>
      <w:pPr>
        <w:ind w:left="680" w:right="599" w:firstLine="384"/>
        <w:spacing w:after="0" w:line="319" w:lineRule="auto"/>
        <w:rPr>
          <w:sz w:val="20"/>
          <w:szCs w:val="20"/>
          <w:color w:val="auto"/>
        </w:rPr>
      </w:pPr>
      <w:r>
        <w:rPr>
          <w:rFonts w:ascii="Arial" w:cs="Arial" w:eastAsia="Arial" w:hAnsi="Arial"/>
          <w:sz w:val="13"/>
          <w:szCs w:val="13"/>
          <w:color w:val="auto"/>
        </w:rPr>
        <w:t>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The Company cautions you that any such forward-looking statements are not guarantees of future performance and are subject to risks, assumptions, estimates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due to a number of factors. Such factors include: credit quality and risk, risks associated with the ongoing COVID-19 pandemic, changes in economic conditions in the United States and the Company’s market areas, legislative and regulatory changes, fluctuations in interest rates, changes in liquidity requirements, demand for loans in the Company’s market areas, changes in accounting and tax principles, estimates made on income taxes, competition with other entities that offer financial services, cybersecurity incidents or other failures, disruptions or security breaches, commercial and residential real estate values, funding availability, the transition away from the London Interbank Offered Rate (LIBOR), business strategy execution, hiring and retention of key personnel, fraud committed against the Company, or other external events. Additional discussion of these and other risk factors can be found in our Annual Report on Form 10-K for the fiscal year ended December 31, 2021, filed with the Securities and Exchange Commission (“SEC”) on February 28, 2022, and in our other filings with the SEC.</w:t>
      </w:r>
    </w:p>
    <w:p>
      <w:pPr>
        <w:spacing w:after="0" w:line="92" w:lineRule="exact"/>
        <w:rPr>
          <w:sz w:val="20"/>
          <w:szCs w:val="20"/>
          <w:color w:val="auto"/>
        </w:rPr>
      </w:pPr>
    </w:p>
    <w:p>
      <w:pPr>
        <w:ind w:left="680" w:right="579" w:firstLine="384"/>
        <w:spacing w:after="0" w:line="341" w:lineRule="auto"/>
        <w:rPr>
          <w:sz w:val="20"/>
          <w:szCs w:val="20"/>
          <w:color w:val="auto"/>
        </w:rPr>
      </w:pPr>
      <w:r>
        <w:rPr>
          <w:rFonts w:ascii="Arial" w:cs="Arial" w:eastAsia="Arial" w:hAnsi="Arial"/>
          <w:sz w:val="13"/>
          <w:szCs w:val="13"/>
          <w:color w:val="auto"/>
        </w:rPr>
        <w:t>Except as required by law, the Company undertakes no obligation to update or revise forward-looking statements to reflect changed assumptions, the occurrence of unanticipated events or changes in our business, results of operations or financial condition over time. Given these risks and uncertainties, readers are cautioned not to place undue reliance on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407" w:right="1440" w:bottom="1440" w:gutter="0" w:footer="0" w:header="0"/>
        </w:sectPr>
      </w:pPr>
    </w:p>
    <w:bookmarkStart w:id="3" w:name="page4"/>
    <w:bookmarkEnd w:id="3"/>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PART I - FINANCIAL INFORMATION</w:t>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7"/>
          <w:szCs w:val="17"/>
          <w:color w:val="auto"/>
        </w:rPr>
        <w:t>ITEM 1. CONDENSED CONSOLIDATED FINANCIAL STATEMENTS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ectPr>
          <w:pgSz w:w="11900" w:h="16838" w:orient="portrait"/>
          <w:cols w:equalWidth="0" w:num="1">
            <w:col w:w="9019"/>
          </w:cols>
          <w:pgMar w:left="144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60" w:type="dxa"/>
            <w:vAlign w:val="bottom"/>
            <w:gridSpan w:val="3"/>
          </w:tcPr>
          <w:p>
            <w:pPr>
              <w:ind w:left="100"/>
              <w:spacing w:after="0"/>
              <w:rPr>
                <w:sz w:val="20"/>
                <w:szCs w:val="20"/>
                <w:color w:val="auto"/>
              </w:rPr>
            </w:pPr>
            <w:r>
              <w:rPr>
                <w:rFonts w:ascii="Arial" w:cs="Arial" w:eastAsia="Arial" w:hAnsi="Arial"/>
                <w:sz w:val="14"/>
                <w:szCs w:val="14"/>
                <w:color w:val="auto"/>
              </w:rPr>
              <w:t>Available-for-sale securities - taxable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Available-for-sale securities - tax-exempt</w:t>
            </w:r>
          </w:p>
        </w:tc>
        <w:tc>
          <w:tcPr>
            <w:tcW w:w="120" w:type="dxa"/>
            <w:vAlign w:val="bottom"/>
            <w:tcBorders>
              <w:righ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60" w:type="dxa"/>
            <w:vAlign w:val="bottom"/>
            <w:gridSpan w:val="3"/>
          </w:tcPr>
          <w:p>
            <w:pPr>
              <w:ind w:left="100"/>
              <w:spacing w:after="0"/>
              <w:rPr>
                <w:sz w:val="20"/>
                <w:szCs w:val="20"/>
                <w:color w:val="auto"/>
              </w:rPr>
            </w:pPr>
            <w:r>
              <w:rPr>
                <w:rFonts w:ascii="Arial" w:cs="Arial" w:eastAsia="Arial" w:hAnsi="Arial"/>
                <w:sz w:val="14"/>
                <w:szCs w:val="14"/>
                <w:color w:val="auto"/>
              </w:rPr>
              <w:t>Loans, net of unearned fees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gridSpan w:val="2"/>
            <w:shd w:val="clear" w:color="auto" w:fill="CCEEFF"/>
          </w:tcPr>
          <w:p>
            <w:pPr>
              <w:spacing w:after="0" w:line="171" w:lineRule="exact"/>
              <w:rPr>
                <w:sz w:val="20"/>
                <w:szCs w:val="20"/>
                <w:color w:val="auto"/>
              </w:rPr>
            </w:pPr>
            <w:r>
              <w:rPr>
                <w:rFonts w:ascii="Arial" w:cs="Arial" w:eastAsia="Arial" w:hAnsi="Arial"/>
                <w:sz w:val="14"/>
                <w:szCs w:val="14"/>
                <w:color w:val="auto"/>
              </w:rPr>
              <w:t>Allowance for credit losses on loans</w:t>
            </w:r>
            <w:r>
              <w:rPr>
                <w:rFonts w:ascii="Arial" w:cs="Arial" w:eastAsia="Arial" w:hAnsi="Arial"/>
                <w:sz w:val="18"/>
                <w:szCs w:val="18"/>
                <w:color w:val="auto"/>
                <w:vertAlign w:val="superscript"/>
              </w:rPr>
              <w:t>(2)</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4860" w:type="dxa"/>
            <w:vAlign w:val="bottom"/>
            <w:gridSpan w:val="2"/>
          </w:tcPr>
          <w:p>
            <w:pPr>
              <w:ind w:left="80"/>
              <w:spacing w:after="0"/>
              <w:rPr>
                <w:sz w:val="20"/>
                <w:szCs w:val="20"/>
                <w:color w:val="auto"/>
              </w:rPr>
            </w:pPr>
            <w:r>
              <w:rPr>
                <w:rFonts w:ascii="Arial" w:cs="Arial" w:eastAsia="Arial" w:hAnsi="Arial"/>
                <w:sz w:val="14"/>
                <w:szCs w:val="14"/>
                <w:color w:val="auto"/>
              </w:rPr>
              <w:t>Loans, net of the allowance for credit losses on loans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Premises and equipment, net</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60" w:type="dxa"/>
            <w:vAlign w:val="bottom"/>
            <w:gridSpan w:val="3"/>
          </w:tcPr>
          <w:p>
            <w:pPr>
              <w:ind w:left="100"/>
              <w:spacing w:after="0"/>
              <w:rPr>
                <w:sz w:val="20"/>
                <w:szCs w:val="20"/>
                <w:color w:val="auto"/>
              </w:rPr>
            </w:pPr>
            <w:r>
              <w:rPr>
                <w:rFonts w:ascii="Arial" w:cs="Arial" w:eastAsia="Arial" w:hAnsi="Arial"/>
                <w:sz w:val="14"/>
                <w:szCs w:val="14"/>
                <w:color w:val="auto"/>
              </w:rPr>
              <w:t>Restricted equity securities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receivable</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60" w:type="dxa"/>
            <w:vAlign w:val="bottom"/>
            <w:gridSpan w:val="3"/>
          </w:tcPr>
          <w:p>
            <w:pPr>
              <w:ind w:left="100"/>
              <w:spacing w:after="0"/>
              <w:rPr>
                <w:sz w:val="20"/>
                <w:szCs w:val="20"/>
                <w:color w:val="auto"/>
              </w:rPr>
            </w:pPr>
            <w:r>
              <w:rPr>
                <w:rFonts w:ascii="Arial" w:cs="Arial" w:eastAsia="Arial" w:hAnsi="Arial"/>
                <w:sz w:val="14"/>
                <w:szCs w:val="14"/>
                <w:color w:val="auto"/>
              </w:rPr>
              <w:t>Foreclosed assets held for sale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100"/>
              <w:spacing w:after="0"/>
              <w:rPr>
                <w:sz w:val="20"/>
                <w:szCs w:val="20"/>
                <w:color w:val="auto"/>
              </w:rPr>
            </w:pPr>
            <w:r>
              <w:rPr>
                <w:rFonts w:ascii="Arial" w:cs="Arial" w:eastAsia="Arial" w:hAnsi="Arial"/>
                <w:sz w:val="14"/>
                <w:szCs w:val="14"/>
                <w:color w:val="auto"/>
              </w:rPr>
              <w:t>Bank-owned life insurance</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92"/>
        </w:trPr>
        <w:tc>
          <w:tcPr>
            <w:tcW w:w="49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60" w:type="dxa"/>
            <w:vAlign w:val="bottom"/>
            <w:gridSpan w:val="3"/>
          </w:tcPr>
          <w:p>
            <w:pPr>
              <w:ind w:left="100"/>
              <w:spacing w:after="0"/>
              <w:rPr>
                <w:sz w:val="20"/>
                <w:szCs w:val="20"/>
                <w:color w:val="auto"/>
              </w:rPr>
            </w:pPr>
            <w:r>
              <w:rPr>
                <w:rFonts w:ascii="Arial" w:cs="Arial" w:eastAsia="Arial" w:hAnsi="Arial"/>
                <w:sz w:val="14"/>
                <w:szCs w:val="14"/>
                <w:color w:val="auto"/>
              </w:rPr>
              <w:t>Deposits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Non-interest-bearing</w:t>
            </w:r>
          </w:p>
        </w:tc>
        <w:tc>
          <w:tcPr>
            <w:tcW w:w="1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4860" w:type="dxa"/>
            <w:vAlign w:val="bottom"/>
            <w:gridSpan w:val="2"/>
          </w:tcPr>
          <w:p>
            <w:pPr>
              <w:ind w:left="80"/>
              <w:spacing w:after="0"/>
              <w:rPr>
                <w:sz w:val="20"/>
                <w:szCs w:val="20"/>
                <w:color w:val="auto"/>
              </w:rPr>
            </w:pPr>
            <w:r>
              <w:rPr>
                <w:rFonts w:ascii="Arial" w:cs="Arial" w:eastAsia="Arial" w:hAnsi="Arial"/>
                <w:sz w:val="14"/>
                <w:szCs w:val="14"/>
                <w:color w:val="auto"/>
              </w:rPr>
              <w:t>Savings, NOW and money market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4"/>
                <w:szCs w:val="14"/>
                <w:color w:val="auto"/>
              </w:rPr>
              <w:t>Time</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tcPr>
          <w:p>
            <w:pPr>
              <w:ind w:left="100"/>
              <w:spacing w:after="0"/>
              <w:rPr>
                <w:sz w:val="20"/>
                <w:szCs w:val="20"/>
                <w:color w:val="auto"/>
              </w:rPr>
            </w:pPr>
            <w:r>
              <w:rPr>
                <w:rFonts w:ascii="Arial" w:cs="Arial" w:eastAsia="Arial" w:hAnsi="Arial"/>
                <w:sz w:val="14"/>
                <w:szCs w:val="14"/>
                <w:color w:val="auto"/>
              </w:rPr>
              <w:t>Total deposits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Federal Home Loan Bank advances</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960" w:type="dxa"/>
            <w:vAlign w:val="bottom"/>
            <w:gridSpan w:val="3"/>
          </w:tcPr>
          <w:p>
            <w:pPr>
              <w:ind w:left="100"/>
              <w:spacing w:after="0"/>
              <w:rPr>
                <w:sz w:val="20"/>
                <w:szCs w:val="20"/>
                <w:color w:val="auto"/>
              </w:rPr>
            </w:pPr>
            <w:r>
              <w:rPr>
                <w:rFonts w:ascii="Arial" w:cs="Arial" w:eastAsia="Arial" w:hAnsi="Arial"/>
                <w:sz w:val="14"/>
                <w:szCs w:val="14"/>
                <w:color w:val="auto"/>
              </w:rPr>
              <w:t>Other borrowings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payable and other liabilities</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60" w:type="dxa"/>
            <w:vAlign w:val="bottom"/>
          </w:tcPr>
          <w:p>
            <w:pPr>
              <w:ind w:left="180"/>
              <w:spacing w:after="0"/>
              <w:rPr>
                <w:sz w:val="20"/>
                <w:szCs w:val="20"/>
                <w:color w:val="auto"/>
              </w:rPr>
            </w:pPr>
            <w:r>
              <w:rPr>
                <w:rFonts w:ascii="Arial" w:cs="Arial" w:eastAsia="Arial" w:hAnsi="Arial"/>
                <w:sz w:val="14"/>
                <w:szCs w:val="14"/>
                <w:color w:val="auto"/>
              </w:rPr>
              <w:t>Total liabilities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6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4960" w:type="dxa"/>
            <w:vAlign w:val="bottom"/>
            <w:gridSpan w:val="3"/>
          </w:tcPr>
          <w:p>
            <w:pPr>
              <w:ind w:left="100"/>
              <w:spacing w:after="0"/>
              <w:rPr>
                <w:sz w:val="20"/>
                <w:szCs w:val="20"/>
                <w:color w:val="auto"/>
              </w:rPr>
            </w:pPr>
            <w:r>
              <w:rPr>
                <w:rFonts w:ascii="Arial" w:cs="Arial" w:eastAsia="Arial" w:hAnsi="Arial"/>
                <w:sz w:val="14"/>
                <w:szCs w:val="14"/>
                <w:color w:val="auto"/>
              </w:rPr>
              <w:t>Common stock, $0.01 par value: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720" w:right="140"/>
        <w:spacing w:after="0" w:line="262" w:lineRule="auto"/>
        <w:rPr>
          <w:sz w:val="20"/>
          <w:szCs w:val="20"/>
          <w:color w:val="auto"/>
        </w:rPr>
      </w:pPr>
      <w:r>
        <w:rPr>
          <w:rFonts w:ascii="Arial" w:cs="Arial" w:eastAsia="Arial" w:hAnsi="Arial"/>
          <w:sz w:val="14"/>
          <w:szCs w:val="14"/>
          <w:color w:val="auto"/>
        </w:rPr>
        <w:t>authorized - 200,000,000 shares, issued - 52,972,244 and 52,590,015 shares at June 30, 2022 and December 31, 2021, respectively</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Treasury stock, at cost:</w:t>
      </w:r>
    </w:p>
    <w:p>
      <w:pPr>
        <w:spacing w:after="0" w:line="3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3,436,295 and 2,139,970 shares held at June 30, 2022 and December 31, 2021,</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respectively</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Additional paid-in capital</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Retained earnings</w:t>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Accumulated other comprehensive income (loss)</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stockholders’ equity</w:t>
      </w:r>
    </w:p>
    <w:p>
      <w:pPr>
        <w:spacing w:after="0" w:line="31" w:lineRule="exact"/>
        <w:rPr>
          <w:sz w:val="20"/>
          <w:szCs w:val="20"/>
          <w:color w:val="auto"/>
        </w:rPr>
      </w:pPr>
    </w:p>
    <w:p>
      <w:pPr>
        <w:ind w:left="920"/>
        <w:spacing w:after="0"/>
        <w:tabs>
          <w:tab w:leader="none" w:pos="5480" w:val="left"/>
        </w:tabs>
        <w:rPr>
          <w:sz w:val="20"/>
          <w:szCs w:val="20"/>
          <w:color w:val="auto"/>
        </w:rPr>
      </w:pPr>
      <w:r>
        <w:rPr>
          <w:rFonts w:ascii="Arial" w:cs="Arial" w:eastAsia="Arial" w:hAnsi="Arial"/>
          <w:sz w:val="14"/>
          <w:szCs w:val="14"/>
          <w:color w:val="auto"/>
        </w:rPr>
        <w:t>Total liabilities and stockholders’ equity</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5"/>
              </w:rPr>
              <w:t>December 31, 2021</w:t>
            </w:r>
            <w:r>
              <w:rPr>
                <w:rFonts w:ascii="Arial" w:cs="Arial" w:eastAsia="Arial" w:hAnsi="Arial"/>
                <w:sz w:val="18"/>
                <w:szCs w:val="18"/>
                <w:b w:val="1"/>
                <w:bCs w:val="1"/>
                <w:color w:val="auto"/>
                <w:w w:val="85"/>
                <w:vertAlign w:val="superscript"/>
              </w:rPr>
              <w:t>(1)</w:t>
            </w:r>
          </w:p>
        </w:tc>
        <w:tc>
          <w:tcPr>
            <w:tcW w:w="0" w:type="dxa"/>
            <w:vAlign w:val="bottom"/>
          </w:tcPr>
          <w:p>
            <w:pPr>
              <w:spacing w:after="0"/>
              <w:rPr>
                <w:sz w:val="1"/>
                <w:szCs w:val="1"/>
                <w:color w:val="auto"/>
              </w:rPr>
            </w:pPr>
          </w:p>
        </w:tc>
      </w:tr>
      <w:tr>
        <w:trPr>
          <w:trHeight w:val="188"/>
        </w:trPr>
        <w:tc>
          <w:tcPr>
            <w:tcW w:w="1400" w:type="dxa"/>
            <w:vAlign w:val="bottom"/>
            <w:gridSpan w:val="2"/>
          </w:tcPr>
          <w:p>
            <w:pPr>
              <w:jc w:val="right"/>
              <w:ind w:right="460"/>
              <w:spacing w:after="0"/>
              <w:rPr>
                <w:sz w:val="20"/>
                <w:szCs w:val="20"/>
                <w:color w:val="auto"/>
              </w:rPr>
            </w:pPr>
            <w:r>
              <w:rPr>
                <w:rFonts w:ascii="Arial" w:cs="Arial" w:eastAsia="Arial" w:hAnsi="Arial"/>
                <w:sz w:val="14"/>
                <w:szCs w:val="14"/>
                <w:color w:val="auto"/>
              </w:rPr>
              <w:t>(Unaudited)</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40" w:type="dxa"/>
            <w:vAlign w:val="bottom"/>
            <w:gridSpan w:val="5"/>
          </w:tcPr>
          <w:p>
            <w:pPr>
              <w:jc w:val="right"/>
              <w:ind w:right="900"/>
              <w:spacing w:after="0"/>
              <w:rPr>
                <w:sz w:val="20"/>
                <w:szCs w:val="20"/>
                <w:color w:val="auto"/>
              </w:rPr>
            </w:pPr>
            <w:r>
              <w:rPr>
                <w:rFonts w:ascii="Arial" w:cs="Arial" w:eastAsia="Arial" w:hAnsi="Arial"/>
                <w:sz w:val="13"/>
                <w:szCs w:val="13"/>
                <w:i w:val="1"/>
                <w:iCs w:val="1"/>
                <w:color w:val="auto"/>
              </w:rPr>
              <w:t>(Dollars in thousands)</w:t>
            </w:r>
          </w:p>
        </w:tc>
        <w:tc>
          <w:tcPr>
            <w:tcW w:w="0" w:type="dxa"/>
            <w:vAlign w:val="bottom"/>
          </w:tcPr>
          <w:p>
            <w:pPr>
              <w:spacing w:after="0"/>
              <w:rPr>
                <w:sz w:val="1"/>
                <w:szCs w:val="1"/>
                <w:color w:val="auto"/>
              </w:rPr>
            </w:pPr>
          </w:p>
        </w:tc>
      </w:tr>
      <w:tr>
        <w:trPr>
          <w:trHeight w:val="197"/>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spacing w:after="0"/>
              <w:rPr>
                <w:sz w:val="17"/>
                <w:szCs w:val="17"/>
                <w:color w:val="auto"/>
              </w:rPr>
            </w:pP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277,678</w:t>
            </w: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482,727</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280" w:type="dxa"/>
            <w:vAlign w:val="bottom"/>
          </w:tcPr>
          <w:p>
            <w:pPr>
              <w:jc w:val="right"/>
              <w:spacing w:after="0"/>
              <w:rPr>
                <w:sz w:val="20"/>
                <w:szCs w:val="20"/>
                <w:color w:val="auto"/>
              </w:rPr>
            </w:pPr>
            <w:r>
              <w:rPr>
                <w:rFonts w:ascii="Arial" w:cs="Arial" w:eastAsia="Arial" w:hAnsi="Arial"/>
                <w:sz w:val="14"/>
                <w:szCs w:val="14"/>
                <w:color w:val="auto"/>
              </w:rPr>
              <w:t>186,154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192,146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509,493</w:t>
            </w:r>
          </w:p>
        </w:tc>
        <w:tc>
          <w:tcPr>
            <w:tcW w:w="120" w:type="dxa"/>
            <w:vAlign w:val="bottom"/>
          </w:tcPr>
          <w:p>
            <w:pPr>
              <w:spacing w:after="0"/>
              <w:rPr>
                <w:sz w:val="14"/>
                <w:szCs w:val="14"/>
                <w:color w:val="auto"/>
              </w:rPr>
            </w:pPr>
          </w:p>
        </w:tc>
        <w:tc>
          <w:tcPr>
            <w:tcW w:w="120" w:type="dxa"/>
            <w:vAlign w:val="bottom"/>
            <w:tcBorders>
              <w:right w:val="single" w:sz="8" w:color="CCEEFF"/>
            </w:tcBorders>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553,823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80" w:type="dxa"/>
            <w:vAlign w:val="bottom"/>
          </w:tcPr>
          <w:p>
            <w:pPr>
              <w:jc w:val="right"/>
              <w:spacing w:after="0"/>
              <w:rPr>
                <w:sz w:val="20"/>
                <w:szCs w:val="20"/>
                <w:color w:val="auto"/>
              </w:rPr>
            </w:pPr>
            <w:r>
              <w:rPr>
                <w:rFonts w:ascii="Arial" w:cs="Arial" w:eastAsia="Arial" w:hAnsi="Arial"/>
                <w:sz w:val="14"/>
                <w:szCs w:val="14"/>
                <w:color w:val="auto"/>
              </w:rPr>
              <w:t>4,528,234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4,256,213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80" w:type="dxa"/>
            <w:vAlign w:val="bottom"/>
          </w:tcPr>
          <w:p>
            <w:pPr>
              <w:jc w:val="right"/>
              <w:spacing w:after="0"/>
              <w:rPr>
                <w:sz w:val="20"/>
                <w:szCs w:val="20"/>
                <w:color w:val="auto"/>
              </w:rPr>
            </w:pPr>
            <w:r>
              <w:rPr>
                <w:rFonts w:ascii="Arial" w:cs="Arial" w:eastAsia="Arial" w:hAnsi="Arial"/>
                <w:sz w:val="14"/>
                <w:szCs w:val="14"/>
                <w:color w:val="auto"/>
              </w:rPr>
              <w:t>4,472,417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4,197,838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80" w:type="dxa"/>
            <w:vAlign w:val="bottom"/>
          </w:tcPr>
          <w:p>
            <w:pPr>
              <w:jc w:val="right"/>
              <w:spacing w:after="0"/>
              <w:rPr>
                <w:sz w:val="20"/>
                <w:szCs w:val="20"/>
                <w:color w:val="auto"/>
              </w:rPr>
            </w:pPr>
            <w:r>
              <w:rPr>
                <w:rFonts w:ascii="Arial" w:cs="Arial" w:eastAsia="Arial" w:hAnsi="Arial"/>
                <w:sz w:val="14"/>
                <w:szCs w:val="14"/>
                <w:color w:val="auto"/>
              </w:rPr>
              <w:t>14,946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11,927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973</w:t>
            </w:r>
          </w:p>
        </w:tc>
        <w:tc>
          <w:tcPr>
            <w:tcW w:w="12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1,148</w:t>
            </w:r>
          </w:p>
        </w:tc>
        <w:tc>
          <w:tcPr>
            <w:tcW w:w="0" w:type="dxa"/>
            <w:vAlign w:val="bottom"/>
          </w:tcPr>
          <w:p>
            <w:pPr>
              <w:spacing w:after="0"/>
              <w:rPr>
                <w:sz w:val="1"/>
                <w:szCs w:val="1"/>
                <w:color w:val="auto"/>
              </w:rPr>
            </w:pPr>
          </w:p>
        </w:tc>
      </w:tr>
      <w:tr>
        <w:trPr>
          <w:trHeight w:val="181"/>
        </w:trPr>
        <w:tc>
          <w:tcPr>
            <w:tcW w:w="1280" w:type="dxa"/>
            <w:vAlign w:val="bottom"/>
          </w:tcPr>
          <w:p>
            <w:pPr>
              <w:jc w:val="right"/>
              <w:spacing w:after="0"/>
              <w:rPr>
                <w:sz w:val="20"/>
                <w:szCs w:val="20"/>
                <w:color w:val="auto"/>
              </w:rPr>
            </w:pPr>
            <w:r>
              <w:rPr>
                <w:rFonts w:ascii="Arial" w:cs="Arial" w:eastAsia="Arial" w:hAnsi="Arial"/>
                <w:sz w:val="14"/>
                <w:szCs w:val="14"/>
                <w:color w:val="auto"/>
              </w:rPr>
              <w:t>68,293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67,498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95,678</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32,258</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280" w:type="dxa"/>
            <w:vAlign w:val="bottom"/>
          </w:tcPr>
          <w:p>
            <w:pPr>
              <w:jc w:val="right"/>
              <w:spacing w:after="0"/>
              <w:rPr>
                <w:sz w:val="20"/>
                <w:szCs w:val="20"/>
                <w:color w:val="auto"/>
              </w:rPr>
            </w:pPr>
            <w:r>
              <w:rPr>
                <w:rFonts w:ascii="Arial" w:cs="Arial" w:eastAsia="Arial" w:hAnsi="Arial"/>
                <w:sz w:val="14"/>
                <w:szCs w:val="14"/>
                <w:color w:val="auto"/>
              </w:rPr>
              <w:t>5,708,310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5,621,457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280" w:type="dxa"/>
            <w:vAlign w:val="bottom"/>
          </w:tcPr>
          <w:p>
            <w:pPr>
              <w:spacing w:after="0"/>
              <w:rPr>
                <w:sz w:val="11"/>
                <w:szCs w:val="11"/>
                <w:color w:val="auto"/>
              </w:rPr>
            </w:pPr>
          </w:p>
        </w:tc>
        <w:tc>
          <w:tcPr>
            <w:tcW w:w="120" w:type="dxa"/>
            <w:vAlign w:val="bottom"/>
            <w:tcBorders>
              <w:right w:val="single" w:sz="8" w:color="CCEEFF"/>
            </w:tcBorders>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1,163,462</w:t>
            </w: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1,163,224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80" w:type="dxa"/>
            <w:vAlign w:val="bottom"/>
          </w:tcPr>
          <w:p>
            <w:pPr>
              <w:jc w:val="right"/>
              <w:spacing w:after="0"/>
              <w:rPr>
                <w:sz w:val="20"/>
                <w:szCs w:val="20"/>
                <w:color w:val="auto"/>
              </w:rPr>
            </w:pPr>
            <w:r>
              <w:rPr>
                <w:rFonts w:ascii="Arial" w:cs="Arial" w:eastAsia="Arial" w:hAnsi="Arial"/>
                <w:sz w:val="14"/>
                <w:szCs w:val="14"/>
                <w:color w:val="auto"/>
              </w:rPr>
              <w:t>2,847,887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2,895,986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733,071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624,387</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tcPr>
          <w:p>
            <w:pPr>
              <w:jc w:val="right"/>
              <w:spacing w:after="0"/>
              <w:rPr>
                <w:sz w:val="20"/>
                <w:szCs w:val="20"/>
                <w:color w:val="auto"/>
              </w:rPr>
            </w:pPr>
            <w:r>
              <w:rPr>
                <w:rFonts w:ascii="Arial" w:cs="Arial" w:eastAsia="Arial" w:hAnsi="Arial"/>
                <w:sz w:val="14"/>
                <w:szCs w:val="14"/>
                <w:color w:val="auto"/>
              </w:rPr>
              <w:t>4,744,420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4,683,597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296,600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236,600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1,041</w:t>
            </w:r>
          </w:p>
        </w:tc>
        <w:tc>
          <w:tcPr>
            <w:tcW w:w="12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4"/>
                <w:szCs w:val="14"/>
                <w:color w:val="auto"/>
              </w:rPr>
              <w:t>1,009</w:t>
            </w: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58,234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32,678</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80" w:type="dxa"/>
            <w:vAlign w:val="bottom"/>
          </w:tcPr>
          <w:p>
            <w:pPr>
              <w:jc w:val="right"/>
              <w:spacing w:after="0"/>
              <w:rPr>
                <w:sz w:val="20"/>
                <w:szCs w:val="20"/>
                <w:color w:val="auto"/>
              </w:rPr>
            </w:pPr>
            <w:r>
              <w:rPr>
                <w:rFonts w:ascii="Arial" w:cs="Arial" w:eastAsia="Arial" w:hAnsi="Arial"/>
                <w:sz w:val="14"/>
                <w:szCs w:val="14"/>
                <w:color w:val="auto"/>
              </w:rPr>
              <w:t>5,100,295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4,953,884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400" w:type="dxa"/>
            <w:vAlign w:val="bottom"/>
            <w:tcBorders>
              <w:right w:val="single" w:sz="8" w:color="CCEEFF"/>
            </w:tcBorders>
            <w:gridSpan w:val="2"/>
            <w:shd w:val="clear" w:color="auto" w:fill="CCEEFF"/>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1280" w:type="dxa"/>
            <w:vAlign w:val="bottom"/>
          </w:tcPr>
          <w:p>
            <w:pPr>
              <w:spacing w:after="0"/>
              <w:rPr>
                <w:sz w:val="24"/>
                <w:szCs w:val="24"/>
                <w:color w:val="auto"/>
              </w:rPr>
            </w:pP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4"/>
        </w:trPr>
        <w:tc>
          <w:tcPr>
            <w:tcW w:w="14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color w:val="auto"/>
              </w:rPr>
              <w:t>(28,347)</w:t>
            </w:r>
          </w:p>
        </w:tc>
        <w:tc>
          <w:tcPr>
            <w:tcW w:w="0" w:type="dxa"/>
            <w:vAlign w:val="bottom"/>
          </w:tcPr>
          <w:p>
            <w:pPr>
              <w:spacing w:after="0"/>
              <w:rPr>
                <w:sz w:val="1"/>
                <w:szCs w:val="1"/>
                <w:color w:val="auto"/>
              </w:rPr>
            </w:pPr>
          </w:p>
        </w:tc>
      </w:tr>
      <w:tr>
        <w:trPr>
          <w:trHeight w:val="160"/>
        </w:trPr>
        <w:tc>
          <w:tcPr>
            <w:tcW w:w="14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(48,501)</w:t>
            </w: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80" w:type="dxa"/>
            <w:vAlign w:val="bottom"/>
          </w:tcPr>
          <w:p>
            <w:pPr>
              <w:jc w:val="right"/>
              <w:spacing w:after="0"/>
              <w:rPr>
                <w:sz w:val="20"/>
                <w:szCs w:val="20"/>
                <w:color w:val="auto"/>
              </w:rPr>
            </w:pPr>
            <w:r>
              <w:rPr>
                <w:rFonts w:ascii="Arial" w:cs="Arial" w:eastAsia="Arial" w:hAnsi="Arial"/>
                <w:sz w:val="14"/>
                <w:szCs w:val="14"/>
                <w:color w:val="auto"/>
              </w:rPr>
              <w:t>528,548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526,806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176,868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(49,429)</w:t>
            </w: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21,489</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608,015</w:t>
            </w:r>
          </w:p>
        </w:tc>
        <w:tc>
          <w:tcPr>
            <w:tcW w:w="120" w:type="dxa"/>
            <w:vAlign w:val="bottom"/>
            <w:tcBorders>
              <w:right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667,573</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80" w:type="dxa"/>
            <w:vAlign w:val="bottom"/>
          </w:tcPr>
          <w:p>
            <w:pPr>
              <w:jc w:val="right"/>
              <w:spacing w:after="0"/>
              <w:rPr>
                <w:sz w:val="20"/>
                <w:szCs w:val="20"/>
                <w:color w:val="auto"/>
              </w:rPr>
            </w:pPr>
            <w:r>
              <w:rPr>
                <w:rFonts w:ascii="Arial" w:cs="Arial" w:eastAsia="Arial" w:hAnsi="Arial"/>
                <w:sz w:val="14"/>
                <w:szCs w:val="14"/>
                <w:color w:val="auto"/>
              </w:rPr>
              <w:t>5,708,310</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5,621,457</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sectPr>
          <w:pgSz w:w="11900" w:h="16838" w:orient="portrait"/>
          <w:cols w:equalWidth="0" w:num="2">
            <w:col w:w="5620" w:space="0"/>
            <w:col w:w="3399"/>
          </w:cols>
          <w:pgMar w:left="1440" w:top="407" w:right="1440" w:bottom="1440" w:gutter="0" w:footer="0" w:header="0"/>
          <w:type w:val="continuous"/>
        </w:sectPr>
      </w:pPr>
    </w:p>
    <w:p>
      <w:pPr>
        <w:ind w:left="1060" w:right="879" w:hanging="269"/>
        <w:spacing w:after="0" w:line="247" w:lineRule="auto"/>
        <w:tabs>
          <w:tab w:leader="none" w:pos="1060" w:val="left"/>
        </w:tabs>
        <w:numPr>
          <w:ilvl w:val="0"/>
          <w:numId w:val="4"/>
        </w:numPr>
        <w:rPr>
          <w:rFonts w:ascii="Arial" w:cs="Arial" w:eastAsia="Arial" w:hAnsi="Arial"/>
          <w:sz w:val="14"/>
          <w:szCs w:val="14"/>
          <w:i w:val="1"/>
          <w:iCs w:val="1"/>
          <w:color w:val="auto"/>
        </w:rPr>
      </w:pPr>
      <w:r>
        <w:rPr>
          <w:rFonts w:ascii="Arial" w:cs="Arial" w:eastAsia="Arial" w:hAnsi="Arial"/>
          <w:sz w:val="14"/>
          <w:szCs w:val="14"/>
          <w:color w:val="auto"/>
        </w:rPr>
        <w:t>The year-end Condensed Consolidated Balance Sheet was derived from audited financial statements, but does not include all disclosures required by accounting principles generally accepted in the United States of America.</w:t>
      </w:r>
    </w:p>
    <w:p>
      <w:pPr>
        <w:ind w:left="1020" w:right="599" w:hanging="229"/>
        <w:spacing w:after="0" w:line="251" w:lineRule="auto"/>
        <w:tabs>
          <w:tab w:leader="none" w:pos="1020" w:val="left"/>
        </w:tabs>
        <w:numPr>
          <w:ilvl w:val="0"/>
          <w:numId w:val="4"/>
        </w:numPr>
        <w:rPr>
          <w:rFonts w:ascii="Arial" w:cs="Arial" w:eastAsia="Arial" w:hAnsi="Arial"/>
          <w:sz w:val="14"/>
          <w:szCs w:val="14"/>
          <w:i w:val="1"/>
          <w:iCs w:val="1"/>
          <w:color w:val="auto"/>
        </w:rPr>
      </w:pPr>
      <w:r>
        <w:rPr>
          <w:rFonts w:ascii="Arial" w:cs="Arial" w:eastAsia="Arial" w:hAnsi="Arial"/>
          <w:sz w:val="14"/>
          <w:szCs w:val="14"/>
          <w:color w:val="auto"/>
        </w:rPr>
        <w:t>As of December 31, 2021, this line represents the allowance for loan and lease losses. See further discussion in “Note 1: Nature of Operations and Summary of Significant Accounting Policies” in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407" w:right="1440" w:bottom="1440" w:gutter="0" w:footer="0" w:header="0"/>
          <w:type w:val="continuous"/>
        </w:sectPr>
      </w:pPr>
    </w:p>
    <w:bookmarkStart w:id="4" w:name="page5"/>
    <w:bookmarkEnd w:id="4"/>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INCOME - UNAUDITED</w:t>
      </w:r>
    </w:p>
    <w:p>
      <w:pPr>
        <w:spacing w:after="0" w:line="63"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3"/>
          </w:tcPr>
          <w:p>
            <w:pPr>
              <w:jc w:val="right"/>
              <w:ind w:right="32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1720" w:type="dxa"/>
            <w:vAlign w:val="bottom"/>
            <w:gridSpan w:val="3"/>
          </w:tcPr>
          <w:p>
            <w:pPr>
              <w:jc w:val="right"/>
              <w:ind w:right="32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4"/>
        </w:trPr>
        <w:tc>
          <w:tcPr>
            <w:tcW w:w="4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2"/>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gridSpan w:val="6"/>
          </w:tcPr>
          <w:p>
            <w:pPr>
              <w:jc w:val="right"/>
              <w:ind w:right="89"/>
              <w:spacing w:after="0"/>
              <w:rPr>
                <w:sz w:val="20"/>
                <w:szCs w:val="20"/>
                <w:color w:val="auto"/>
              </w:rPr>
            </w:pPr>
            <w:r>
              <w:rPr>
                <w:rFonts w:ascii="Arial" w:cs="Arial" w:eastAsia="Arial" w:hAnsi="Arial"/>
                <w:sz w:val="13"/>
                <w:szCs w:val="13"/>
                <w:i w:val="1"/>
                <w:iCs w:val="1"/>
                <w:color w:val="auto"/>
              </w:rPr>
              <w:t>(Dollars in thousands except per share data)</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Loans, including fees</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47,327</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43,846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90,055</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87,604</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Available-for-sale securities - taxable</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1,086</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869</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2,130</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Available-for-sale securities - tax-exempt</w:t>
            </w:r>
          </w:p>
        </w:tc>
        <w:tc>
          <w:tcPr>
            <w:tcW w:w="1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3,845</w:t>
            </w:r>
          </w:p>
        </w:tc>
        <w:tc>
          <w:tcPr>
            <w:tcW w:w="26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3,497</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7,537</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6,848</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Deposits with financial institutions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369</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110</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521</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Dividends on bank stocks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213</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162</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357</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71"/>
        </w:trPr>
        <w:tc>
          <w:tcPr>
            <w:tcW w:w="40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interest income</w:t>
            </w: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52,840</w:t>
            </w:r>
          </w:p>
        </w:tc>
        <w:tc>
          <w:tcPr>
            <w:tcW w:w="2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48,484</w:t>
            </w: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100,600</w:t>
            </w: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96,637</w:t>
            </w:r>
          </w:p>
        </w:tc>
        <w:tc>
          <w:tcPr>
            <w:tcW w:w="0" w:type="dxa"/>
            <w:vAlign w:val="bottom"/>
          </w:tcPr>
          <w:p>
            <w:pPr>
              <w:spacing w:after="0"/>
              <w:rPr>
                <w:sz w:val="1"/>
                <w:szCs w:val="1"/>
                <w:color w:val="auto"/>
              </w:rPr>
            </w:pPr>
          </w:p>
        </w:tc>
      </w:tr>
      <w:tr>
        <w:trPr>
          <w:trHeight w:val="181"/>
        </w:trPr>
        <w:tc>
          <w:tcPr>
            <w:tcW w:w="400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Deposits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4,732</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4,850</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8,243</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10,578</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Fed funds purchased and repurchase agreements</w:t>
            </w:r>
          </w:p>
        </w:tc>
        <w:tc>
          <w:tcPr>
            <w:tcW w:w="18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74</w:t>
            </w:r>
          </w:p>
        </w:tc>
        <w:tc>
          <w:tcPr>
            <w:tcW w:w="26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74</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Federal Home Loan Bank Advances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1,294</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1,280</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2,403</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2,563</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borrowings</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0"/>
        </w:trPr>
        <w:tc>
          <w:tcPr>
            <w:tcW w:w="40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interest expense</w:t>
            </w: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6,131</w:t>
            </w: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6,156</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10,776</w:t>
            </w: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13,192</w:t>
            </w:r>
          </w:p>
        </w:tc>
        <w:tc>
          <w:tcPr>
            <w:tcW w:w="0" w:type="dxa"/>
            <w:vAlign w:val="bottom"/>
          </w:tcPr>
          <w:p>
            <w:pPr>
              <w:spacing w:after="0"/>
              <w:rPr>
                <w:sz w:val="1"/>
                <w:szCs w:val="1"/>
                <w:color w:val="auto"/>
              </w:rPr>
            </w:pPr>
          </w:p>
        </w:tc>
      </w:tr>
      <w:tr>
        <w:trPr>
          <w:trHeight w:val="172"/>
        </w:trPr>
        <w:tc>
          <w:tcPr>
            <w:tcW w:w="4000" w:type="dxa"/>
            <w:vAlign w:val="bottom"/>
          </w:tcPr>
          <w:p>
            <w:pPr>
              <w:spacing w:after="0"/>
              <w:rPr>
                <w:sz w:val="20"/>
                <w:szCs w:val="20"/>
                <w:color w:val="auto"/>
              </w:rPr>
            </w:pPr>
            <w:r>
              <w:rPr>
                <w:rFonts w:ascii="Arial" w:cs="Arial" w:eastAsia="Arial" w:hAnsi="Arial"/>
                <w:sz w:val="14"/>
                <w:szCs w:val="14"/>
                <w:b w:val="1"/>
                <w:bCs w:val="1"/>
                <w:color w:val="auto"/>
              </w:rPr>
              <w:t>Net Interest Income</w:t>
            </w:r>
          </w:p>
        </w:tc>
        <w:tc>
          <w:tcPr>
            <w:tcW w:w="18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46,709</w:t>
            </w:r>
          </w:p>
        </w:tc>
        <w:tc>
          <w:tcPr>
            <w:tcW w:w="26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42,328</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89,824</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83,445</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right w:val="single" w:sz="8" w:color="CCEEFF"/>
            </w:tcBorders>
            <w:shd w:val="clear" w:color="auto" w:fill="CCEEFF"/>
          </w:tcPr>
          <w:p>
            <w:pPr>
              <w:spacing w:after="0" w:line="170" w:lineRule="exact"/>
              <w:rPr>
                <w:sz w:val="20"/>
                <w:szCs w:val="20"/>
                <w:color w:val="auto"/>
              </w:rPr>
            </w:pPr>
            <w:r>
              <w:rPr>
                <w:rFonts w:ascii="Arial" w:cs="Arial" w:eastAsia="Arial" w:hAnsi="Arial"/>
                <w:sz w:val="14"/>
                <w:szCs w:val="14"/>
                <w:b w:val="1"/>
                <w:bCs w:val="1"/>
                <w:color w:val="auto"/>
              </w:rPr>
              <w:t>Provision for Credit Losses</w:t>
            </w:r>
            <w:r>
              <w:rPr>
                <w:rFonts w:ascii="Arial" w:cs="Arial" w:eastAsia="Arial" w:hAnsi="Arial"/>
                <w:sz w:val="18"/>
                <w:szCs w:val="18"/>
                <w:b w:val="1"/>
                <w:bCs w:val="1"/>
                <w:color w:val="auto"/>
                <w:vertAlign w:val="superscript"/>
              </w:rPr>
              <w:t>(1)</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2,135</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3,500</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1,510</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CCEEFF"/>
            </w:tcBorders>
          </w:tcPr>
          <w:p>
            <w:pPr>
              <w:spacing w:after="0" w:line="162" w:lineRule="exact"/>
              <w:rPr>
                <w:sz w:val="20"/>
                <w:szCs w:val="20"/>
                <w:color w:val="auto"/>
              </w:rPr>
            </w:pPr>
            <w:r>
              <w:rPr>
                <w:rFonts w:ascii="Arial" w:cs="Arial" w:eastAsia="Arial" w:hAnsi="Arial"/>
                <w:sz w:val="14"/>
                <w:szCs w:val="14"/>
                <w:b w:val="1"/>
                <w:bCs w:val="1"/>
                <w:color w:val="auto"/>
              </w:rPr>
              <w:t xml:space="preserve">Net Interest Income after Provision for Credit Losses </w:t>
            </w:r>
            <w:r>
              <w:rPr>
                <w:rFonts w:ascii="Arial" w:cs="Arial" w:eastAsia="Arial" w:hAnsi="Arial"/>
                <w:sz w:val="18"/>
                <w:szCs w:val="18"/>
                <w:b w:val="1"/>
                <w:bCs w:val="1"/>
                <w:color w:val="auto"/>
                <w:vertAlign w:val="superscript"/>
              </w:rPr>
              <w:t>(1)</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44,574</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38,828</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88,314</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72,445</w:t>
            </w:r>
          </w:p>
        </w:tc>
        <w:tc>
          <w:tcPr>
            <w:tcW w:w="0" w:type="dxa"/>
            <w:vAlign w:val="bottom"/>
          </w:tcPr>
          <w:p>
            <w:pPr>
              <w:spacing w:after="0"/>
              <w:rPr>
                <w:sz w:val="1"/>
                <w:szCs w:val="1"/>
                <w:color w:val="auto"/>
              </w:rPr>
            </w:pPr>
          </w:p>
        </w:tc>
      </w:tr>
      <w:tr>
        <w:trPr>
          <w:trHeight w:val="171"/>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Non-Interest Income</w:t>
            </w: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Service charges and fees on customer accounts</w:t>
            </w:r>
          </w:p>
        </w:tc>
        <w:tc>
          <w:tcPr>
            <w:tcW w:w="1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1,546</w:t>
            </w:r>
          </w:p>
        </w:tc>
        <w:tc>
          <w:tcPr>
            <w:tcW w:w="26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1,177</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2,954</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2,134</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Realized losses on available-for-sale securities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Unrealized gains (losses) on equity securities, net</w:t>
            </w:r>
          </w:p>
        </w:tc>
        <w:tc>
          <w:tcPr>
            <w:tcW w:w="180" w:type="dxa"/>
            <w:vAlign w:val="bottom"/>
          </w:tcPr>
          <w:p>
            <w:pPr>
              <w:spacing w:after="0"/>
              <w:rPr>
                <w:sz w:val="15"/>
                <w:szCs w:val="15"/>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(174)</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Income from bank-owned life insurance</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407</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2,245</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795</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2,661</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Swap fees and credit valuation adjustments, net</w:t>
            </w:r>
          </w:p>
        </w:tc>
        <w:tc>
          <w:tcPr>
            <w:tcW w:w="18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130</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ATM and credit card interchange income</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1,521</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1,506</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4,185</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3,834</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non-interest income</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798</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934</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1,291</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63"/>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non-interest income</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4,201</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5,825</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9,143</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9,969</w:t>
            </w:r>
          </w:p>
        </w:tc>
        <w:tc>
          <w:tcPr>
            <w:tcW w:w="0" w:type="dxa"/>
            <w:vAlign w:val="bottom"/>
          </w:tcPr>
          <w:p>
            <w:pPr>
              <w:spacing w:after="0"/>
              <w:rPr>
                <w:sz w:val="1"/>
                <w:szCs w:val="1"/>
                <w:color w:val="auto"/>
              </w:rPr>
            </w:pPr>
          </w:p>
        </w:tc>
      </w:tr>
      <w:tr>
        <w:trPr>
          <w:trHeight w:val="171"/>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Non-Interest Expense</w:t>
            </w:r>
          </w:p>
        </w:tc>
        <w:tc>
          <w:tcPr>
            <w:tcW w:w="18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Salaries and employee benefits</w:t>
            </w:r>
          </w:p>
        </w:tc>
        <w:tc>
          <w:tcPr>
            <w:tcW w:w="18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17,095</w:t>
            </w:r>
          </w:p>
        </w:tc>
        <w:tc>
          <w:tcPr>
            <w:tcW w:w="26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15,660</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35,036</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29,213</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Occupancy</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2,622</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2,397</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5,115</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4,891</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Professional fees</w:t>
            </w:r>
          </w:p>
        </w:tc>
        <w:tc>
          <w:tcPr>
            <w:tcW w:w="1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1,068</w:t>
            </w:r>
          </w:p>
        </w:tc>
        <w:tc>
          <w:tcPr>
            <w:tcW w:w="26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1,138</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1,873</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1,920</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Deposit insurance premiums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713</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917</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1,450</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Data processing</w:t>
            </w:r>
          </w:p>
        </w:tc>
        <w:tc>
          <w:tcPr>
            <w:tcW w:w="1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1,160</w:t>
            </w:r>
          </w:p>
        </w:tc>
        <w:tc>
          <w:tcPr>
            <w:tcW w:w="26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720</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1,972</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Advertising</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757</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435</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1,449</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81"/>
        </w:trPr>
        <w:tc>
          <w:tcPr>
            <w:tcW w:w="4000" w:type="dxa"/>
            <w:vAlign w:val="bottom"/>
          </w:tcPr>
          <w:p>
            <w:pPr>
              <w:ind w:left="100"/>
              <w:spacing w:after="0"/>
              <w:rPr>
                <w:sz w:val="20"/>
                <w:szCs w:val="20"/>
                <w:color w:val="auto"/>
              </w:rPr>
            </w:pPr>
            <w:r>
              <w:rPr>
                <w:rFonts w:ascii="Arial" w:cs="Arial" w:eastAsia="Arial" w:hAnsi="Arial"/>
                <w:sz w:val="14"/>
                <w:szCs w:val="14"/>
                <w:color w:val="auto"/>
              </w:rPr>
              <w:t>Software and communication</w:t>
            </w:r>
          </w:p>
        </w:tc>
        <w:tc>
          <w:tcPr>
            <w:tcW w:w="1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color w:val="auto"/>
              </w:rPr>
              <w:t>1,198</w:t>
            </w:r>
          </w:p>
        </w:tc>
        <w:tc>
          <w:tcPr>
            <w:tcW w:w="260" w:type="dxa"/>
            <w:vAlign w:val="bottom"/>
          </w:tcPr>
          <w:p>
            <w:pPr>
              <w:spacing w:after="0"/>
              <w:rPr>
                <w:sz w:val="15"/>
                <w:szCs w:val="15"/>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1,034</w:t>
            </w:r>
          </w:p>
        </w:tc>
        <w:tc>
          <w:tcPr>
            <w:tcW w:w="20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2,468</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2,099</w:t>
            </w:r>
          </w:p>
        </w:tc>
        <w:tc>
          <w:tcPr>
            <w:tcW w:w="0" w:type="dxa"/>
            <w:vAlign w:val="bottom"/>
          </w:tcPr>
          <w:p>
            <w:pPr>
              <w:spacing w:after="0"/>
              <w:rPr>
                <w:sz w:val="1"/>
                <w:szCs w:val="1"/>
                <w:color w:val="auto"/>
              </w:rPr>
            </w:pPr>
          </w:p>
        </w:tc>
      </w:tr>
      <w:tr>
        <w:trPr>
          <w:trHeight w:val="181"/>
        </w:trPr>
        <w:tc>
          <w:tcPr>
            <w:tcW w:w="400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Foreclosed assets, net</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665</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72"/>
        </w:trPr>
        <w:tc>
          <w:tcPr>
            <w:tcW w:w="40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non-interest expense</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4,575</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2,847</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7,544</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5,551</w:t>
            </w:r>
          </w:p>
        </w:tc>
        <w:tc>
          <w:tcPr>
            <w:tcW w:w="0" w:type="dxa"/>
            <w:vAlign w:val="bottom"/>
          </w:tcPr>
          <w:p>
            <w:pPr>
              <w:spacing w:after="0"/>
              <w:rPr>
                <w:sz w:val="1"/>
                <w:szCs w:val="1"/>
                <w:color w:val="auto"/>
              </w:rPr>
            </w:pPr>
          </w:p>
        </w:tc>
      </w:tr>
      <w:tr>
        <w:trPr>
          <w:trHeight w:val="160"/>
        </w:trPr>
        <w:tc>
          <w:tcPr>
            <w:tcW w:w="40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non-interest expense</w:t>
            </w:r>
          </w:p>
        </w:tc>
        <w:tc>
          <w:tcPr>
            <w:tcW w:w="1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29,203</w:t>
            </w: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25,813</w:t>
            </w: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56,869</w:t>
            </w: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48,631</w:t>
            </w:r>
          </w:p>
        </w:tc>
        <w:tc>
          <w:tcPr>
            <w:tcW w:w="0" w:type="dxa"/>
            <w:vAlign w:val="bottom"/>
          </w:tcPr>
          <w:p>
            <w:pPr>
              <w:spacing w:after="0"/>
              <w:rPr>
                <w:sz w:val="1"/>
                <w:szCs w:val="1"/>
                <w:color w:val="auto"/>
              </w:rPr>
            </w:pPr>
          </w:p>
        </w:tc>
      </w:tr>
      <w:tr>
        <w:trPr>
          <w:trHeight w:val="172"/>
        </w:trPr>
        <w:tc>
          <w:tcPr>
            <w:tcW w:w="4000" w:type="dxa"/>
            <w:vAlign w:val="bottom"/>
          </w:tcPr>
          <w:p>
            <w:pPr>
              <w:spacing w:after="0"/>
              <w:rPr>
                <w:sz w:val="20"/>
                <w:szCs w:val="20"/>
                <w:color w:val="auto"/>
              </w:rPr>
            </w:pPr>
            <w:r>
              <w:rPr>
                <w:rFonts w:ascii="Arial" w:cs="Arial" w:eastAsia="Arial" w:hAnsi="Arial"/>
                <w:sz w:val="14"/>
                <w:szCs w:val="14"/>
                <w:b w:val="1"/>
                <w:bCs w:val="1"/>
                <w:color w:val="auto"/>
              </w:rPr>
              <w:t>Net Income Before Taxes</w:t>
            </w:r>
          </w:p>
        </w:tc>
        <w:tc>
          <w:tcPr>
            <w:tcW w:w="180" w:type="dxa"/>
            <w:vAlign w:val="bottom"/>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19,572</w:t>
            </w:r>
          </w:p>
        </w:tc>
        <w:tc>
          <w:tcPr>
            <w:tcW w:w="26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18,840</w:t>
            </w:r>
          </w:p>
        </w:tc>
        <w:tc>
          <w:tcPr>
            <w:tcW w:w="2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40,588</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33,783</w:t>
            </w:r>
          </w:p>
        </w:tc>
        <w:tc>
          <w:tcPr>
            <w:tcW w:w="0" w:type="dxa"/>
            <w:vAlign w:val="bottom"/>
          </w:tcPr>
          <w:p>
            <w:pPr>
              <w:spacing w:after="0"/>
              <w:rPr>
                <w:sz w:val="1"/>
                <w:szCs w:val="1"/>
                <w:color w:val="auto"/>
              </w:rPr>
            </w:pPr>
          </w:p>
        </w:tc>
      </w:tr>
      <w:tr>
        <w:trPr>
          <w:trHeight w:val="171"/>
        </w:trPr>
        <w:tc>
          <w:tcPr>
            <w:tcW w:w="400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4,027</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3,263</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8,215</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6,171</w:t>
            </w:r>
          </w:p>
        </w:tc>
        <w:tc>
          <w:tcPr>
            <w:tcW w:w="0" w:type="dxa"/>
            <w:vAlign w:val="bottom"/>
          </w:tcPr>
          <w:p>
            <w:pPr>
              <w:spacing w:after="0"/>
              <w:rPr>
                <w:sz w:val="1"/>
                <w:szCs w:val="1"/>
                <w:color w:val="auto"/>
              </w:rPr>
            </w:pPr>
          </w:p>
        </w:tc>
      </w:tr>
      <w:tr>
        <w:trPr>
          <w:trHeight w:val="183"/>
        </w:trPr>
        <w:tc>
          <w:tcPr>
            <w:tcW w:w="400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15,545</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15,577</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32,373</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27,612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right w:val="single" w:sz="8" w:color="CCEEFF"/>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right w:val="single" w:sz="8" w:color="CCEEFF"/>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right w:val="single" w:sz="8" w:color="CCEEFF"/>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Basic Earnings Per Share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0.31</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shd w:val="clear" w:color="auto" w:fill="CCEEFF"/>
              </w:rPr>
              <w:t>$</w:t>
            </w: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0.30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0.65</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Diluted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00" w:type="dxa"/>
            <w:vAlign w:val="bottom"/>
            <w:vMerge w:val="continue"/>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49"/>
              <w:spacing w:after="0" w:line="143" w:lineRule="exact"/>
              <w:rPr>
                <w:sz w:val="20"/>
                <w:szCs w:val="20"/>
                <w:color w:val="auto"/>
              </w:rPr>
            </w:pPr>
            <w:r>
              <w:rPr>
                <w:rFonts w:ascii="Arial" w:cs="Arial" w:eastAsia="Arial" w:hAnsi="Arial"/>
                <w:sz w:val="14"/>
                <w:szCs w:val="14"/>
                <w:color w:val="auto"/>
              </w:rPr>
              <w:t>0.31</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49"/>
              <w:spacing w:after="0" w:line="143" w:lineRule="exact"/>
              <w:rPr>
                <w:sz w:val="20"/>
                <w:szCs w:val="20"/>
                <w:color w:val="auto"/>
              </w:rPr>
            </w:pPr>
            <w:r>
              <w:rPr>
                <w:rFonts w:ascii="Arial" w:cs="Arial" w:eastAsia="Arial" w:hAnsi="Arial"/>
                <w:sz w:val="14"/>
                <w:szCs w:val="14"/>
                <w:color w:val="auto"/>
              </w:rPr>
              <w:t>0.30</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49"/>
              <w:spacing w:after="0" w:line="143" w:lineRule="exact"/>
              <w:rPr>
                <w:sz w:val="20"/>
                <w:szCs w:val="20"/>
                <w:color w:val="auto"/>
              </w:rPr>
            </w:pPr>
            <w:r>
              <w:rPr>
                <w:rFonts w:ascii="Arial" w:cs="Arial" w:eastAsia="Arial" w:hAnsi="Arial"/>
                <w:sz w:val="14"/>
                <w:szCs w:val="14"/>
                <w:color w:val="auto"/>
              </w:rPr>
              <w:t>0.64</w:t>
            </w:r>
          </w:p>
        </w:tc>
        <w:tc>
          <w:tcPr>
            <w:tcW w:w="260" w:type="dxa"/>
            <w:vAlign w:val="bottom"/>
          </w:tcPr>
          <w:p>
            <w:pPr>
              <w:jc w:val="right"/>
              <w:ind w:right="109"/>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0.53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20" w:right="919" w:hanging="229"/>
        <w:spacing w:after="0" w:line="260" w:lineRule="auto"/>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the three- and six-months ended June 30, 2021, this line represents the provision for loan and lease losses. See further discussion of this change in “Note 1: Nature of Operations and Summary of Significant Accounting Policies” in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407" w:right="1440" w:bottom="1440" w:gutter="0" w:footer="0" w:header="0"/>
        </w:sectPr>
      </w:pPr>
    </w:p>
    <w:bookmarkStart w:id="5" w:name="page6"/>
    <w:bookmarkEnd w:id="5"/>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CONDENSED CONSOLIDATED STATEMENTS OF COMPREHENSIVE INCOME (LOSS) - UNAUDITED</w:t>
      </w:r>
    </w:p>
    <w:p>
      <w:pPr>
        <w:spacing w:after="0" w:line="75" w:lineRule="exact"/>
        <w:rPr>
          <w:sz w:val="20"/>
          <w:szCs w:val="20"/>
          <w:color w:val="auto"/>
        </w:rPr>
      </w:pPr>
    </w:p>
    <w:tbl>
      <w:tblPr>
        <w:tblLayout w:type="fixed"/>
        <w:tblInd w:w="540" w:type="dxa"/>
        <w:tblCellMar>
          <w:top w:w="0" w:type="dxa"/>
          <w:left w:w="0" w:type="dxa"/>
          <w:bottom w:w="0" w:type="dxa"/>
          <w:right w:w="0" w:type="dxa"/>
        </w:tblCellMar>
      </w:tblPr>
      <w:tr>
        <w:trPr>
          <w:trHeight w:val="181"/>
        </w:trPr>
        <w:tc>
          <w:tcPr>
            <w:tcW w:w="2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3"/>
          </w:tcPr>
          <w:p>
            <w:pPr>
              <w:jc w:val="center"/>
              <w:ind w:right="209"/>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5"/>
                <w:szCs w:val="15"/>
                <w:color w:val="auto"/>
              </w:rPr>
            </w:pPr>
          </w:p>
        </w:tc>
        <w:tc>
          <w:tcPr>
            <w:tcW w:w="17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Six Months Ended</w:t>
            </w:r>
          </w:p>
        </w:tc>
      </w:tr>
      <w:tr>
        <w:trPr>
          <w:trHeight w:val="164"/>
        </w:trPr>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left="39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72"/>
        </w:trPr>
        <w:tc>
          <w:tcPr>
            <w:tcW w:w="2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3"/>
          </w:tcPr>
          <w:p>
            <w:pPr>
              <w:jc w:val="center"/>
              <w:ind w:right="189"/>
              <w:spacing w:after="0"/>
              <w:rPr>
                <w:sz w:val="20"/>
                <w:szCs w:val="20"/>
                <w:color w:val="auto"/>
              </w:rPr>
            </w:pPr>
            <w:r>
              <w:rPr>
                <w:rFonts w:ascii="Arial" w:cs="Arial" w:eastAsia="Arial" w:hAnsi="Arial"/>
                <w:sz w:val="13"/>
                <w:szCs w:val="13"/>
                <w:i w:val="1"/>
                <w:iCs w:val="1"/>
                <w:color w:val="auto"/>
                <w:w w:val="91"/>
              </w:rPr>
              <w:t>(Dollars in thousands)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40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15,545</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15,577</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32,373</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27,612</w:t>
            </w:r>
          </w:p>
        </w:tc>
        <w:tc>
          <w:tcPr>
            <w:tcW w:w="20" w:type="dxa"/>
            <w:vAlign w:val="bottom"/>
          </w:tcPr>
          <w:p>
            <w:pPr>
              <w:spacing w:after="0"/>
              <w:rPr>
                <w:sz w:val="15"/>
                <w:szCs w:val="15"/>
                <w:color w:val="auto"/>
              </w:rPr>
            </w:pPr>
          </w:p>
        </w:tc>
      </w:tr>
      <w:tr>
        <w:trPr>
          <w:trHeight w:val="181"/>
        </w:trPr>
        <w:tc>
          <w:tcPr>
            <w:tcW w:w="400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Comprehensive Income (Loss)</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40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Unrealized gain (loss) on available-for-sale securities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(39,026)</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5,527</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(97,982)</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(3,543)</w:t>
            </w:r>
          </w:p>
        </w:tc>
        <w:tc>
          <w:tcPr>
            <w:tcW w:w="20" w:type="dxa"/>
            <w:vAlign w:val="bottom"/>
          </w:tcPr>
          <w:p>
            <w:pPr>
              <w:spacing w:after="0"/>
              <w:rPr>
                <w:sz w:val="15"/>
                <w:szCs w:val="15"/>
                <w:color w:val="auto"/>
              </w:rPr>
            </w:pPr>
          </w:p>
        </w:tc>
      </w:tr>
      <w:tr>
        <w:trPr>
          <w:trHeight w:val="191"/>
        </w:trPr>
        <w:tc>
          <w:tcPr>
            <w:tcW w:w="4000" w:type="dxa"/>
            <w:vAlign w:val="bottom"/>
            <w:gridSpan w:val="2"/>
          </w:tcPr>
          <w:p>
            <w:pPr>
              <w:ind w:left="180"/>
              <w:spacing w:after="0"/>
              <w:rPr>
                <w:sz w:val="20"/>
                <w:szCs w:val="20"/>
                <w:color w:val="auto"/>
              </w:rPr>
            </w:pPr>
            <w:r>
              <w:rPr>
                <w:rFonts w:ascii="Arial" w:cs="Arial" w:eastAsia="Arial" w:hAnsi="Arial"/>
                <w:sz w:val="14"/>
                <w:szCs w:val="14"/>
                <w:color w:val="auto"/>
              </w:rPr>
              <w:t>Less: income tax expense (benefit)</w:t>
            </w:r>
          </w:p>
        </w:tc>
        <w:tc>
          <w:tcPr>
            <w:tcW w:w="18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(9,554)</w:t>
            </w:r>
          </w:p>
        </w:tc>
        <w:tc>
          <w:tcPr>
            <w:tcW w:w="260" w:type="dxa"/>
            <w:vAlign w:val="bottom"/>
          </w:tcPr>
          <w:p>
            <w:pPr>
              <w:spacing w:after="0"/>
              <w:rPr>
                <w:sz w:val="16"/>
                <w:szCs w:val="16"/>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1,354</w:t>
            </w:r>
          </w:p>
        </w:tc>
        <w:tc>
          <w:tcPr>
            <w:tcW w:w="200" w:type="dxa"/>
            <w:vAlign w:val="bottom"/>
          </w:tcPr>
          <w:p>
            <w:pPr>
              <w:spacing w:after="0"/>
              <w:rPr>
                <w:sz w:val="16"/>
                <w:szCs w:val="16"/>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(23,987)</w:t>
            </w:r>
          </w:p>
        </w:tc>
        <w:tc>
          <w:tcPr>
            <w:tcW w:w="26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(867)</w:t>
            </w:r>
          </w:p>
        </w:tc>
      </w:tr>
      <w:tr>
        <w:trPr>
          <w:trHeight w:val="173"/>
        </w:trPr>
        <w:tc>
          <w:tcPr>
            <w:tcW w:w="280" w:type="dxa"/>
            <w:vAlign w:val="bottom"/>
            <w:tcBorders>
              <w:top w:val="single" w:sz="8" w:color="CCEEFF"/>
            </w:tcBorders>
            <w:shd w:val="clear" w:color="auto" w:fill="CCEEFF"/>
          </w:tcPr>
          <w:p>
            <w:pPr>
              <w:spacing w:after="0"/>
              <w:rPr>
                <w:sz w:val="15"/>
                <w:szCs w:val="15"/>
                <w:color w:val="auto"/>
              </w:rPr>
            </w:pPr>
          </w:p>
        </w:tc>
        <w:tc>
          <w:tcPr>
            <w:tcW w:w="3720" w:type="dxa"/>
            <w:vAlign w:val="bottom"/>
            <w:tcBorders>
              <w:top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Unrealized gain (loss) on available-for-sale securities, net of</w:t>
            </w: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right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0"/>
        </w:trPr>
        <w:tc>
          <w:tcPr>
            <w:tcW w:w="280" w:type="dxa"/>
            <w:vAlign w:val="bottom"/>
            <w:shd w:val="clear" w:color="auto" w:fill="CCEEFF"/>
          </w:tcPr>
          <w:p>
            <w:pPr>
              <w:spacing w:after="0"/>
              <w:rPr>
                <w:sz w:val="13"/>
                <w:szCs w:val="13"/>
                <w:color w:val="auto"/>
              </w:rPr>
            </w:pPr>
          </w:p>
        </w:tc>
        <w:tc>
          <w:tcPr>
            <w:tcW w:w="3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w:t>
            </w:r>
          </w:p>
        </w:tc>
        <w:tc>
          <w:tcPr>
            <w:tcW w:w="1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(29,472)</w:t>
            </w:r>
          </w:p>
        </w:tc>
        <w:tc>
          <w:tcPr>
            <w:tcW w:w="260" w:type="dxa"/>
            <w:vAlign w:val="bottom"/>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4,173</w:t>
            </w:r>
          </w:p>
        </w:tc>
        <w:tc>
          <w:tcPr>
            <w:tcW w:w="200" w:type="dxa"/>
            <w:vAlign w:val="bottom"/>
            <w:shd w:val="clear" w:color="auto" w:fill="CCEEFF"/>
          </w:tcPr>
          <w:p>
            <w:pPr>
              <w:spacing w:after="0"/>
              <w:rPr>
                <w:sz w:val="13"/>
                <w:szCs w:val="13"/>
                <w:color w:val="auto"/>
              </w:rPr>
            </w:pP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(73,995)</w:t>
            </w: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(2,676)</w:t>
            </w:r>
          </w:p>
        </w:tc>
        <w:tc>
          <w:tcPr>
            <w:tcW w:w="20" w:type="dxa"/>
            <w:vAlign w:val="bottom"/>
          </w:tcPr>
          <w:p>
            <w:pPr>
              <w:spacing w:after="0"/>
              <w:rPr>
                <w:sz w:val="13"/>
                <w:szCs w:val="13"/>
                <w:color w:val="auto"/>
              </w:rPr>
            </w:pPr>
          </w:p>
        </w:tc>
      </w:tr>
      <w:tr>
        <w:trPr>
          <w:trHeight w:val="181"/>
        </w:trPr>
        <w:tc>
          <w:tcPr>
            <w:tcW w:w="4000" w:type="dxa"/>
            <w:vAlign w:val="bottom"/>
            <w:gridSpan w:val="2"/>
          </w:tcPr>
          <w:p>
            <w:pPr>
              <w:ind w:left="180"/>
              <w:spacing w:after="0"/>
              <w:rPr>
                <w:sz w:val="20"/>
                <w:szCs w:val="20"/>
                <w:color w:val="auto"/>
              </w:rPr>
            </w:pPr>
            <w:r>
              <w:rPr>
                <w:rFonts w:ascii="Arial" w:cs="Arial" w:eastAsia="Arial" w:hAnsi="Arial"/>
                <w:sz w:val="14"/>
                <w:szCs w:val="14"/>
                <w:color w:val="auto"/>
                <w:w w:val="96"/>
              </w:rPr>
              <w:t>Reclassification adjustment for realized losses included income</w:t>
            </w:r>
          </w:p>
        </w:tc>
        <w:tc>
          <w:tcPr>
            <w:tcW w:w="180" w:type="dxa"/>
            <w:vAlign w:val="bottom"/>
          </w:tcPr>
          <w:p>
            <w:pPr>
              <w:spacing w:after="0"/>
              <w:rPr>
                <w:sz w:val="15"/>
                <w:szCs w:val="15"/>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(12)</w:t>
            </w:r>
          </w:p>
        </w:tc>
        <w:tc>
          <w:tcPr>
            <w:tcW w:w="26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w:t>
            </w:r>
          </w:p>
        </w:tc>
        <w:tc>
          <w:tcPr>
            <w:tcW w:w="20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(38)</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r>
      <w:tr>
        <w:trPr>
          <w:trHeight w:val="181"/>
        </w:trPr>
        <w:tc>
          <w:tcPr>
            <w:tcW w:w="40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Less: income tax benefit</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w w:val="97"/>
              </w:rPr>
              <w:t>Less: reclassification adjustment for realized loss included in</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0"/>
        </w:trPr>
        <w:tc>
          <w:tcPr>
            <w:tcW w:w="280" w:type="dxa"/>
            <w:vAlign w:val="bottom"/>
          </w:tcPr>
          <w:p>
            <w:pPr>
              <w:spacing w:after="0"/>
              <w:rPr>
                <w:sz w:val="14"/>
                <w:szCs w:val="14"/>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income, net of income tax</w:t>
            </w:r>
          </w:p>
        </w:tc>
        <w:tc>
          <w:tcPr>
            <w:tcW w:w="18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4"/>
                <w:szCs w:val="14"/>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(29)</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r>
      <w:tr>
        <w:trPr>
          <w:trHeight w:val="181"/>
        </w:trPr>
        <w:tc>
          <w:tcPr>
            <w:tcW w:w="4000" w:type="dxa"/>
            <w:vAlign w:val="bottom"/>
            <w:tcBorders>
              <w:right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Unrealized gain on cash flow hedges</w:t>
            </w:r>
          </w:p>
        </w:tc>
        <w:tc>
          <w:tcPr>
            <w:tcW w:w="18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1,385</w:t>
            </w:r>
          </w:p>
        </w:tc>
        <w:tc>
          <w:tcPr>
            <w:tcW w:w="26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4,040</w:t>
            </w: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40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Less: income tax expense</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339</w:t>
            </w: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992</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61"/>
        </w:trPr>
        <w:tc>
          <w:tcPr>
            <w:tcW w:w="280" w:type="dxa"/>
            <w:vAlign w:val="bottom"/>
            <w:tcBorders>
              <w:bottom w:val="single" w:sz="8" w:color="CCEEFF"/>
            </w:tcBorders>
            <w:shd w:val="clear" w:color="auto" w:fill="CCEEFF"/>
          </w:tcPr>
          <w:p>
            <w:pPr>
              <w:spacing w:after="0"/>
              <w:rPr>
                <w:sz w:val="14"/>
                <w:szCs w:val="14"/>
                <w:color w:val="auto"/>
              </w:rPr>
            </w:pPr>
          </w:p>
        </w:tc>
        <w:tc>
          <w:tcPr>
            <w:tcW w:w="372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gain on cash flow hedges, net of income tax</w:t>
            </w: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1,046</w:t>
            </w:r>
          </w:p>
        </w:tc>
        <w:tc>
          <w:tcPr>
            <w:tcW w:w="2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3,048</w:t>
            </w: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72"/>
        </w:trPr>
        <w:tc>
          <w:tcPr>
            <w:tcW w:w="280" w:type="dxa"/>
            <w:vAlign w:val="bottom"/>
          </w:tcPr>
          <w:p>
            <w:pPr>
              <w:spacing w:after="0"/>
              <w:rPr>
                <w:sz w:val="14"/>
                <w:szCs w:val="14"/>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180" w:type="dxa"/>
            <w:vAlign w:val="bottom"/>
          </w:tcPr>
          <w:p>
            <w:pPr>
              <w:spacing w:after="0"/>
              <w:rPr>
                <w:sz w:val="14"/>
                <w:szCs w:val="14"/>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(28,417)</w:t>
            </w:r>
          </w:p>
        </w:tc>
        <w:tc>
          <w:tcPr>
            <w:tcW w:w="260" w:type="dxa"/>
            <w:vAlign w:val="bottom"/>
          </w:tcPr>
          <w:p>
            <w:pPr>
              <w:spacing w:after="0"/>
              <w:rPr>
                <w:sz w:val="14"/>
                <w:szCs w:val="14"/>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4,183</w:t>
            </w:r>
          </w:p>
        </w:tc>
        <w:tc>
          <w:tcPr>
            <w:tcW w:w="200" w:type="dxa"/>
            <w:vAlign w:val="bottom"/>
          </w:tcPr>
          <w:p>
            <w:pPr>
              <w:spacing w:after="0"/>
              <w:rPr>
                <w:sz w:val="14"/>
                <w:szCs w:val="14"/>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(70,918)</w:t>
            </w: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(2,674)</w:t>
            </w:r>
          </w:p>
        </w:tc>
      </w:tr>
      <w:tr>
        <w:trPr>
          <w:trHeight w:val="20"/>
        </w:trPr>
        <w:tc>
          <w:tcPr>
            <w:tcW w:w="280" w:type="dxa"/>
            <w:vAlign w:val="bottom"/>
            <w:shd w:val="clear" w:color="auto" w:fill="CCEEFF"/>
          </w:tcPr>
          <w:p>
            <w:pPr>
              <w:spacing w:after="0" w:line="20" w:lineRule="exact"/>
              <w:rPr>
                <w:sz w:val="1"/>
                <w:szCs w:val="1"/>
                <w:color w:val="auto"/>
              </w:rPr>
            </w:pPr>
          </w:p>
        </w:tc>
        <w:tc>
          <w:tcPr>
            <w:tcW w:w="37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280" w:type="dxa"/>
            <w:vAlign w:val="bottom"/>
            <w:shd w:val="clear" w:color="auto" w:fill="CCEEFF"/>
          </w:tcPr>
          <w:p>
            <w:pPr>
              <w:spacing w:after="0"/>
              <w:rPr>
                <w:sz w:val="15"/>
                <w:szCs w:val="15"/>
                <w:color w:val="auto"/>
              </w:rPr>
            </w:pPr>
          </w:p>
        </w:tc>
        <w:tc>
          <w:tcPr>
            <w:tcW w:w="37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(12,872)</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19,760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(38,545)</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24,938</w:t>
            </w:r>
          </w:p>
        </w:tc>
        <w:tc>
          <w:tcPr>
            <w:tcW w:w="20" w:type="dxa"/>
            <w:vAlign w:val="bottom"/>
          </w:tcPr>
          <w:p>
            <w:pPr>
              <w:spacing w:after="0"/>
              <w:rPr>
                <w:sz w:val="15"/>
                <w:szCs w:val="15"/>
                <w:color w:val="auto"/>
              </w:rPr>
            </w:pPr>
          </w:p>
        </w:tc>
      </w:tr>
      <w:tr>
        <w:trPr>
          <w:trHeight w:val="20"/>
        </w:trPr>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407" w:right="1440" w:bottom="1440" w:gutter="0" w:footer="0" w:header="0"/>
        </w:sectPr>
      </w:pPr>
    </w:p>
    <w:bookmarkStart w:id="6" w:name="page7"/>
    <w:bookmarkEnd w:id="6"/>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CONDENSED CONSOLIDATED STATEMENTS OF STOCKHOLDERS’ EQUITY - 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42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Accumulated Other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Treasury Stock</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609"/>
              <w:spacing w:after="0"/>
              <w:rPr>
                <w:sz w:val="20"/>
                <w:szCs w:val="20"/>
                <w:color w:val="auto"/>
              </w:rPr>
            </w:pPr>
            <w:r>
              <w:rPr>
                <w:rFonts w:ascii="Arial" w:cs="Arial" w:eastAsia="Arial" w:hAnsi="Arial"/>
                <w:sz w:val="13"/>
                <w:szCs w:val="13"/>
                <w:i w:val="1"/>
                <w:iCs w:val="1"/>
                <w:color w:val="auto"/>
                <w:w w:val="96"/>
              </w:rPr>
              <w:t>(Dollars 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2021</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51,678,669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523</w:t>
            </w:r>
          </w:p>
        </w:tc>
        <w:tc>
          <w:tcPr>
            <w:tcW w:w="80" w:type="dxa"/>
            <w:vAlign w:val="bottom"/>
            <w:gridSpan w:val="2"/>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523,156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89,722</w:t>
            </w:r>
          </w:p>
        </w:tc>
        <w:tc>
          <w:tcPr>
            <w:tcW w:w="20" w:type="dxa"/>
            <w:vAlign w:val="bottom"/>
            <w:shd w:val="clear" w:color="auto" w:fill="CCEEFF"/>
          </w:tcPr>
          <w:p>
            <w:pPr>
              <w:spacing w:after="0"/>
              <w:rPr>
                <w:sz w:val="15"/>
                <w:szCs w:val="15"/>
                <w:color w:val="auto"/>
              </w:rPr>
            </w:pPr>
          </w:p>
        </w:tc>
        <w:tc>
          <w:tcPr>
            <w:tcW w:w="8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22,546</w:t>
            </w:r>
          </w:p>
        </w:tc>
        <w:tc>
          <w:tcPr>
            <w:tcW w:w="20" w:type="dxa"/>
            <w:vAlign w:val="bottom"/>
            <w:shd w:val="clear" w:color="auto" w:fill="CCEEFF"/>
          </w:tcPr>
          <w:p>
            <w:pPr>
              <w:spacing w:after="0"/>
              <w:rPr>
                <w:sz w:val="15"/>
                <w:szCs w:val="15"/>
                <w:color w:val="auto"/>
              </w:rPr>
            </w:pPr>
          </w:p>
        </w:tc>
        <w:tc>
          <w:tcPr>
            <w:tcW w:w="8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628,834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unrealized appreciation on</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available-for-sale securities</w:t>
            </w: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4,183</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155,707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Open market common share repurchases</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(875,696)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6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2021</w:t>
            </w:r>
          </w:p>
        </w:tc>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50,958,680</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525</w:t>
            </w:r>
          </w:p>
        </w:tc>
        <w:tc>
          <w:tcPr>
            <w:tcW w:w="80" w:type="dxa"/>
            <w:vAlign w:val="bottom"/>
            <w:tcBorders>
              <w:top w:val="single" w:sz="8" w:color="CCEEFF"/>
            </w:tcBorders>
            <w:gridSpan w:val="2"/>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524,637</w:t>
            </w:r>
          </w:p>
        </w:tc>
        <w:tc>
          <w:tcPr>
            <w:tcW w:w="8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105,299</w:t>
            </w:r>
          </w:p>
        </w:tc>
        <w:tc>
          <w:tcPr>
            <w:tcW w:w="20" w:type="dxa"/>
            <w:vAlign w:val="bottom"/>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26,729</w:t>
            </w:r>
          </w:p>
        </w:tc>
        <w:tc>
          <w:tcPr>
            <w:tcW w:w="20" w:type="dxa"/>
            <w:vAlign w:val="bottom"/>
            <w:shd w:val="clear" w:color="auto" w:fill="CCEEFF"/>
          </w:tcPr>
          <w:p>
            <w:pPr>
              <w:spacing w:after="0"/>
              <w:rPr>
                <w:sz w:val="14"/>
                <w:szCs w:val="14"/>
                <w:color w:val="auto"/>
              </w:rPr>
            </w:pPr>
          </w:p>
        </w:tc>
        <w:tc>
          <w:tcPr>
            <w:tcW w:w="8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637,190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92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vMerge w:val="restart"/>
          </w:tcPr>
          <w:p>
            <w:pPr>
              <w:jc w:val="right"/>
              <w:ind w:right="29"/>
              <w:spacing w:after="0"/>
              <w:rPr>
                <w:sz w:val="20"/>
                <w:szCs w:val="20"/>
                <w:color w:val="auto"/>
              </w:rPr>
            </w:pPr>
            <w:r>
              <w:rPr>
                <w:rFonts w:ascii="Arial" w:cs="Arial" w:eastAsia="Arial" w:hAnsi="Arial"/>
                <w:sz w:val="14"/>
                <w:szCs w:val="14"/>
                <w:b w:val="1"/>
                <w:bCs w:val="1"/>
                <w:color w:val="auto"/>
                <w:w w:val="91"/>
              </w:rPr>
              <w:t>Accumulated Other</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60" w:type="dxa"/>
            <w:vAlign w:val="bottom"/>
          </w:tcPr>
          <w:p>
            <w:pPr>
              <w:spacing w:after="0"/>
              <w:rPr>
                <w:sz w:val="14"/>
                <w:szCs w:val="14"/>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Treasury Stock</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Comprehensive Loss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609"/>
              <w:spacing w:after="0"/>
              <w:rPr>
                <w:sz w:val="20"/>
                <w:szCs w:val="20"/>
                <w:color w:val="auto"/>
              </w:rPr>
            </w:pPr>
            <w:r>
              <w:rPr>
                <w:rFonts w:ascii="Arial" w:cs="Arial" w:eastAsia="Arial" w:hAnsi="Arial"/>
                <w:sz w:val="13"/>
                <w:szCs w:val="13"/>
                <w:i w:val="1"/>
                <w:iCs w:val="1"/>
                <w:color w:val="auto"/>
                <w:w w:val="96"/>
              </w:rPr>
              <w:t>(Dollars 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49,728,253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(45,109)</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527,468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161,323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623,199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15,545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(28,417)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(28,417)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45,689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Open market common share repurchases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June 30, 2022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49,535,949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528,548</w:t>
            </w:r>
          </w:p>
        </w:tc>
        <w:tc>
          <w:tcPr>
            <w:tcW w:w="8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176,868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608,015</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500"/>
          </w:cols>
          <w:pgMar w:left="780" w:top="407" w:right="619" w:bottom="1440" w:gutter="0" w:footer="0" w:header="0"/>
        </w:sectPr>
      </w:pPr>
    </w:p>
    <w:bookmarkStart w:id="7" w:name="page8"/>
    <w:bookmarkEnd w:id="7"/>
    <w:p>
      <w:pPr>
        <w:ind w:left="2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CROSSFIRST BANKSHARES, INC.</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CONDENSED CONSOLIDATED STATEMENTS OF STOCKHOLDERS’ EQUITY - UNAUDITED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1920" w:type="dxa"/>
            <w:vAlign w:val="bottom"/>
            <w:gridSpan w:val="5"/>
          </w:tcPr>
          <w:p>
            <w:pPr>
              <w:jc w:val="right"/>
              <w:ind w:right="429"/>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90"/>
              <w:spacing w:after="0"/>
              <w:rPr>
                <w:sz w:val="20"/>
                <w:szCs w:val="20"/>
                <w:color w:val="auto"/>
              </w:rPr>
            </w:pPr>
            <w:r>
              <w:rPr>
                <w:rFonts w:ascii="Arial" w:cs="Arial" w:eastAsia="Arial" w:hAnsi="Arial"/>
                <w:sz w:val="14"/>
                <w:szCs w:val="14"/>
                <w:b w:val="1"/>
                <w:bCs w:val="1"/>
                <w:color w:val="auto"/>
                <w:w w:val="99"/>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center"/>
              <w:ind w:right="29"/>
              <w:spacing w:after="0"/>
              <w:rPr>
                <w:sz w:val="20"/>
                <w:szCs w:val="20"/>
                <w:color w:val="auto"/>
              </w:rPr>
            </w:pPr>
            <w:r>
              <w:rPr>
                <w:rFonts w:ascii="Arial" w:cs="Arial" w:eastAsia="Arial" w:hAnsi="Arial"/>
                <w:sz w:val="14"/>
                <w:szCs w:val="14"/>
                <w:b w:val="1"/>
                <w:bCs w:val="1"/>
                <w:color w:val="auto"/>
                <w:w w:val="92"/>
              </w:rPr>
              <w:t>Accumulated Other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8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vMerge w:val="restart"/>
          </w:tcPr>
          <w:p>
            <w:pPr>
              <w:jc w:val="right"/>
              <w:ind w:right="19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860" w:type="dxa"/>
            <w:vAlign w:val="bottom"/>
          </w:tcPr>
          <w:p>
            <w:pPr>
              <w:spacing w:after="0"/>
              <w:rPr>
                <w:sz w:val="15"/>
                <w:szCs w:val="15"/>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Treasury Stock</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609"/>
              <w:spacing w:after="0"/>
              <w:rPr>
                <w:sz w:val="20"/>
                <w:szCs w:val="20"/>
                <w:color w:val="auto"/>
              </w:rPr>
            </w:pPr>
            <w:r>
              <w:rPr>
                <w:rFonts w:ascii="Arial" w:cs="Arial" w:eastAsia="Arial" w:hAnsi="Arial"/>
                <w:sz w:val="13"/>
                <w:szCs w:val="13"/>
                <w:i w:val="1"/>
                <w:iCs w:val="1"/>
                <w:color w:val="auto"/>
                <w:w w:val="96"/>
              </w:rPr>
              <w:t>(Dollars 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51,679,516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523</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522,911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77,652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29,403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624,428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27,612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27,612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3"/>
              </w:rPr>
              <w:t>Change in unrealized depreciation of available-</w:t>
            </w: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for-sale securities</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tcPr>
          <w:p>
            <w:pPr>
              <w:jc w:val="right"/>
              <w:spacing w:after="0"/>
              <w:rPr>
                <w:sz w:val="20"/>
                <w:szCs w:val="20"/>
                <w:color w:val="auto"/>
              </w:rPr>
            </w:pPr>
            <w:r>
              <w:rPr>
                <w:rFonts w:ascii="Arial" w:cs="Arial" w:eastAsia="Arial" w:hAnsi="Arial"/>
                <w:sz w:val="14"/>
                <w:szCs w:val="14"/>
                <w:color w:val="auto"/>
              </w:rPr>
              <w:t>243,357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Open market common share repurchases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(964,193)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(13,939)</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20"/>
              <w:spacing w:after="0"/>
              <w:rPr>
                <w:sz w:val="20"/>
                <w:szCs w:val="20"/>
                <w:color w:val="auto"/>
              </w:rPr>
            </w:pPr>
            <w:r>
              <w:rPr>
                <w:rFonts w:ascii="Arial" w:cs="Arial" w:eastAsia="Arial" w:hAnsi="Arial"/>
                <w:sz w:val="14"/>
                <w:szCs w:val="14"/>
                <w:color w:val="auto"/>
              </w:rPr>
              <w:t>Employee receivables from sale of stock</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i w:val="1"/>
                <w:iCs w:val="1"/>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60" w:type="dxa"/>
            <w:vAlign w:val="bottom"/>
          </w:tcPr>
          <w:p>
            <w:pPr>
              <w:ind w:left="20"/>
              <w:spacing w:after="0"/>
              <w:rPr>
                <w:sz w:val="20"/>
                <w:szCs w:val="20"/>
                <w:color w:val="auto"/>
              </w:rPr>
            </w:pPr>
            <w:r>
              <w:rPr>
                <w:rFonts w:ascii="Arial" w:cs="Arial" w:eastAsia="Arial" w:hAnsi="Arial"/>
                <w:sz w:val="14"/>
                <w:szCs w:val="14"/>
                <w:color w:val="auto"/>
              </w:rPr>
              <w:t>Balance at June 30, 2021</w:t>
            </w:r>
          </w:p>
        </w:tc>
        <w:tc>
          <w:tcPr>
            <w:tcW w:w="860" w:type="dxa"/>
            <w:vAlign w:val="bottom"/>
          </w:tcPr>
          <w:p>
            <w:pPr>
              <w:jc w:val="right"/>
              <w:spacing w:after="0"/>
              <w:rPr>
                <w:sz w:val="20"/>
                <w:szCs w:val="20"/>
                <w:color w:val="auto"/>
              </w:rPr>
            </w:pPr>
            <w:r>
              <w:rPr>
                <w:rFonts w:ascii="Arial" w:cs="Arial" w:eastAsia="Arial" w:hAnsi="Arial"/>
                <w:sz w:val="14"/>
                <w:szCs w:val="14"/>
                <w:color w:val="auto"/>
              </w:rPr>
              <w:t>50,958,680</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525</w:t>
            </w:r>
          </w:p>
        </w:tc>
        <w:tc>
          <w:tcPr>
            <w:tcW w:w="180" w:type="dxa"/>
            <w:vAlign w:val="bottom"/>
            <w:gridSpan w:val="3"/>
          </w:tcPr>
          <w:p>
            <w:pPr>
              <w:ind w:left="10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(20,000)</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524,637</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105,299</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26,729</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637,190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86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Accumulated Other</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line="20" w:lineRule="exact"/>
              <w:rPr>
                <w:sz w:val="1"/>
                <w:szCs w:val="1"/>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line="20" w:lineRule="exact"/>
              <w:rPr>
                <w:sz w:val="1"/>
                <w:szCs w:val="1"/>
                <w:color w:val="auto"/>
              </w:rPr>
            </w:pPr>
          </w:p>
        </w:tc>
        <w:tc>
          <w:tcPr>
            <w:tcW w:w="13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860" w:type="dxa"/>
            <w:vAlign w:val="bottom"/>
          </w:tcPr>
          <w:p>
            <w:pPr>
              <w:spacing w:after="0"/>
              <w:rPr>
                <w:sz w:val="14"/>
                <w:szCs w:val="14"/>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Treasury Stock</w:t>
            </w:r>
          </w:p>
        </w:tc>
        <w:tc>
          <w:tcPr>
            <w:tcW w:w="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Paid-in Capital</w:t>
            </w:r>
          </w:p>
        </w:tc>
        <w:tc>
          <w:tcPr>
            <w:tcW w:w="8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ind w:left="80"/>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Balance at December 31, 2021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50,450,045</w:t>
            </w:r>
          </w:p>
        </w:tc>
        <w:tc>
          <w:tcPr>
            <w:tcW w:w="2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3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(28,347)</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526,806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147,099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667,573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00"/>
              <w:spacing w:after="0"/>
              <w:rPr>
                <w:sz w:val="20"/>
                <w:szCs w:val="20"/>
                <w:color w:val="auto"/>
              </w:rPr>
            </w:pPr>
            <w:r>
              <w:rPr>
                <w:rFonts w:ascii="Arial" w:cs="Arial" w:eastAsia="Arial" w:hAnsi="Arial"/>
                <w:sz w:val="14"/>
                <w:szCs w:val="14"/>
                <w:color w:val="auto"/>
                <w:w w:val="96"/>
              </w:rPr>
              <w:t>Cumulative effect from changes in accounting</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860" w:type="dxa"/>
            <w:vAlign w:val="bottom"/>
          </w:tcPr>
          <w:p>
            <w:pPr>
              <w:ind w:left="100"/>
              <w:spacing w:after="0" w:line="176" w:lineRule="exact"/>
              <w:rPr>
                <w:sz w:val="20"/>
                <w:szCs w:val="20"/>
                <w:color w:val="auto"/>
              </w:rPr>
            </w:pPr>
            <w:r>
              <w:rPr>
                <w:rFonts w:ascii="Arial" w:cs="Arial" w:eastAsia="Arial" w:hAnsi="Arial"/>
                <w:sz w:val="14"/>
                <w:szCs w:val="14"/>
                <w:color w:val="auto"/>
              </w:rPr>
              <w:t>principle</w:t>
            </w:r>
            <w:r>
              <w:rPr>
                <w:rFonts w:ascii="Arial" w:cs="Arial" w:eastAsia="Arial" w:hAnsi="Arial"/>
                <w:sz w:val="18"/>
                <w:szCs w:val="18"/>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(2,610)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(2,610)</w:t>
            </w: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32,373</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32,373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860" w:type="dxa"/>
            <w:vAlign w:val="bottom"/>
          </w:tcPr>
          <w:p>
            <w:pPr>
              <w:ind w:left="100"/>
              <w:spacing w:after="0"/>
              <w:rPr>
                <w:sz w:val="20"/>
                <w:szCs w:val="20"/>
                <w:color w:val="auto"/>
              </w:rPr>
            </w:pPr>
            <w:r>
              <w:rPr>
                <w:rFonts w:ascii="Arial" w:cs="Arial" w:eastAsia="Arial" w:hAnsi="Arial"/>
                <w:sz w:val="14"/>
                <w:szCs w:val="14"/>
                <w:color w:val="auto"/>
                <w:w w:val="93"/>
              </w:rPr>
              <w:t>Change in unrealized depreciation of available-</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860" w:type="dxa"/>
            <w:vAlign w:val="bottom"/>
          </w:tcPr>
          <w:p>
            <w:pPr>
              <w:ind w:left="100"/>
              <w:spacing w:after="0"/>
              <w:rPr>
                <w:sz w:val="20"/>
                <w:szCs w:val="20"/>
                <w:color w:val="auto"/>
              </w:rPr>
            </w:pPr>
            <w:r>
              <w:rPr>
                <w:rFonts w:ascii="Arial" w:cs="Arial" w:eastAsia="Arial" w:hAnsi="Arial"/>
                <w:sz w:val="14"/>
                <w:szCs w:val="14"/>
                <w:color w:val="auto"/>
              </w:rPr>
              <w:t>for-sale securities</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4"/>
                <w:szCs w:val="14"/>
                <w:color w:val="auto"/>
              </w:rPr>
              <w:t>(70,918)</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(70,918)</w:t>
            </w: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6"/>
              </w:rPr>
              <w:t>Issuance of shares from equity-based awards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348,729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181"/>
        </w:trPr>
        <w:tc>
          <w:tcPr>
            <w:tcW w:w="2860" w:type="dxa"/>
            <w:vAlign w:val="bottom"/>
          </w:tcPr>
          <w:p>
            <w:pPr>
              <w:ind w:left="100"/>
              <w:spacing w:after="0"/>
              <w:rPr>
                <w:sz w:val="20"/>
                <w:szCs w:val="20"/>
                <w:color w:val="auto"/>
              </w:rPr>
            </w:pPr>
            <w:r>
              <w:rPr>
                <w:rFonts w:ascii="Arial" w:cs="Arial" w:eastAsia="Arial" w:hAnsi="Arial"/>
                <w:sz w:val="14"/>
                <w:szCs w:val="14"/>
                <w:color w:val="auto"/>
              </w:rPr>
              <w:t>Open market common share repurchases</w:t>
            </w:r>
          </w:p>
        </w:tc>
        <w:tc>
          <w:tcPr>
            <w:tcW w:w="860" w:type="dxa"/>
            <w:vAlign w:val="bottom"/>
          </w:tcPr>
          <w:p>
            <w:pPr>
              <w:jc w:val="right"/>
              <w:spacing w:after="0"/>
              <w:rPr>
                <w:sz w:val="20"/>
                <w:szCs w:val="20"/>
                <w:color w:val="auto"/>
              </w:rPr>
            </w:pPr>
            <w:r>
              <w:rPr>
                <w:rFonts w:ascii="Arial" w:cs="Arial" w:eastAsia="Arial" w:hAnsi="Arial"/>
                <w:sz w:val="14"/>
                <w:szCs w:val="14"/>
                <w:color w:val="auto"/>
              </w:rPr>
              <w:t>(1,296,325)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(20,154)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(20,154)</w:t>
            </w:r>
          </w:p>
        </w:tc>
        <w:tc>
          <w:tcPr>
            <w:tcW w:w="0" w:type="dxa"/>
            <w:vAlign w:val="bottom"/>
          </w:tcPr>
          <w:p>
            <w:pPr>
              <w:spacing w:after="0"/>
              <w:rPr>
                <w:sz w:val="1"/>
                <w:szCs w:val="1"/>
                <w:color w:val="auto"/>
              </w:rPr>
            </w:pPr>
          </w:p>
        </w:tc>
      </w:tr>
      <w:tr>
        <w:trPr>
          <w:trHeight w:val="181"/>
        </w:trPr>
        <w:tc>
          <w:tcPr>
            <w:tcW w:w="28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Employee receivables from sale of stock</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2,235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Exercise of warrants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33,500</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20"/>
                <w:szCs w:val="20"/>
                <w:color w:val="auto"/>
              </w:rPr>
            </w:pPr>
            <w:r>
              <w:rPr>
                <w:rFonts w:ascii="Arial" w:cs="Arial" w:eastAsia="Arial" w:hAnsi="Arial"/>
                <w:sz w:val="14"/>
                <w:szCs w:val="14"/>
                <w:color w:val="auto"/>
              </w:rPr>
              <w:t>Balance June 30, 2022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49,535,949</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60" w:type="dxa"/>
            <w:vAlign w:val="bottom"/>
          </w:tcPr>
          <w:p>
            <w:pPr>
              <w:spacing w:after="0"/>
              <w:rPr>
                <w:sz w:val="16"/>
                <w:szCs w:val="16"/>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(48,501)</w:t>
            </w:r>
          </w:p>
        </w:tc>
        <w:tc>
          <w:tcPr>
            <w:tcW w:w="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528,548</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176,868</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(49,429)</w:t>
            </w:r>
          </w:p>
        </w:tc>
        <w:tc>
          <w:tcPr>
            <w:tcW w:w="60" w:type="dxa"/>
            <w:vAlign w:val="bottom"/>
          </w:tcPr>
          <w:p>
            <w:pPr>
              <w:spacing w:after="0"/>
              <w:rPr>
                <w:sz w:val="16"/>
                <w:szCs w:val="16"/>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608,015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40" w:right="400" w:hanging="136"/>
        <w:spacing w:after="0" w:line="251" w:lineRule="auto"/>
        <w:tabs>
          <w:tab w:leader="none" w:pos="151"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Includes the impact of implementing Accounting Standards Update (“ASU”) 2016-13, Financial Instruments - Credit Losses (Accounting Standard Codification (“ASC”) 326): Measurement of Credit Losses on Financial Instruments. See “Note 1: Nature of Operations and Summary of Significant Accounting Policies” in the Notes to Condensed Consolidated Financial Statements (unaudited) for more information on the Company’s adoption of this guidance and the impact to the Company’s results of operations.</w:t>
      </w: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520"/>
          </w:cols>
          <w:pgMar w:left="760" w:top="407" w:right="619" w:bottom="1440" w:gutter="0" w:footer="0" w:header="0"/>
        </w:sectPr>
      </w:pPr>
    </w:p>
    <w:bookmarkStart w:id="8" w:name="page9"/>
    <w:bookmarkEnd w:id="8"/>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CROSSFIRST BANKSHARES,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CONDENSED CONSOLIDATED STATEMENTS OF CASH FLOWS - UNAUDITED</w:t>
      </w:r>
    </w:p>
    <w:p>
      <w:pPr>
        <w:spacing w:after="0" w:line="7"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630" w:type="dxa"/>
            <w:vAlign w:val="bottom"/>
            <w:gridSpan w:val="4"/>
          </w:tcPr>
          <w:p>
            <w:pPr>
              <w:jc w:val="center"/>
              <w:ind w:left="503"/>
              <w:spacing w:after="0"/>
              <w:rPr>
                <w:sz w:val="20"/>
                <w:szCs w:val="20"/>
                <w:color w:val="auto"/>
              </w:rPr>
            </w:pPr>
            <w:r>
              <w:rPr>
                <w:rFonts w:ascii="Arial" w:cs="Arial" w:eastAsia="Arial" w:hAnsi="Arial"/>
                <w:sz w:val="13"/>
                <w:szCs w:val="13"/>
                <w:b w:val="1"/>
                <w:bCs w:val="1"/>
                <w:color w:val="auto"/>
                <w:w w:val="94"/>
              </w:rPr>
              <w:t>Six Months Ended</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40" w:type="dxa"/>
            <w:vAlign w:val="bottom"/>
          </w:tcPr>
          <w:p>
            <w:pPr>
              <w:spacing w:after="0"/>
              <w:rPr>
                <w:sz w:val="15"/>
                <w:szCs w:val="15"/>
                <w:color w:val="auto"/>
              </w:rPr>
            </w:pPr>
          </w:p>
        </w:tc>
        <w:tc>
          <w:tcPr>
            <w:tcW w:w="150" w:type="dxa"/>
            <w:vAlign w:val="bottom"/>
            <w:tcBorders>
              <w:bottom w:val="single" w:sz="8" w:color="auto"/>
            </w:tcBorders>
          </w:tcPr>
          <w:p>
            <w:pPr>
              <w:spacing w:after="0"/>
              <w:rPr>
                <w:sz w:val="15"/>
                <w:szCs w:val="15"/>
                <w:color w:val="auto"/>
              </w:rPr>
            </w:pPr>
          </w:p>
        </w:tc>
        <w:tc>
          <w:tcPr>
            <w:tcW w:w="1630" w:type="dxa"/>
            <w:vAlign w:val="bottom"/>
            <w:tcBorders>
              <w:bottom w:val="single" w:sz="8" w:color="auto"/>
            </w:tcBorders>
            <w:gridSpan w:val="4"/>
          </w:tcPr>
          <w:p>
            <w:pPr>
              <w:jc w:val="center"/>
              <w:ind w:left="483"/>
              <w:spacing w:after="0"/>
              <w:rPr>
                <w:sz w:val="20"/>
                <w:szCs w:val="20"/>
                <w:color w:val="auto"/>
              </w:rPr>
            </w:pPr>
            <w:r>
              <w:rPr>
                <w:rFonts w:ascii="Arial" w:cs="Arial" w:eastAsia="Arial" w:hAnsi="Arial"/>
                <w:sz w:val="13"/>
                <w:szCs w:val="13"/>
                <w:b w:val="1"/>
                <w:bCs w:val="1"/>
                <w:color w:val="auto"/>
                <w:w w:val="92"/>
              </w:rPr>
              <w:t>June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240" w:type="dxa"/>
            <w:vAlign w:val="bottom"/>
          </w:tcPr>
          <w:p>
            <w:pPr>
              <w:spacing w:after="0"/>
              <w:rPr>
                <w:sz w:val="14"/>
                <w:szCs w:val="14"/>
                <w:color w:val="auto"/>
              </w:rPr>
            </w:pPr>
          </w:p>
        </w:tc>
        <w:tc>
          <w:tcPr>
            <w:tcW w:w="150" w:type="dxa"/>
            <w:vAlign w:val="bottom"/>
            <w:tcBorders>
              <w:bottom w:val="single" w:sz="8" w:color="auto"/>
            </w:tcBorders>
          </w:tcPr>
          <w:p>
            <w:pPr>
              <w:spacing w:after="0"/>
              <w:rPr>
                <w:sz w:val="14"/>
                <w:szCs w:val="14"/>
                <w:color w:val="auto"/>
              </w:rPr>
            </w:pPr>
          </w:p>
        </w:tc>
        <w:tc>
          <w:tcPr>
            <w:tcW w:w="99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w w:val="89"/>
              </w:rPr>
              <w:t>2021</w:t>
            </w:r>
          </w:p>
        </w:tc>
        <w:tc>
          <w:tcPr>
            <w:tcW w:w="0" w:type="dxa"/>
            <w:vAlign w:val="bottom"/>
          </w:tcPr>
          <w:p>
            <w:pPr>
              <w:spacing w:after="0"/>
              <w:rPr>
                <w:sz w:val="1"/>
                <w:szCs w:val="1"/>
                <w:color w:val="auto"/>
              </w:rPr>
            </w:pPr>
          </w:p>
        </w:tc>
      </w:tr>
      <w:tr>
        <w:trPr>
          <w:trHeight w:val="176"/>
        </w:trPr>
        <w:tc>
          <w:tcPr>
            <w:tcW w:w="52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2330" w:type="dxa"/>
            <w:vAlign w:val="bottom"/>
            <w:gridSpan w:val="5"/>
          </w:tcPr>
          <w:p>
            <w:pPr>
              <w:jc w:val="center"/>
              <w:ind w:right="83"/>
              <w:spacing w:after="0"/>
              <w:rPr>
                <w:sz w:val="20"/>
                <w:szCs w:val="20"/>
                <w:color w:val="auto"/>
              </w:rPr>
            </w:pPr>
            <w:r>
              <w:rPr>
                <w:rFonts w:ascii="Arial" w:cs="Arial" w:eastAsia="Arial" w:hAnsi="Arial"/>
                <w:sz w:val="13"/>
                <w:szCs w:val="13"/>
                <w:i w:val="1"/>
                <w:iCs w:val="1"/>
                <w:color w:val="auto"/>
                <w:w w:val="91"/>
              </w:rPr>
              <w:t>(Dollars in thousands)</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Operating Activities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50" w:type="dxa"/>
            <w:vAlign w:val="bottom"/>
          </w:tcPr>
          <w:p>
            <w:pPr>
              <w:jc w:val="right"/>
              <w:spacing w:after="0"/>
              <w:rPr>
                <w:sz w:val="20"/>
                <w:szCs w:val="20"/>
                <w:color w:val="auto"/>
              </w:rPr>
            </w:pPr>
            <w:r>
              <w:rPr>
                <w:rFonts w:ascii="Arial" w:cs="Arial" w:eastAsia="Arial" w:hAnsi="Arial"/>
                <w:sz w:val="13"/>
                <w:szCs w:val="13"/>
                <w:color w:val="auto"/>
              </w:rPr>
              <w:t>$</w:t>
            </w: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32,373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27,612</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Items not requiring (providing) cash</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Depreciation and amortization</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2,474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2,715</w:t>
            </w:r>
          </w:p>
        </w:tc>
        <w:tc>
          <w:tcPr>
            <w:tcW w:w="0" w:type="dxa"/>
            <w:vAlign w:val="bottom"/>
          </w:tcPr>
          <w:p>
            <w:pPr>
              <w:spacing w:after="0"/>
              <w:rPr>
                <w:sz w:val="1"/>
                <w:szCs w:val="1"/>
                <w:color w:val="auto"/>
              </w:rPr>
            </w:pPr>
          </w:p>
        </w:tc>
      </w:tr>
      <w:tr>
        <w:trPr>
          <w:trHeight w:val="181"/>
        </w:trPr>
        <w:tc>
          <w:tcPr>
            <w:tcW w:w="5240" w:type="dxa"/>
            <w:vAlign w:val="bottom"/>
            <w:shd w:val="clear" w:color="auto" w:fill="CCEEFF"/>
          </w:tcPr>
          <w:p>
            <w:pPr>
              <w:ind w:left="320"/>
              <w:spacing w:after="0" w:line="181" w:lineRule="exact"/>
              <w:rPr>
                <w:sz w:val="20"/>
                <w:szCs w:val="20"/>
                <w:color w:val="auto"/>
              </w:rPr>
            </w:pPr>
            <w:r>
              <w:rPr>
                <w:rFonts w:ascii="Arial" w:cs="Arial" w:eastAsia="Arial" w:hAnsi="Arial"/>
                <w:sz w:val="13"/>
                <w:szCs w:val="13"/>
                <w:color w:val="auto"/>
              </w:rPr>
              <w:t>Provision for credit losses</w:t>
            </w:r>
            <w:r>
              <w:rPr>
                <w:rFonts w:ascii="Arial" w:cs="Arial" w:eastAsia="Arial" w:hAnsi="Arial"/>
                <w:sz w:val="17"/>
                <w:szCs w:val="17"/>
                <w:color w:val="auto"/>
                <w:vertAlign w:val="superscript"/>
              </w:rPr>
              <w:t>(1)</w:t>
            </w:r>
          </w:p>
        </w:tc>
        <w:tc>
          <w:tcPr>
            <w:tcW w:w="150" w:type="dxa"/>
            <w:vAlign w:val="bottom"/>
            <w:shd w:val="clear" w:color="auto" w:fill="CCEEFF"/>
          </w:tcPr>
          <w:p>
            <w:pPr>
              <w:spacing w:after="0"/>
              <w:rPr>
                <w:sz w:val="15"/>
                <w:szCs w:val="15"/>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1,510</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11,000</w:t>
            </w: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Accretion of discounts and amortization of premiums on securities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2,192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2,624</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Stock based compensation</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2,235</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2,224</w:t>
            </w: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Foreclosed asset impairment</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630</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Deferred income taxes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2,557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1,235</w:t>
            </w: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Net increase in bank owned life insurance</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(795)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(2,661)</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Net realized gains on available-for-sale securities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Changes in</w:t>
            </w:r>
          </w:p>
        </w:tc>
        <w:tc>
          <w:tcPr>
            <w:tcW w:w="150" w:type="dxa"/>
            <w:vAlign w:val="bottom"/>
          </w:tcPr>
          <w:p>
            <w:pPr>
              <w:spacing w:after="0"/>
              <w:rPr>
                <w:sz w:val="14"/>
                <w:szCs w:val="14"/>
                <w:color w:val="auto"/>
              </w:rPr>
            </w:pPr>
          </w:p>
        </w:tc>
        <w:tc>
          <w:tcPr>
            <w:tcW w:w="99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Interest receivable</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1,420</w:t>
            </w:r>
          </w:p>
        </w:tc>
        <w:tc>
          <w:tcPr>
            <w:tcW w:w="0" w:type="dxa"/>
            <w:vAlign w:val="bottom"/>
          </w:tcPr>
          <w:p>
            <w:pPr>
              <w:spacing w:after="0"/>
              <w:rPr>
                <w:sz w:val="1"/>
                <w:szCs w:val="1"/>
                <w:color w:val="auto"/>
              </w:rPr>
            </w:pPr>
          </w:p>
        </w:tc>
      </w:tr>
      <w:tr>
        <w:trPr>
          <w:trHeight w:val="171"/>
        </w:trPr>
        <w:tc>
          <w:tcPr>
            <w:tcW w:w="5240" w:type="dxa"/>
            <w:vAlign w:val="bottom"/>
          </w:tcPr>
          <w:p>
            <w:pPr>
              <w:ind w:left="320"/>
              <w:spacing w:after="0"/>
              <w:rPr>
                <w:sz w:val="20"/>
                <w:szCs w:val="20"/>
                <w:color w:val="auto"/>
              </w:rPr>
            </w:pPr>
            <w:r>
              <w:rPr>
                <w:rFonts w:ascii="Arial" w:cs="Arial" w:eastAsia="Arial" w:hAnsi="Arial"/>
                <w:sz w:val="13"/>
                <w:szCs w:val="13"/>
                <w:color w:val="auto"/>
              </w:rPr>
              <w:t>Other assets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3,780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(2,160)</w:t>
            </w:r>
          </w:p>
        </w:tc>
        <w:tc>
          <w:tcPr>
            <w:tcW w:w="0" w:type="dxa"/>
            <w:vAlign w:val="bottom"/>
          </w:tcPr>
          <w:p>
            <w:pPr>
              <w:spacing w:after="0"/>
              <w:rPr>
                <w:sz w:val="1"/>
                <w:szCs w:val="1"/>
                <w:color w:val="auto"/>
              </w:rPr>
            </w:pPr>
          </w:p>
        </w:tc>
      </w:tr>
      <w:tr>
        <w:trPr>
          <w:trHeight w:val="160"/>
        </w:trPr>
        <w:tc>
          <w:tcPr>
            <w:tcW w:w="5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Other liabilities</w:t>
            </w:r>
          </w:p>
        </w:tc>
        <w:tc>
          <w:tcPr>
            <w:tcW w:w="150" w:type="dxa"/>
            <w:vAlign w:val="bottom"/>
            <w:tcBorders>
              <w:bottom w:val="single" w:sz="8" w:color="auto"/>
            </w:tcBorders>
            <w:shd w:val="clear" w:color="auto" w:fill="CCEEFF"/>
          </w:tcPr>
          <w:p>
            <w:pPr>
              <w:spacing w:after="0"/>
              <w:rPr>
                <w:sz w:val="13"/>
                <w:szCs w:val="13"/>
                <w:color w:val="auto"/>
              </w:rPr>
            </w:pPr>
          </w:p>
        </w:tc>
        <w:tc>
          <w:tcPr>
            <w:tcW w:w="9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(21,268)</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(3,151)</w:t>
            </w:r>
          </w:p>
        </w:tc>
        <w:tc>
          <w:tcPr>
            <w:tcW w:w="0" w:type="dxa"/>
            <w:vAlign w:val="bottom"/>
          </w:tcPr>
          <w:p>
            <w:pPr>
              <w:spacing w:after="0"/>
              <w:rPr>
                <w:sz w:val="1"/>
                <w:szCs w:val="1"/>
                <w:color w:val="auto"/>
              </w:rPr>
            </w:pPr>
          </w:p>
        </w:tc>
      </w:tr>
      <w:tr>
        <w:trPr>
          <w:trHeight w:val="152"/>
        </w:trPr>
        <w:tc>
          <w:tcPr>
            <w:tcW w:w="524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Net cash provided by operating activities</w:t>
            </w:r>
          </w:p>
        </w:tc>
        <w:tc>
          <w:tcPr>
            <w:tcW w:w="150" w:type="dxa"/>
            <w:vAlign w:val="bottom"/>
            <w:tcBorders>
              <w:bottom w:val="single" w:sz="8" w:color="auto"/>
            </w:tcBorders>
          </w:tcPr>
          <w:p>
            <w:pPr>
              <w:spacing w:after="0"/>
              <w:rPr>
                <w:sz w:val="13"/>
                <w:szCs w:val="13"/>
                <w:color w:val="auto"/>
              </w:rPr>
            </w:pPr>
          </w:p>
        </w:tc>
        <w:tc>
          <w:tcPr>
            <w:tcW w:w="99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23,210</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41,491</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50" w:type="dxa"/>
            <w:vAlign w:val="bottom"/>
            <w:shd w:val="clear" w:color="auto" w:fill="CCEEFF"/>
          </w:tcPr>
          <w:p>
            <w:pPr>
              <w:spacing w:after="0"/>
              <w:rPr>
                <w:sz w:val="13"/>
                <w:szCs w:val="13"/>
                <w:color w:val="auto"/>
              </w:rPr>
            </w:pPr>
          </w:p>
        </w:tc>
        <w:tc>
          <w:tcPr>
            <w:tcW w:w="99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Net change in loans</w:t>
            </w:r>
          </w:p>
        </w:tc>
        <w:tc>
          <w:tcPr>
            <w:tcW w:w="150" w:type="dxa"/>
            <w:vAlign w:val="bottom"/>
          </w:tcPr>
          <w:p>
            <w:pPr>
              <w:spacing w:after="0"/>
              <w:rPr>
                <w:sz w:val="14"/>
                <w:szCs w:val="14"/>
                <w:color w:val="auto"/>
              </w:rPr>
            </w:pPr>
          </w:p>
        </w:tc>
        <w:tc>
          <w:tcPr>
            <w:tcW w:w="990" w:type="dxa"/>
            <w:vAlign w:val="bottom"/>
          </w:tcPr>
          <w:p>
            <w:pPr>
              <w:jc w:val="right"/>
              <w:spacing w:after="0"/>
              <w:rPr>
                <w:sz w:val="20"/>
                <w:szCs w:val="20"/>
                <w:color w:val="auto"/>
              </w:rPr>
            </w:pPr>
            <w:r>
              <w:rPr>
                <w:rFonts w:ascii="Arial" w:cs="Arial" w:eastAsia="Arial" w:hAnsi="Arial"/>
                <w:sz w:val="13"/>
                <w:szCs w:val="13"/>
                <w:color w:val="auto"/>
              </w:rPr>
              <w:t>(274,206)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193,151</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Purchases of available-for-sale securities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(73,399)</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(124,570)</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Proceeds from maturities of available-for-sale securities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22,513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60,773</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the sale of foreclosed assets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237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Purchase of premises and equipment</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(1,135)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the sale of premises and equipment and related insurance claims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Purchase of restricted equity securities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(4,208)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Proceeds from sale of restricted equity securities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1,544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2,539</w:t>
            </w:r>
          </w:p>
        </w:tc>
        <w:tc>
          <w:tcPr>
            <w:tcW w:w="0" w:type="dxa"/>
            <w:vAlign w:val="bottom"/>
          </w:tcPr>
          <w:p>
            <w:pPr>
              <w:spacing w:after="0"/>
              <w:rPr>
                <w:sz w:val="1"/>
                <w:szCs w:val="1"/>
                <w:color w:val="auto"/>
              </w:rPr>
            </w:pPr>
          </w:p>
        </w:tc>
      </w:tr>
      <w:tr>
        <w:trPr>
          <w:trHeight w:val="161"/>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Proceeds from death benefit on bank owned life insurance</w:t>
            </w:r>
          </w:p>
        </w:tc>
        <w:tc>
          <w:tcPr>
            <w:tcW w:w="150" w:type="dxa"/>
            <w:vAlign w:val="bottom"/>
            <w:tcBorders>
              <w:bottom w:val="single" w:sz="8" w:color="auto"/>
            </w:tcBorders>
          </w:tcPr>
          <w:p>
            <w:pPr>
              <w:spacing w:after="0"/>
              <w:rPr>
                <w:sz w:val="14"/>
                <w:szCs w:val="14"/>
                <w:color w:val="auto"/>
              </w:rPr>
            </w:pPr>
          </w:p>
        </w:tc>
        <w:tc>
          <w:tcPr>
            <w:tcW w:w="99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3,483</w:t>
            </w:r>
          </w:p>
        </w:tc>
        <w:tc>
          <w:tcPr>
            <w:tcW w:w="0" w:type="dxa"/>
            <w:vAlign w:val="bottom"/>
          </w:tcPr>
          <w:p>
            <w:pPr>
              <w:spacing w:after="0"/>
              <w:rPr>
                <w:sz w:val="1"/>
                <w:szCs w:val="1"/>
                <w:color w:val="auto"/>
              </w:rPr>
            </w:pPr>
          </w:p>
        </w:tc>
      </w:tr>
      <w:tr>
        <w:trPr>
          <w:trHeight w:val="149"/>
        </w:trPr>
        <w:tc>
          <w:tcPr>
            <w:tcW w:w="52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3"/>
                <w:szCs w:val="13"/>
                <w:color w:val="auto"/>
              </w:rPr>
              <w:t>Net cash provided by (used in) investing activities</w:t>
            </w:r>
          </w:p>
        </w:tc>
        <w:tc>
          <w:tcPr>
            <w:tcW w:w="150" w:type="dxa"/>
            <w:vAlign w:val="bottom"/>
            <w:tcBorders>
              <w:bottom w:val="single" w:sz="8" w:color="auto"/>
            </w:tcBorders>
            <w:shd w:val="clear" w:color="auto" w:fill="CCEEFF"/>
          </w:tcPr>
          <w:p>
            <w:pPr>
              <w:spacing w:after="0"/>
              <w:rPr>
                <w:sz w:val="12"/>
                <w:szCs w:val="12"/>
                <w:color w:val="auto"/>
              </w:rPr>
            </w:pPr>
          </w:p>
        </w:tc>
        <w:tc>
          <w:tcPr>
            <w:tcW w:w="99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(328,641)</w:t>
            </w:r>
          </w:p>
        </w:tc>
        <w:tc>
          <w:tcPr>
            <w:tcW w:w="2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135,332</w:t>
            </w:r>
          </w:p>
        </w:tc>
        <w:tc>
          <w:tcPr>
            <w:tcW w:w="0" w:type="dxa"/>
            <w:vAlign w:val="bottom"/>
          </w:tcPr>
          <w:p>
            <w:pPr>
              <w:spacing w:after="0"/>
              <w:rPr>
                <w:sz w:val="1"/>
                <w:szCs w:val="1"/>
                <w:color w:val="auto"/>
              </w:rPr>
            </w:pPr>
          </w:p>
        </w:tc>
      </w:tr>
      <w:tr>
        <w:trPr>
          <w:trHeight w:val="161"/>
        </w:trPr>
        <w:tc>
          <w:tcPr>
            <w:tcW w:w="524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50" w:type="dxa"/>
            <w:vAlign w:val="bottom"/>
          </w:tcPr>
          <w:p>
            <w:pPr>
              <w:spacing w:after="0"/>
              <w:rPr>
                <w:sz w:val="14"/>
                <w:szCs w:val="14"/>
                <w:color w:val="auto"/>
              </w:rPr>
            </w:pPr>
          </w:p>
        </w:tc>
        <w:tc>
          <w:tcPr>
            <w:tcW w:w="99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decrease in demand deposits, savings, NOW and money market accounts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(47,861)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(98,678)</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Net increase (decrease) in time deposits</w:t>
            </w:r>
          </w:p>
        </w:tc>
        <w:tc>
          <w:tcPr>
            <w:tcW w:w="150" w:type="dxa"/>
            <w:vAlign w:val="bottom"/>
          </w:tcPr>
          <w:p>
            <w:pPr>
              <w:spacing w:after="0"/>
              <w:rPr>
                <w:sz w:val="14"/>
                <w:szCs w:val="14"/>
                <w:color w:val="auto"/>
              </w:rPr>
            </w:pPr>
          </w:p>
        </w:tc>
        <w:tc>
          <w:tcPr>
            <w:tcW w:w="990" w:type="dxa"/>
            <w:vAlign w:val="bottom"/>
          </w:tcPr>
          <w:p>
            <w:pPr>
              <w:jc w:val="right"/>
              <w:spacing w:after="0"/>
              <w:rPr>
                <w:sz w:val="20"/>
                <w:szCs w:val="20"/>
                <w:color w:val="auto"/>
              </w:rPr>
            </w:pPr>
            <w:r>
              <w:rPr>
                <w:rFonts w:ascii="Arial" w:cs="Arial" w:eastAsia="Arial" w:hAnsi="Arial"/>
                <w:sz w:val="13"/>
                <w:szCs w:val="13"/>
                <w:color w:val="auto"/>
              </w:rPr>
              <w:t>108,684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(239,435)</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increase (decrease) in fed funds purchased and repurchase agreements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(2,306)</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Proceeds from Federal Home Loan Bank advances</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50,000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Repayment of Federal Home Loan Bank advances</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(130,000)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Net proceeds of Federal Home Loan Bank line of credit</w:t>
            </w:r>
          </w:p>
        </w:tc>
        <w:tc>
          <w:tcPr>
            <w:tcW w:w="150" w:type="dxa"/>
            <w:vAlign w:val="bottom"/>
          </w:tcPr>
          <w:p>
            <w:pPr>
              <w:spacing w:after="0"/>
              <w:rPr>
                <w:sz w:val="14"/>
                <w:szCs w:val="14"/>
                <w:color w:val="auto"/>
              </w:rPr>
            </w:pPr>
          </w:p>
        </w:tc>
        <w:tc>
          <w:tcPr>
            <w:tcW w:w="990" w:type="dxa"/>
            <w:vAlign w:val="bottom"/>
          </w:tcPr>
          <w:p>
            <w:pPr>
              <w:jc w:val="right"/>
              <w:spacing w:after="0"/>
              <w:rPr>
                <w:sz w:val="20"/>
                <w:szCs w:val="20"/>
                <w:color w:val="auto"/>
              </w:rPr>
            </w:pPr>
            <w:r>
              <w:rPr>
                <w:rFonts w:ascii="Arial" w:cs="Arial" w:eastAsia="Arial" w:hAnsi="Arial"/>
                <w:sz w:val="13"/>
                <w:szCs w:val="13"/>
                <w:color w:val="auto"/>
              </w:rPr>
              <w:t>140,000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common shares, net of issuance cost</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170</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Proceeds from employee stock purchase plan</w:t>
            </w:r>
          </w:p>
        </w:tc>
        <w:tc>
          <w:tcPr>
            <w:tcW w:w="150" w:type="dxa"/>
            <w:vAlign w:val="bottom"/>
          </w:tcPr>
          <w:p>
            <w:pPr>
              <w:spacing w:after="0"/>
              <w:rPr>
                <w:sz w:val="14"/>
                <w:szCs w:val="14"/>
                <w:color w:val="auto"/>
              </w:rPr>
            </w:pP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364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Repurchase of common stock</w:t>
            </w:r>
          </w:p>
        </w:tc>
        <w:tc>
          <w:tcPr>
            <w:tcW w:w="150" w:type="dxa"/>
            <w:vAlign w:val="bottom"/>
            <w:shd w:val="clear" w:color="auto" w:fill="CCEEFF"/>
          </w:tcPr>
          <w:p>
            <w:pPr>
              <w:spacing w:after="0"/>
              <w:rPr>
                <w:sz w:val="14"/>
                <w:szCs w:val="14"/>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(20,154)</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(13,939)</w:t>
            </w:r>
          </w:p>
        </w:tc>
        <w:tc>
          <w:tcPr>
            <w:tcW w:w="0" w:type="dxa"/>
            <w:vAlign w:val="bottom"/>
          </w:tcPr>
          <w:p>
            <w:pPr>
              <w:spacing w:after="0"/>
              <w:rPr>
                <w:sz w:val="1"/>
                <w:szCs w:val="1"/>
                <w:color w:val="auto"/>
              </w:rPr>
            </w:pPr>
          </w:p>
        </w:tc>
      </w:tr>
      <w:tr>
        <w:trPr>
          <w:trHeight w:val="171"/>
        </w:trPr>
        <w:tc>
          <w:tcPr>
            <w:tcW w:w="5240" w:type="dxa"/>
            <w:vAlign w:val="bottom"/>
          </w:tcPr>
          <w:p>
            <w:pPr>
              <w:ind w:left="120"/>
              <w:spacing w:after="0"/>
              <w:rPr>
                <w:sz w:val="20"/>
                <w:szCs w:val="20"/>
                <w:color w:val="auto"/>
              </w:rPr>
            </w:pPr>
            <w:r>
              <w:rPr>
                <w:rFonts w:ascii="Arial" w:cs="Arial" w:eastAsia="Arial" w:hAnsi="Arial"/>
                <w:sz w:val="13"/>
                <w:szCs w:val="13"/>
                <w:color w:val="auto"/>
              </w:rPr>
              <w:t>Acquisition of common stock for tax withholding obligations</w:t>
            </w:r>
          </w:p>
        </w:tc>
        <w:tc>
          <w:tcPr>
            <w:tcW w:w="150" w:type="dxa"/>
            <w:vAlign w:val="bottom"/>
          </w:tcPr>
          <w:p>
            <w:pPr>
              <w:spacing w:after="0"/>
              <w:rPr>
                <w:sz w:val="14"/>
                <w:szCs w:val="14"/>
                <w:color w:val="auto"/>
              </w:rPr>
            </w:pPr>
          </w:p>
        </w:tc>
        <w:tc>
          <w:tcPr>
            <w:tcW w:w="990" w:type="dxa"/>
            <w:vAlign w:val="bottom"/>
          </w:tcPr>
          <w:p>
            <w:pPr>
              <w:jc w:val="right"/>
              <w:spacing w:after="0"/>
              <w:rPr>
                <w:sz w:val="20"/>
                <w:szCs w:val="20"/>
                <w:color w:val="auto"/>
              </w:rPr>
            </w:pPr>
            <w:r>
              <w:rPr>
                <w:rFonts w:ascii="Arial" w:cs="Arial" w:eastAsia="Arial" w:hAnsi="Arial"/>
                <w:sz w:val="13"/>
                <w:szCs w:val="13"/>
                <w:color w:val="auto"/>
              </w:rPr>
              <w:t>(833)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(670)</w:t>
            </w:r>
          </w:p>
        </w:tc>
        <w:tc>
          <w:tcPr>
            <w:tcW w:w="0" w:type="dxa"/>
            <w:vAlign w:val="bottom"/>
          </w:tcPr>
          <w:p>
            <w:pPr>
              <w:spacing w:after="0"/>
              <w:rPr>
                <w:sz w:val="1"/>
                <w:szCs w:val="1"/>
                <w:color w:val="auto"/>
              </w:rPr>
            </w:pPr>
          </w:p>
        </w:tc>
      </w:tr>
      <w:tr>
        <w:trPr>
          <w:trHeight w:val="160"/>
        </w:trPr>
        <w:tc>
          <w:tcPr>
            <w:tcW w:w="5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Net decrease in employee receivables</w:t>
            </w:r>
          </w:p>
        </w:tc>
        <w:tc>
          <w:tcPr>
            <w:tcW w:w="150" w:type="dxa"/>
            <w:vAlign w:val="bottom"/>
            <w:tcBorders>
              <w:bottom w:val="single" w:sz="8" w:color="auto"/>
            </w:tcBorders>
            <w:shd w:val="clear" w:color="auto" w:fill="CCEEFF"/>
          </w:tcPr>
          <w:p>
            <w:pPr>
              <w:spacing w:after="0"/>
              <w:rPr>
                <w:sz w:val="13"/>
                <w:szCs w:val="13"/>
                <w:color w:val="auto"/>
              </w:rPr>
            </w:pPr>
          </w:p>
        </w:tc>
        <w:tc>
          <w:tcPr>
            <w:tcW w:w="99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6</w:t>
            </w:r>
          </w:p>
        </w:tc>
        <w:tc>
          <w:tcPr>
            <w:tcW w:w="2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2"/>
        </w:trPr>
        <w:tc>
          <w:tcPr>
            <w:tcW w:w="5240" w:type="dxa"/>
            <w:vAlign w:val="bottom"/>
            <w:tcBorders>
              <w:bottom w:val="single" w:sz="8" w:color="CCEEFF"/>
            </w:tcBorders>
          </w:tcPr>
          <w:p>
            <w:pPr>
              <w:ind w:left="420"/>
              <w:spacing w:after="0"/>
              <w:rPr>
                <w:sz w:val="20"/>
                <w:szCs w:val="20"/>
                <w:color w:val="auto"/>
              </w:rPr>
            </w:pPr>
            <w:r>
              <w:rPr>
                <w:rFonts w:ascii="Arial" w:cs="Arial" w:eastAsia="Arial" w:hAnsi="Arial"/>
                <w:sz w:val="13"/>
                <w:szCs w:val="13"/>
                <w:color w:val="auto"/>
              </w:rPr>
              <w:t>Net cash provided by (used in) financing activities</w:t>
            </w:r>
          </w:p>
        </w:tc>
        <w:tc>
          <w:tcPr>
            <w:tcW w:w="150" w:type="dxa"/>
            <w:vAlign w:val="bottom"/>
            <w:tcBorders>
              <w:bottom w:val="single" w:sz="8" w:color="auto"/>
            </w:tcBorders>
          </w:tcPr>
          <w:p>
            <w:pPr>
              <w:spacing w:after="0"/>
              <w:rPr>
                <w:sz w:val="13"/>
                <w:szCs w:val="13"/>
                <w:color w:val="auto"/>
              </w:rPr>
            </w:pPr>
          </w:p>
        </w:tc>
        <w:tc>
          <w:tcPr>
            <w:tcW w:w="99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100,382</w:t>
            </w:r>
          </w:p>
        </w:tc>
        <w:tc>
          <w:tcPr>
            <w:tcW w:w="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(364,819)</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Decrease in Cash and Cash Equivalents</w:t>
            </w:r>
          </w:p>
        </w:tc>
        <w:tc>
          <w:tcPr>
            <w:tcW w:w="150" w:type="dxa"/>
            <w:vAlign w:val="bottom"/>
            <w:shd w:val="clear" w:color="auto" w:fill="CCEEFF"/>
          </w:tcPr>
          <w:p>
            <w:pPr>
              <w:spacing w:after="0"/>
              <w:rPr>
                <w:sz w:val="13"/>
                <w:szCs w:val="13"/>
                <w:color w:val="auto"/>
              </w:rPr>
            </w:pP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(205,049)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(187,996)</w:t>
            </w:r>
          </w:p>
        </w:tc>
        <w:tc>
          <w:tcPr>
            <w:tcW w:w="0" w:type="dxa"/>
            <w:vAlign w:val="bottom"/>
          </w:tcPr>
          <w:p>
            <w:pPr>
              <w:spacing w:after="0"/>
              <w:rPr>
                <w:sz w:val="1"/>
                <w:szCs w:val="1"/>
                <w:color w:val="auto"/>
              </w:rPr>
            </w:pPr>
          </w:p>
        </w:tc>
      </w:tr>
      <w:tr>
        <w:trPr>
          <w:trHeight w:val="161"/>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and Cash Equivalents, Beginning of Period</w:t>
            </w:r>
          </w:p>
        </w:tc>
        <w:tc>
          <w:tcPr>
            <w:tcW w:w="150" w:type="dxa"/>
            <w:vAlign w:val="bottom"/>
            <w:tcBorders>
              <w:bottom w:val="single" w:sz="8" w:color="auto"/>
            </w:tcBorders>
          </w:tcPr>
          <w:p>
            <w:pPr>
              <w:spacing w:after="0"/>
              <w:rPr>
                <w:sz w:val="14"/>
                <w:szCs w:val="14"/>
                <w:color w:val="auto"/>
              </w:rPr>
            </w:pPr>
          </w:p>
        </w:tc>
        <w:tc>
          <w:tcPr>
            <w:tcW w:w="99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482,727</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408,810</w:t>
            </w:r>
          </w:p>
        </w:tc>
        <w:tc>
          <w:tcPr>
            <w:tcW w:w="0" w:type="dxa"/>
            <w:vAlign w:val="bottom"/>
          </w:tcPr>
          <w:p>
            <w:pPr>
              <w:spacing w:after="0"/>
              <w:rPr>
                <w:sz w:val="1"/>
                <w:szCs w:val="1"/>
                <w:color w:val="auto"/>
              </w:rPr>
            </w:pPr>
          </w:p>
        </w:tc>
      </w:tr>
      <w:tr>
        <w:trPr>
          <w:trHeight w:val="160"/>
        </w:trPr>
        <w:tc>
          <w:tcPr>
            <w:tcW w:w="5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End of Period</w:t>
            </w: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9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277,678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220,814</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Supplemental Cash Flows Information</w:t>
            </w:r>
          </w:p>
        </w:tc>
        <w:tc>
          <w:tcPr>
            <w:tcW w:w="150" w:type="dxa"/>
            <w:vAlign w:val="bottom"/>
            <w:tcBorders>
              <w:top w:val="single" w:sz="8" w:color="auto"/>
              <w:bottom w:val="single" w:sz="8" w:color="auto"/>
            </w:tcBorders>
          </w:tcPr>
          <w:p>
            <w:pPr>
              <w:spacing w:after="0" w:line="20" w:lineRule="exact"/>
              <w:rPr>
                <w:sz w:val="1"/>
                <w:szCs w:val="1"/>
                <w:color w:val="auto"/>
              </w:rPr>
            </w:pPr>
          </w:p>
        </w:tc>
        <w:tc>
          <w:tcPr>
            <w:tcW w:w="99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5240" w:type="dxa"/>
            <w:vAlign w:val="bottom"/>
            <w:vMerge w:val="continue"/>
          </w:tcPr>
          <w:p>
            <w:pPr>
              <w:spacing w:after="0"/>
              <w:rPr>
                <w:sz w:val="9"/>
                <w:szCs w:val="9"/>
                <w:color w:val="auto"/>
              </w:rPr>
            </w:pPr>
          </w:p>
        </w:tc>
        <w:tc>
          <w:tcPr>
            <w:tcW w:w="150" w:type="dxa"/>
            <w:vAlign w:val="bottom"/>
          </w:tcPr>
          <w:p>
            <w:pPr>
              <w:spacing w:after="0"/>
              <w:rPr>
                <w:sz w:val="9"/>
                <w:szCs w:val="9"/>
                <w:color w:val="auto"/>
              </w:rPr>
            </w:pPr>
          </w:p>
        </w:tc>
        <w:tc>
          <w:tcPr>
            <w:tcW w:w="99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paid</w:t>
            </w:r>
          </w:p>
        </w:tc>
        <w:tc>
          <w:tcPr>
            <w:tcW w:w="150" w:type="dxa"/>
            <w:vAlign w:val="bottom"/>
            <w:shd w:val="clear" w:color="auto" w:fill="CCEEFF"/>
          </w:tcPr>
          <w:p>
            <w:pPr>
              <w:jc w:val="right"/>
              <w:spacing w:after="0"/>
              <w:rPr>
                <w:sz w:val="20"/>
                <w:szCs w:val="20"/>
                <w:color w:val="auto"/>
              </w:rPr>
            </w:pPr>
            <w:r>
              <w:rPr>
                <w:rFonts w:ascii="Arial" w:cs="Arial" w:eastAsia="Arial" w:hAnsi="Arial"/>
                <w:sz w:val="13"/>
                <w:szCs w:val="13"/>
                <w:color w:val="auto"/>
                <w:shd w:val="clear" w:color="auto" w:fill="CCEEFF"/>
              </w:rPr>
              <w:t>$</w:t>
            </w:r>
          </w:p>
        </w:tc>
        <w:tc>
          <w:tcPr>
            <w:tcW w:w="99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10,862</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shd w:val="clear" w:color="auto" w:fill="CCEEFF"/>
              </w:rPr>
              <w:t>$</w:t>
            </w: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13,687</w:t>
            </w:r>
          </w:p>
        </w:tc>
        <w:tc>
          <w:tcPr>
            <w:tcW w:w="0" w:type="dxa"/>
            <w:vAlign w:val="bottom"/>
          </w:tcPr>
          <w:p>
            <w:pPr>
              <w:spacing w:after="0"/>
              <w:rPr>
                <w:sz w:val="1"/>
                <w:szCs w:val="1"/>
                <w:color w:val="auto"/>
              </w:rPr>
            </w:pPr>
          </w:p>
        </w:tc>
      </w:tr>
      <w:tr>
        <w:trPr>
          <w:trHeight w:val="172"/>
        </w:trPr>
        <w:tc>
          <w:tcPr>
            <w:tcW w:w="5240" w:type="dxa"/>
            <w:vAlign w:val="bottom"/>
          </w:tcPr>
          <w:p>
            <w:pPr>
              <w:ind w:left="40"/>
              <w:spacing w:after="0"/>
              <w:rPr>
                <w:sz w:val="20"/>
                <w:szCs w:val="20"/>
                <w:color w:val="auto"/>
              </w:rPr>
            </w:pPr>
            <w:r>
              <w:rPr>
                <w:rFonts w:ascii="Arial" w:cs="Arial" w:eastAsia="Arial" w:hAnsi="Arial"/>
                <w:sz w:val="13"/>
                <w:szCs w:val="13"/>
                <w:color w:val="auto"/>
              </w:rPr>
              <w:t>Income taxes paid</w:t>
            </w:r>
          </w:p>
        </w:tc>
        <w:tc>
          <w:tcPr>
            <w:tcW w:w="150" w:type="dxa"/>
            <w:vAlign w:val="bottom"/>
          </w:tcPr>
          <w:p>
            <w:pPr>
              <w:jc w:val="right"/>
              <w:spacing w:after="0"/>
              <w:rPr>
                <w:sz w:val="20"/>
                <w:szCs w:val="20"/>
                <w:color w:val="auto"/>
              </w:rPr>
            </w:pPr>
            <w:r>
              <w:rPr>
                <w:rFonts w:ascii="Arial" w:cs="Arial" w:eastAsia="Arial" w:hAnsi="Arial"/>
                <w:sz w:val="13"/>
                <w:szCs w:val="13"/>
                <w:color w:val="auto"/>
              </w:rPr>
              <w:t>$</w:t>
            </w:r>
          </w:p>
        </w:tc>
        <w:tc>
          <w:tcPr>
            <w:tcW w:w="990" w:type="dxa"/>
            <w:vAlign w:val="bottom"/>
          </w:tcPr>
          <w:p>
            <w:pPr>
              <w:jc w:val="right"/>
              <w:ind w:right="13"/>
              <w:spacing w:after="0"/>
              <w:rPr>
                <w:sz w:val="20"/>
                <w:szCs w:val="20"/>
                <w:color w:val="auto"/>
              </w:rPr>
            </w:pPr>
            <w:r>
              <w:rPr>
                <w:rFonts w:ascii="Arial" w:cs="Arial" w:eastAsia="Arial" w:hAnsi="Arial"/>
                <w:sz w:val="13"/>
                <w:szCs w:val="13"/>
                <w:color w:val="auto"/>
              </w:rPr>
              <w:t>3,880</w:t>
            </w:r>
          </w:p>
        </w:tc>
        <w:tc>
          <w:tcPr>
            <w:tcW w:w="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Pr>
          <w:p>
            <w:pPr>
              <w:spacing w:after="0"/>
              <w:rPr>
                <w:sz w:val="14"/>
                <w:szCs w:val="14"/>
                <w:color w:val="auto"/>
              </w:rPr>
            </w:pPr>
          </w:p>
        </w:tc>
        <w:tc>
          <w:tcPr>
            <w:tcW w:w="700" w:type="dxa"/>
            <w:vAlign w:val="bottom"/>
          </w:tcPr>
          <w:p>
            <w:pPr>
              <w:jc w:val="right"/>
              <w:ind w:right="13"/>
              <w:spacing w:after="0"/>
              <w:rPr>
                <w:sz w:val="20"/>
                <w:szCs w:val="20"/>
                <w:color w:val="auto"/>
              </w:rPr>
            </w:pPr>
            <w:r>
              <w:rPr>
                <w:rFonts w:ascii="Arial" w:cs="Arial" w:eastAsia="Arial" w:hAnsi="Arial"/>
                <w:sz w:val="13"/>
                <w:szCs w:val="13"/>
                <w:color w:val="auto"/>
              </w:rPr>
              <w:t>4,270</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80" w:hanging="145"/>
        <w:spacing w:after="0"/>
        <w:tabs>
          <w:tab w:leader="none" w:pos="680"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For the six-months ended June 30, 2021, this line represents the Provision for loan losses.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407" w:right="1440" w:bottom="1440" w:gutter="0" w:footer="0" w:header="0"/>
        </w:sectPr>
      </w:pPr>
    </w:p>
    <w:bookmarkStart w:id="9" w:name="page10"/>
    <w:bookmarkEnd w:id="9"/>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rFonts w:ascii="Arial" w:cs="Arial" w:eastAsia="Arial" w:hAnsi="Arial"/>
          <w:sz w:val="14"/>
          <w:szCs w:val="14"/>
          <w:color w:val="0000FF"/>
        </w:rPr>
      </w:pP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(unaudited)</w:t>
      </w:r>
    </w:p>
    <w:p>
      <w:pPr>
        <w:spacing w:after="0" w:line="3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Note 1: Nature of Operations and Summary of Significant Accounting Policies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Organization and Nature of Operations</w:t>
      </w:r>
    </w:p>
    <w:p>
      <w:pPr>
        <w:spacing w:after="0" w:line="237" w:lineRule="exact"/>
        <w:rPr>
          <w:sz w:val="20"/>
          <w:szCs w:val="20"/>
          <w:color w:val="auto"/>
        </w:rPr>
      </w:pPr>
    </w:p>
    <w:p>
      <w:pPr>
        <w:jc w:val="both"/>
        <w:ind w:left="640" w:right="1019" w:firstLine="384"/>
        <w:spacing w:after="0" w:line="341" w:lineRule="auto"/>
        <w:rPr>
          <w:sz w:val="20"/>
          <w:szCs w:val="20"/>
          <w:color w:val="auto"/>
        </w:rPr>
      </w:pPr>
      <w:r>
        <w:rPr>
          <w:rFonts w:ascii="Arial" w:cs="Arial" w:eastAsia="Arial" w:hAnsi="Arial"/>
          <w:sz w:val="13"/>
          <w:szCs w:val="13"/>
          <w:color w:val="auto"/>
        </w:rPr>
        <w:t>CrossFirst Bankshares, Inc. (the “Company”) is a bank holding company whose principal activities are the ownership and management of its wholly-owned subsidiary, CrossFirst Bank (the “Bank”). In addition, the Bank has three subsidiaries including CrossFirst Investments, Inc. (“CFI”) that holds investments in marketable securities, CFBSA I, LLC and CFBSA II, LLC.</w:t>
      </w:r>
    </w:p>
    <w:p>
      <w:pPr>
        <w:spacing w:after="0" w:line="142" w:lineRule="exact"/>
        <w:rPr>
          <w:sz w:val="20"/>
          <w:szCs w:val="20"/>
          <w:color w:val="auto"/>
        </w:rPr>
      </w:pPr>
    </w:p>
    <w:p>
      <w:pPr>
        <w:ind w:left="640" w:right="739" w:firstLine="384"/>
        <w:spacing w:after="0" w:line="308" w:lineRule="auto"/>
        <w:rPr>
          <w:sz w:val="20"/>
          <w:szCs w:val="20"/>
          <w:color w:val="auto"/>
        </w:rPr>
      </w:pPr>
      <w:r>
        <w:rPr>
          <w:rFonts w:ascii="Arial" w:cs="Arial" w:eastAsia="Arial" w:hAnsi="Arial"/>
          <w:sz w:val="14"/>
          <w:szCs w:val="14"/>
          <w:color w:val="auto"/>
        </w:rPr>
        <w:t>The Bank is primarily engaged in providing a full range of banking and financial services to individual and corporate customers through its branches in: (i) Leawood, Kansas; (ii) Wichita, Kansas; (iii) Kansas City, Missouri; (iv) Oklahoma City, Oklahoma; (v) Tulsa, Oklahoma; (vi) Dallas, Texas; (vii) Frisco, Texas; and (viii) Phoenix, Arizona.</w:t>
      </w:r>
    </w:p>
    <w:p>
      <w:pPr>
        <w:spacing w:after="0" w:line="170" w:lineRule="exact"/>
        <w:rPr>
          <w:sz w:val="20"/>
          <w:szCs w:val="20"/>
          <w:color w:val="auto"/>
        </w:rPr>
      </w:pPr>
    </w:p>
    <w:p>
      <w:pPr>
        <w:ind w:left="640" w:right="679" w:firstLine="384"/>
        <w:spacing w:after="0" w:line="301" w:lineRule="auto"/>
        <w:rPr>
          <w:sz w:val="20"/>
          <w:szCs w:val="20"/>
          <w:color w:val="auto"/>
        </w:rPr>
      </w:pPr>
      <w:r>
        <w:rPr>
          <w:rFonts w:ascii="Arial" w:cs="Arial" w:eastAsia="Arial" w:hAnsi="Arial"/>
          <w:sz w:val="14"/>
          <w:szCs w:val="14"/>
          <w:color w:val="auto"/>
        </w:rPr>
        <w:t>On June 13, 2022, the Company announced its entry into an agreement under which the Bank will acquire Farmers &amp; Stockmens Bank, the bank subsidiary of Central Bancorp, Inc. (collectively, Farmers &amp; Stockmens Bank and Central Bancorp, Inc. are herein referred as “Central”), for approximately $75 million in cash. Central has branches in Colorado and New Mexico. The transaction is currently expected to close in the second half of 2022, subject to approval by Central shareholders and bank regulatory authorities, as well as the satisfaction of other customary closing conditions.</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Basis of Presentation</w:t>
      </w:r>
    </w:p>
    <w:p>
      <w:pPr>
        <w:spacing w:after="0" w:line="237" w:lineRule="exact"/>
        <w:rPr>
          <w:sz w:val="20"/>
          <w:szCs w:val="20"/>
          <w:color w:val="auto"/>
        </w:rPr>
      </w:pPr>
    </w:p>
    <w:p>
      <w:pPr>
        <w:ind w:left="640" w:right="739" w:firstLine="384"/>
        <w:spacing w:after="0" w:line="300" w:lineRule="auto"/>
        <w:rPr>
          <w:sz w:val="20"/>
          <w:szCs w:val="20"/>
          <w:color w:val="auto"/>
        </w:rPr>
      </w:pPr>
      <w:r>
        <w:rPr>
          <w:rFonts w:ascii="Arial" w:cs="Arial" w:eastAsia="Arial" w:hAnsi="Arial"/>
          <w:sz w:val="14"/>
          <w:szCs w:val="14"/>
          <w:color w:val="auto"/>
        </w:rPr>
        <w:t>The Company’s accounting and reporting policies conform to accounting principles generally accepted in the United States (“GAAP”). The consolidated financial statements include the accounts of the Company, the Bank, CFI, CFBSA I, LLC and CFBSA II, LLC. All significant intercompany accounts and transactions have been eliminated in consolidation.</w:t>
      </w:r>
    </w:p>
    <w:p>
      <w:pPr>
        <w:spacing w:after="0" w:line="175" w:lineRule="exact"/>
        <w:rPr>
          <w:sz w:val="20"/>
          <w:szCs w:val="20"/>
          <w:color w:val="auto"/>
        </w:rPr>
      </w:pPr>
    </w:p>
    <w:p>
      <w:pPr>
        <w:ind w:left="640" w:right="639" w:firstLine="384"/>
        <w:spacing w:after="0" w:line="330" w:lineRule="auto"/>
        <w:rPr>
          <w:sz w:val="20"/>
          <w:szCs w:val="20"/>
          <w:color w:val="auto"/>
        </w:rPr>
      </w:pPr>
      <w:r>
        <w:rPr>
          <w:rFonts w:ascii="Arial" w:cs="Arial" w:eastAsia="Arial" w:hAnsi="Arial"/>
          <w:sz w:val="13"/>
          <w:szCs w:val="13"/>
          <w:color w:val="auto"/>
        </w:rPr>
        <w:t>The condensed consolidated interim financial statements are unaudited. Certain information and footnote disclosures presented in accordance with GAAP have been condensed or omitted and should be read in conjunction with the Company’s consolidated financial statements and footnotes included in the Company’s Annual Report on Form 10-K for the year ended December 31, 2021 (the “2021 Form 10-K”), filed with the Securities and Exchange Commission (the “SEC”) on February 28, 2022.</w:t>
      </w:r>
    </w:p>
    <w:p>
      <w:pPr>
        <w:spacing w:after="0" w:line="159" w:lineRule="exact"/>
        <w:rPr>
          <w:sz w:val="20"/>
          <w:szCs w:val="20"/>
          <w:color w:val="auto"/>
        </w:rPr>
      </w:pPr>
    </w:p>
    <w:p>
      <w:pPr>
        <w:ind w:left="640" w:right="759" w:firstLine="416"/>
        <w:spacing w:after="0" w:line="301" w:lineRule="auto"/>
        <w:rPr>
          <w:sz w:val="20"/>
          <w:szCs w:val="20"/>
          <w:color w:val="auto"/>
        </w:rPr>
      </w:pPr>
      <w:r>
        <w:rPr>
          <w:rFonts w:ascii="Arial" w:cs="Arial" w:eastAsia="Arial" w:hAnsi="Arial"/>
          <w:sz w:val="14"/>
          <w:szCs w:val="14"/>
          <w:color w:val="auto"/>
        </w:rPr>
        <w:t>In the opinion of management, the interim financial statements include all adjustments which are of a normal, recurring nature necessary for the fair presentation of the financial position, results of operations, and cash flows of the Company. The consolidated financial statements have been prepared in accordance with GAAP for interim financial information and the instructions to Form 10-Q adopted by the SEC.</w:t>
      </w:r>
    </w:p>
    <w:p>
      <w:pPr>
        <w:spacing w:after="0" w:line="174" w:lineRule="exact"/>
        <w:rPr>
          <w:sz w:val="20"/>
          <w:szCs w:val="20"/>
          <w:color w:val="auto"/>
        </w:rPr>
      </w:pPr>
    </w:p>
    <w:p>
      <w:pPr>
        <w:ind w:left="640" w:right="619" w:firstLine="384"/>
        <w:spacing w:after="0" w:line="301" w:lineRule="auto"/>
        <w:rPr>
          <w:sz w:val="20"/>
          <w:szCs w:val="20"/>
          <w:color w:val="auto"/>
        </w:rPr>
      </w:pPr>
      <w:r>
        <w:rPr>
          <w:rFonts w:ascii="Arial" w:cs="Arial" w:eastAsia="Arial" w:hAnsi="Arial"/>
          <w:sz w:val="14"/>
          <w:szCs w:val="14"/>
          <w:color w:val="auto"/>
        </w:rPr>
        <w:t>Refer to the “accounting pronouncements implemented” below for changes in the accounting policies of the Company. No significant changes to the Company’s accounting policies, other than those mentioned under “accounting pronouncements implemented” below, have occurred since December 31, 2021, the most recent date audited financial statements were provided within the Company’s 2021 Form 10-K. Operating results for the interim periods disclosed herein are not necessarily indicative of the results that may be expected for a full year or any future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Use of Estimates</w:t>
      </w:r>
    </w:p>
    <w:p>
      <w:pPr>
        <w:spacing w:after="0" w:line="237" w:lineRule="exact"/>
        <w:rPr>
          <w:sz w:val="20"/>
          <w:szCs w:val="20"/>
          <w:color w:val="auto"/>
        </w:rPr>
      </w:pPr>
    </w:p>
    <w:p>
      <w:pPr>
        <w:ind w:left="640" w:right="759" w:firstLine="384"/>
        <w:spacing w:after="0" w:line="297" w:lineRule="auto"/>
        <w:rPr>
          <w:sz w:val="20"/>
          <w:szCs w:val="20"/>
          <w:color w:val="auto"/>
        </w:rPr>
      </w:pPr>
      <w:r>
        <w:rPr>
          <w:rFonts w:ascii="Arial" w:cs="Arial" w:eastAsia="Arial" w:hAnsi="Arial"/>
          <w:sz w:val="14"/>
          <w:szCs w:val="14"/>
          <w:color w:val="auto"/>
        </w:rPr>
        <w:t>The Company identified accounting policies and estimates that, due to the difficult, subjective or complex judgments and assumptions inherent in those policies and estimates and the potential sensitivity of the Company’s financial statements to those judgments and assumptions, are critical to an understanding of the Company’s financial condition and results of operations. Actual results could differ from those estimates. The allowance for credit losses, deferred tax asset, and fair value of financial instruments are particularly susceptible to significant change.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460" w:right="1440"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6"/>
          <w:szCs w:val="16"/>
          <w:u w:val="single" w:color="auto"/>
          <w:color w:val="auto"/>
        </w:rPr>
        <w:t>Cash Equivalents</w:t>
      </w:r>
    </w:p>
    <w:p>
      <w:pPr>
        <w:spacing w:after="0" w:line="237" w:lineRule="exact"/>
        <w:rPr>
          <w:sz w:val="20"/>
          <w:szCs w:val="20"/>
          <w:color w:val="auto"/>
        </w:rPr>
      </w:pPr>
    </w:p>
    <w:p>
      <w:pPr>
        <w:ind w:left="1020"/>
        <w:spacing w:after="0"/>
        <w:rPr>
          <w:sz w:val="20"/>
          <w:szCs w:val="20"/>
          <w:color w:val="auto"/>
        </w:rPr>
      </w:pPr>
      <w:r>
        <w:rPr>
          <w:rFonts w:ascii="Arial" w:cs="Arial" w:eastAsia="Arial" w:hAnsi="Arial"/>
          <w:sz w:val="13"/>
          <w:szCs w:val="13"/>
          <w:color w:val="auto"/>
        </w:rPr>
        <w:t>The Company had $174 million of cash and cash equivalents at the Federal Reserve Bank of Kansas City as of June 30, 2022.</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Emerging Growth Company (“EGC”)</w:t>
      </w:r>
    </w:p>
    <w:p>
      <w:pPr>
        <w:spacing w:after="0" w:line="237" w:lineRule="exact"/>
        <w:rPr>
          <w:sz w:val="20"/>
          <w:szCs w:val="20"/>
          <w:color w:val="auto"/>
        </w:rPr>
      </w:pPr>
    </w:p>
    <w:p>
      <w:pPr>
        <w:ind w:left="640" w:right="819" w:firstLine="384"/>
        <w:spacing w:after="0" w:line="325" w:lineRule="auto"/>
        <w:rPr>
          <w:sz w:val="20"/>
          <w:szCs w:val="20"/>
          <w:color w:val="auto"/>
        </w:rPr>
      </w:pPr>
      <w:r>
        <w:rPr>
          <w:rFonts w:ascii="Arial" w:cs="Arial" w:eastAsia="Arial" w:hAnsi="Arial"/>
          <w:sz w:val="13"/>
          <w:szCs w:val="13"/>
          <w:color w:val="auto"/>
        </w:rPr>
        <w:t>The Company is currently an EGC. An EGC may take advantage of reduced reporting requirements and is relieved of certain other significant requirements that are otherwise generally applicable to public companies. Among the reductions and reliefs, the Company elected to extend the transition period for complying with new or revised accounting standards affecting public companies. This means that the financial statements the Company files or furnishes will not be subject to all new or revised accounting standards generally applicable to public companies for the transition period for so long as the Company remains an EGC or until the Company affirmatively and irrevocably opts out of the extended transition period under the JOBS Act.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Accounting Pronouncements Implemented</w:t>
      </w:r>
    </w:p>
    <w:p>
      <w:pPr>
        <w:spacing w:after="0" w:line="221" w:lineRule="exact"/>
        <w:rPr>
          <w:sz w:val="20"/>
          <w:szCs w:val="20"/>
          <w:color w:val="auto"/>
        </w:rPr>
      </w:pPr>
    </w:p>
    <w:p>
      <w:pPr>
        <w:ind w:left="640" w:right="1359"/>
        <w:spacing w:after="0" w:line="299" w:lineRule="auto"/>
        <w:rPr>
          <w:sz w:val="20"/>
          <w:szCs w:val="20"/>
          <w:color w:val="auto"/>
        </w:rPr>
      </w:pPr>
      <w:r>
        <w:rPr>
          <w:rFonts w:ascii="Arial" w:cs="Arial" w:eastAsia="Arial" w:hAnsi="Arial"/>
          <w:sz w:val="16"/>
          <w:szCs w:val="16"/>
          <w:b w:val="1"/>
          <w:bCs w:val="1"/>
          <w:i w:val="1"/>
          <w:iCs w:val="1"/>
          <w:color w:val="auto"/>
        </w:rPr>
        <w:t>ASU 2016-13, Financial Instruments-Credit Losses (Topic 326): Measurement of Credit Losses on Financial Instruments:</w:t>
      </w:r>
    </w:p>
    <w:p>
      <w:pPr>
        <w:spacing w:after="0" w:line="193" w:lineRule="exact"/>
        <w:rPr>
          <w:sz w:val="20"/>
          <w:szCs w:val="20"/>
          <w:color w:val="auto"/>
        </w:rPr>
      </w:pPr>
    </w:p>
    <w:p>
      <w:pPr>
        <w:ind w:left="1020" w:right="659"/>
        <w:spacing w:after="0" w:line="363" w:lineRule="auto"/>
        <w:rPr>
          <w:sz w:val="20"/>
          <w:szCs w:val="20"/>
          <w:color w:val="auto"/>
        </w:rPr>
      </w:pPr>
      <w:r>
        <w:rPr>
          <w:rFonts w:ascii="Arial" w:cs="Arial" w:eastAsia="Arial" w:hAnsi="Arial"/>
          <w:sz w:val="12"/>
          <w:szCs w:val="12"/>
          <w:b w:val="1"/>
          <w:bCs w:val="1"/>
          <w:color w:val="auto"/>
        </w:rPr>
        <w:t xml:space="preserve">Background </w:t>
      </w:r>
      <w:r>
        <w:rPr>
          <w:rFonts w:ascii="Arial" w:cs="Arial" w:eastAsia="Arial" w:hAnsi="Arial"/>
          <w:sz w:val="12"/>
          <w:szCs w:val="12"/>
          <w:color w:val="auto"/>
        </w:rPr>
        <w:t>– ASU 2016-13 and its subsequent amendments provide new guidance on the impairment model for financial assets</w:t>
      </w:r>
      <w:r>
        <w:rPr>
          <w:rFonts w:ascii="Arial" w:cs="Arial" w:eastAsia="Arial" w:hAnsi="Arial"/>
          <w:sz w:val="12"/>
          <w:szCs w:val="12"/>
          <w:b w:val="1"/>
          <w:bCs w:val="1"/>
          <w:color w:val="auto"/>
        </w:rPr>
        <w:t xml:space="preserve"> </w:t>
      </w:r>
      <w:r>
        <w:rPr>
          <w:rFonts w:ascii="Arial" w:cs="Arial" w:eastAsia="Arial" w:hAnsi="Arial"/>
          <w:sz w:val="12"/>
          <w:szCs w:val="12"/>
          <w:color w:val="auto"/>
        </w:rPr>
        <w:t>measured at amortized cost, including loans held-for-investment and off-balance sheet credit exposures. The Current Expected Credit Loss (“CECL”) model requires an estimate of expected credit losses, measured over the contractual life of an instrument, that considers forecasts of future economic conditions in addition to information about past events and current conditions. ASU 2016-13 requires new disclosures, including the use of vintage analysis on the Company’s credit quality indicators.</w:t>
      </w:r>
    </w:p>
    <w:p>
      <w:pPr>
        <w:spacing w:after="0" w:line="134" w:lineRule="exact"/>
        <w:rPr>
          <w:sz w:val="20"/>
          <w:szCs w:val="20"/>
          <w:color w:val="auto"/>
        </w:rPr>
      </w:pPr>
    </w:p>
    <w:p>
      <w:pPr>
        <w:ind w:left="1020" w:right="639"/>
        <w:spacing w:after="0" w:line="308" w:lineRule="auto"/>
        <w:rPr>
          <w:sz w:val="20"/>
          <w:szCs w:val="20"/>
          <w:color w:val="auto"/>
        </w:rPr>
      </w:pPr>
      <w:r>
        <w:rPr>
          <w:rFonts w:ascii="Arial" w:cs="Arial" w:eastAsia="Arial" w:hAnsi="Arial"/>
          <w:sz w:val="14"/>
          <w:szCs w:val="14"/>
          <w:color w:val="auto"/>
        </w:rPr>
        <w:t>In addition, ASU 2016-13 removes the available-for-sale (“AFS”) securities other-than-temporary-impairment model that reduced the cost basis of the investment and is replaced with an impairment model that will recognize an allowance for credit losses on available-for-sale securities.</w:t>
      </w:r>
    </w:p>
    <w:p>
      <w:pPr>
        <w:spacing w:after="0" w:line="166" w:lineRule="exact"/>
        <w:rPr>
          <w:sz w:val="20"/>
          <w:szCs w:val="20"/>
          <w:color w:val="auto"/>
        </w:rPr>
      </w:pPr>
    </w:p>
    <w:p>
      <w:pPr>
        <w:jc w:val="both"/>
        <w:ind w:left="1020" w:right="699"/>
        <w:spacing w:after="0" w:line="273" w:lineRule="auto"/>
        <w:rPr>
          <w:sz w:val="20"/>
          <w:szCs w:val="20"/>
          <w:color w:val="auto"/>
        </w:rPr>
      </w:pPr>
      <w:r>
        <w:rPr>
          <w:rFonts w:ascii="Arial" w:cs="Arial" w:eastAsia="Arial" w:hAnsi="Arial"/>
          <w:sz w:val="14"/>
          <w:szCs w:val="14"/>
          <w:b w:val="1"/>
          <w:bCs w:val="1"/>
          <w:color w:val="auto"/>
        </w:rPr>
        <w:t xml:space="preserve">Implementation </w:t>
      </w:r>
      <w:r>
        <w:rPr>
          <w:rFonts w:ascii="Arial" w:cs="Arial" w:eastAsia="Arial" w:hAnsi="Arial"/>
          <w:sz w:val="14"/>
          <w:szCs w:val="14"/>
          <w:color w:val="auto"/>
        </w:rPr>
        <w:t>– The Company established a CECL committee to formulate and oversee the implementation process including</w:t>
      </w:r>
      <w:r>
        <w:rPr>
          <w:rFonts w:ascii="Arial" w:cs="Arial" w:eastAsia="Arial" w:hAnsi="Arial"/>
          <w:sz w:val="14"/>
          <w:szCs w:val="14"/>
          <w:b w:val="1"/>
          <w:bCs w:val="1"/>
          <w:color w:val="auto"/>
        </w:rPr>
        <w:t xml:space="preserve"> </w:t>
      </w:r>
      <w:r>
        <w:rPr>
          <w:rFonts w:ascii="Arial" w:cs="Arial" w:eastAsia="Arial" w:hAnsi="Arial"/>
          <w:sz w:val="14"/>
          <w:szCs w:val="14"/>
          <w:color w:val="auto"/>
        </w:rPr>
        <w:t>selection, implementation, and testing of third-party software.</w:t>
      </w:r>
    </w:p>
    <w:p>
      <w:pPr>
        <w:spacing w:after="0" w:line="129" w:lineRule="exact"/>
        <w:rPr>
          <w:sz w:val="20"/>
          <w:szCs w:val="20"/>
          <w:color w:val="auto"/>
        </w:rPr>
      </w:pPr>
    </w:p>
    <w:p>
      <w:pPr>
        <w:jc w:val="both"/>
        <w:ind w:left="1020" w:right="679"/>
        <w:spacing w:after="0" w:line="343" w:lineRule="auto"/>
        <w:rPr>
          <w:sz w:val="20"/>
          <w:szCs w:val="20"/>
          <w:color w:val="auto"/>
        </w:rPr>
      </w:pPr>
      <w:r>
        <w:rPr>
          <w:rFonts w:ascii="Arial" w:cs="Arial" w:eastAsia="Arial" w:hAnsi="Arial"/>
          <w:sz w:val="12"/>
          <w:szCs w:val="12"/>
          <w:color w:val="auto"/>
        </w:rPr>
        <w:t>The Company used a loss-rate ("cohort") method to estimate the expected allowance for credit losses ("ACL") for all loan pools. The cohort method identifies and captures the balance of a pool of loans with similar risk characteristics, as of a particular point in time to form a cohort, then tracks the respective losses generated by that cohort of loans over their remaining lives, or until the loans are “exhausted” (i.e., have reached an acceptable point in time at which a significant majority of all losses are</w:t>
      </w:r>
    </w:p>
    <w:p>
      <w:pPr>
        <w:spacing w:after="0" w:line="1" w:lineRule="exact"/>
        <w:rPr>
          <w:sz w:val="20"/>
          <w:szCs w:val="20"/>
          <w:color w:val="auto"/>
        </w:rPr>
      </w:pPr>
    </w:p>
    <w:p>
      <w:pPr>
        <w:jc w:val="both"/>
        <w:ind w:left="1020" w:right="659"/>
        <w:spacing w:after="0" w:line="314" w:lineRule="auto"/>
        <w:rPr>
          <w:sz w:val="20"/>
          <w:szCs w:val="20"/>
          <w:color w:val="auto"/>
        </w:rPr>
      </w:pPr>
      <w:r>
        <w:rPr>
          <w:rFonts w:ascii="Arial" w:cs="Arial" w:eastAsia="Arial" w:hAnsi="Arial"/>
          <w:sz w:val="14"/>
          <w:szCs w:val="14"/>
          <w:color w:val="auto"/>
        </w:rPr>
        <w:t>expected to have been recognized). The cohort method closely aligned with the Company's incurred loss model. This allowed the Company to take advantages of the efficiencies of processes and procedures already in practice.</w:t>
      </w:r>
    </w:p>
    <w:p>
      <w:pPr>
        <w:spacing w:after="0" w:line="166" w:lineRule="exact"/>
        <w:rPr>
          <w:sz w:val="20"/>
          <w:szCs w:val="20"/>
          <w:color w:val="auto"/>
        </w:rPr>
      </w:pPr>
    </w:p>
    <w:p>
      <w:pPr>
        <w:ind w:left="1020" w:right="639"/>
        <w:spacing w:after="0" w:line="324" w:lineRule="auto"/>
        <w:rPr>
          <w:sz w:val="20"/>
          <w:szCs w:val="20"/>
          <w:color w:val="auto"/>
        </w:rPr>
      </w:pPr>
      <w:r>
        <w:rPr>
          <w:rFonts w:ascii="Arial" w:cs="Arial" w:eastAsia="Arial" w:hAnsi="Arial"/>
          <w:sz w:val="13"/>
          <w:szCs w:val="13"/>
          <w:color w:val="auto"/>
        </w:rPr>
        <w:t>The Company began parallel processing with the existing allowance for loan losses model during the first quarter of 2019 recalibrating inputs as necessary. The Company formulated changes to policies, procedures, disclosures, and internal controls that were necessary to transition to the new standard. A third-party completed validation of the completeness, accuracy, and reasonableness of the model in the fourth quarter of 2021. Refer to “Note 4: Loans and Allowance for Credit Losses” for additional information regarding the policies, procedures, and credit quality indicators used by the Company.</w:t>
      </w:r>
    </w:p>
    <w:p>
      <w:pPr>
        <w:spacing w:after="0" w:line="129" w:lineRule="exact"/>
        <w:rPr>
          <w:sz w:val="20"/>
          <w:szCs w:val="20"/>
          <w:color w:val="auto"/>
        </w:rPr>
      </w:pPr>
    </w:p>
    <w:p>
      <w:pPr>
        <w:ind w:left="1020" w:right="799"/>
        <w:spacing w:after="0" w:line="367" w:lineRule="auto"/>
        <w:rPr>
          <w:sz w:val="20"/>
          <w:szCs w:val="20"/>
          <w:color w:val="auto"/>
        </w:rPr>
      </w:pPr>
      <w:r>
        <w:rPr>
          <w:rFonts w:ascii="Arial" w:cs="Arial" w:eastAsia="Arial" w:hAnsi="Arial"/>
          <w:sz w:val="12"/>
          <w:szCs w:val="12"/>
          <w:b w:val="1"/>
          <w:bCs w:val="1"/>
          <w:color w:val="auto"/>
        </w:rPr>
        <w:t xml:space="preserve">Impact of adoption </w:t>
      </w:r>
      <w:r>
        <w:rPr>
          <w:rFonts w:ascii="Arial" w:cs="Arial" w:eastAsia="Arial" w:hAnsi="Arial"/>
          <w:sz w:val="12"/>
          <w:szCs w:val="12"/>
          <w:color w:val="auto"/>
        </w:rPr>
        <w:t>– The Company adopted ASU 2016-13 on January 1, 2022 using the modified retrospective approach. All</w:t>
      </w:r>
      <w:r>
        <w:rPr>
          <w:rFonts w:ascii="Arial" w:cs="Arial" w:eastAsia="Arial" w:hAnsi="Arial"/>
          <w:sz w:val="12"/>
          <w:szCs w:val="12"/>
          <w:b w:val="1"/>
          <w:bCs w:val="1"/>
          <w:color w:val="auto"/>
        </w:rPr>
        <w:t xml:space="preserve"> </w:t>
      </w:r>
      <w:r>
        <w:rPr>
          <w:rFonts w:ascii="Arial" w:cs="Arial" w:eastAsia="Arial" w:hAnsi="Arial"/>
          <w:sz w:val="12"/>
          <w:szCs w:val="12"/>
          <w:color w:val="auto"/>
        </w:rPr>
        <w:t>disclosures as of and for the three- and six-month periods ended June 30, 2022 are presented in accordance with ASC 326, Financial Instruments-Credit Losses. The Company did not recast comparative financial periods and has presented those disclosures under previously applicable GAAP. Because the Company chose the cohort method, the model must consider net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9019"/>
          </w:cols>
          <w:pgMar w:left="1440" w:top="460" w:right="1440"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000" w:right="979"/>
        <w:spacing w:after="0" w:line="294" w:lineRule="auto"/>
        <w:rPr>
          <w:sz w:val="20"/>
          <w:szCs w:val="20"/>
          <w:color w:val="auto"/>
        </w:rPr>
      </w:pPr>
      <w:r>
        <w:rPr>
          <w:rFonts w:ascii="Arial" w:cs="Arial" w:eastAsia="Arial" w:hAnsi="Arial"/>
          <w:sz w:val="14"/>
          <w:szCs w:val="14"/>
          <w:color w:val="auto"/>
        </w:rPr>
        <w:t>deferred fees and costs. As a result, the Company transferred the previously disclosed unearned fees into the applicable loan segments.</w:t>
      </w:r>
    </w:p>
    <w:p>
      <w:pPr>
        <w:jc w:val="both"/>
        <w:ind w:left="1000" w:right="759"/>
        <w:spacing w:after="0" w:line="308" w:lineRule="auto"/>
        <w:rPr>
          <w:sz w:val="20"/>
          <w:szCs w:val="20"/>
          <w:color w:val="auto"/>
        </w:rPr>
      </w:pPr>
      <w:r>
        <w:rPr>
          <w:rFonts w:ascii="Arial" w:cs="Arial" w:eastAsia="Arial" w:hAnsi="Arial"/>
          <w:sz w:val="14"/>
          <w:szCs w:val="14"/>
          <w:color w:val="auto"/>
        </w:rPr>
        <w:t>The Company used the prospective transition approach for AFS securities for which other-than-temporary-impairment has been recognized prior to January 1, 2022. As a result, the amortized cost basis remains the same before and after the effective date of ASU 2016-13.</w:t>
      </w:r>
    </w:p>
    <w:p>
      <w:pPr>
        <w:spacing w:after="0" w:line="159" w:lineRule="exact"/>
        <w:rPr>
          <w:sz w:val="20"/>
          <w:szCs w:val="20"/>
          <w:color w:val="auto"/>
        </w:rPr>
      </w:pPr>
    </w:p>
    <w:p>
      <w:pPr>
        <w:ind w:left="1000" w:right="1139"/>
        <w:spacing w:after="0" w:line="330" w:lineRule="auto"/>
        <w:rPr>
          <w:sz w:val="20"/>
          <w:szCs w:val="20"/>
          <w:color w:val="auto"/>
        </w:rPr>
      </w:pPr>
      <w:r>
        <w:rPr>
          <w:rFonts w:ascii="Arial" w:cs="Arial" w:eastAsia="Arial" w:hAnsi="Arial"/>
          <w:sz w:val="14"/>
          <w:szCs w:val="14"/>
          <w:color w:val="auto"/>
        </w:rPr>
        <w:t>The following table illustrates the impact of adopting ASU 2016-13 and details how outstanding loan balances have been reclassified because of changes made to the Company’s loan segments under CECL:</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January 1, 2022</w:t>
      </w:r>
    </w:p>
    <w:p>
      <w:pPr>
        <w:spacing w:after="0" w:line="106"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1"/>
              </w:rPr>
              <w:t>As Reported under ASU</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5"/>
              </w:rPr>
              <w:t>Impact of ASU 2016-13</w:t>
            </w: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2016-13</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Pre-ASU 2016-13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Adoption</w:t>
            </w: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69"/>
              <w:spacing w:after="0"/>
              <w:rPr>
                <w:sz w:val="20"/>
                <w:szCs w:val="20"/>
                <w:color w:val="auto"/>
              </w:rPr>
            </w:pPr>
            <w:r>
              <w:rPr>
                <w:rFonts w:ascii="Arial" w:cs="Arial" w:eastAsia="Arial" w:hAnsi="Arial"/>
                <w:sz w:val="14"/>
                <w:szCs w:val="14"/>
                <w:i w:val="1"/>
                <w:iCs w:val="1"/>
                <w:color w:val="auto"/>
                <w:w w:val="96"/>
              </w:rPr>
              <w:t>(Dollars 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840" w:type="dxa"/>
            <w:vAlign w:val="bottom"/>
            <w:gridSpan w:val="3"/>
          </w:tcPr>
          <w:p>
            <w:pPr>
              <w:ind w:left="100"/>
              <w:spacing w:after="0"/>
              <w:rPr>
                <w:sz w:val="20"/>
                <w:szCs w:val="20"/>
                <w:color w:val="auto"/>
              </w:rPr>
            </w:pPr>
            <w:r>
              <w:rPr>
                <w:rFonts w:ascii="Arial" w:cs="Arial" w:eastAsia="Arial" w:hAnsi="Arial"/>
                <w:sz w:val="14"/>
                <w:szCs w:val="14"/>
                <w:color w:val="auto"/>
              </w:rPr>
              <w:t>Loans (outstanding balance)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and Industrial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843,024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1,401,681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(558,657)</w:t>
            </w:r>
          </w:p>
        </w:tc>
      </w:tr>
      <w:tr>
        <w:trPr>
          <w:trHeight w:val="192"/>
        </w:trPr>
        <w:tc>
          <w:tcPr>
            <w:tcW w:w="20" w:type="dxa"/>
            <w:vAlign w:val="bottom"/>
          </w:tcPr>
          <w:p>
            <w:pPr>
              <w:spacing w:after="0"/>
              <w:rPr>
                <w:sz w:val="16"/>
                <w:szCs w:val="16"/>
                <w:color w:val="auto"/>
              </w:rPr>
            </w:pPr>
          </w:p>
        </w:tc>
        <w:tc>
          <w:tcPr>
            <w:tcW w:w="2840" w:type="dxa"/>
            <w:vAlign w:val="bottom"/>
            <w:gridSpan w:val="3"/>
          </w:tcPr>
          <w:p>
            <w:pPr>
              <w:ind w:left="220"/>
              <w:spacing w:after="0"/>
              <w:rPr>
                <w:sz w:val="20"/>
                <w:szCs w:val="20"/>
                <w:color w:val="auto"/>
              </w:rPr>
            </w:pPr>
            <w:r>
              <w:rPr>
                <w:rFonts w:ascii="Arial" w:cs="Arial" w:eastAsia="Arial" w:hAnsi="Arial"/>
                <w:sz w:val="14"/>
                <w:szCs w:val="14"/>
                <w:color w:val="auto"/>
              </w:rPr>
              <w:t>Commercial and Industrial lines of credit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617,398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617,398</w:t>
            </w:r>
          </w:p>
        </w:tc>
      </w:tr>
      <w:tr>
        <w:trPr>
          <w:trHeight w:val="192"/>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Energy</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278,579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278,860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r>
      <w:tr>
        <w:trPr>
          <w:trHeight w:val="181"/>
        </w:trPr>
        <w:tc>
          <w:tcPr>
            <w:tcW w:w="20" w:type="dxa"/>
            <w:vAlign w:val="bottom"/>
          </w:tcPr>
          <w:p>
            <w:pPr>
              <w:spacing w:after="0"/>
              <w:rPr>
                <w:sz w:val="15"/>
                <w:szCs w:val="15"/>
                <w:color w:val="auto"/>
              </w:rPr>
            </w:pPr>
          </w:p>
        </w:tc>
        <w:tc>
          <w:tcPr>
            <w:tcW w:w="2840" w:type="dxa"/>
            <w:vAlign w:val="bottom"/>
            <w:gridSpan w:val="3"/>
          </w:tcPr>
          <w:p>
            <w:pPr>
              <w:ind w:left="22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1,278,479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1,281,095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(2,616)</w:t>
            </w:r>
          </w:p>
        </w:tc>
      </w:tr>
      <w:tr>
        <w:trPr>
          <w:trHeight w:val="192"/>
        </w:trPr>
        <w:tc>
          <w:tcPr>
            <w:tcW w:w="20" w:type="dxa"/>
            <w:vAlign w:val="bottom"/>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Construction and land development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574,852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578,758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(3,906)</w:t>
            </w:r>
          </w:p>
        </w:tc>
      </w:tr>
      <w:tr>
        <w:trPr>
          <w:trHeight w:val="192"/>
        </w:trPr>
        <w:tc>
          <w:tcPr>
            <w:tcW w:w="20" w:type="dxa"/>
            <w:vAlign w:val="bottom"/>
          </w:tcPr>
          <w:p>
            <w:pPr>
              <w:spacing w:after="0"/>
              <w:rPr>
                <w:sz w:val="16"/>
                <w:szCs w:val="16"/>
                <w:color w:val="auto"/>
              </w:rPr>
            </w:pPr>
          </w:p>
        </w:tc>
        <w:tc>
          <w:tcPr>
            <w:tcW w:w="2840" w:type="dxa"/>
            <w:vAlign w:val="bottom"/>
            <w:gridSpan w:val="3"/>
          </w:tcPr>
          <w:p>
            <w:pPr>
              <w:ind w:left="220"/>
              <w:spacing w:after="0"/>
              <w:rPr>
                <w:sz w:val="20"/>
                <w:szCs w:val="20"/>
                <w:color w:val="auto"/>
              </w:rPr>
            </w:pPr>
            <w:r>
              <w:rPr>
                <w:rFonts w:ascii="Arial" w:cs="Arial" w:eastAsia="Arial" w:hAnsi="Arial"/>
                <w:sz w:val="14"/>
                <w:szCs w:val="14"/>
                <w:color w:val="auto"/>
              </w:rPr>
              <w:t>Residential real estate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360,046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600,816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(240,770)</w:t>
            </w:r>
          </w:p>
        </w:tc>
      </w:tr>
      <w:tr>
        <w:trPr>
          <w:trHeight w:val="182"/>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Multifamily real estate</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240,230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240,230</w:t>
            </w:r>
          </w:p>
        </w:tc>
      </w:tr>
      <w:tr>
        <w:trPr>
          <w:trHeight w:val="192"/>
        </w:trPr>
        <w:tc>
          <w:tcPr>
            <w:tcW w:w="20" w:type="dxa"/>
            <w:vAlign w:val="bottom"/>
          </w:tcPr>
          <w:p>
            <w:pPr>
              <w:spacing w:after="0"/>
              <w:rPr>
                <w:sz w:val="16"/>
                <w:szCs w:val="16"/>
                <w:color w:val="auto"/>
              </w:rPr>
            </w:pPr>
          </w:p>
        </w:tc>
        <w:tc>
          <w:tcPr>
            <w:tcW w:w="2840" w:type="dxa"/>
            <w:vAlign w:val="bottom"/>
            <w:gridSpan w:val="3"/>
          </w:tcPr>
          <w:p>
            <w:pPr>
              <w:ind w:left="220"/>
              <w:spacing w:after="0"/>
              <w:rPr>
                <w:sz w:val="20"/>
                <w:szCs w:val="20"/>
                <w:color w:val="auto"/>
              </w:rPr>
            </w:pPr>
            <w:r>
              <w:rPr>
                <w:rFonts w:ascii="Arial" w:cs="Arial" w:eastAsia="Arial" w:hAnsi="Arial"/>
                <w:sz w:val="14"/>
                <w:szCs w:val="14"/>
                <w:color w:val="auto"/>
              </w:rPr>
              <w:t>PPP</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64,805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(64,805)</w:t>
            </w:r>
          </w:p>
        </w:tc>
      </w:tr>
      <w:tr>
        <w:trPr>
          <w:trHeight w:val="182"/>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63,605</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63,605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2"/>
          </w:tcPr>
          <w:p>
            <w:pPr>
              <w:ind w:left="60"/>
              <w:spacing w:after="0"/>
              <w:rPr>
                <w:sz w:val="20"/>
                <w:szCs w:val="20"/>
                <w:color w:val="auto"/>
              </w:rPr>
            </w:pPr>
            <w:r>
              <w:rPr>
                <w:rFonts w:ascii="Arial" w:cs="Arial" w:eastAsia="Arial" w:hAnsi="Arial"/>
                <w:sz w:val="14"/>
                <w:szCs w:val="14"/>
                <w:color w:val="auto"/>
              </w:rPr>
              <w:t>Gross Loans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4,256,213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4,269,620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(13,407)</w:t>
            </w:r>
          </w:p>
        </w:tc>
      </w:tr>
      <w:tr>
        <w:trPr>
          <w:trHeight w:val="182"/>
        </w:trPr>
        <w:tc>
          <w:tcPr>
            <w:tcW w:w="20" w:type="dxa"/>
            <w:vAlign w:val="bottom"/>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Net deferred loan fees and costs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(13,407)</w:t>
            </w:r>
          </w:p>
        </w:tc>
      </w:tr>
      <w:tr>
        <w:trPr>
          <w:trHeight w:val="192"/>
        </w:trPr>
        <w:tc>
          <w:tcPr>
            <w:tcW w:w="20" w:type="dxa"/>
            <w:vAlign w:val="bottom"/>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58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Allowance for credit losses on loans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56,628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58,375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w:t>
            </w:r>
          </w:p>
        </w:tc>
      </w:tr>
      <w:tr>
        <w:trPr>
          <w:trHeight w:val="203"/>
        </w:trPr>
        <w:tc>
          <w:tcPr>
            <w:tcW w:w="20" w:type="dxa"/>
            <w:vAlign w:val="bottom"/>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Loans, net of the allowance for credit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61"/>
        </w:trPr>
        <w:tc>
          <w:tcPr>
            <w:tcW w:w="20" w:type="dxa"/>
            <w:vAlign w:val="bottom"/>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losses on loans</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4,199,585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4,197,838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1,747</w:t>
            </w:r>
          </w:p>
        </w:tc>
      </w:tr>
      <w:tr>
        <w:trPr>
          <w:trHeight w:val="192"/>
        </w:trPr>
        <w:tc>
          <w:tcPr>
            <w:tcW w:w="20" w:type="dxa"/>
            <w:vAlign w:val="bottom"/>
          </w:tcPr>
          <w:p>
            <w:pPr>
              <w:spacing w:after="0"/>
              <w:rPr>
                <w:sz w:val="16"/>
                <w:szCs w:val="16"/>
                <w:color w:val="auto"/>
              </w:rPr>
            </w:pPr>
          </w:p>
        </w:tc>
        <w:tc>
          <w:tcPr>
            <w:tcW w:w="2840" w:type="dxa"/>
            <w:vAlign w:val="bottom"/>
            <w:gridSpan w:val="3"/>
          </w:tcPr>
          <w:p>
            <w:pPr>
              <w:ind w:left="100"/>
              <w:spacing w:after="0"/>
              <w:rPr>
                <w:sz w:val="20"/>
                <w:szCs w:val="20"/>
                <w:color w:val="auto"/>
              </w:rPr>
            </w:pPr>
            <w:r>
              <w:rPr>
                <w:rFonts w:ascii="Arial" w:cs="Arial" w:eastAsia="Arial" w:hAnsi="Arial"/>
                <w:sz w:val="14"/>
                <w:szCs w:val="14"/>
                <w:color w:val="auto"/>
              </w:rPr>
              <w:t>Deferred tax asset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13,647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14,474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(827)</w:t>
            </w:r>
          </w:p>
        </w:tc>
      </w:tr>
      <w:tr>
        <w:trPr>
          <w:trHeight w:val="182"/>
        </w:trPr>
        <w:tc>
          <w:tcPr>
            <w:tcW w:w="20" w:type="dxa"/>
            <w:vAlign w:val="bottom"/>
          </w:tcPr>
          <w:p>
            <w:pPr>
              <w:spacing w:after="0"/>
              <w:rPr>
                <w:sz w:val="15"/>
                <w:szCs w:val="15"/>
                <w:color w:val="auto"/>
              </w:rPr>
            </w:pP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2840" w:type="dxa"/>
            <w:vAlign w:val="bottom"/>
            <w:gridSpan w:val="3"/>
          </w:tcPr>
          <w:p>
            <w:pPr>
              <w:ind w:left="100"/>
              <w:spacing w:after="0"/>
              <w:rPr>
                <w:sz w:val="20"/>
                <w:szCs w:val="20"/>
                <w:color w:val="auto"/>
              </w:rPr>
            </w:pPr>
            <w:r>
              <w:rPr>
                <w:rFonts w:ascii="Arial" w:cs="Arial" w:eastAsia="Arial" w:hAnsi="Arial"/>
                <w:sz w:val="14"/>
                <w:szCs w:val="14"/>
                <w:color w:val="auto"/>
              </w:rPr>
              <w:t>Allowance for credit losses on off-balance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2840" w:type="dxa"/>
            <w:vAlign w:val="bottom"/>
            <w:gridSpan w:val="3"/>
          </w:tcPr>
          <w:p>
            <w:pPr>
              <w:ind w:left="100"/>
              <w:spacing w:after="0"/>
              <w:rPr>
                <w:sz w:val="20"/>
                <w:szCs w:val="20"/>
                <w:color w:val="auto"/>
              </w:rPr>
            </w:pPr>
            <w:r>
              <w:rPr>
                <w:rFonts w:ascii="Arial" w:cs="Arial" w:eastAsia="Arial" w:hAnsi="Arial"/>
                <w:sz w:val="14"/>
                <w:szCs w:val="14"/>
                <w:color w:val="auto"/>
              </w:rPr>
              <w:t>sheet exposures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5,184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9"/>
              <w:spacing w:after="0"/>
              <w:rPr>
                <w:sz w:val="20"/>
                <w:szCs w:val="20"/>
                <w:color w:val="auto"/>
              </w:rPr>
            </w:pPr>
            <w:r>
              <w:rPr>
                <w:rFonts w:ascii="Arial" w:cs="Arial" w:eastAsia="Arial" w:hAnsi="Arial"/>
                <w:sz w:val="14"/>
                <w:szCs w:val="14"/>
                <w:color w:val="auto"/>
              </w:rPr>
              <w:t>5,184</w:t>
            </w:r>
          </w:p>
        </w:tc>
      </w:tr>
      <w:tr>
        <w:trPr>
          <w:trHeight w:val="192"/>
        </w:trPr>
        <w:tc>
          <w:tcPr>
            <w:tcW w:w="20" w:type="dxa"/>
            <w:vAlign w:val="bottom"/>
          </w:tcPr>
          <w:p>
            <w:pPr>
              <w:spacing w:after="0"/>
              <w:rPr>
                <w:sz w:val="16"/>
                <w:szCs w:val="16"/>
                <w:color w:val="auto"/>
              </w:rPr>
            </w:pPr>
          </w:p>
        </w:tc>
        <w:tc>
          <w:tcPr>
            <w:tcW w:w="28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Stockholders' equity</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91"/>
        </w:trPr>
        <w:tc>
          <w:tcPr>
            <w:tcW w:w="20" w:type="dxa"/>
            <w:vAlign w:val="bottom"/>
          </w:tcPr>
          <w:p>
            <w:pPr>
              <w:spacing w:after="0"/>
              <w:rPr>
                <w:sz w:val="16"/>
                <w:szCs w:val="16"/>
                <w:color w:val="auto"/>
              </w:rPr>
            </w:pPr>
          </w:p>
        </w:tc>
        <w:tc>
          <w:tcPr>
            <w:tcW w:w="2840" w:type="dxa"/>
            <w:vAlign w:val="bottom"/>
            <w:gridSpan w:val="3"/>
          </w:tcPr>
          <w:p>
            <w:pPr>
              <w:ind w:left="100"/>
              <w:spacing w:after="0"/>
              <w:rPr>
                <w:sz w:val="20"/>
                <w:szCs w:val="20"/>
                <w:color w:val="auto"/>
              </w:rPr>
            </w:pPr>
            <w:r>
              <w:rPr>
                <w:rFonts w:ascii="Arial" w:cs="Arial" w:eastAsia="Arial" w:hAnsi="Arial"/>
                <w:sz w:val="14"/>
                <w:szCs w:val="14"/>
                <w:color w:val="auto"/>
              </w:rPr>
              <w:t>Retained earnings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9"/>
              <w:spacing w:after="0"/>
              <w:rPr>
                <w:sz w:val="20"/>
                <w:szCs w:val="20"/>
                <w:color w:val="auto"/>
              </w:rPr>
            </w:pPr>
            <w:r>
              <w:rPr>
                <w:rFonts w:ascii="Arial" w:cs="Arial" w:eastAsia="Arial" w:hAnsi="Arial"/>
                <w:sz w:val="14"/>
                <w:szCs w:val="14"/>
                <w:color w:val="auto"/>
              </w:rPr>
              <w:t>144,489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9"/>
              <w:spacing w:after="0"/>
              <w:rPr>
                <w:sz w:val="20"/>
                <w:szCs w:val="20"/>
                <w:color w:val="auto"/>
              </w:rPr>
            </w:pPr>
            <w:r>
              <w:rPr>
                <w:rFonts w:ascii="Arial" w:cs="Arial" w:eastAsia="Arial" w:hAnsi="Arial"/>
                <w:sz w:val="14"/>
                <w:szCs w:val="14"/>
                <w:color w:val="auto"/>
              </w:rPr>
              <w:t>147,099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(2,610)</w:t>
            </w:r>
          </w:p>
        </w:tc>
      </w:tr>
    </w:tbl>
    <w:p>
      <w:pPr>
        <w:spacing w:after="0" w:line="151" w:lineRule="exact"/>
        <w:rPr>
          <w:sz w:val="20"/>
          <w:szCs w:val="20"/>
          <w:color w:val="auto"/>
        </w:rPr>
      </w:pPr>
    </w:p>
    <w:p>
      <w:pPr>
        <w:ind w:left="1000" w:right="639"/>
        <w:spacing w:after="0" w:line="357" w:lineRule="auto"/>
        <w:rPr>
          <w:sz w:val="20"/>
          <w:szCs w:val="20"/>
          <w:color w:val="auto"/>
        </w:rPr>
      </w:pPr>
      <w:r>
        <w:rPr>
          <w:rFonts w:ascii="Arial" w:cs="Arial" w:eastAsia="Arial" w:hAnsi="Arial"/>
          <w:sz w:val="12"/>
          <w:szCs w:val="12"/>
          <w:color w:val="auto"/>
        </w:rPr>
        <w:t>In connection with adoption of ASU 2016-13, changes were made to the Company’s loan segments to align with the methodology applied in determining the allowance under CECL. The commercial and industrial loan portfolio was separated into term loans and lines of credit. In addition, the remaining Paycheck Protection Program (“PPP”) loans were consolidated into the commercial and industrial term loan segment due to their declining outstanding balance. The Company also separated the residential and multifamily real estate loan segments. Refer to “Note 4: Loans and Allowance for Credit Losses” for detail on the loan segments.</w:t>
      </w:r>
    </w:p>
    <w:p>
      <w:pPr>
        <w:spacing w:after="0" w:line="14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 xml:space="preserve">Accounting Policies: </w:t>
      </w:r>
      <w:r>
        <w:rPr>
          <w:rFonts w:ascii="Arial" w:cs="Arial" w:eastAsia="Arial" w:hAnsi="Arial"/>
          <w:sz w:val="14"/>
          <w:szCs w:val="14"/>
          <w:color w:val="auto"/>
        </w:rPr>
        <w:t>The Company updated the below accounting policies due to adoption of ASU 2016-13: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9019"/>
          </w:cols>
          <w:pgMar w:left="1440" w:top="460" w:right="1440" w:bottom="1440" w:gutter="0" w:footer="0" w:header="0"/>
        </w:sectPr>
      </w:pPr>
    </w:p>
    <w:bookmarkStart w:id="12" w:name="page13"/>
    <w:bookmarkEnd w:id="12"/>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4"/>
          <w:szCs w:val="14"/>
          <w:i w:val="1"/>
          <w:iCs w:val="1"/>
          <w:color w:val="auto"/>
        </w:rPr>
        <w:t>Accrued Interest -</w:t>
      </w:r>
    </w:p>
    <w:p>
      <w:pPr>
        <w:spacing w:after="0" w:line="234" w:lineRule="exact"/>
        <w:rPr>
          <w:sz w:val="20"/>
          <w:szCs w:val="20"/>
          <w:color w:val="auto"/>
        </w:rPr>
      </w:pPr>
    </w:p>
    <w:p>
      <w:pPr>
        <w:ind w:left="1000" w:right="699"/>
        <w:spacing w:after="0" w:line="298" w:lineRule="auto"/>
        <w:rPr>
          <w:sz w:val="20"/>
          <w:szCs w:val="20"/>
          <w:color w:val="auto"/>
        </w:rPr>
      </w:pPr>
      <w:r>
        <w:rPr>
          <w:rFonts w:ascii="Arial" w:cs="Arial" w:eastAsia="Arial" w:hAnsi="Arial"/>
          <w:sz w:val="14"/>
          <w:szCs w:val="14"/>
          <w:color w:val="auto"/>
        </w:rPr>
        <w:t>The Company made an accounting policy election to exclude accrued interest from the amortized cost basis of loans. In addition, the Company elected not to measure an allowance for credit losses for accrued interest receivable, because a timely write-off policy exists. The policy generally requires loans to be placed on non-accrual when principal or interest is 90 days or more past due unless the loan is well-secured and in the process of collection. A well-secured loan means that collateral or a guaranty has sufficient value to pay off the loan in full. When a loan is placed on non-accrual, accrued interest is reversed against interest income.</w:t>
      </w:r>
    </w:p>
    <w:p>
      <w:pPr>
        <w:spacing w:after="0" w:line="177" w:lineRule="exact"/>
        <w:rPr>
          <w:sz w:val="20"/>
          <w:szCs w:val="20"/>
          <w:color w:val="auto"/>
        </w:rPr>
      </w:pPr>
    </w:p>
    <w:p>
      <w:pPr>
        <w:ind w:left="1000" w:right="719"/>
        <w:spacing w:after="0" w:line="364" w:lineRule="auto"/>
        <w:rPr>
          <w:sz w:val="20"/>
          <w:szCs w:val="20"/>
          <w:color w:val="auto"/>
        </w:rPr>
      </w:pPr>
      <w:r>
        <w:rPr>
          <w:rFonts w:ascii="Arial" w:cs="Arial" w:eastAsia="Arial" w:hAnsi="Arial"/>
          <w:sz w:val="12"/>
          <w:szCs w:val="12"/>
          <w:color w:val="auto"/>
        </w:rPr>
        <w:t>The Company made a policy election to exclude accrued interest from the amortized cost basis of AFS securities. AFS securities are placed on non-accrual status when the Company no longer expects to receive all contractual amounts due, which is generally at 90 days past due. Accrued interest receivable is reversed against interest income when a security is placed on non-accrual status. Accordingly, the Company did not recognize an allowance for credit loss against accrued interest receivable.</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4"/>
          <w:szCs w:val="14"/>
          <w:i w:val="1"/>
          <w:iCs w:val="1"/>
          <w:color w:val="auto"/>
        </w:rPr>
        <w:t>Available-for-sale Securities in an Unrealized Loss Position –</w:t>
      </w:r>
    </w:p>
    <w:p>
      <w:pPr>
        <w:spacing w:after="0" w:line="223" w:lineRule="exact"/>
        <w:rPr>
          <w:sz w:val="20"/>
          <w:szCs w:val="20"/>
          <w:color w:val="auto"/>
        </w:rPr>
      </w:pPr>
    </w:p>
    <w:p>
      <w:pPr>
        <w:ind w:left="1000" w:right="619"/>
        <w:spacing w:after="0" w:line="325" w:lineRule="auto"/>
        <w:rPr>
          <w:sz w:val="20"/>
          <w:szCs w:val="20"/>
          <w:color w:val="auto"/>
        </w:rPr>
      </w:pPr>
      <w:r>
        <w:rPr>
          <w:rFonts w:ascii="Arial" w:cs="Arial" w:eastAsia="Arial" w:hAnsi="Arial"/>
          <w:sz w:val="13"/>
          <w:szCs w:val="13"/>
          <w:color w:val="auto"/>
        </w:rPr>
        <w:t>For AFS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securities’ amortized cost basis is written down to fair value through income. For AFS securities that do not meet the criteria above, the Company evaluates whether the decline in fair value has resulted from credit losses or other factors. Management considers the extent to which fair value is less than amortized cost, any changes to the rating of the security by a rating agency, and adverse conditions specifically related to the security, among other factors.</w:t>
      </w:r>
    </w:p>
    <w:p>
      <w:pPr>
        <w:spacing w:after="0" w:line="162" w:lineRule="exact"/>
        <w:rPr>
          <w:sz w:val="20"/>
          <w:szCs w:val="20"/>
          <w:color w:val="auto"/>
        </w:rPr>
      </w:pPr>
    </w:p>
    <w:p>
      <w:pPr>
        <w:jc w:val="both"/>
        <w:ind w:left="1000" w:right="799"/>
        <w:spacing w:after="0" w:line="301" w:lineRule="auto"/>
        <w:rPr>
          <w:sz w:val="20"/>
          <w:szCs w:val="20"/>
          <w:color w:val="auto"/>
        </w:rPr>
      </w:pPr>
      <w:r>
        <w:rPr>
          <w:rFonts w:ascii="Arial" w:cs="Arial" w:eastAsia="Arial" w:hAnsi="Arial"/>
          <w:sz w:val="14"/>
          <w:szCs w:val="14"/>
          <w:color w:val="auto"/>
        </w:rPr>
        <w:t>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amortized cost basis.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ASU 2016-02, Leases (Topic 842):</w:t>
      </w:r>
    </w:p>
    <w:p>
      <w:pPr>
        <w:spacing w:after="0" w:line="158" w:lineRule="exact"/>
        <w:rPr>
          <w:sz w:val="20"/>
          <w:szCs w:val="20"/>
          <w:color w:val="auto"/>
        </w:rPr>
      </w:pPr>
    </w:p>
    <w:p>
      <w:pPr>
        <w:ind w:left="1020" w:right="659"/>
        <w:spacing w:after="0" w:line="303" w:lineRule="auto"/>
        <w:rPr>
          <w:sz w:val="20"/>
          <w:szCs w:val="20"/>
          <w:color w:val="auto"/>
        </w:rPr>
      </w:pPr>
      <w:r>
        <w:rPr>
          <w:rFonts w:ascii="Arial" w:cs="Arial" w:eastAsia="Arial" w:hAnsi="Arial"/>
          <w:sz w:val="14"/>
          <w:szCs w:val="14"/>
          <w:b w:val="1"/>
          <w:bCs w:val="1"/>
          <w:color w:val="auto"/>
        </w:rPr>
        <w:t xml:space="preserve">Background </w:t>
      </w:r>
      <w:r>
        <w:rPr>
          <w:rFonts w:ascii="Arial" w:cs="Arial" w:eastAsia="Arial" w:hAnsi="Arial"/>
          <w:sz w:val="14"/>
          <w:szCs w:val="14"/>
          <w:color w:val="auto"/>
        </w:rPr>
        <w:t>– ASU 2016-02 and its subsequent amendments require lessees to recognize the assets and liabilities that arise from</w:t>
      </w:r>
      <w:r>
        <w:rPr>
          <w:rFonts w:ascii="Arial" w:cs="Arial" w:eastAsia="Arial" w:hAnsi="Arial"/>
          <w:sz w:val="14"/>
          <w:szCs w:val="14"/>
          <w:b w:val="1"/>
          <w:bCs w:val="1"/>
          <w:color w:val="auto"/>
        </w:rPr>
        <w:t xml:space="preserve"> </w:t>
      </w:r>
      <w:r>
        <w:rPr>
          <w:rFonts w:ascii="Arial" w:cs="Arial" w:eastAsia="Arial" w:hAnsi="Arial"/>
          <w:sz w:val="14"/>
          <w:szCs w:val="14"/>
          <w:color w:val="auto"/>
        </w:rPr>
        <w:t>such leases. This represents a change from previous GAAP that did not require operating leases to be recognized on the lessees’ balance sheet. The purpose of Topic 842 is to increase transparency and comparability between organizations that enter into lease agreements. The update modifies lease disclosure requirements as well.</w:t>
      </w:r>
    </w:p>
    <w:p>
      <w:pPr>
        <w:spacing w:after="0" w:line="173" w:lineRule="exact"/>
        <w:rPr>
          <w:sz w:val="20"/>
          <w:szCs w:val="20"/>
          <w:color w:val="auto"/>
        </w:rPr>
      </w:pPr>
    </w:p>
    <w:p>
      <w:pPr>
        <w:jc w:val="both"/>
        <w:ind w:left="1020" w:right="679"/>
        <w:spacing w:after="0" w:line="301" w:lineRule="auto"/>
        <w:rPr>
          <w:sz w:val="20"/>
          <w:szCs w:val="20"/>
          <w:color w:val="auto"/>
        </w:rPr>
      </w:pPr>
      <w:r>
        <w:rPr>
          <w:rFonts w:ascii="Arial" w:cs="Arial" w:eastAsia="Arial" w:hAnsi="Arial"/>
          <w:sz w:val="14"/>
          <w:szCs w:val="14"/>
          <w:color w:val="auto"/>
        </w:rPr>
        <w:t>On the lease commencement date (or on the date of adoption), a lessee is required to measure and record a lease liability equal to the present value of the remaining lease payments, discounted using an appropriate discount rate. In addition, a right-of-use asset is recorded that consists of the initial measurement of the lease liability adjusted for certain payments, including lease incentives received and initial direct costs.</w:t>
      </w:r>
    </w:p>
    <w:p>
      <w:pPr>
        <w:spacing w:after="0" w:line="174" w:lineRule="exact"/>
        <w:rPr>
          <w:sz w:val="20"/>
          <w:szCs w:val="20"/>
          <w:color w:val="auto"/>
        </w:rPr>
      </w:pPr>
    </w:p>
    <w:p>
      <w:pPr>
        <w:ind w:left="1020" w:right="739"/>
        <w:spacing w:after="0" w:line="301" w:lineRule="auto"/>
        <w:rPr>
          <w:sz w:val="20"/>
          <w:szCs w:val="20"/>
          <w:color w:val="auto"/>
        </w:rPr>
      </w:pPr>
      <w:r>
        <w:rPr>
          <w:rFonts w:ascii="Arial" w:cs="Arial" w:eastAsia="Arial" w:hAnsi="Arial"/>
          <w:sz w:val="14"/>
          <w:szCs w:val="14"/>
          <w:color w:val="auto"/>
        </w:rPr>
        <w:t>For operating leases, after lease commencement, the lease liability is reported at the present value of the unpaid lease payments discounted using the discount rate established at lease commencement. The lease expense is calculated by summing all future lease payments in the lease term and lease incentives not yet recognized. The sum is then amortized on a straight-line basis over the lease term. The right-of-use asset is amortized as the difference between the straight-line expense and the amortizing lease liability.</w:t>
      </w:r>
    </w:p>
    <w:p>
      <w:pPr>
        <w:spacing w:after="0" w:line="171" w:lineRule="exact"/>
        <w:rPr>
          <w:sz w:val="20"/>
          <w:szCs w:val="20"/>
          <w:color w:val="auto"/>
        </w:rPr>
      </w:pPr>
    </w:p>
    <w:p>
      <w:pPr>
        <w:jc w:val="both"/>
        <w:ind w:left="1020" w:right="779"/>
        <w:spacing w:after="0" w:line="374" w:lineRule="auto"/>
        <w:rPr>
          <w:sz w:val="20"/>
          <w:szCs w:val="20"/>
          <w:color w:val="auto"/>
        </w:rPr>
      </w:pPr>
      <w:r>
        <w:rPr>
          <w:rFonts w:ascii="Arial" w:cs="Arial" w:eastAsia="Arial" w:hAnsi="Arial"/>
          <w:sz w:val="12"/>
          <w:szCs w:val="12"/>
          <w:b w:val="1"/>
          <w:bCs w:val="1"/>
          <w:color w:val="auto"/>
        </w:rPr>
        <w:t xml:space="preserve">Implementation </w:t>
      </w:r>
      <w:r>
        <w:rPr>
          <w:rFonts w:ascii="Arial" w:cs="Arial" w:eastAsia="Arial" w:hAnsi="Arial"/>
          <w:sz w:val="12"/>
          <w:szCs w:val="12"/>
          <w:color w:val="auto"/>
        </w:rPr>
        <w:t>– The Company’s lease agreements to which Topic 842 has been applied primarily relate to branch real estate</w:t>
      </w:r>
      <w:r>
        <w:rPr>
          <w:rFonts w:ascii="Arial" w:cs="Arial" w:eastAsia="Arial" w:hAnsi="Arial"/>
          <w:sz w:val="12"/>
          <w:szCs w:val="12"/>
          <w:b w:val="1"/>
          <w:bCs w:val="1"/>
          <w:color w:val="auto"/>
        </w:rPr>
        <w:t xml:space="preserve"> </w:t>
      </w:r>
      <w:r>
        <w:rPr>
          <w:rFonts w:ascii="Arial" w:cs="Arial" w:eastAsia="Arial" w:hAnsi="Arial"/>
          <w:sz w:val="12"/>
          <w:szCs w:val="12"/>
          <w:color w:val="auto"/>
        </w:rPr>
        <w:t>properties located in the Kansas City, Missouri; Tulsa, Oklahoma; Dallas, Texas; Frisco, Texas; and Phoenix, Arizona markets. The remaining lease terms range from two to twenty years with potential renewal terms. The leases include various payment</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9019"/>
          </w:cols>
          <w:pgMar w:left="1440" w:top="460" w:right="1440" w:bottom="1440" w:gutter="0" w:footer="0" w:header="0"/>
        </w:sectPr>
      </w:pPr>
    </w:p>
    <w:bookmarkStart w:id="13" w:name="page14"/>
    <w:bookmarkEnd w:id="13"/>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rFonts w:ascii="Arial" w:cs="Arial" w:eastAsia="Arial" w:hAnsi="Arial"/>
          <w:sz w:val="14"/>
          <w:szCs w:val="14"/>
          <w:color w:val="0000FF"/>
        </w:rPr>
      </w:pP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(unaudited)</w:t>
      </w:r>
    </w:p>
    <w:p>
      <w:pPr>
        <w:spacing w:after="0" w:line="383" w:lineRule="exact"/>
        <w:rPr>
          <w:sz w:val="20"/>
          <w:szCs w:val="20"/>
          <w:color w:val="auto"/>
        </w:rPr>
      </w:pPr>
    </w:p>
    <w:p>
      <w:pPr>
        <w:ind w:left="1000" w:right="1079"/>
        <w:spacing w:after="0" w:line="314" w:lineRule="auto"/>
        <w:rPr>
          <w:sz w:val="20"/>
          <w:szCs w:val="20"/>
          <w:color w:val="auto"/>
        </w:rPr>
      </w:pPr>
      <w:r>
        <w:rPr>
          <w:rFonts w:ascii="Arial" w:cs="Arial" w:eastAsia="Arial" w:hAnsi="Arial"/>
          <w:sz w:val="14"/>
          <w:szCs w:val="14"/>
          <w:color w:val="auto"/>
        </w:rPr>
        <w:t>terms including fixed payments with annual increases to variable payments. In addition, several of the leases include lease incentives.</w:t>
      </w:r>
    </w:p>
    <w:p>
      <w:pPr>
        <w:spacing w:after="0" w:line="166" w:lineRule="exact"/>
        <w:rPr>
          <w:sz w:val="20"/>
          <w:szCs w:val="20"/>
          <w:color w:val="auto"/>
        </w:rPr>
      </w:pPr>
    </w:p>
    <w:p>
      <w:pPr>
        <w:ind w:left="1000" w:right="919"/>
        <w:spacing w:after="0" w:line="308" w:lineRule="auto"/>
        <w:rPr>
          <w:sz w:val="20"/>
          <w:szCs w:val="20"/>
          <w:color w:val="auto"/>
        </w:rPr>
      </w:pPr>
      <w:r>
        <w:rPr>
          <w:rFonts w:ascii="Arial" w:cs="Arial" w:eastAsia="Arial" w:hAnsi="Arial"/>
          <w:sz w:val="14"/>
          <w:szCs w:val="14"/>
          <w:color w:val="auto"/>
        </w:rPr>
        <w:t>The discount rates were not readily determinable in the lease agreements. As a result, the Company used the incremental borrowing rate in accordance with Topic 842. The Company used the Federal Home Loan Bank (“FHLB”) yield curve as the incremental borrowing rate.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The Company elected several practical expedients that are listed below:</w:t>
      </w:r>
    </w:p>
    <w:p>
      <w:pPr>
        <w:spacing w:after="0" w:line="244" w:lineRule="exact"/>
        <w:rPr>
          <w:sz w:val="20"/>
          <w:szCs w:val="20"/>
          <w:color w:val="auto"/>
        </w:rPr>
      </w:pPr>
    </w:p>
    <w:tbl>
      <w:tblPr>
        <w:tblLayout w:type="fixed"/>
        <w:tblInd w:w="10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920" w:type="dxa"/>
            <w:vAlign w:val="bottom"/>
            <w:tcBorders>
              <w:bottom w:val="single" w:sz="8" w:color="95B3D7"/>
            </w:tcBorders>
          </w:tcPr>
          <w:p>
            <w:pPr>
              <w:spacing w:after="0"/>
              <w:rPr>
                <w:sz w:val="20"/>
                <w:szCs w:val="20"/>
                <w:color w:val="auto"/>
              </w:rPr>
            </w:pPr>
            <w:r>
              <w:rPr>
                <w:rFonts w:ascii="Arial" w:cs="Arial" w:eastAsia="Arial" w:hAnsi="Arial"/>
                <w:sz w:val="14"/>
                <w:szCs w:val="14"/>
                <w:color w:val="auto"/>
              </w:rPr>
              <w:t>Practical Expedient Elected</w:t>
            </w:r>
          </w:p>
        </w:tc>
        <w:tc>
          <w:tcPr>
            <w:tcW w:w="4480" w:type="dxa"/>
            <w:vAlign w:val="bottom"/>
            <w:tcBorders>
              <w:bottom w:val="single" w:sz="8" w:color="95B3D7"/>
            </w:tcBorders>
          </w:tcPr>
          <w:p>
            <w:pPr>
              <w:spacing w:after="0"/>
              <w:rPr>
                <w:sz w:val="20"/>
                <w:szCs w:val="20"/>
                <w:color w:val="auto"/>
              </w:rPr>
            </w:pPr>
            <w:r>
              <w:rPr>
                <w:rFonts w:ascii="Arial" w:cs="Arial" w:eastAsia="Arial" w:hAnsi="Arial"/>
                <w:sz w:val="14"/>
                <w:szCs w:val="14"/>
                <w:color w:val="auto"/>
              </w:rPr>
              <w:t>Impact to Lease Accounting Implementation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20" w:type="dxa"/>
            <w:vAlign w:val="bottom"/>
            <w:tcBorders>
              <w:right w:val="single" w:sz="8" w:color="95B3D7"/>
            </w:tcBorders>
            <w:shd w:val="clear" w:color="auto" w:fill="CCEEFF"/>
          </w:tcPr>
          <w:p>
            <w:pPr>
              <w:ind w:left="20"/>
              <w:spacing w:after="0"/>
              <w:rPr>
                <w:sz w:val="20"/>
                <w:szCs w:val="20"/>
                <w:color w:val="auto"/>
              </w:rPr>
            </w:pPr>
            <w:r>
              <w:rPr>
                <w:rFonts w:ascii="Arial" w:cs="Arial" w:eastAsia="Arial" w:hAnsi="Arial"/>
                <w:sz w:val="14"/>
                <w:szCs w:val="14"/>
                <w:color w:val="auto"/>
                <w:w w:val="94"/>
              </w:rPr>
              <w:t>An entity need not reassess whether any expired</w:t>
            </w:r>
          </w:p>
        </w:tc>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The Company was not required to re-evaluate previously identified leases,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6"/>
                <w:szCs w:val="16"/>
                <w:color w:val="auto"/>
              </w:rPr>
            </w:pPr>
          </w:p>
        </w:tc>
        <w:tc>
          <w:tcPr>
            <w:tcW w:w="2920" w:type="dxa"/>
            <w:vAlign w:val="bottom"/>
            <w:tcBorders>
              <w:bottom w:val="single" w:sz="8" w:color="CCEEFF"/>
              <w:right w:val="single" w:sz="8" w:color="95B3D7"/>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or existing contracts are or contain leases.</w:t>
            </w:r>
          </w:p>
        </w:tc>
        <w:tc>
          <w:tcPr>
            <w:tcW w:w="4480" w:type="dxa"/>
            <w:vAlign w:val="bottom"/>
            <w:tcBorders>
              <w:bottom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color w:val="auto"/>
              </w:rPr>
              <w:t>including embedded leases, that existed as of the adoption date.</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20" w:type="dxa"/>
            <w:vAlign w:val="bottom"/>
            <w:tcBorders>
              <w:top w:val="single" w:sz="8" w:color="95B3D7"/>
              <w:right w:val="single" w:sz="8" w:color="95B3D7"/>
            </w:tcBorders>
          </w:tcPr>
          <w:p>
            <w:pPr>
              <w:spacing w:after="0"/>
              <w:rPr>
                <w:sz w:val="20"/>
                <w:szCs w:val="20"/>
                <w:color w:val="auto"/>
              </w:rPr>
            </w:pPr>
            <w:r>
              <w:rPr>
                <w:rFonts w:ascii="Arial" w:cs="Arial" w:eastAsia="Arial" w:hAnsi="Arial"/>
                <w:sz w:val="14"/>
                <w:szCs w:val="14"/>
                <w:color w:val="auto"/>
                <w:w w:val="90"/>
              </w:rPr>
              <w:t>An entity need not reassess the lease classification</w:t>
            </w:r>
          </w:p>
        </w:tc>
        <w:tc>
          <w:tcPr>
            <w:tcW w:w="4480" w:type="dxa"/>
            <w:vAlign w:val="bottom"/>
            <w:tcBorders>
              <w:top w:val="single" w:sz="8" w:color="95B3D7"/>
            </w:tcBorders>
          </w:tcPr>
          <w:p>
            <w:pPr>
              <w:spacing w:after="0"/>
              <w:rPr>
                <w:sz w:val="20"/>
                <w:szCs w:val="20"/>
                <w:color w:val="auto"/>
              </w:rPr>
            </w:pPr>
            <w:r>
              <w:rPr>
                <w:rFonts w:ascii="Arial" w:cs="Arial" w:eastAsia="Arial" w:hAnsi="Arial"/>
                <w:sz w:val="14"/>
                <w:szCs w:val="14"/>
                <w:color w:val="auto"/>
                <w:w w:val="95"/>
              </w:rPr>
              <w:t>The Company was not required to re-classify previously identified operating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Borders>
              <w:right w:val="single" w:sz="8" w:color="95B3D7"/>
            </w:tcBorders>
            <w:vMerge w:val="restart"/>
          </w:tcPr>
          <w:p>
            <w:pPr>
              <w:spacing w:after="0"/>
              <w:rPr>
                <w:sz w:val="20"/>
                <w:szCs w:val="20"/>
                <w:color w:val="auto"/>
              </w:rPr>
            </w:pPr>
            <w:r>
              <w:rPr>
                <w:rFonts w:ascii="Arial" w:cs="Arial" w:eastAsia="Arial" w:hAnsi="Arial"/>
                <w:sz w:val="14"/>
                <w:szCs w:val="14"/>
                <w:color w:val="auto"/>
              </w:rPr>
              <w:t>for an expired or existing leases.</w:t>
            </w:r>
          </w:p>
        </w:tc>
        <w:tc>
          <w:tcPr>
            <w:tcW w:w="4480" w:type="dxa"/>
            <w:vAlign w:val="bottom"/>
          </w:tcPr>
          <w:p>
            <w:pPr>
              <w:spacing w:after="0" w:line="107" w:lineRule="exact"/>
              <w:rPr>
                <w:sz w:val="20"/>
                <w:szCs w:val="20"/>
                <w:color w:val="auto"/>
              </w:rPr>
            </w:pPr>
            <w:r>
              <w:rPr>
                <w:rFonts w:ascii="Arial" w:cs="Arial" w:eastAsia="Arial" w:hAnsi="Arial"/>
                <w:sz w:val="12"/>
                <w:szCs w:val="12"/>
                <w:color w:val="auto"/>
              </w:rPr>
              <w:t>leases that existed as of the adoption date. The Company did not have any</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920" w:type="dxa"/>
            <w:vAlign w:val="bottom"/>
            <w:tcBorders>
              <w:right w:val="single" w:sz="8" w:color="95B3D7"/>
            </w:tcBorders>
            <w:vMerge w:val="continue"/>
          </w:tcPr>
          <w:p>
            <w:pPr>
              <w:spacing w:after="0"/>
              <w:rPr>
                <w:sz w:val="9"/>
                <w:szCs w:val="9"/>
                <w:color w:val="auto"/>
              </w:rPr>
            </w:pPr>
          </w:p>
        </w:tc>
        <w:tc>
          <w:tcPr>
            <w:tcW w:w="4480" w:type="dxa"/>
            <w:vAlign w:val="bottom"/>
            <w:vMerge w:val="restart"/>
          </w:tcPr>
          <w:p>
            <w:pPr>
              <w:spacing w:after="0"/>
              <w:rPr>
                <w:sz w:val="20"/>
                <w:szCs w:val="20"/>
                <w:color w:val="auto"/>
              </w:rPr>
            </w:pPr>
            <w:r>
              <w:rPr>
                <w:rFonts w:ascii="Arial" w:cs="Arial" w:eastAsia="Arial" w:hAnsi="Arial"/>
                <w:sz w:val="14"/>
                <w:szCs w:val="14"/>
                <w:color w:val="auto"/>
              </w:rPr>
              <w:t>capital leases as of December 31, 2021.</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920" w:type="dxa"/>
            <w:vAlign w:val="bottom"/>
            <w:tcBorders>
              <w:right w:val="single" w:sz="8" w:color="95B3D7"/>
            </w:tcBorders>
          </w:tcPr>
          <w:p>
            <w:pPr>
              <w:spacing w:after="0"/>
              <w:rPr>
                <w:sz w:val="6"/>
                <w:szCs w:val="6"/>
                <w:color w:val="auto"/>
              </w:rPr>
            </w:pPr>
          </w:p>
        </w:tc>
        <w:tc>
          <w:tcPr>
            <w:tcW w:w="4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920" w:type="dxa"/>
            <w:vAlign w:val="bottom"/>
            <w:tcBorders>
              <w:bottom w:val="single" w:sz="8" w:color="95B3D7"/>
              <w:right w:val="single" w:sz="8" w:color="95B3D7"/>
            </w:tcBorders>
          </w:tcPr>
          <w:p>
            <w:pPr>
              <w:spacing w:after="0"/>
              <w:rPr>
                <w:sz w:val="2"/>
                <w:szCs w:val="2"/>
                <w:color w:val="auto"/>
              </w:rPr>
            </w:pPr>
          </w:p>
        </w:tc>
        <w:tc>
          <w:tcPr>
            <w:tcW w:w="4480" w:type="dxa"/>
            <w:vAlign w:val="bottom"/>
            <w:tcBorders>
              <w:bottom w:val="single" w:sz="8" w:color="95B3D7"/>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right w:val="single" w:sz="8" w:color="95B3D7"/>
            </w:tcBorders>
          </w:tcPr>
          <w:p>
            <w:pPr>
              <w:spacing w:after="0" w:line="20" w:lineRule="exact"/>
              <w:rPr>
                <w:sz w:val="1"/>
                <w:szCs w:val="1"/>
                <w:color w:val="auto"/>
              </w:rPr>
            </w:pPr>
          </w:p>
        </w:tc>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The Company was not required to review previously established lease</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tcBorders>
              <w:right w:val="single" w:sz="8" w:color="95B3D7"/>
            </w:tcBorders>
            <w:vMerge w:val="restart"/>
            <w:shd w:val="clear" w:color="auto" w:fill="CCEEFF"/>
          </w:tcPr>
          <w:p>
            <w:pPr>
              <w:ind w:left="20"/>
              <w:spacing w:after="0"/>
              <w:rPr>
                <w:sz w:val="20"/>
                <w:szCs w:val="20"/>
                <w:color w:val="auto"/>
              </w:rPr>
            </w:pPr>
            <w:r>
              <w:rPr>
                <w:rFonts w:ascii="Arial" w:cs="Arial" w:eastAsia="Arial" w:hAnsi="Arial"/>
                <w:sz w:val="14"/>
                <w:szCs w:val="14"/>
                <w:color w:val="auto"/>
                <w:w w:val="94"/>
              </w:rPr>
              <w:t>An entity need not reassess initial direct costs for</w:t>
            </w:r>
          </w:p>
        </w:tc>
        <w:tc>
          <w:tcPr>
            <w:tcW w:w="4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920" w:type="dxa"/>
            <w:vAlign w:val="bottom"/>
            <w:tcBorders>
              <w:right w:val="single" w:sz="8" w:color="95B3D7"/>
            </w:tcBorders>
            <w:vMerge w:val="continue"/>
            <w:shd w:val="clear" w:color="auto" w:fill="CCEEFF"/>
          </w:tcPr>
          <w:p>
            <w:pPr>
              <w:spacing w:after="0"/>
              <w:rPr>
                <w:sz w:val="12"/>
                <w:szCs w:val="12"/>
                <w:color w:val="auto"/>
              </w:rPr>
            </w:pPr>
          </w:p>
        </w:tc>
        <w:tc>
          <w:tcPr>
            <w:tcW w:w="448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agreements as of the adoption date for initial direct costs. Initial direct costs</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20" w:type="dxa"/>
            <w:vAlign w:val="bottom"/>
            <w:tcBorders>
              <w:right w:val="single" w:sz="8" w:color="95B3D7"/>
            </w:tcBorders>
            <w:shd w:val="clear" w:color="auto" w:fill="CCEEFF"/>
          </w:tcPr>
          <w:p>
            <w:pPr>
              <w:ind w:left="20"/>
              <w:spacing w:after="0" w:line="107" w:lineRule="exact"/>
              <w:rPr>
                <w:sz w:val="20"/>
                <w:szCs w:val="20"/>
                <w:color w:val="auto"/>
              </w:rPr>
            </w:pPr>
            <w:r>
              <w:rPr>
                <w:rFonts w:ascii="Arial" w:cs="Arial" w:eastAsia="Arial" w:hAnsi="Arial"/>
                <w:sz w:val="12"/>
                <w:szCs w:val="12"/>
                <w:color w:val="auto"/>
              </w:rPr>
              <w:t>any existing leases.</w:t>
            </w:r>
          </w:p>
        </w:tc>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increase the right-of-use asset and do not impact the lease liability.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20" w:type="dxa"/>
            <w:vAlign w:val="bottom"/>
            <w:tcBorders>
              <w:bottom w:val="single" w:sz="8" w:color="CCEEFF"/>
              <w:right w:val="single" w:sz="8" w:color="95B3D7"/>
            </w:tcBorders>
            <w:shd w:val="clear" w:color="auto" w:fill="CCEEFF"/>
          </w:tcPr>
          <w:p>
            <w:pPr>
              <w:spacing w:after="0"/>
              <w:rPr>
                <w:sz w:val="11"/>
                <w:szCs w:val="11"/>
                <w:color w:val="auto"/>
              </w:rPr>
            </w:pPr>
          </w:p>
        </w:tc>
        <w:tc>
          <w:tcPr>
            <w:tcW w:w="448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Borders>
              <w:top w:val="single" w:sz="8" w:color="95B3D7"/>
              <w:right w:val="single" w:sz="8" w:color="95B3D7"/>
            </w:tcBorders>
          </w:tcPr>
          <w:p>
            <w:pPr>
              <w:spacing w:after="0"/>
              <w:rPr>
                <w:sz w:val="17"/>
                <w:szCs w:val="17"/>
                <w:color w:val="auto"/>
              </w:rPr>
            </w:pPr>
          </w:p>
        </w:tc>
        <w:tc>
          <w:tcPr>
            <w:tcW w:w="4480" w:type="dxa"/>
            <w:vAlign w:val="bottom"/>
            <w:tcBorders>
              <w:top w:val="single" w:sz="8" w:color="95B3D7"/>
            </w:tcBorders>
          </w:tcPr>
          <w:p>
            <w:pPr>
              <w:spacing w:after="0"/>
              <w:rPr>
                <w:sz w:val="20"/>
                <w:szCs w:val="20"/>
                <w:color w:val="auto"/>
              </w:rPr>
            </w:pPr>
            <w:r>
              <w:rPr>
                <w:rFonts w:ascii="Arial" w:cs="Arial" w:eastAsia="Arial" w:hAnsi="Arial"/>
                <w:sz w:val="14"/>
                <w:szCs w:val="14"/>
                <w:color w:val="auto"/>
              </w:rPr>
              <w:t>If not elected, the Company would be required to allocate the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Borders>
              <w:right w:val="single" w:sz="8" w:color="95B3D7"/>
            </w:tcBorders>
          </w:tcPr>
          <w:p>
            <w:pPr>
              <w:spacing w:after="0"/>
              <w:rPr>
                <w:sz w:val="20"/>
                <w:szCs w:val="20"/>
                <w:color w:val="auto"/>
              </w:rPr>
            </w:pPr>
            <w:r>
              <w:rPr>
                <w:rFonts w:ascii="Arial" w:cs="Arial" w:eastAsia="Arial" w:hAnsi="Arial"/>
                <w:sz w:val="14"/>
                <w:szCs w:val="14"/>
                <w:color w:val="auto"/>
              </w:rPr>
              <w:t>An entity may combine lease and non-lease</w:t>
            </w:r>
          </w:p>
        </w:tc>
        <w:tc>
          <w:tcPr>
            <w:tcW w:w="4480" w:type="dxa"/>
            <w:vAlign w:val="bottom"/>
          </w:tcPr>
          <w:p>
            <w:pPr>
              <w:spacing w:after="0"/>
              <w:rPr>
                <w:sz w:val="20"/>
                <w:szCs w:val="20"/>
                <w:color w:val="auto"/>
              </w:rPr>
            </w:pPr>
            <w:r>
              <w:rPr>
                <w:rFonts w:ascii="Arial" w:cs="Arial" w:eastAsia="Arial" w:hAnsi="Arial"/>
                <w:sz w:val="14"/>
                <w:szCs w:val="14"/>
                <w:color w:val="auto"/>
                <w:w w:val="91"/>
              </w:rPr>
              <w:t>consideration in a lease contract to lease and non-lease components based 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Borders>
              <w:right w:val="single" w:sz="8" w:color="95B3D7"/>
            </w:tcBorders>
          </w:tcPr>
          <w:p>
            <w:pPr>
              <w:spacing w:after="0"/>
              <w:rPr>
                <w:sz w:val="20"/>
                <w:szCs w:val="20"/>
                <w:color w:val="auto"/>
              </w:rPr>
            </w:pPr>
            <w:r>
              <w:rPr>
                <w:rFonts w:ascii="Arial" w:cs="Arial" w:eastAsia="Arial" w:hAnsi="Arial"/>
                <w:sz w:val="14"/>
                <w:szCs w:val="14"/>
                <w:color w:val="auto"/>
              </w:rPr>
              <w:t>components.</w:t>
            </w:r>
          </w:p>
        </w:tc>
        <w:tc>
          <w:tcPr>
            <w:tcW w:w="4480" w:type="dxa"/>
            <w:vAlign w:val="bottom"/>
          </w:tcPr>
          <w:p>
            <w:pPr>
              <w:spacing w:after="0"/>
              <w:rPr>
                <w:sz w:val="20"/>
                <w:szCs w:val="20"/>
                <w:color w:val="auto"/>
              </w:rPr>
            </w:pPr>
            <w:r>
              <w:rPr>
                <w:rFonts w:ascii="Arial" w:cs="Arial" w:eastAsia="Arial" w:hAnsi="Arial"/>
                <w:sz w:val="14"/>
                <w:szCs w:val="14"/>
                <w:color w:val="auto"/>
              </w:rPr>
              <w:t>their relative standalone price. The election results in higher right-of-use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920" w:type="dxa"/>
            <w:vAlign w:val="bottom"/>
            <w:tcBorders>
              <w:right w:val="single" w:sz="8" w:color="95B3D7"/>
            </w:tcBorders>
          </w:tcPr>
          <w:p>
            <w:pPr>
              <w:spacing w:after="0"/>
              <w:rPr>
                <w:sz w:val="15"/>
                <w:szCs w:val="15"/>
                <w:color w:val="auto"/>
              </w:rPr>
            </w:pPr>
          </w:p>
        </w:tc>
        <w:tc>
          <w:tcPr>
            <w:tcW w:w="4480" w:type="dxa"/>
            <w:vAlign w:val="bottom"/>
          </w:tcPr>
          <w:p>
            <w:pPr>
              <w:spacing w:after="0"/>
              <w:rPr>
                <w:sz w:val="20"/>
                <w:szCs w:val="20"/>
                <w:color w:val="auto"/>
              </w:rPr>
            </w:pPr>
            <w:r>
              <w:rPr>
                <w:rFonts w:ascii="Arial" w:cs="Arial" w:eastAsia="Arial" w:hAnsi="Arial"/>
                <w:sz w:val="14"/>
                <w:szCs w:val="14"/>
                <w:color w:val="auto"/>
              </w:rPr>
              <w:t>assets and lease liabilities.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Borders>
              <w:bottom w:val="single" w:sz="8" w:color="95B3D7"/>
              <w:right w:val="single" w:sz="8" w:color="95B3D7"/>
            </w:tcBorders>
          </w:tcPr>
          <w:p>
            <w:pPr>
              <w:spacing w:after="0"/>
              <w:rPr>
                <w:sz w:val="3"/>
                <w:szCs w:val="3"/>
                <w:color w:val="auto"/>
              </w:rPr>
            </w:pPr>
          </w:p>
        </w:tc>
        <w:tc>
          <w:tcPr>
            <w:tcW w:w="4480" w:type="dxa"/>
            <w:vAlign w:val="bottom"/>
            <w:tcBorders>
              <w:bottom w:val="single" w:sz="8" w:color="95B3D7"/>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right w:val="single" w:sz="8" w:color="95B3D7"/>
            </w:tcBorders>
          </w:tcPr>
          <w:p>
            <w:pPr>
              <w:spacing w:after="0" w:line="20" w:lineRule="exact"/>
              <w:rPr>
                <w:sz w:val="1"/>
                <w:szCs w:val="1"/>
                <w:color w:val="auto"/>
              </w:rPr>
            </w:pPr>
          </w:p>
        </w:tc>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93"/>
              </w:rPr>
              <w:t>The Company is not required to record a right-of-use asset and lease liability</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tcBorders>
              <w:right w:val="single" w:sz="8" w:color="95B3D7"/>
            </w:tcBorders>
            <w:shd w:val="clear" w:color="auto" w:fill="CCEEFF"/>
          </w:tcPr>
          <w:p>
            <w:pPr>
              <w:spacing w:after="0"/>
              <w:rPr>
                <w:sz w:val="15"/>
                <w:szCs w:val="15"/>
                <w:color w:val="auto"/>
              </w:rPr>
            </w:pPr>
          </w:p>
        </w:tc>
        <w:tc>
          <w:tcPr>
            <w:tcW w:w="4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20" w:type="dxa"/>
            <w:vAlign w:val="bottom"/>
            <w:tcBorders>
              <w:right w:val="single" w:sz="8" w:color="95B3D7"/>
            </w:tcBorders>
            <w:shd w:val="clear" w:color="auto" w:fill="CCEEFF"/>
          </w:tcPr>
          <w:p>
            <w:pPr>
              <w:ind w:left="20"/>
              <w:spacing w:after="0"/>
              <w:rPr>
                <w:sz w:val="20"/>
                <w:szCs w:val="20"/>
                <w:color w:val="auto"/>
              </w:rPr>
            </w:pPr>
            <w:r>
              <w:rPr>
                <w:rFonts w:ascii="Arial" w:cs="Arial" w:eastAsia="Arial" w:hAnsi="Arial"/>
                <w:sz w:val="14"/>
                <w:szCs w:val="14"/>
                <w:color w:val="auto"/>
              </w:rPr>
              <w:t>Short-term lease exemption.</w:t>
            </w:r>
          </w:p>
        </w:tc>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for a lease whose term is 12 months or less and does not include a purchase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20" w:type="dxa"/>
            <w:vAlign w:val="bottom"/>
            <w:tcBorders>
              <w:bottom w:val="single" w:sz="8" w:color="CCEEFF"/>
              <w:right w:val="single" w:sz="8" w:color="95B3D7"/>
            </w:tcBorders>
            <w:shd w:val="clear" w:color="auto" w:fill="CCEEFF"/>
          </w:tcPr>
          <w:p>
            <w:pPr>
              <w:spacing w:after="0"/>
              <w:rPr>
                <w:sz w:val="15"/>
                <w:szCs w:val="15"/>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 that the lessee is reasonably certain to exercise.</w:t>
            </w:r>
          </w:p>
        </w:tc>
        <w:tc>
          <w:tcPr>
            <w:tcW w:w="0" w:type="dxa"/>
            <w:vAlign w:val="bottom"/>
          </w:tcPr>
          <w:p>
            <w:pPr>
              <w:spacing w:after="0"/>
              <w:rPr>
                <w:sz w:val="1"/>
                <w:szCs w:val="1"/>
                <w:color w:val="auto"/>
              </w:rPr>
            </w:pPr>
          </w:p>
        </w:tc>
      </w:tr>
      <w:tr>
        <w:trPr>
          <w:trHeight w:val="21"/>
        </w:trPr>
        <w:tc>
          <w:tcPr>
            <w:tcW w:w="20" w:type="dxa"/>
            <w:vAlign w:val="bottom"/>
            <w:shd w:val="clear" w:color="auto" w:fill="95B3D7"/>
          </w:tcPr>
          <w:p>
            <w:pPr>
              <w:spacing w:after="0" w:line="20" w:lineRule="exact"/>
              <w:rPr>
                <w:sz w:val="1"/>
                <w:szCs w:val="1"/>
                <w:color w:val="auto"/>
              </w:rPr>
            </w:pPr>
          </w:p>
        </w:tc>
        <w:tc>
          <w:tcPr>
            <w:tcW w:w="2920" w:type="dxa"/>
            <w:vAlign w:val="bottom"/>
            <w:tcBorders>
              <w:right w:val="single" w:sz="8" w:color="95B3D7"/>
            </w:tcBorders>
            <w:shd w:val="clear" w:color="auto" w:fill="95B3D7"/>
          </w:tcPr>
          <w:p>
            <w:pPr>
              <w:spacing w:after="0" w:line="20" w:lineRule="exact"/>
              <w:rPr>
                <w:sz w:val="1"/>
                <w:szCs w:val="1"/>
                <w:color w:val="auto"/>
              </w:rPr>
            </w:pPr>
          </w:p>
        </w:tc>
        <w:tc>
          <w:tcPr>
            <w:tcW w:w="448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1000" w:right="759"/>
        <w:spacing w:after="0" w:line="414" w:lineRule="auto"/>
        <w:rPr>
          <w:sz w:val="20"/>
          <w:szCs w:val="20"/>
          <w:color w:val="auto"/>
        </w:rPr>
      </w:pPr>
      <w:r>
        <w:rPr>
          <w:rFonts w:ascii="Arial" w:cs="Arial" w:eastAsia="Arial" w:hAnsi="Arial"/>
          <w:sz w:val="12"/>
          <w:szCs w:val="12"/>
          <w:b w:val="1"/>
          <w:bCs w:val="1"/>
          <w:color w:val="auto"/>
        </w:rPr>
        <w:t xml:space="preserve">Impact of Adoption </w:t>
      </w:r>
      <w:r>
        <w:rPr>
          <w:rFonts w:ascii="Arial" w:cs="Arial" w:eastAsia="Arial" w:hAnsi="Arial"/>
          <w:sz w:val="12"/>
          <w:szCs w:val="12"/>
          <w:color w:val="auto"/>
        </w:rPr>
        <w:t>– The Company adopted ASU 2016-02 on January 1, 2022 using the modified retrospective approach.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did not recast comparative financial periods and has presented those disclosures under previously applicable GAAP.</w:t>
      </w:r>
    </w:p>
    <w:p>
      <w:pPr>
        <w:spacing w:after="0" w:line="83"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The following table illustrates the impact of adopting ASU 2016-02 on the Company’s financial statements: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January 1, 2022</w:t>
      </w:r>
    </w:p>
    <w:p>
      <w:pPr>
        <w:spacing w:after="0" w:line="106"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1"/>
              </w:rPr>
              <w:t>As Reported under ASU</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5"/>
              </w:rPr>
              <w:t>Impact of ASU 2016-02</w:t>
            </w:r>
          </w:p>
        </w:tc>
      </w:tr>
      <w:tr>
        <w:trPr>
          <w:trHeight w:val="164"/>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2016-02</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w w:val="98"/>
              </w:rPr>
              <w:t>Pre-ASU 2016-02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Adoption</w:t>
            </w:r>
          </w:p>
        </w:tc>
      </w:tr>
      <w:tr>
        <w:trPr>
          <w:trHeight w:val="17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ind w:right="169"/>
              <w:spacing w:after="0"/>
              <w:rPr>
                <w:sz w:val="20"/>
                <w:szCs w:val="20"/>
                <w:color w:val="auto"/>
              </w:rPr>
            </w:pPr>
            <w:r>
              <w:rPr>
                <w:rFonts w:ascii="Arial" w:cs="Arial" w:eastAsia="Arial" w:hAnsi="Arial"/>
                <w:sz w:val="14"/>
                <w:szCs w:val="14"/>
                <w:i w:val="1"/>
                <w:iCs w:val="1"/>
                <w:color w:val="auto"/>
                <w:w w:val="96"/>
              </w:rPr>
              <w:t>(Dollars in thousands)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2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Right-of-use asset</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23,589</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23,589</w:t>
            </w:r>
          </w:p>
        </w:tc>
      </w:tr>
      <w:tr>
        <w:trPr>
          <w:trHeight w:val="182"/>
        </w:trPr>
        <w:tc>
          <w:tcPr>
            <w:tcW w:w="20" w:type="dxa"/>
            <w:vAlign w:val="bottom"/>
          </w:tcPr>
          <w:p>
            <w:pPr>
              <w:spacing w:after="0"/>
              <w:rPr>
                <w:sz w:val="15"/>
                <w:szCs w:val="15"/>
                <w:color w:val="auto"/>
              </w:rPr>
            </w:pPr>
          </w:p>
        </w:tc>
        <w:tc>
          <w:tcPr>
            <w:tcW w:w="28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Lease incentive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(2,125)</w:t>
            </w:r>
          </w:p>
        </w:tc>
      </w:tr>
      <w:tr>
        <w:trPr>
          <w:trHeight w:val="181"/>
        </w:trPr>
        <w:tc>
          <w:tcPr>
            <w:tcW w:w="20" w:type="dxa"/>
            <w:vAlign w:val="bottom"/>
          </w:tcPr>
          <w:p>
            <w:pPr>
              <w:spacing w:after="0"/>
              <w:rPr>
                <w:sz w:val="15"/>
                <w:szCs w:val="15"/>
                <w:color w:val="auto"/>
              </w:rPr>
            </w:pPr>
          </w:p>
        </w:tc>
        <w:tc>
          <w:tcPr>
            <w:tcW w:w="2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rent payable</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w:t>
            </w:r>
          </w:p>
        </w:tc>
      </w:tr>
      <w:tr>
        <w:trPr>
          <w:trHeight w:val="202"/>
        </w:trPr>
        <w:tc>
          <w:tcPr>
            <w:tcW w:w="20" w:type="dxa"/>
            <w:vAlign w:val="bottom"/>
          </w:tcPr>
          <w:p>
            <w:pPr>
              <w:spacing w:after="0"/>
              <w:rPr>
                <w:sz w:val="17"/>
                <w:szCs w:val="17"/>
                <w:color w:val="auto"/>
              </w:rPr>
            </w:pPr>
          </w:p>
        </w:tc>
        <w:tc>
          <w:tcPr>
            <w:tcW w:w="2840" w:type="dxa"/>
            <w:vAlign w:val="bottom"/>
          </w:tcPr>
          <w:p>
            <w:pPr>
              <w:ind w:left="100"/>
              <w:spacing w:after="0"/>
              <w:rPr>
                <w:sz w:val="20"/>
                <w:szCs w:val="20"/>
                <w:color w:val="auto"/>
              </w:rPr>
            </w:pPr>
            <w:r>
              <w:rPr>
                <w:rFonts w:ascii="Arial" w:cs="Arial" w:eastAsia="Arial" w:hAnsi="Arial"/>
                <w:sz w:val="14"/>
                <w:szCs w:val="14"/>
                <w:color w:val="auto"/>
              </w:rPr>
              <w:t>Lease liability</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26,618</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26,618</w:t>
            </w:r>
          </w:p>
        </w:tc>
      </w:tr>
    </w:tbl>
    <w:p>
      <w:pPr>
        <w:spacing w:after="0" w:line="145" w:lineRule="exact"/>
        <w:rPr>
          <w:sz w:val="20"/>
          <w:szCs w:val="20"/>
          <w:color w:val="auto"/>
        </w:rPr>
      </w:pPr>
    </w:p>
    <w:p>
      <w:pPr>
        <w:ind w:left="640"/>
        <w:spacing w:after="0"/>
        <w:rPr>
          <w:sz w:val="20"/>
          <w:szCs w:val="20"/>
          <w:color w:val="auto"/>
        </w:rPr>
      </w:pPr>
      <w:r>
        <w:rPr>
          <w:rFonts w:ascii="Arial" w:cs="Arial" w:eastAsia="Arial" w:hAnsi="Arial"/>
          <w:sz w:val="16"/>
          <w:szCs w:val="16"/>
          <w:u w:val="single" w:color="auto"/>
          <w:color w:val="auto"/>
        </w:rPr>
        <w:t>Recent Accounting Pronouncements</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3"/>
          <w:szCs w:val="13"/>
          <w:b w:val="1"/>
          <w:bCs w:val="1"/>
          <w:i w:val="1"/>
          <w:iCs w:val="1"/>
          <w:color w:val="auto"/>
        </w:rPr>
        <w:t>ASU 2022-02, Financial Instruments-Credit Losses (Topic 326): Troubled Debt Restructurings and Vintage Disclosures</w:t>
      </w:r>
    </w:p>
    <w:p>
      <w:pPr>
        <w:spacing w:after="0" w:line="236" w:lineRule="exact"/>
        <w:rPr>
          <w:sz w:val="20"/>
          <w:szCs w:val="20"/>
          <w:color w:val="auto"/>
        </w:rPr>
      </w:pPr>
    </w:p>
    <w:p>
      <w:pPr>
        <w:jc w:val="both"/>
        <w:ind w:left="1020" w:right="679"/>
        <w:spacing w:after="0" w:line="255" w:lineRule="auto"/>
        <w:rPr>
          <w:sz w:val="20"/>
          <w:szCs w:val="20"/>
          <w:color w:val="auto"/>
        </w:rPr>
      </w:pPr>
      <w:r>
        <w:rPr>
          <w:rFonts w:ascii="Arial" w:cs="Arial" w:eastAsia="Arial" w:hAnsi="Arial"/>
          <w:sz w:val="14"/>
          <w:szCs w:val="14"/>
          <w:b w:val="1"/>
          <w:bCs w:val="1"/>
          <w:color w:val="auto"/>
        </w:rPr>
        <w:t xml:space="preserve">Background </w:t>
      </w:r>
      <w:r>
        <w:rPr>
          <w:rFonts w:ascii="Arial" w:cs="Arial" w:eastAsia="Arial" w:hAnsi="Arial"/>
          <w:sz w:val="14"/>
          <w:szCs w:val="14"/>
          <w:color w:val="auto"/>
        </w:rPr>
        <w:t>– ASU 2022-02 provides new guidance on (i) troubled debt restructurings (“TDRs”) and (ii) vintage disclosures for</w:t>
      </w:r>
      <w:r>
        <w:rPr>
          <w:rFonts w:ascii="Arial" w:cs="Arial" w:eastAsia="Arial" w:hAnsi="Arial"/>
          <w:sz w:val="14"/>
          <w:szCs w:val="14"/>
          <w:b w:val="1"/>
          <w:bCs w:val="1"/>
          <w:color w:val="auto"/>
        </w:rPr>
        <w:t xml:space="preserve"> </w:t>
      </w:r>
      <w:r>
        <w:rPr>
          <w:rFonts w:ascii="Arial" w:cs="Arial" w:eastAsia="Arial" w:hAnsi="Arial"/>
          <w:sz w:val="14"/>
          <w:szCs w:val="14"/>
          <w:color w:val="auto"/>
        </w:rPr>
        <w:t>gross write-offs. The update eliminates the accounting guidance for TDRs and requires a company to determine if a modification results in a new loan or a continuation of an existing loan. The update enhances the required disclosures for certain modifications made to borrowers experiencing financial difficulty.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9019"/>
          </w:cols>
          <w:pgMar w:left="1440" w:top="460" w:right="1440"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spacing w:after="0" w:line="345"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In addition, the update requires disclosure of current-period gross charge -offs by year of origination for financing receivables.</w:t>
      </w:r>
    </w:p>
    <w:p>
      <w:pPr>
        <w:spacing w:after="0" w:line="181" w:lineRule="exact"/>
        <w:rPr>
          <w:sz w:val="20"/>
          <w:szCs w:val="20"/>
          <w:color w:val="auto"/>
        </w:rPr>
      </w:pPr>
    </w:p>
    <w:p>
      <w:pPr>
        <w:ind w:left="1000" w:right="679"/>
        <w:spacing w:after="0" w:line="267" w:lineRule="auto"/>
        <w:rPr>
          <w:sz w:val="20"/>
          <w:szCs w:val="20"/>
          <w:color w:val="auto"/>
        </w:rPr>
      </w:pPr>
      <w:r>
        <w:rPr>
          <w:rFonts w:ascii="Arial" w:cs="Arial" w:eastAsia="Arial" w:hAnsi="Arial"/>
          <w:sz w:val="14"/>
          <w:szCs w:val="14"/>
          <w:color w:val="auto"/>
        </w:rPr>
        <w:t>For the Company, the amendments are effective as of January 1, 2023, but early adoption is permitted and would be applied as of the beginning of the fiscal year of adoption.</w:t>
      </w:r>
    </w:p>
    <w:p>
      <w:pPr>
        <w:spacing w:after="0" w:line="129" w:lineRule="exact"/>
        <w:rPr>
          <w:sz w:val="20"/>
          <w:szCs w:val="20"/>
          <w:color w:val="auto"/>
        </w:rPr>
      </w:pPr>
    </w:p>
    <w:p>
      <w:pPr>
        <w:ind w:left="1000" w:right="859"/>
        <w:spacing w:after="0" w:line="273" w:lineRule="auto"/>
        <w:rPr>
          <w:sz w:val="20"/>
          <w:szCs w:val="20"/>
          <w:color w:val="auto"/>
        </w:rPr>
      </w:pPr>
      <w:r>
        <w:rPr>
          <w:rFonts w:ascii="Arial" w:cs="Arial" w:eastAsia="Arial" w:hAnsi="Arial"/>
          <w:sz w:val="14"/>
          <w:szCs w:val="14"/>
          <w:b w:val="1"/>
          <w:bCs w:val="1"/>
          <w:color w:val="auto"/>
        </w:rPr>
        <w:t xml:space="preserve">Impact of adoption </w:t>
      </w:r>
      <w:r>
        <w:rPr>
          <w:rFonts w:ascii="Arial" w:cs="Arial" w:eastAsia="Arial" w:hAnsi="Arial"/>
          <w:sz w:val="14"/>
          <w:szCs w:val="14"/>
          <w:color w:val="auto"/>
        </w:rPr>
        <w:t>– The Company anticipates adopting ASU 2022-02 as of January 1, 2023. At this time, an estimate of the</w:t>
      </w:r>
      <w:r>
        <w:rPr>
          <w:rFonts w:ascii="Arial" w:cs="Arial" w:eastAsia="Arial" w:hAnsi="Arial"/>
          <w:sz w:val="14"/>
          <w:szCs w:val="14"/>
          <w:b w:val="1"/>
          <w:bCs w:val="1"/>
          <w:color w:val="auto"/>
        </w:rPr>
        <w:t xml:space="preserve"> </w:t>
      </w:r>
      <w:r>
        <w:rPr>
          <w:rFonts w:ascii="Arial" w:cs="Arial" w:eastAsia="Arial" w:hAnsi="Arial"/>
          <w:sz w:val="14"/>
          <w:szCs w:val="14"/>
          <w:color w:val="auto"/>
        </w:rPr>
        <w:t>impact cannot be established.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Note 2: Earnings Per Share</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 presents the computation of basic and diluted earnings per share:</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12"/>
          </w:tcPr>
          <w:p>
            <w:pPr>
              <w:jc w:val="right"/>
              <w:ind w:right="120"/>
              <w:spacing w:after="0"/>
              <w:rPr>
                <w:sz w:val="20"/>
                <w:szCs w:val="20"/>
                <w:color w:val="auto"/>
              </w:rPr>
            </w:pPr>
            <w:r>
              <w:rPr>
                <w:rFonts w:ascii="Arial" w:cs="Arial" w:eastAsia="Arial" w:hAnsi="Arial"/>
                <w:sz w:val="13"/>
                <w:szCs w:val="13"/>
                <w:i w:val="1"/>
                <w:iCs w:val="1"/>
                <w:color w:val="auto"/>
              </w:rPr>
              <w:t>(Dollars in thousands except per share data)</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Earnings per Share</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580" w:type="dxa"/>
            <w:vAlign w:val="bottom"/>
            <w:gridSpan w:val="2"/>
          </w:tcPr>
          <w:p>
            <w:pPr>
              <w:ind w:left="60"/>
              <w:spacing w:after="0"/>
              <w:rPr>
                <w:sz w:val="20"/>
                <w:szCs w:val="20"/>
                <w:color w:val="auto"/>
              </w:rPr>
            </w:pPr>
            <w:r>
              <w:rPr>
                <w:rFonts w:ascii="Arial" w:cs="Arial" w:eastAsia="Arial" w:hAnsi="Arial"/>
                <w:sz w:val="14"/>
                <w:szCs w:val="14"/>
                <w:color w:val="auto"/>
              </w:rPr>
              <w:t>Net income available to common stockholders</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15,545</w:t>
            </w:r>
          </w:p>
        </w:tc>
        <w:tc>
          <w:tcPr>
            <w:tcW w:w="4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15,577</w:t>
            </w:r>
          </w:p>
        </w:tc>
        <w:tc>
          <w:tcPr>
            <w:tcW w:w="4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32,373</w:t>
            </w:r>
          </w:p>
        </w:tc>
        <w:tc>
          <w:tcPr>
            <w:tcW w:w="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27,612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common shares</w:t>
            </w:r>
          </w:p>
        </w:tc>
        <w:tc>
          <w:tcPr>
            <w:tcW w:w="3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49,758,263</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shd w:val="clear" w:color="auto" w:fill="CCEEFF"/>
              </w:rPr>
              <w:t>51,466,885</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50,003,418</w:t>
            </w:r>
          </w:p>
        </w:tc>
        <w:tc>
          <w:tcPr>
            <w:tcW w:w="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shd w:val="clear" w:color="auto" w:fill="CCEEFF"/>
              </w:rPr>
              <w:t>51,561,519</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auto"/>
              </w:rPr>
              <w:t>Earnings per share</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0.31</w:t>
            </w:r>
          </w:p>
        </w:tc>
        <w:tc>
          <w:tcPr>
            <w:tcW w:w="40" w:type="dxa"/>
            <w:vAlign w:val="bottom"/>
          </w:tcPr>
          <w:p>
            <w:pPr>
              <w:spacing w:after="0"/>
              <w:rPr>
                <w:sz w:val="17"/>
                <w:szCs w:val="17"/>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0.30</w:t>
            </w:r>
          </w:p>
        </w:tc>
        <w:tc>
          <w:tcPr>
            <w:tcW w:w="4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0.65</w:t>
            </w:r>
          </w:p>
        </w:tc>
        <w:tc>
          <w:tcPr>
            <w:tcW w:w="4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35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Diluted Earnings per Share</w:t>
            </w: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3580" w:type="dxa"/>
            <w:vAlign w:val="bottom"/>
            <w:gridSpan w:val="2"/>
          </w:tcPr>
          <w:p>
            <w:pPr>
              <w:ind w:left="60"/>
              <w:spacing w:after="0"/>
              <w:rPr>
                <w:sz w:val="20"/>
                <w:szCs w:val="20"/>
                <w:color w:val="auto"/>
              </w:rPr>
            </w:pPr>
            <w:r>
              <w:rPr>
                <w:rFonts w:ascii="Arial" w:cs="Arial" w:eastAsia="Arial" w:hAnsi="Arial"/>
                <w:sz w:val="14"/>
                <w:szCs w:val="14"/>
                <w:color w:val="auto"/>
              </w:rPr>
              <w:t>Net income available to common stockholders</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15,545</w:t>
            </w:r>
          </w:p>
        </w:tc>
        <w:tc>
          <w:tcPr>
            <w:tcW w:w="40" w:type="dxa"/>
            <w:vAlign w:val="bottom"/>
          </w:tcPr>
          <w:p>
            <w:pPr>
              <w:spacing w:after="0"/>
              <w:rPr>
                <w:sz w:val="15"/>
                <w:szCs w:val="15"/>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15,577</w:t>
            </w:r>
          </w:p>
        </w:tc>
        <w:tc>
          <w:tcPr>
            <w:tcW w:w="40" w:type="dxa"/>
            <w:vAlign w:val="bottom"/>
          </w:tcPr>
          <w:p>
            <w:pPr>
              <w:spacing w:after="0"/>
              <w:rPr>
                <w:sz w:val="15"/>
                <w:szCs w:val="15"/>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32,373</w:t>
            </w:r>
          </w:p>
        </w:tc>
        <w:tc>
          <w:tcPr>
            <w:tcW w:w="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27,612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common shares</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49,758,263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shd w:val="clear" w:color="auto" w:fill="CCEEFF"/>
              </w:rPr>
              <w:t>51,466,885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50,003,418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shd w:val="clear" w:color="auto" w:fill="CCEEFF"/>
              </w:rPr>
              <w:t>51,561,519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58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Effect of dilutive shares</w:t>
            </w: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445,462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742,656</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558,450</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733,463</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580" w:type="dxa"/>
            <w:vAlign w:val="bottom"/>
            <w:gridSpan w:val="2"/>
            <w:shd w:val="clear" w:color="auto" w:fill="CCEEFF"/>
          </w:tcPr>
          <w:p>
            <w:pPr>
              <w:ind w:left="60"/>
              <w:spacing w:after="0" w:line="152" w:lineRule="exact"/>
              <w:rPr>
                <w:sz w:val="20"/>
                <w:szCs w:val="20"/>
                <w:color w:val="auto"/>
              </w:rPr>
            </w:pPr>
            <w:r>
              <w:rPr>
                <w:rFonts w:ascii="Arial" w:cs="Arial" w:eastAsia="Arial" w:hAnsi="Arial"/>
                <w:sz w:val="14"/>
                <w:szCs w:val="14"/>
                <w:color w:val="auto"/>
              </w:rPr>
              <w:t>Weighted average dilutive common shares</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96"/>
                <w:shd w:val="clear" w:color="auto" w:fill="CCEEFF"/>
              </w:rPr>
              <w:t>50,203,725</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91"/>
                <w:shd w:val="clear" w:color="auto" w:fill="CCEEFF"/>
              </w:rPr>
              <w:t>52,209,541</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99"/>
              </w:rPr>
              <w:t>50,561,868</w:t>
            </w: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2" w:lineRule="exact"/>
              <w:rPr>
                <w:sz w:val="20"/>
                <w:szCs w:val="20"/>
                <w:color w:val="auto"/>
              </w:rPr>
            </w:pPr>
            <w:r>
              <w:rPr>
                <w:rFonts w:ascii="Arial" w:cs="Arial" w:eastAsia="Arial" w:hAnsi="Arial"/>
                <w:sz w:val="14"/>
                <w:szCs w:val="14"/>
                <w:color w:val="auto"/>
                <w:w w:val="91"/>
                <w:shd w:val="clear" w:color="auto" w:fill="CCEEFF"/>
              </w:rPr>
              <w:t>52,294,982</w:t>
            </w:r>
          </w:p>
        </w:tc>
        <w:tc>
          <w:tcPr>
            <w:tcW w:w="4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Arial" w:cs="Arial" w:eastAsia="Arial" w:hAnsi="Arial"/>
                <w:sz w:val="14"/>
                <w:szCs w:val="14"/>
                <w:color w:val="auto"/>
              </w:rPr>
              <w:t>Diluted earnings per share</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0.31</w:t>
            </w:r>
          </w:p>
        </w:tc>
        <w:tc>
          <w:tcPr>
            <w:tcW w:w="4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0.30</w:t>
            </w:r>
          </w:p>
        </w:tc>
        <w:tc>
          <w:tcPr>
            <w:tcW w:w="4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0.64</w:t>
            </w:r>
          </w:p>
        </w:tc>
        <w:tc>
          <w:tcPr>
            <w:tcW w:w="4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3580" w:type="dxa"/>
            <w:vAlign w:val="bottom"/>
            <w:tcBorders>
              <w:top w:val="single" w:sz="8" w:color="CCEEFF"/>
            </w:tcBorders>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Stock-based awards not included because to do so would be</w:t>
            </w:r>
          </w:p>
        </w:tc>
        <w:tc>
          <w:tcPr>
            <w:tcW w:w="3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711,375</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417,950</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450,541</w:t>
            </w: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639,887</w:t>
            </w:r>
          </w:p>
        </w:tc>
        <w:tc>
          <w:tcPr>
            <w:tcW w:w="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3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antidilutive</w:t>
            </w: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vMerge w:val="continue"/>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358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Note 3: Securities</w:t>
      </w:r>
    </w:p>
    <w:p>
      <w:pPr>
        <w:spacing w:after="0" w:line="178" w:lineRule="exact"/>
        <w:rPr>
          <w:sz w:val="20"/>
          <w:szCs w:val="20"/>
          <w:color w:val="auto"/>
        </w:rPr>
      </w:pPr>
    </w:p>
    <w:p>
      <w:pPr>
        <w:ind w:left="660" w:right="679" w:firstLine="395"/>
        <w:spacing w:after="0" w:line="315" w:lineRule="auto"/>
        <w:rPr>
          <w:sz w:val="20"/>
          <w:szCs w:val="20"/>
          <w:color w:val="auto"/>
        </w:rPr>
      </w:pPr>
      <w:r>
        <w:rPr>
          <w:rFonts w:ascii="Arial" w:cs="Arial" w:eastAsia="Arial" w:hAnsi="Arial"/>
          <w:sz w:val="14"/>
          <w:szCs w:val="14"/>
          <w:color w:val="auto"/>
        </w:rPr>
        <w:t>The amortized cost and approximate fair values, together with gross unrealized gains and losses, of period end available-for-sale securities consisted of the following:</w:t>
      </w:r>
    </w:p>
    <w:tbl>
      <w:tblPr>
        <w:tblLayout w:type="fixed"/>
        <w:tblInd w:w="66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509"/>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17"/>
        </w:trPr>
        <w:tc>
          <w:tcPr>
            <w:tcW w:w="3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90"/>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69"/>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60"/>
        </w:trPr>
        <w:tc>
          <w:tcPr>
            <w:tcW w:w="3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109"/>
              <w:spacing w:after="0"/>
              <w:rPr>
                <w:sz w:val="20"/>
                <w:szCs w:val="20"/>
                <w:color w:val="auto"/>
              </w:rPr>
            </w:pPr>
            <w:r>
              <w:rPr>
                <w:rFonts w:ascii="Arial" w:cs="Arial" w:eastAsia="Arial" w:hAnsi="Arial"/>
                <w:sz w:val="14"/>
                <w:szCs w:val="14"/>
                <w:b w:val="1"/>
                <w:bCs w:val="1"/>
                <w:color w:val="auto"/>
                <w:w w:val="93"/>
              </w:rPr>
              <w:t>Amortized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11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center"/>
              <w:ind w:right="69"/>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94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5"/>
              </w:rPr>
              <w:t>Approximate</w:t>
            </w:r>
          </w:p>
        </w:tc>
      </w:tr>
      <w:tr>
        <w:trPr>
          <w:trHeight w:val="164"/>
        </w:trPr>
        <w:tc>
          <w:tcPr>
            <w:tcW w:w="3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8"/>
              </w:rPr>
              <w:t>Fair Value</w:t>
            </w:r>
          </w:p>
        </w:tc>
      </w:tr>
      <w:tr>
        <w:trPr>
          <w:trHeight w:val="196"/>
        </w:trPr>
        <w:tc>
          <w:tcPr>
            <w:tcW w:w="3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gridSpan w:val="4"/>
          </w:tcPr>
          <w:p>
            <w:pPr>
              <w:jc w:val="right"/>
              <w:ind w:right="349"/>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3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 securities</w:t>
            </w:r>
          </w:p>
        </w:tc>
        <w:tc>
          <w:tcPr>
            <w:tcW w:w="4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Mortgage-backed - GSE residential</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179,119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18,352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160,769</w:t>
            </w:r>
          </w:p>
        </w:tc>
      </w:tr>
      <w:tr>
        <w:trPr>
          <w:trHeight w:val="181"/>
        </w:trPr>
        <w:tc>
          <w:tcPr>
            <w:tcW w:w="3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Collateralized mortgage obligations - GSE residential</w:t>
            </w:r>
          </w:p>
        </w:tc>
        <w:tc>
          <w:tcPr>
            <w:tcW w:w="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13,611</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13,211</w:t>
            </w: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State and political subdivisions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566,726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2,199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52,236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516,689</w:t>
            </w:r>
          </w:p>
        </w:tc>
      </w:tr>
      <w:tr>
        <w:trPr>
          <w:trHeight w:val="176"/>
        </w:trPr>
        <w:tc>
          <w:tcPr>
            <w:tcW w:w="36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Corporate bonds</w:t>
            </w:r>
          </w:p>
        </w:tc>
        <w:tc>
          <w:tcPr>
            <w:tcW w:w="4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5,118</w:t>
            </w:r>
          </w:p>
        </w:tc>
        <w:tc>
          <w:tcPr>
            <w:tcW w:w="80" w:type="dxa"/>
            <w:vAlign w:val="bottom"/>
            <w:tcBorders>
              <w:right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4,978</w:t>
            </w:r>
          </w:p>
        </w:tc>
      </w:tr>
      <w:tr>
        <w:trPr>
          <w:trHeight w:val="188"/>
        </w:trPr>
        <w:tc>
          <w:tcPr>
            <w:tcW w:w="3600" w:type="dxa"/>
            <w:vAlign w:val="bottom"/>
          </w:tcPr>
          <w:p>
            <w:pPr>
              <w:spacing w:after="0"/>
              <w:rPr>
                <w:sz w:val="20"/>
                <w:szCs w:val="20"/>
                <w:color w:val="auto"/>
              </w:rPr>
            </w:pPr>
            <w:r>
              <w:rPr>
                <w:rFonts w:ascii="Arial" w:cs="Arial" w:eastAsia="Arial" w:hAnsi="Arial"/>
                <w:sz w:val="14"/>
                <w:szCs w:val="14"/>
                <w:color w:val="auto"/>
              </w:rPr>
              <w:t>Total available-for-sale securities</w:t>
            </w: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764,574</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2,233</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71,160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9"/>
              <w:spacing w:after="0"/>
              <w:rPr>
                <w:sz w:val="20"/>
                <w:szCs w:val="20"/>
                <w:color w:val="auto"/>
              </w:rPr>
            </w:pPr>
            <w:r>
              <w:rPr>
                <w:rFonts w:ascii="Arial" w:cs="Arial" w:eastAsia="Arial" w:hAnsi="Arial"/>
                <w:sz w:val="14"/>
                <w:szCs w:val="14"/>
                <w:color w:val="auto"/>
              </w:rPr>
              <w:t>695,647</w:t>
            </w:r>
          </w:p>
        </w:tc>
      </w:tr>
      <w:tr>
        <w:trPr>
          <w:trHeight w:val="21"/>
        </w:trPr>
        <w:tc>
          <w:tcPr>
            <w:tcW w:w="36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9019"/>
          </w:cols>
          <w:pgMar w:left="1440" w:top="460" w:right="1440" w:bottom="1440" w:gutter="0" w:footer="0" w:header="0"/>
        </w:sectPr>
      </w:pPr>
    </w:p>
    <w:bookmarkStart w:id="15" w:name="page16"/>
    <w:bookmarkEnd w:id="15"/>
    <w:tbl>
      <w:tblPr>
        <w:tblLayout w:type="fixed"/>
        <w:tblInd w:w="580" w:type="dxa"/>
        <w:tblCellMar>
          <w:top w:w="0" w:type="dxa"/>
          <w:left w:w="0" w:type="dxa"/>
          <w:bottom w:w="0" w:type="dxa"/>
          <w:right w:w="0" w:type="dxa"/>
        </w:tblCellMar>
      </w:tblPr>
      <w:tr>
        <w:trPr>
          <w:trHeight w:val="180"/>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640" w:type="dxa"/>
            <w:vAlign w:val="bottom"/>
            <w:gridSpan w:val="10"/>
          </w:tcPr>
          <w:p>
            <w:pPr>
              <w:jc w:val="right"/>
              <w:ind w:right="90"/>
              <w:spacing w:after="0"/>
              <w:rPr>
                <w:sz w:val="20"/>
                <w:szCs w:val="20"/>
                <w:color w:val="auto"/>
              </w:rPr>
            </w:pPr>
            <w:r>
              <w:rPr>
                <w:rFonts w:ascii="Arial" w:cs="Arial" w:eastAsia="Arial" w:hAnsi="Arial"/>
                <w:sz w:val="14"/>
                <w:szCs w:val="14"/>
                <w:color w:val="auto"/>
              </w:rPr>
              <w:t>Notes to Condensed Consolidated Financial Statements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1"/>
        </w:trPr>
        <w:tc>
          <w:tcPr>
            <w:tcW w:w="344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200" w:type="dxa"/>
            <w:vAlign w:val="bottom"/>
            <w:gridSpan w:val="4"/>
          </w:tcPr>
          <w:p>
            <w:pPr>
              <w:jc w:val="right"/>
              <w:ind w:right="329"/>
              <w:spacing w:after="0"/>
              <w:rPr>
                <w:sz w:val="20"/>
                <w:szCs w:val="20"/>
                <w:color w:val="auto"/>
              </w:rPr>
            </w:pPr>
            <w:r>
              <w:rPr>
                <w:rFonts w:ascii="Arial" w:cs="Arial" w:eastAsia="Arial" w:hAnsi="Arial"/>
                <w:sz w:val="14"/>
                <w:szCs w:val="14"/>
                <w:color w:val="auto"/>
              </w:rPr>
              <w:t>(unaudited)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82"/>
        </w:trPr>
        <w:tc>
          <w:tcPr>
            <w:tcW w:w="8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17"/>
        </w:trPr>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250"/>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ind w:right="49"/>
              <w:spacing w:after="0"/>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60"/>
        </w:trPr>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right"/>
              <w:ind w:right="109"/>
              <w:spacing w:after="0"/>
              <w:rPr>
                <w:sz w:val="20"/>
                <w:szCs w:val="20"/>
                <w:color w:val="auto"/>
              </w:rPr>
            </w:pPr>
            <w:r>
              <w:rPr>
                <w:rFonts w:ascii="Arial" w:cs="Arial" w:eastAsia="Arial" w:hAnsi="Arial"/>
                <w:sz w:val="14"/>
                <w:szCs w:val="14"/>
                <w:b w:val="1"/>
                <w:bCs w:val="1"/>
                <w:color w:val="auto"/>
                <w:w w:val="96"/>
              </w:rPr>
              <w:t>Amortized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ind w:right="49"/>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3"/>
                <w:szCs w:val="13"/>
                <w:color w:val="auto"/>
              </w:rPr>
            </w:pPr>
          </w:p>
        </w:tc>
        <w:tc>
          <w:tcPr>
            <w:tcW w:w="9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3"/>
              </w:rPr>
              <w:t>Approximate</w:t>
            </w:r>
          </w:p>
        </w:tc>
      </w:tr>
      <w:tr>
        <w:trPr>
          <w:trHeight w:val="164"/>
        </w:trPr>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78"/>
              </w:rPr>
              <w:t>Losses</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w w:val="98"/>
              </w:rPr>
              <w:t>Fair Value</w:t>
            </w:r>
          </w:p>
        </w:tc>
      </w:tr>
      <w:tr>
        <w:trPr>
          <w:trHeight w:val="178"/>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gridSpan w:val="4"/>
          </w:tcPr>
          <w:p>
            <w:pPr>
              <w:ind w:left="220"/>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80" w:type="dxa"/>
            <w:vAlign w:val="bottom"/>
          </w:tcPr>
          <w:p>
            <w:pPr>
              <w:spacing w:after="0"/>
              <w:rPr>
                <w:sz w:val="16"/>
                <w:szCs w:val="16"/>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Available-for-sale securities</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1"/>
        </w:trPr>
        <w:tc>
          <w:tcPr>
            <w:tcW w:w="80" w:type="dxa"/>
            <w:vAlign w:val="bottom"/>
          </w:tcPr>
          <w:p>
            <w:pPr>
              <w:spacing w:after="0"/>
              <w:rPr>
                <w:sz w:val="15"/>
                <w:szCs w:val="15"/>
                <w:color w:val="auto"/>
              </w:rPr>
            </w:pPr>
          </w:p>
        </w:tc>
        <w:tc>
          <w:tcPr>
            <w:tcW w:w="3360" w:type="dxa"/>
            <w:vAlign w:val="bottom"/>
            <w:gridSpan w:val="2"/>
          </w:tcPr>
          <w:p>
            <w:pPr>
              <w:ind w:left="160"/>
              <w:spacing w:after="0"/>
              <w:rPr>
                <w:sz w:val="20"/>
                <w:szCs w:val="20"/>
                <w:color w:val="auto"/>
              </w:rPr>
            </w:pPr>
            <w:r>
              <w:rPr>
                <w:rFonts w:ascii="Arial" w:cs="Arial" w:eastAsia="Arial" w:hAnsi="Arial"/>
                <w:sz w:val="14"/>
                <w:szCs w:val="14"/>
                <w:color w:val="auto"/>
              </w:rPr>
              <w:t>Mortgage-backed - GSE residential</w:t>
            </w: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161,675</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rPr>
              <w:t>1,809</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1,774</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161,710</w:t>
            </w:r>
          </w:p>
        </w:tc>
      </w:tr>
      <w:tr>
        <w:trPr>
          <w:trHeight w:val="181"/>
        </w:trPr>
        <w:tc>
          <w:tcPr>
            <w:tcW w:w="80" w:type="dxa"/>
            <w:vAlign w:val="bottom"/>
          </w:tcPr>
          <w:p>
            <w:pPr>
              <w:spacing w:after="0"/>
              <w:rPr>
                <w:sz w:val="15"/>
                <w:szCs w:val="15"/>
                <w:color w:val="auto"/>
              </w:rPr>
            </w:pPr>
          </w:p>
        </w:tc>
        <w:tc>
          <w:tcPr>
            <w:tcW w:w="33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5"/>
              </w:rPr>
              <w:t>Collateralized mortgage obligations - GSE residential</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18,130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311</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18,431</w:t>
            </w:r>
          </w:p>
        </w:tc>
      </w:tr>
      <w:tr>
        <w:trPr>
          <w:trHeight w:val="181"/>
        </w:trPr>
        <w:tc>
          <w:tcPr>
            <w:tcW w:w="80" w:type="dxa"/>
            <w:vAlign w:val="bottom"/>
          </w:tcPr>
          <w:p>
            <w:pPr>
              <w:spacing w:after="0"/>
              <w:rPr>
                <w:sz w:val="15"/>
                <w:szCs w:val="15"/>
                <w:color w:val="auto"/>
              </w:rPr>
            </w:pPr>
          </w:p>
        </w:tc>
        <w:tc>
          <w:tcPr>
            <w:tcW w:w="3360" w:type="dxa"/>
            <w:vAlign w:val="bottom"/>
            <w:gridSpan w:val="2"/>
          </w:tcPr>
          <w:p>
            <w:pPr>
              <w:ind w:left="160"/>
              <w:spacing w:after="0"/>
              <w:rPr>
                <w:sz w:val="20"/>
                <w:szCs w:val="20"/>
                <w:color w:val="auto"/>
              </w:rPr>
            </w:pPr>
            <w:r>
              <w:rPr>
                <w:rFonts w:ascii="Arial" w:cs="Arial" w:eastAsia="Arial" w:hAnsi="Arial"/>
                <w:sz w:val="14"/>
                <w:szCs w:val="14"/>
                <w:color w:val="auto"/>
              </w:rPr>
              <w:t>State and political subdivisions</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532,906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rPr>
              <w:t>29,329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767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561,468</w:t>
            </w:r>
          </w:p>
        </w:tc>
      </w:tr>
      <w:tr>
        <w:trPr>
          <w:trHeight w:val="171"/>
        </w:trPr>
        <w:tc>
          <w:tcPr>
            <w:tcW w:w="80" w:type="dxa"/>
            <w:vAlign w:val="bottom"/>
          </w:tcPr>
          <w:p>
            <w:pPr>
              <w:spacing w:after="0"/>
              <w:rPr>
                <w:sz w:val="14"/>
                <w:szCs w:val="14"/>
                <w:color w:val="auto"/>
              </w:rPr>
            </w:pPr>
          </w:p>
        </w:tc>
        <w:tc>
          <w:tcPr>
            <w:tcW w:w="3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Corporate bonds</w:t>
            </w:r>
          </w:p>
        </w:tc>
        <w:tc>
          <w:tcPr>
            <w:tcW w:w="2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4,241</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119</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4,360</w:t>
            </w:r>
          </w:p>
        </w:tc>
      </w:tr>
      <w:tr>
        <w:trPr>
          <w:trHeight w:val="183"/>
        </w:trPr>
        <w:tc>
          <w:tcPr>
            <w:tcW w:w="3440" w:type="dxa"/>
            <w:vAlign w:val="bottom"/>
            <w:gridSpan w:val="3"/>
          </w:tcPr>
          <w:p>
            <w:pPr>
              <w:ind w:left="40"/>
              <w:spacing w:after="0"/>
              <w:rPr>
                <w:sz w:val="20"/>
                <w:szCs w:val="20"/>
                <w:color w:val="auto"/>
              </w:rPr>
            </w:pPr>
            <w:r>
              <w:rPr>
                <w:rFonts w:ascii="Arial" w:cs="Arial" w:eastAsia="Arial" w:hAnsi="Arial"/>
                <w:sz w:val="14"/>
                <w:szCs w:val="14"/>
                <w:color w:val="auto"/>
              </w:rPr>
              <w:t>Total available-for-sale securities</w:t>
            </w:r>
          </w:p>
        </w:tc>
        <w:tc>
          <w:tcPr>
            <w:tcW w:w="3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716,952</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rPr>
              <w:t>31,568</w:t>
            </w: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2,551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745,969</w:t>
            </w:r>
          </w:p>
        </w:tc>
      </w:tr>
      <w:tr>
        <w:trPr>
          <w:trHeight w:val="20"/>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2"/>
          <w:szCs w:val="12"/>
          <w:color w:val="auto"/>
        </w:rPr>
        <w:t>As of June 30, 2022, the available-for-sale securities had $ 6 million of accrued interest, excluded from the amortized cost basis.</w:t>
      </w:r>
    </w:p>
    <w:p>
      <w:pPr>
        <w:spacing w:after="0" w:line="257"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The amortized cost and fair value of available-for-sale securities at June 30, 2022, by contractual maturity, are shown below:</w:t>
      </w:r>
    </w:p>
    <w:p>
      <w:pPr>
        <w:spacing w:after="0" w:line="71" w:lineRule="exact"/>
        <w:rPr>
          <w:sz w:val="20"/>
          <w:szCs w:val="20"/>
          <w:color w:val="auto"/>
        </w:rPr>
      </w:pPr>
    </w:p>
    <w:tbl>
      <w:tblPr>
        <w:tblLayout w:type="fixed"/>
        <w:tblInd w:w="62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center"/>
              <w:ind w:right="9"/>
              <w:spacing w:after="0"/>
              <w:rPr>
                <w:sz w:val="20"/>
                <w:szCs w:val="20"/>
                <w:color w:val="auto"/>
              </w:rPr>
            </w:pPr>
            <w:r>
              <w:rPr>
                <w:rFonts w:ascii="Arial" w:cs="Arial" w:eastAsia="Arial" w:hAnsi="Arial"/>
                <w:sz w:val="14"/>
                <w:szCs w:val="14"/>
                <w:b w:val="1"/>
                <w:bCs w:val="1"/>
                <w:color w:val="auto"/>
                <w:w w:val="90"/>
              </w:rPr>
              <w:t>June 30, 2022</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74"/>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Within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After One to</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2"/>
              </w:rPr>
              <w:t>After Five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69"/>
              <w:spacing w:after="0"/>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4"/>
        </w:trPr>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59"/>
              <w:spacing w:after="0"/>
              <w:rPr>
                <w:sz w:val="20"/>
                <w:szCs w:val="20"/>
                <w:color w:val="auto"/>
              </w:rPr>
            </w:pPr>
            <w:r>
              <w:rPr>
                <w:rFonts w:ascii="Arial" w:cs="Arial" w:eastAsia="Arial" w:hAnsi="Arial"/>
                <w:sz w:val="14"/>
                <w:szCs w:val="14"/>
                <w:b w:val="1"/>
                <w:bCs w:val="1"/>
                <w:color w:val="auto"/>
                <w:w w:val="91"/>
              </w:rPr>
              <w:t>One Year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97"/>
              </w:rPr>
              <w:t>Five Years</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49"/>
              <w:spacing w:after="0"/>
              <w:rPr>
                <w:sz w:val="20"/>
                <w:szCs w:val="20"/>
                <w:color w:val="auto"/>
              </w:rPr>
            </w:pPr>
            <w:r>
              <w:rPr>
                <w:rFonts w:ascii="Arial" w:cs="Arial" w:eastAsia="Arial" w:hAnsi="Arial"/>
                <w:sz w:val="14"/>
                <w:szCs w:val="14"/>
                <w:b w:val="1"/>
                <w:bCs w:val="1"/>
                <w:color w:val="auto"/>
                <w:w w:val="89"/>
              </w:rPr>
              <w:t>Ten Years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b w:val="1"/>
                <w:bCs w:val="1"/>
                <w:color w:val="auto"/>
                <w:w w:val="86"/>
              </w:rPr>
              <w:t>Ten Years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189"/>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9"/>
          </w:tcPr>
          <w:p>
            <w:pPr>
              <w:jc w:val="center"/>
              <w:ind w:right="140"/>
              <w:spacing w:after="0"/>
              <w:rPr>
                <w:sz w:val="20"/>
                <w:szCs w:val="20"/>
                <w:color w:val="auto"/>
              </w:rPr>
            </w:pPr>
            <w:r>
              <w:rPr>
                <w:rFonts w:ascii="Arial" w:cs="Arial" w:eastAsia="Arial" w:hAnsi="Arial"/>
                <w:sz w:val="13"/>
                <w:szCs w:val="13"/>
                <w:i w:val="1"/>
                <w:iCs w:val="1"/>
                <w:color w:val="auto"/>
                <w:w w:val="91"/>
              </w:rPr>
              <w:t>(Dollars in thousands)</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6"/>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Available-for-sale securities</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2400" w:type="dxa"/>
            <w:vAlign w:val="bottom"/>
            <w:gridSpan w:val="2"/>
          </w:tcPr>
          <w:p>
            <w:pPr>
              <w:ind w:left="160"/>
              <w:spacing w:after="0" w:line="170" w:lineRule="exact"/>
              <w:rPr>
                <w:sz w:val="20"/>
                <w:szCs w:val="20"/>
                <w:color w:val="auto"/>
              </w:rPr>
            </w:pPr>
            <w:r>
              <w:rPr>
                <w:rFonts w:ascii="Arial" w:cs="Arial" w:eastAsia="Arial" w:hAnsi="Arial"/>
                <w:sz w:val="14"/>
                <w:szCs w:val="14"/>
                <w:color w:val="auto"/>
                <w:w w:val="93"/>
              </w:rPr>
              <w:t xml:space="preserve">Mortgage-backed - GSE residential </w:t>
            </w:r>
            <w:r>
              <w:rPr>
                <w:rFonts w:ascii="Arial" w:cs="Arial" w:eastAsia="Arial" w:hAnsi="Arial"/>
                <w:sz w:val="18"/>
                <w:szCs w:val="18"/>
                <w:color w:val="auto"/>
                <w:w w:val="93"/>
                <w:vertAlign w:val="superscript"/>
              </w:rPr>
              <w:t>(1)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5"/>
                <w:szCs w:val="15"/>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178,978</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179,119</w:t>
            </w:r>
          </w:p>
        </w:tc>
        <w:tc>
          <w:tcPr>
            <w:tcW w:w="180" w:type="dxa"/>
            <w:vAlign w:val="bottom"/>
            <w:shd w:val="clear" w:color="auto" w:fill="CCEEFF"/>
          </w:tcPr>
          <w:p>
            <w:pPr>
              <w:spacing w:after="0"/>
              <w:rPr>
                <w:sz w:val="15"/>
                <w:szCs w:val="15"/>
                <w:color w:val="auto"/>
              </w:rPr>
            </w:pPr>
          </w:p>
        </w:tc>
      </w:tr>
      <w:tr>
        <w:trPr>
          <w:trHeight w:val="192"/>
        </w:trPr>
        <w:tc>
          <w:tcPr>
            <w:tcW w:w="40" w:type="dxa"/>
            <w:vAlign w:val="bottom"/>
          </w:tcPr>
          <w:p>
            <w:pPr>
              <w:spacing w:after="0"/>
              <w:rPr>
                <w:sz w:val="16"/>
                <w:szCs w:val="16"/>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117</w:t>
            </w:r>
          </w:p>
        </w:tc>
        <w:tc>
          <w:tcPr>
            <w:tcW w:w="200" w:type="dxa"/>
            <w:vAlign w:val="bottom"/>
          </w:tcPr>
          <w:p>
            <w:pPr>
              <w:spacing w:after="0"/>
              <w:rPr>
                <w:sz w:val="16"/>
                <w:szCs w:val="16"/>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160,628</w:t>
            </w:r>
          </w:p>
        </w:tc>
        <w:tc>
          <w:tcPr>
            <w:tcW w:w="180" w:type="dxa"/>
            <w:vAlign w:val="bottom"/>
          </w:tcPr>
          <w:p>
            <w:pPr>
              <w:spacing w:after="0"/>
              <w:rPr>
                <w:sz w:val="16"/>
                <w:szCs w:val="16"/>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160,769</w:t>
            </w:r>
          </w:p>
        </w:tc>
        <w:tc>
          <w:tcPr>
            <w:tcW w:w="180" w:type="dxa"/>
            <w:vAlign w:val="bottom"/>
          </w:tcPr>
          <w:p>
            <w:pPr>
              <w:spacing w:after="0"/>
              <w:rPr>
                <w:sz w:val="16"/>
                <w:szCs w:val="16"/>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r>
      <w:tr>
        <w:trPr>
          <w:trHeight w:val="166"/>
        </w:trPr>
        <w:tc>
          <w:tcPr>
            <w:tcW w:w="40" w:type="dxa"/>
            <w:vAlign w:val="bottom"/>
          </w:tcPr>
          <w:p>
            <w:pPr>
              <w:spacing w:after="0"/>
              <w:rPr>
                <w:sz w:val="14"/>
                <w:szCs w:val="14"/>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color w:val="auto"/>
                <w:w w:val="97"/>
              </w:rPr>
              <w:t>Collateralized mortgage obligations -</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7"/>
        </w:trPr>
        <w:tc>
          <w:tcPr>
            <w:tcW w:w="40" w:type="dxa"/>
            <w:vAlign w:val="bottom"/>
          </w:tcPr>
          <w:p>
            <w:pPr>
              <w:spacing w:after="0"/>
              <w:rPr>
                <w:sz w:val="17"/>
                <w:szCs w:val="17"/>
                <w:color w:val="auto"/>
              </w:rPr>
            </w:pPr>
          </w:p>
        </w:tc>
        <w:tc>
          <w:tcPr>
            <w:tcW w:w="2400" w:type="dxa"/>
            <w:vAlign w:val="bottom"/>
            <w:gridSpan w:val="2"/>
          </w:tcPr>
          <w:p>
            <w:pPr>
              <w:ind w:left="160"/>
              <w:spacing w:after="0" w:line="197" w:lineRule="exact"/>
              <w:rPr>
                <w:sz w:val="20"/>
                <w:szCs w:val="20"/>
                <w:color w:val="auto"/>
              </w:rPr>
            </w:pPr>
            <w:r>
              <w:rPr>
                <w:rFonts w:ascii="Arial" w:cs="Arial" w:eastAsia="Arial" w:hAnsi="Arial"/>
                <w:sz w:val="14"/>
                <w:szCs w:val="14"/>
                <w:color w:val="auto"/>
              </w:rPr>
              <w:t>GSE residential</w:t>
            </w:r>
            <w:r>
              <w:rPr>
                <w:rFonts w:ascii="Arial" w:cs="Arial" w:eastAsia="Arial" w:hAnsi="Arial"/>
                <w:sz w:val="18"/>
                <w:szCs w:val="18"/>
                <w:color w:val="auto"/>
                <w:vertAlign w:val="superscript"/>
              </w:rPr>
              <w:t>(1)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11,225</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13,611</w:t>
            </w:r>
          </w:p>
        </w:tc>
        <w:tc>
          <w:tcPr>
            <w:tcW w:w="1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2,338</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10,873</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13,211</w:t>
            </w: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r>
      <w:tr>
        <w:trPr>
          <w:trHeight w:val="181"/>
        </w:trPr>
        <w:tc>
          <w:tcPr>
            <w:tcW w:w="40" w:type="dxa"/>
            <w:vAlign w:val="bottom"/>
          </w:tcPr>
          <w:p>
            <w:pPr>
              <w:spacing w:after="0"/>
              <w:rPr>
                <w:sz w:val="15"/>
                <w:szCs w:val="15"/>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color w:val="auto"/>
              </w:rPr>
              <w:t>State and political subdivisions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2"/>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4,746</w:t>
            </w:r>
          </w:p>
        </w:tc>
        <w:tc>
          <w:tcPr>
            <w:tcW w:w="120" w:type="dxa"/>
            <w:vAlign w:val="bottom"/>
            <w:shd w:val="clear" w:color="auto" w:fill="CCEEFF"/>
          </w:tcPr>
          <w:p>
            <w:pPr>
              <w:spacing w:after="0"/>
              <w:rPr>
                <w:sz w:val="15"/>
                <w:szCs w:val="15"/>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98,444</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462,740</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566,726</w:t>
            </w:r>
          </w:p>
        </w:tc>
        <w:tc>
          <w:tcPr>
            <w:tcW w:w="1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805</w:t>
            </w:r>
          </w:p>
        </w:tc>
        <w:tc>
          <w:tcPr>
            <w:tcW w:w="180" w:type="dxa"/>
            <w:vAlign w:val="bottom"/>
          </w:tcPr>
          <w:p>
            <w:pPr>
              <w:spacing w:after="0"/>
              <w:rPr>
                <w:sz w:val="15"/>
                <w:szCs w:val="15"/>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4,871</w:t>
            </w:r>
          </w:p>
        </w:tc>
        <w:tc>
          <w:tcPr>
            <w:tcW w:w="120" w:type="dxa"/>
            <w:vAlign w:val="bottom"/>
          </w:tcPr>
          <w:p>
            <w:pPr>
              <w:spacing w:after="0"/>
              <w:rPr>
                <w:sz w:val="15"/>
                <w:szCs w:val="15"/>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99,175</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411,838</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516,689</w:t>
            </w: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r>
      <w:tr>
        <w:trPr>
          <w:trHeight w:val="181"/>
        </w:trPr>
        <w:tc>
          <w:tcPr>
            <w:tcW w:w="40" w:type="dxa"/>
            <w:vAlign w:val="bottom"/>
          </w:tcPr>
          <w:p>
            <w:pPr>
              <w:spacing w:after="0"/>
              <w:rPr>
                <w:sz w:val="15"/>
                <w:szCs w:val="15"/>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color w:val="auto"/>
              </w:rPr>
              <w:t>Corporate bonds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2"/>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5"/>
                <w:szCs w:val="15"/>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4,619</w:t>
            </w:r>
          </w:p>
        </w:tc>
        <w:tc>
          <w:tcPr>
            <w:tcW w:w="20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5,118</w:t>
            </w:r>
          </w:p>
        </w:tc>
        <w:tc>
          <w:tcPr>
            <w:tcW w:w="1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5"/>
                <w:szCs w:val="15"/>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4,454</w:t>
            </w:r>
          </w:p>
        </w:tc>
        <w:tc>
          <w:tcPr>
            <w:tcW w:w="20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4,978</w:t>
            </w:r>
          </w:p>
        </w:tc>
        <w:tc>
          <w:tcPr>
            <w:tcW w:w="18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line="170" w:lineRule="exact"/>
              <w:rPr>
                <w:sz w:val="20"/>
                <w:szCs w:val="20"/>
                <w:color w:val="auto"/>
              </w:rPr>
            </w:pPr>
            <w:r>
              <w:rPr>
                <w:rFonts w:ascii="Arial" w:cs="Arial" w:eastAsia="Arial" w:hAnsi="Arial"/>
                <w:sz w:val="14"/>
                <w:szCs w:val="14"/>
                <w:color w:val="auto"/>
              </w:rPr>
              <w:t>Weighted average yield</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r>
      <w:tr>
        <w:trPr>
          <w:trHeight w:val="171"/>
        </w:trPr>
        <w:tc>
          <w:tcPr>
            <w:tcW w:w="40" w:type="dxa"/>
            <w:vAlign w:val="bottom"/>
          </w:tcPr>
          <w:p>
            <w:pPr>
              <w:spacing w:after="0"/>
              <w:rPr>
                <w:sz w:val="14"/>
                <w:szCs w:val="14"/>
                <w:color w:val="auto"/>
              </w:rPr>
            </w:pPr>
          </w:p>
        </w:tc>
        <w:tc>
          <w:tcPr>
            <w:tcW w:w="2400" w:type="dxa"/>
            <w:vAlign w:val="bottom"/>
            <w:gridSpan w:val="2"/>
          </w:tcPr>
          <w:p>
            <w:pPr>
              <w:ind w:left="160"/>
              <w:spacing w:after="0"/>
              <w:rPr>
                <w:sz w:val="20"/>
                <w:szCs w:val="20"/>
                <w:color w:val="auto"/>
              </w:rPr>
            </w:pPr>
            <w:r>
              <w:rPr>
                <w:rFonts w:ascii="Arial" w:cs="Arial" w:eastAsia="Arial" w:hAnsi="Arial"/>
                <w:sz w:val="14"/>
                <w:szCs w:val="14"/>
                <w:color w:val="auto"/>
              </w:rPr>
              <w:t>Total available-for-sale securities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color w:val="auto"/>
              </w:rPr>
              <w:t>Amortized cost</w:t>
            </w:r>
          </w:p>
        </w:tc>
        <w:tc>
          <w:tcPr>
            <w:tcW w:w="3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18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5,269</w:t>
            </w:r>
          </w:p>
        </w:tc>
        <w:tc>
          <w:tcPr>
            <w:tcW w:w="120" w:type="dxa"/>
            <w:vAlign w:val="bottom"/>
            <w:shd w:val="clear" w:color="auto" w:fill="CCEEFF"/>
          </w:tcPr>
          <w:p>
            <w:pPr>
              <w:spacing w:after="0"/>
              <w:rPr>
                <w:sz w:val="14"/>
                <w:szCs w:val="14"/>
                <w:color w:val="auto"/>
              </w:rPr>
            </w:pPr>
          </w:p>
        </w:tc>
        <w:tc>
          <w:tcPr>
            <w:tcW w:w="1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105,566</w:t>
            </w:r>
          </w:p>
        </w:tc>
        <w:tc>
          <w:tcPr>
            <w:tcW w:w="20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652,943</w:t>
            </w:r>
          </w:p>
        </w:tc>
        <w:tc>
          <w:tcPr>
            <w:tcW w:w="18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764,574</w:t>
            </w:r>
          </w:p>
        </w:tc>
        <w:tc>
          <w:tcPr>
            <w:tcW w:w="180" w:type="dxa"/>
            <w:vAlign w:val="bottom"/>
            <w:shd w:val="clear" w:color="auto" w:fill="CCEEFF"/>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0" w:type="dxa"/>
            <w:vAlign w:val="bottom"/>
          </w:tcPr>
          <w:p>
            <w:pPr>
              <w:spacing w:after="0"/>
              <w:rPr>
                <w:sz w:val="17"/>
                <w:szCs w:val="17"/>
                <w:color w:val="auto"/>
              </w:rPr>
            </w:pPr>
          </w:p>
        </w:tc>
        <w:tc>
          <w:tcPr>
            <w:tcW w:w="2400" w:type="dxa"/>
            <w:vAlign w:val="bottom"/>
            <w:gridSpan w:val="2"/>
          </w:tcPr>
          <w:p>
            <w:pPr>
              <w:ind w:left="340"/>
              <w:spacing w:after="0"/>
              <w:rPr>
                <w:sz w:val="20"/>
                <w:szCs w:val="20"/>
                <w:color w:val="auto"/>
              </w:rPr>
            </w:pPr>
            <w:r>
              <w:rPr>
                <w:rFonts w:ascii="Arial" w:cs="Arial" w:eastAsia="Arial" w:hAnsi="Arial"/>
                <w:sz w:val="14"/>
                <w:szCs w:val="14"/>
                <w:color w:val="auto"/>
              </w:rPr>
              <w:t>Estimated fair value</w:t>
            </w:r>
          </w:p>
        </w:tc>
        <w:tc>
          <w:tcPr>
            <w:tcW w:w="3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805</w:t>
            </w:r>
          </w:p>
        </w:tc>
        <w:tc>
          <w:tcPr>
            <w:tcW w:w="180" w:type="dxa"/>
            <w:vAlign w:val="bottom"/>
          </w:tcPr>
          <w:p>
            <w:pPr>
              <w:spacing w:after="0"/>
              <w:rPr>
                <w:sz w:val="17"/>
                <w:szCs w:val="17"/>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5,419</w:t>
            </w:r>
          </w:p>
        </w:tc>
        <w:tc>
          <w:tcPr>
            <w:tcW w:w="120" w:type="dxa"/>
            <w:vAlign w:val="bottom"/>
          </w:tcPr>
          <w:p>
            <w:pPr>
              <w:spacing w:after="0"/>
              <w:rPr>
                <w:sz w:val="17"/>
                <w:szCs w:val="17"/>
                <w:color w:val="auto"/>
              </w:rPr>
            </w:pP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106,084</w:t>
            </w:r>
          </w:p>
        </w:tc>
        <w:tc>
          <w:tcPr>
            <w:tcW w:w="200" w:type="dxa"/>
            <w:vAlign w:val="bottom"/>
          </w:tcPr>
          <w:p>
            <w:pPr>
              <w:spacing w:after="0"/>
              <w:rPr>
                <w:sz w:val="17"/>
                <w:szCs w:val="17"/>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583,339</w:t>
            </w:r>
          </w:p>
        </w:tc>
        <w:tc>
          <w:tcPr>
            <w:tcW w:w="180" w:type="dxa"/>
            <w:vAlign w:val="bottom"/>
          </w:tcPr>
          <w:p>
            <w:pPr>
              <w:spacing w:after="0"/>
              <w:rPr>
                <w:sz w:val="17"/>
                <w:szCs w:val="17"/>
                <w:color w:val="auto"/>
              </w:rPr>
            </w:pPr>
          </w:p>
        </w:tc>
        <w:tc>
          <w:tcPr>
            <w:tcW w:w="2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695,647</w:t>
            </w:r>
          </w:p>
        </w:tc>
        <w:tc>
          <w:tcPr>
            <w:tcW w:w="180" w:type="dxa"/>
            <w:vAlign w:val="bottom"/>
          </w:tcPr>
          <w:p>
            <w:pPr>
              <w:spacing w:after="0"/>
              <w:rPr>
                <w:sz w:val="17"/>
                <w:szCs w:val="17"/>
                <w:color w:val="auto"/>
              </w:rPr>
            </w:pPr>
          </w:p>
        </w:tc>
      </w:tr>
      <w:tr>
        <w:trPr>
          <w:trHeight w:val="164"/>
        </w:trPr>
        <w:tc>
          <w:tcPr>
            <w:tcW w:w="40" w:type="dxa"/>
            <w:vAlign w:val="bottom"/>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00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3"/>
                <w:szCs w:val="13"/>
                <w:color w:val="auto"/>
              </w:rPr>
              <w:t>Weighted average yield</w:t>
            </w:r>
            <w:r>
              <w:rPr>
                <w:rFonts w:ascii="Arial" w:cs="Arial" w:eastAsia="Arial" w:hAnsi="Arial"/>
                <w:sz w:val="17"/>
                <w:szCs w:val="17"/>
                <w:color w:val="auto"/>
                <w:vertAlign w:val="superscript"/>
              </w:rPr>
              <w:t>(2)</w:t>
            </w: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3.44%</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3.34%</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2.64%</w:t>
            </w: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1020" w:right="679" w:hanging="229"/>
        <w:spacing w:after="0" w:line="216" w:lineRule="auto"/>
        <w:tabs>
          <w:tab w:leader="none" w:pos="1020" w:val="left"/>
        </w:tabs>
        <w:numPr>
          <w:ilvl w:val="1"/>
          <w:numId w:val="8"/>
        </w:numPr>
        <w:rPr>
          <w:rFonts w:ascii="Arial" w:cs="Arial" w:eastAsia="Arial" w:hAnsi="Arial"/>
          <w:sz w:val="18"/>
          <w:szCs w:val="18"/>
          <w:color w:val="auto"/>
          <w:vertAlign w:val="superscript"/>
        </w:rPr>
      </w:pPr>
      <w:r>
        <w:rPr>
          <w:rFonts w:ascii="Arial" w:cs="Arial" w:eastAsia="Arial" w:hAnsi="Arial"/>
          <w:sz w:val="14"/>
          <w:szCs w:val="14"/>
          <w:color w:val="auto"/>
        </w:rPr>
        <w:t>Actual maturities may differ from contractual maturities because issuers may have the rights to call or prepay obligations with or without prepayment penalties.</w:t>
      </w:r>
    </w:p>
    <w:p>
      <w:pPr>
        <w:ind w:left="1040" w:hanging="260"/>
        <w:spacing w:after="0" w:line="195" w:lineRule="auto"/>
        <w:tabs>
          <w:tab w:leader="none" w:pos="10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Yields are calculated based on amortized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9019"/>
          </w:cols>
          <w:pgMar w:left="1440" w:top="460" w:right="1440" w:bottom="1440" w:gutter="0" w:footer="0" w:header="0"/>
        </w:sectPr>
      </w:pPr>
    </w:p>
    <w:bookmarkStart w:id="16" w:name="page17"/>
    <w:bookmarkEnd w:id="16"/>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rFonts w:ascii="Arial" w:cs="Arial" w:eastAsia="Arial" w:hAnsi="Arial"/>
          <w:sz w:val="14"/>
          <w:szCs w:val="14"/>
          <w:color w:val="0000FF"/>
        </w:rPr>
      </w:pP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(unaudited)</w:t>
      </w:r>
    </w:p>
    <w:p>
      <w:pPr>
        <w:spacing w:after="0" w:line="383" w:lineRule="exact"/>
        <w:rPr>
          <w:sz w:val="20"/>
          <w:szCs w:val="20"/>
          <w:color w:val="auto"/>
        </w:rPr>
      </w:pPr>
    </w:p>
    <w:p>
      <w:pPr>
        <w:jc w:val="both"/>
        <w:ind w:left="660" w:right="619" w:firstLine="395"/>
        <w:spacing w:after="0" w:line="260" w:lineRule="auto"/>
        <w:rPr>
          <w:sz w:val="20"/>
          <w:szCs w:val="20"/>
          <w:color w:val="auto"/>
        </w:rPr>
      </w:pPr>
      <w:r>
        <w:rPr>
          <w:rFonts w:ascii="Arial" w:cs="Arial" w:eastAsia="Arial" w:hAnsi="Arial"/>
          <w:sz w:val="14"/>
          <w:szCs w:val="14"/>
          <w:color w:val="auto"/>
        </w:rPr>
        <w:t>The following tables show the number of securities, unrealized loss, and fair value of the Company’s investments with unrealized losses, aggregated by investment class and length of time that individual securities have been in a continuous unrealized loss position at June 30, 2022 and December 31, 2021:</w:t>
      </w:r>
    </w:p>
    <w:p>
      <w:pPr>
        <w:spacing w:after="0" w:line="145" w:lineRule="exact"/>
        <w:rPr>
          <w:sz w:val="20"/>
          <w:szCs w:val="20"/>
          <w:color w:val="auto"/>
        </w:rPr>
      </w:pPr>
    </w:p>
    <w:tbl>
      <w:tblPr>
        <w:tblLayout w:type="fixed"/>
        <w:tblInd w:w="62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center"/>
              <w:ind w:left="409"/>
              <w:spacing w:after="0"/>
              <w:rPr>
                <w:sz w:val="20"/>
                <w:szCs w:val="20"/>
                <w:color w:val="auto"/>
              </w:rPr>
            </w:pPr>
            <w:r>
              <w:rPr>
                <w:rFonts w:ascii="Arial" w:cs="Arial" w:eastAsia="Arial" w:hAnsi="Arial"/>
                <w:sz w:val="14"/>
                <w:szCs w:val="14"/>
                <w:b w:val="1"/>
                <w:bCs w:val="1"/>
                <w:color w:val="auto"/>
                <w:w w:val="90"/>
              </w:rPr>
              <w:t>June 30, 2022</w:t>
            </w: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89"/>
              </w:rPr>
              <w:t>Less than 12 Months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4"/>
              </w:rPr>
              <w:t>12 Months or More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5"/>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gridSpan w:val="7"/>
          </w:tcPr>
          <w:p>
            <w:pPr>
              <w:spacing w:after="0"/>
              <w:rPr>
                <w:sz w:val="20"/>
                <w:szCs w:val="20"/>
                <w:color w:val="auto"/>
              </w:rPr>
            </w:pPr>
            <w:r>
              <w:rPr>
                <w:rFonts w:ascii="Arial" w:cs="Arial" w:eastAsia="Arial" w:hAnsi="Arial"/>
                <w:sz w:val="14"/>
                <w:szCs w:val="14"/>
                <w:b w:val="1"/>
                <w:bCs w:val="1"/>
                <w:color w:val="auto"/>
                <w:w w:val="98"/>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Unrealized Number of</w:t>
            </w:r>
          </w:p>
        </w:tc>
      </w:tr>
      <w:tr>
        <w:trPr>
          <w:trHeight w:val="164"/>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89"/>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Losses</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89"/>
              <w:spacing w:after="0"/>
              <w:rPr>
                <w:sz w:val="20"/>
                <w:szCs w:val="20"/>
                <w:color w:val="auto"/>
              </w:rPr>
            </w:pPr>
            <w:r>
              <w:rPr>
                <w:rFonts w:ascii="Arial" w:cs="Arial" w:eastAsia="Arial" w:hAnsi="Arial"/>
                <w:sz w:val="14"/>
                <w:szCs w:val="14"/>
                <w:b w:val="1"/>
                <w:bCs w:val="1"/>
                <w:color w:val="auto"/>
                <w:w w:val="78"/>
              </w:rPr>
              <w:t>Losses</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Securities</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8"/>
          </w:tcPr>
          <w:p>
            <w:pPr>
              <w:jc w:val="center"/>
              <w:ind w:right="220"/>
              <w:spacing w:after="0"/>
              <w:rPr>
                <w:sz w:val="20"/>
                <w:szCs w:val="20"/>
                <w:color w:val="auto"/>
              </w:rPr>
            </w:pPr>
            <w:r>
              <w:rPr>
                <w:rFonts w:ascii="Arial" w:cs="Arial" w:eastAsia="Arial" w:hAnsi="Arial"/>
                <w:sz w:val="14"/>
                <w:szCs w:val="14"/>
                <w:i w:val="1"/>
                <w:iCs w:val="1"/>
                <w:color w:val="auto"/>
                <w:w w:val="93"/>
              </w:rPr>
              <w:t>(Dollars in thousands)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56"/>
        </w:trPr>
        <w:tc>
          <w:tcPr>
            <w:tcW w:w="40" w:type="dxa"/>
            <w:vAlign w:val="bottom"/>
          </w:tcPr>
          <w:p>
            <w:pPr>
              <w:spacing w:after="0"/>
              <w:rPr>
                <w:sz w:val="13"/>
                <w:szCs w:val="13"/>
                <w:color w:val="auto"/>
              </w:rPr>
            </w:pPr>
          </w:p>
        </w:tc>
        <w:tc>
          <w:tcPr>
            <w:tcW w:w="12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Available-for-sale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4"/>
        </w:trPr>
        <w:tc>
          <w:tcPr>
            <w:tcW w:w="40" w:type="dxa"/>
            <w:vAlign w:val="bottom"/>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203"/>
        </w:trPr>
        <w:tc>
          <w:tcPr>
            <w:tcW w:w="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Mortgage-backed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60"/>
        </w:trPr>
        <w:tc>
          <w:tcPr>
            <w:tcW w:w="40" w:type="dxa"/>
            <w:vAlign w:val="bottom"/>
          </w:tcPr>
          <w:p>
            <w:pPr>
              <w:spacing w:after="0"/>
              <w:rPr>
                <w:sz w:val="13"/>
                <w:szCs w:val="13"/>
                <w:color w:val="auto"/>
              </w:rPr>
            </w:pPr>
          </w:p>
        </w:tc>
        <w:tc>
          <w:tcPr>
            <w:tcW w:w="12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GSE residential</w:t>
            </w:r>
          </w:p>
        </w:tc>
        <w:tc>
          <w:tcPr>
            <w:tcW w:w="1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98"/>
              </w:rPr>
              <w:t>124,609</w:t>
            </w:r>
          </w:p>
        </w:tc>
        <w:tc>
          <w:tcPr>
            <w:tcW w:w="14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11,678</w:t>
            </w:r>
          </w:p>
        </w:tc>
        <w:tc>
          <w:tcPr>
            <w:tcW w:w="700" w:type="dxa"/>
            <w:vAlign w:val="bottom"/>
            <w:gridSpan w:val="3"/>
          </w:tcPr>
          <w:p>
            <w:pPr>
              <w:jc w:val="right"/>
              <w:ind w:right="100"/>
              <w:spacing w:after="0" w:line="159" w:lineRule="exact"/>
              <w:rPr>
                <w:sz w:val="20"/>
                <w:szCs w:val="20"/>
                <w:color w:val="auto"/>
              </w:rPr>
            </w:pPr>
            <w:r>
              <w:rPr>
                <w:rFonts w:ascii="Arial" w:cs="Arial" w:eastAsia="Arial" w:hAnsi="Arial"/>
                <w:sz w:val="14"/>
                <w:szCs w:val="14"/>
                <w:color w:val="auto"/>
              </w:rPr>
              <w:t>45</w:t>
            </w:r>
          </w:p>
        </w:tc>
        <w:tc>
          <w:tcPr>
            <w:tcW w:w="1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34,332</w:t>
            </w:r>
          </w:p>
        </w:tc>
        <w:tc>
          <w:tcPr>
            <w:tcW w:w="100" w:type="dxa"/>
            <w:vAlign w:val="bottom"/>
            <w:gridSpan w:val="3"/>
          </w:tcPr>
          <w:p>
            <w:pPr>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59" w:lineRule="exact"/>
              <w:rPr>
                <w:sz w:val="20"/>
                <w:szCs w:val="20"/>
                <w:color w:val="auto"/>
              </w:rPr>
            </w:pPr>
            <w:r>
              <w:rPr>
                <w:rFonts w:ascii="Arial" w:cs="Arial" w:eastAsia="Arial" w:hAnsi="Arial"/>
                <w:sz w:val="14"/>
                <w:szCs w:val="14"/>
                <w:color w:val="auto"/>
              </w:rPr>
              <w:t>6,674</w:t>
            </w:r>
          </w:p>
        </w:tc>
        <w:tc>
          <w:tcPr>
            <w:tcW w:w="4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7</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line="159" w:lineRule="exact"/>
              <w:rPr>
                <w:sz w:val="20"/>
                <w:szCs w:val="20"/>
                <w:color w:val="auto"/>
              </w:rPr>
            </w:pPr>
            <w:r>
              <w:rPr>
                <w:rFonts w:ascii="Arial" w:cs="Arial" w:eastAsia="Arial" w:hAnsi="Arial"/>
                <w:sz w:val="14"/>
                <w:szCs w:val="14"/>
                <w:color w:val="auto"/>
                <w:w w:val="98"/>
              </w:rPr>
              <w:t>158,941</w:t>
            </w:r>
          </w:p>
        </w:tc>
        <w:tc>
          <w:tcPr>
            <w:tcW w:w="12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line="159" w:lineRule="exact"/>
              <w:rPr>
                <w:sz w:val="20"/>
                <w:szCs w:val="20"/>
                <w:color w:val="auto"/>
              </w:rPr>
            </w:pPr>
            <w:r>
              <w:rPr>
                <w:rFonts w:ascii="Arial" w:cs="Arial" w:eastAsia="Arial" w:hAnsi="Arial"/>
                <w:sz w:val="14"/>
                <w:szCs w:val="14"/>
                <w:color w:val="auto"/>
              </w:rPr>
              <w:t>18,352</w:t>
            </w:r>
          </w:p>
        </w:tc>
        <w:tc>
          <w:tcPr>
            <w:tcW w:w="700" w:type="dxa"/>
            <w:vAlign w:val="bottom"/>
            <w:gridSpan w:val="2"/>
          </w:tcPr>
          <w:p>
            <w:pPr>
              <w:jc w:val="right"/>
              <w:ind w:right="9"/>
              <w:spacing w:after="0" w:line="159" w:lineRule="exact"/>
              <w:rPr>
                <w:sz w:val="20"/>
                <w:szCs w:val="20"/>
                <w:color w:val="auto"/>
              </w:rPr>
            </w:pPr>
            <w:r>
              <w:rPr>
                <w:rFonts w:ascii="Arial" w:cs="Arial" w:eastAsia="Arial" w:hAnsi="Arial"/>
                <w:sz w:val="14"/>
                <w:szCs w:val="14"/>
                <w:color w:val="auto"/>
              </w:rPr>
              <w:t>52</w:t>
            </w:r>
          </w:p>
        </w:tc>
      </w:tr>
      <w:tr>
        <w:trPr>
          <w:trHeight w:val="203"/>
        </w:trPr>
        <w:tc>
          <w:tcPr>
            <w:tcW w:w="4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Collateralized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0"/>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87"/>
              </w:rPr>
              <w:t>mortgage obligations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GSE residential</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12,809</w:t>
            </w: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386</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13,212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203"/>
        </w:trPr>
        <w:tc>
          <w:tcPr>
            <w:tcW w:w="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State and political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60"/>
        </w:trPr>
        <w:tc>
          <w:tcPr>
            <w:tcW w:w="40" w:type="dxa"/>
            <w:vAlign w:val="bottom"/>
          </w:tcPr>
          <w:p>
            <w:pPr>
              <w:spacing w:after="0"/>
              <w:rPr>
                <w:sz w:val="13"/>
                <w:szCs w:val="13"/>
                <w:color w:val="auto"/>
              </w:rPr>
            </w:pPr>
          </w:p>
        </w:tc>
        <w:tc>
          <w:tcPr>
            <w:tcW w:w="12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subdivisions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w w:val="98"/>
              </w:rPr>
              <w:t>370,681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50,096</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264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7,775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ind w:right="9"/>
              <w:spacing w:after="0" w:line="159" w:lineRule="exact"/>
              <w:rPr>
                <w:sz w:val="20"/>
                <w:szCs w:val="20"/>
                <w:color w:val="auto"/>
              </w:rPr>
            </w:pPr>
            <w:r>
              <w:rPr>
                <w:rFonts w:ascii="Arial" w:cs="Arial" w:eastAsia="Arial" w:hAnsi="Arial"/>
                <w:sz w:val="14"/>
                <w:szCs w:val="14"/>
                <w:color w:val="auto"/>
              </w:rPr>
              <w:t>2,140</w:t>
            </w:r>
          </w:p>
        </w:tc>
        <w:tc>
          <w:tcPr>
            <w:tcW w:w="4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9"/>
              <w:spacing w:after="0" w:line="159" w:lineRule="exact"/>
              <w:rPr>
                <w:sz w:val="20"/>
                <w:szCs w:val="20"/>
                <w:color w:val="auto"/>
              </w:rPr>
            </w:pPr>
            <w:r>
              <w:rPr>
                <w:rFonts w:ascii="Arial" w:cs="Arial" w:eastAsia="Arial" w:hAnsi="Arial"/>
                <w:sz w:val="14"/>
                <w:szCs w:val="14"/>
                <w:color w:val="auto"/>
                <w:w w:val="98"/>
              </w:rPr>
              <w:t>378,456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ind w:right="9"/>
              <w:spacing w:after="0" w:line="159" w:lineRule="exact"/>
              <w:rPr>
                <w:sz w:val="20"/>
                <w:szCs w:val="20"/>
                <w:color w:val="auto"/>
              </w:rPr>
            </w:pPr>
            <w:r>
              <w:rPr>
                <w:rFonts w:ascii="Arial" w:cs="Arial" w:eastAsia="Arial" w:hAnsi="Arial"/>
                <w:sz w:val="14"/>
                <w:szCs w:val="14"/>
                <w:color w:val="auto"/>
              </w:rPr>
              <w:t>52,236</w:t>
            </w: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273</w:t>
            </w: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4,696</w:t>
            </w: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172</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4,696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4"/>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60"/>
              <w:spacing w:after="0"/>
              <w:rPr>
                <w:sz w:val="20"/>
                <w:szCs w:val="20"/>
                <w:color w:val="auto"/>
              </w:rPr>
            </w:pPr>
            <w:r>
              <w:rPr>
                <w:rFonts w:ascii="Arial" w:cs="Arial" w:eastAsia="Arial" w:hAnsi="Arial"/>
                <w:sz w:val="14"/>
                <w:szCs w:val="14"/>
                <w:color w:val="auto"/>
              </w:rPr>
              <w:t>Total temporarily</w:t>
            </w: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w w:val="95"/>
              </w:rPr>
              <w:t>impaired securities $</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512,795</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62,332</w:t>
            </w:r>
          </w:p>
        </w:tc>
        <w:tc>
          <w:tcPr>
            <w:tcW w:w="700" w:type="dxa"/>
            <w:vAlign w:val="bottom"/>
            <w:gridSpan w:val="3"/>
          </w:tcPr>
          <w:p>
            <w:pPr>
              <w:jc w:val="right"/>
              <w:ind w:right="80"/>
              <w:spacing w:after="0"/>
              <w:rPr>
                <w:sz w:val="20"/>
                <w:szCs w:val="20"/>
                <w:color w:val="auto"/>
              </w:rPr>
            </w:pPr>
            <w:r>
              <w:rPr>
                <w:rFonts w:ascii="Arial" w:cs="Arial" w:eastAsia="Arial" w:hAnsi="Arial"/>
                <w:sz w:val="14"/>
                <w:szCs w:val="14"/>
                <w:color w:val="auto"/>
              </w:rPr>
              <w:t>331</w:t>
            </w: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42,510</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8,828</w:t>
            </w:r>
          </w:p>
        </w:tc>
        <w:tc>
          <w:tcPr>
            <w:tcW w:w="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17</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w w:val="98"/>
              </w:rPr>
              <w:t>555,305</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71,160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348</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03"/>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0"/>
              </w:rPr>
              <w:t>December 31, 2021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180"/>
              <w:spacing w:after="0"/>
              <w:rPr>
                <w:sz w:val="20"/>
                <w:szCs w:val="20"/>
                <w:color w:val="auto"/>
              </w:rPr>
            </w:pPr>
            <w:r>
              <w:rPr>
                <w:rFonts w:ascii="Arial" w:cs="Arial" w:eastAsia="Arial" w:hAnsi="Arial"/>
                <w:sz w:val="14"/>
                <w:szCs w:val="14"/>
                <w:b w:val="1"/>
                <w:bCs w:val="1"/>
                <w:color w:val="auto"/>
                <w:w w:val="89"/>
              </w:rPr>
              <w:t>Less than 12 Months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4"/>
              </w:rPr>
              <w:t>12 Months or More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243"/>
        </w:trPr>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w w:val="95"/>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gridSpan w:val="7"/>
          </w:tcPr>
          <w:p>
            <w:pPr>
              <w:spacing w:after="0"/>
              <w:rPr>
                <w:sz w:val="20"/>
                <w:szCs w:val="20"/>
                <w:color w:val="auto"/>
              </w:rPr>
            </w:pPr>
            <w:r>
              <w:rPr>
                <w:rFonts w:ascii="Arial" w:cs="Arial" w:eastAsia="Arial" w:hAnsi="Arial"/>
                <w:sz w:val="14"/>
                <w:szCs w:val="14"/>
                <w:b w:val="1"/>
                <w:bCs w:val="1"/>
                <w:color w:val="auto"/>
                <w:w w:val="98"/>
              </w:rPr>
              <w:t>Unrealized Number of</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4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Unrealized Number of</w:t>
            </w:r>
          </w:p>
        </w:tc>
      </w:tr>
      <w:tr>
        <w:trPr>
          <w:trHeight w:val="174"/>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89"/>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4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8"/>
              </w:rPr>
              <w:t>Losses</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Securities</w:t>
            </w:r>
          </w:p>
        </w:tc>
        <w:tc>
          <w:tcPr>
            <w:tcW w:w="72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89"/>
              <w:spacing w:after="0"/>
              <w:rPr>
                <w:sz w:val="20"/>
                <w:szCs w:val="20"/>
                <w:color w:val="auto"/>
              </w:rPr>
            </w:pPr>
            <w:r>
              <w:rPr>
                <w:rFonts w:ascii="Arial" w:cs="Arial" w:eastAsia="Arial" w:hAnsi="Arial"/>
                <w:sz w:val="14"/>
                <w:szCs w:val="14"/>
                <w:b w:val="1"/>
                <w:bCs w:val="1"/>
                <w:color w:val="auto"/>
                <w:w w:val="78"/>
              </w:rPr>
              <w:t>Losses</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86"/>
              </w:rPr>
              <w:t>Securities</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8"/>
          </w:tcPr>
          <w:p>
            <w:pPr>
              <w:jc w:val="center"/>
              <w:ind w:right="220"/>
              <w:spacing w:after="0"/>
              <w:rPr>
                <w:sz w:val="20"/>
                <w:szCs w:val="20"/>
                <w:color w:val="auto"/>
              </w:rPr>
            </w:pPr>
            <w:r>
              <w:rPr>
                <w:rFonts w:ascii="Arial" w:cs="Arial" w:eastAsia="Arial" w:hAnsi="Arial"/>
                <w:sz w:val="14"/>
                <w:szCs w:val="14"/>
                <w:i w:val="1"/>
                <w:iCs w:val="1"/>
                <w:color w:val="auto"/>
                <w:w w:val="93"/>
              </w:rPr>
              <w:t>(Dollars in thousands)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56"/>
        </w:trPr>
        <w:tc>
          <w:tcPr>
            <w:tcW w:w="40" w:type="dxa"/>
            <w:vAlign w:val="bottom"/>
          </w:tcPr>
          <w:p>
            <w:pPr>
              <w:spacing w:after="0"/>
              <w:rPr>
                <w:sz w:val="13"/>
                <w:szCs w:val="13"/>
                <w:color w:val="auto"/>
              </w:rPr>
            </w:pPr>
          </w:p>
        </w:tc>
        <w:tc>
          <w:tcPr>
            <w:tcW w:w="126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Available-for-sale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64"/>
        </w:trPr>
        <w:tc>
          <w:tcPr>
            <w:tcW w:w="40" w:type="dxa"/>
            <w:vAlign w:val="bottom"/>
          </w:tcPr>
          <w:p>
            <w:pPr>
              <w:spacing w:after="0"/>
              <w:rPr>
                <w:sz w:val="14"/>
                <w:szCs w:val="14"/>
                <w:color w:val="auto"/>
              </w:rPr>
            </w:pPr>
          </w:p>
        </w:tc>
        <w:tc>
          <w:tcPr>
            <w:tcW w:w="12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securities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93"/>
        </w:trPr>
        <w:tc>
          <w:tcPr>
            <w:tcW w:w="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Mortgage-backed -</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GSE residential</w:t>
            </w:r>
          </w:p>
        </w:tc>
        <w:tc>
          <w:tcPr>
            <w:tcW w:w="140" w:type="dxa"/>
            <w:vAlign w:val="bottom"/>
            <w:gridSpan w:val="2"/>
          </w:tcPr>
          <w:p>
            <w:pPr>
              <w:jc w:val="right"/>
              <w:ind w:right="6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87,306</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1,774</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16</w:t>
            </w: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87,306</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1,774</w:t>
            </w:r>
          </w:p>
        </w:tc>
        <w:tc>
          <w:tcPr>
            <w:tcW w:w="700" w:type="dxa"/>
            <w:vAlign w:val="bottom"/>
            <w:gridSpan w:val="2"/>
          </w:tcPr>
          <w:p>
            <w:pPr>
              <w:jc w:val="right"/>
              <w:ind w:right="9"/>
              <w:spacing w:after="0"/>
              <w:rPr>
                <w:sz w:val="20"/>
                <w:szCs w:val="20"/>
                <w:color w:val="auto"/>
              </w:rPr>
            </w:pPr>
            <w:r>
              <w:rPr>
                <w:rFonts w:ascii="Arial" w:cs="Arial" w:eastAsia="Arial" w:hAnsi="Arial"/>
                <w:sz w:val="14"/>
                <w:szCs w:val="14"/>
                <w:color w:val="auto"/>
              </w:rPr>
              <w:t>16</w:t>
            </w:r>
          </w:p>
        </w:tc>
      </w:tr>
      <w:tr>
        <w:trPr>
          <w:trHeight w:val="203"/>
        </w:trPr>
        <w:tc>
          <w:tcPr>
            <w:tcW w:w="40" w:type="dxa"/>
            <w:vAlign w:val="bottom"/>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Collateralized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70"/>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w w:val="87"/>
              </w:rPr>
              <w:t>mortgage obligations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0"/>
        </w:trPr>
        <w:tc>
          <w:tcPr>
            <w:tcW w:w="40" w:type="dxa"/>
            <w:vAlign w:val="bottom"/>
          </w:tcPr>
          <w:p>
            <w:pPr>
              <w:spacing w:after="0"/>
              <w:rPr>
                <w:sz w:val="13"/>
                <w:szCs w:val="13"/>
                <w:color w:val="auto"/>
              </w:rPr>
            </w:pPr>
          </w:p>
        </w:tc>
        <w:tc>
          <w:tcPr>
            <w:tcW w:w="100" w:type="dxa"/>
            <w:vAlign w:val="bottom"/>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GSE residential</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803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93"/>
        </w:trPr>
        <w:tc>
          <w:tcPr>
            <w:tcW w:w="4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State and political</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subdivisions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72,915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762</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1,310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Arial" w:cs="Arial" w:eastAsia="Arial" w:hAnsi="Arial"/>
                <w:sz w:val="14"/>
                <w:szCs w:val="14"/>
                <w:color w:val="auto"/>
              </w:rPr>
              <w:t>74,225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767</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43</w:t>
            </w: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4"/>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60"/>
              <w:spacing w:after="0"/>
              <w:rPr>
                <w:sz w:val="20"/>
                <w:szCs w:val="20"/>
                <w:color w:val="auto"/>
              </w:rPr>
            </w:pPr>
            <w:r>
              <w:rPr>
                <w:rFonts w:ascii="Arial" w:cs="Arial" w:eastAsia="Arial" w:hAnsi="Arial"/>
                <w:sz w:val="14"/>
                <w:szCs w:val="14"/>
                <w:color w:val="auto"/>
              </w:rPr>
              <w:t>Total temporarily</w:t>
            </w:r>
          </w:p>
        </w:tc>
        <w:tc>
          <w:tcPr>
            <w:tcW w:w="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r>
      <w:tr>
        <w:trPr>
          <w:trHeight w:val="170"/>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w w:val="95"/>
              </w:rPr>
              <w:t>impaired securities $</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161,024</w:t>
            </w:r>
          </w:p>
        </w:tc>
        <w:tc>
          <w:tcPr>
            <w:tcW w:w="14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2,546</w:t>
            </w:r>
          </w:p>
        </w:tc>
        <w:tc>
          <w:tcPr>
            <w:tcW w:w="700" w:type="dxa"/>
            <w:vAlign w:val="bottom"/>
            <w:gridSpan w:val="3"/>
          </w:tcPr>
          <w:p>
            <w:pPr>
              <w:jc w:val="right"/>
              <w:ind w:right="100"/>
              <w:spacing w:after="0"/>
              <w:rPr>
                <w:sz w:val="20"/>
                <w:szCs w:val="20"/>
                <w:color w:val="auto"/>
              </w:rPr>
            </w:pPr>
            <w:r>
              <w:rPr>
                <w:rFonts w:ascii="Arial" w:cs="Arial" w:eastAsia="Arial" w:hAnsi="Arial"/>
                <w:sz w:val="14"/>
                <w:szCs w:val="14"/>
                <w:color w:val="auto"/>
              </w:rPr>
              <w:t>57</w:t>
            </w: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1,310</w:t>
            </w:r>
          </w:p>
        </w:tc>
        <w:tc>
          <w:tcPr>
            <w:tcW w:w="100" w:type="dxa"/>
            <w:vAlign w:val="bottom"/>
            <w:gridSpan w:val="3"/>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120" w:type="dxa"/>
            <w:vAlign w:val="bottom"/>
            <w:gridSpan w:val="3"/>
          </w:tcPr>
          <w:p>
            <w:pPr>
              <w:jc w:val="right"/>
              <w:ind w:right="6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ind w:right="9"/>
              <w:spacing w:after="0"/>
              <w:rPr>
                <w:sz w:val="20"/>
                <w:szCs w:val="20"/>
                <w:color w:val="auto"/>
              </w:rPr>
            </w:pPr>
            <w:r>
              <w:rPr>
                <w:rFonts w:ascii="Arial" w:cs="Arial" w:eastAsia="Arial" w:hAnsi="Arial"/>
                <w:sz w:val="14"/>
                <w:szCs w:val="14"/>
                <w:color w:val="auto"/>
                <w:w w:val="98"/>
              </w:rPr>
              <w:t>162,334</w:t>
            </w:r>
          </w:p>
        </w:tc>
        <w:tc>
          <w:tcPr>
            <w:tcW w:w="1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2,551</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61</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60" w:right="639" w:firstLine="395"/>
        <w:spacing w:after="0" w:line="329" w:lineRule="auto"/>
        <w:rPr>
          <w:sz w:val="20"/>
          <w:szCs w:val="20"/>
          <w:color w:val="auto"/>
        </w:rPr>
      </w:pPr>
      <w:r>
        <w:rPr>
          <w:rFonts w:ascii="Arial" w:cs="Arial" w:eastAsia="Arial" w:hAnsi="Arial"/>
          <w:sz w:val="13"/>
          <w:szCs w:val="13"/>
          <w:color w:val="auto"/>
        </w:rPr>
        <w:t>Based on the Company’s evaluation at June 30, 2022, under the new impairment model, an allowance for credit losses has not been recorded nor have unrealized losses been recognized into income. The issuers of the securities are of high credit quality and have a long history of no credit losses; management does not intend to sell and it is likely that management will not be required to sell the securities prior to their anticipated recovery; and the decline in fair value is largely attributed to changes in interest rates and other market conditions. The issuers continue to make timely principal and 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9019"/>
          </w:cols>
          <w:pgMar w:left="1440" w:top="460" w:right="1440" w:bottom="1440" w:gutter="0" w:footer="0" w:header="0"/>
        </w:sectPr>
      </w:pPr>
    </w:p>
    <w:bookmarkStart w:id="17" w:name="page18"/>
    <w:bookmarkEnd w:id="17"/>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spacing w:after="0" w:line="37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tables show the gross gains and losses on securities that matured or were sold:</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20" w:type="dxa"/>
            <w:vAlign w:val="bottom"/>
            <w:gridSpan w:val="9"/>
          </w:tcPr>
          <w:p>
            <w:pPr>
              <w:jc w:val="center"/>
              <w:ind w:right="71"/>
              <w:spacing w:after="0"/>
              <w:rPr>
                <w:sz w:val="20"/>
                <w:szCs w:val="20"/>
                <w:color w:val="auto"/>
              </w:rPr>
            </w:pPr>
            <w:r>
              <w:rPr>
                <w:rFonts w:ascii="Arial" w:cs="Arial" w:eastAsia="Arial" w:hAnsi="Arial"/>
                <w:sz w:val="14"/>
                <w:szCs w:val="14"/>
                <w:b w:val="1"/>
                <w:bCs w:val="1"/>
                <w:color w:val="auto"/>
                <w:w w:val="92"/>
              </w:rPr>
              <w:t>For the 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9"/>
          </w:tcPr>
          <w:p>
            <w:pPr>
              <w:jc w:val="center"/>
              <w:ind w:right="129"/>
              <w:spacing w:after="0"/>
              <w:rPr>
                <w:sz w:val="20"/>
                <w:szCs w:val="20"/>
                <w:color w:val="auto"/>
              </w:rPr>
            </w:pPr>
            <w:r>
              <w:rPr>
                <w:rFonts w:ascii="Arial" w:cs="Arial" w:eastAsia="Arial" w:hAnsi="Arial"/>
                <w:sz w:val="14"/>
                <w:szCs w:val="14"/>
                <w:b w:val="1"/>
                <w:bCs w:val="1"/>
                <w:color w:val="auto"/>
                <w:w w:val="92"/>
              </w:rPr>
              <w:t>For the Six Months Ended</w:t>
            </w:r>
          </w:p>
        </w:tc>
      </w:tr>
      <w:tr>
        <w:trPr>
          <w:trHeight w:val="219"/>
        </w:trPr>
        <w:tc>
          <w:tcPr>
            <w:tcW w:w="3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20" w:type="dxa"/>
            <w:vAlign w:val="bottom"/>
            <w:tcBorders>
              <w:bottom w:val="single" w:sz="8" w:color="auto"/>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590" w:type="dxa"/>
            <w:vAlign w:val="bottom"/>
            <w:tcBorders>
              <w:bottom w:val="single" w:sz="8" w:color="auto"/>
            </w:tcBorders>
          </w:tcPr>
          <w:p>
            <w:pPr>
              <w:spacing w:after="0"/>
              <w:rPr>
                <w:sz w:val="19"/>
                <w:szCs w:val="19"/>
                <w:color w:val="auto"/>
              </w:rPr>
            </w:pPr>
          </w:p>
        </w:tc>
      </w:tr>
      <w:tr>
        <w:trPr>
          <w:trHeight w:val="270"/>
        </w:trPr>
        <w:tc>
          <w:tcPr>
            <w:tcW w:w="3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center"/>
              <w:ind w:right="2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59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Net</w:t>
            </w:r>
          </w:p>
        </w:tc>
      </w:tr>
      <w:tr>
        <w:trPr>
          <w:trHeight w:val="160"/>
        </w:trPr>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51"/>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Realized</w:t>
            </w:r>
          </w:p>
        </w:tc>
        <w:tc>
          <w:tcPr>
            <w:tcW w:w="20" w:type="dxa"/>
            <w:vAlign w:val="bottom"/>
          </w:tcPr>
          <w:p>
            <w:pPr>
              <w:spacing w:after="0"/>
              <w:rPr>
                <w:sz w:val="13"/>
                <w:szCs w:val="13"/>
                <w:color w:val="auto"/>
              </w:rPr>
            </w:pPr>
          </w:p>
        </w:tc>
        <w:tc>
          <w:tcPr>
            <w:tcW w:w="7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1"/>
              </w:rPr>
              <w:t>Realized</w:t>
            </w:r>
          </w:p>
        </w:tc>
      </w:tr>
      <w:tr>
        <w:trPr>
          <w:trHeight w:val="174"/>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59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5"/>
              </w:rPr>
              <w:t>Loss</w:t>
            </w:r>
          </w:p>
        </w:tc>
      </w:tr>
      <w:tr>
        <w:trPr>
          <w:trHeight w:val="178"/>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4"/>
          </w:tcPr>
          <w:p>
            <w:pPr>
              <w:jc w:val="right"/>
              <w:ind w:right="69"/>
              <w:spacing w:after="0"/>
              <w:rPr>
                <w:sz w:val="20"/>
                <w:szCs w:val="20"/>
                <w:color w:val="auto"/>
              </w:rPr>
            </w:pPr>
            <w:r>
              <w:rPr>
                <w:rFonts w:ascii="Arial" w:cs="Arial" w:eastAsia="Arial" w:hAnsi="Arial"/>
                <w:sz w:val="13"/>
                <w:szCs w:val="13"/>
                <w:i w:val="1"/>
                <w:iCs w:val="1"/>
                <w:color w:val="auto"/>
                <w:w w:val="94"/>
              </w:rPr>
              <w:t>(Dollars 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590" w:type="dxa"/>
            <w:vAlign w:val="bottom"/>
          </w:tcPr>
          <w:p>
            <w:pPr>
              <w:spacing w:after="0"/>
              <w:rPr>
                <w:sz w:val="15"/>
                <w:szCs w:val="15"/>
                <w:color w:val="auto"/>
              </w:rPr>
            </w:pPr>
          </w:p>
        </w:tc>
      </w:tr>
      <w:tr>
        <w:trPr>
          <w:trHeight w:val="26"/>
        </w:trPr>
        <w:tc>
          <w:tcPr>
            <w:tcW w:w="3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 w:type="dxa"/>
            <w:vAlign w:val="bottom"/>
          </w:tcPr>
          <w:p>
            <w:pPr>
              <w:spacing w:after="0"/>
              <w:rPr>
                <w:sz w:val="2"/>
                <w:szCs w:val="2"/>
                <w:color w:val="auto"/>
              </w:rPr>
            </w:pPr>
          </w:p>
        </w:tc>
        <w:tc>
          <w:tcPr>
            <w:tcW w:w="590" w:type="dxa"/>
            <w:vAlign w:val="bottom"/>
          </w:tcPr>
          <w:p>
            <w:pPr>
              <w:spacing w:after="0"/>
              <w:rPr>
                <w:sz w:val="2"/>
                <w:szCs w:val="2"/>
                <w:color w:val="auto"/>
              </w:rPr>
            </w:pPr>
          </w:p>
        </w:tc>
      </w:tr>
      <w:tr>
        <w:trPr>
          <w:trHeight w:val="193"/>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Available-for-sale securities</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60" w:type="dxa"/>
            <w:vAlign w:val="bottom"/>
            <w:tcBorders>
              <w:bottom w:val="single" w:sz="8" w:color="CCEEFF"/>
            </w:tcBorders>
            <w:shd w:val="clear" w:color="auto" w:fill="CCEEFF"/>
          </w:tcPr>
          <w:p>
            <w:pPr>
              <w:spacing w:after="0"/>
              <w:rPr>
                <w:sz w:val="16"/>
                <w:szCs w:val="16"/>
                <w:color w:val="auto"/>
              </w:rPr>
            </w:pPr>
          </w:p>
        </w:tc>
        <w:tc>
          <w:tcPr>
            <w:tcW w:w="15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9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330"/>
        </w:trPr>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9"/>
          </w:tcPr>
          <w:p>
            <w:pPr>
              <w:jc w:val="center"/>
              <w:ind w:right="71"/>
              <w:spacing w:after="0"/>
              <w:rPr>
                <w:sz w:val="20"/>
                <w:szCs w:val="20"/>
                <w:color w:val="auto"/>
              </w:rPr>
            </w:pPr>
            <w:r>
              <w:rPr>
                <w:rFonts w:ascii="Arial" w:cs="Arial" w:eastAsia="Arial" w:hAnsi="Arial"/>
                <w:sz w:val="14"/>
                <w:szCs w:val="14"/>
                <w:b w:val="1"/>
                <w:bCs w:val="1"/>
                <w:color w:val="auto"/>
                <w:w w:val="92"/>
              </w:rPr>
              <w:t>For the 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9"/>
          </w:tcPr>
          <w:p>
            <w:pPr>
              <w:jc w:val="center"/>
              <w:ind w:right="129"/>
              <w:spacing w:after="0"/>
              <w:rPr>
                <w:sz w:val="20"/>
                <w:szCs w:val="20"/>
                <w:color w:val="auto"/>
              </w:rPr>
            </w:pPr>
            <w:r>
              <w:rPr>
                <w:rFonts w:ascii="Arial" w:cs="Arial" w:eastAsia="Arial" w:hAnsi="Arial"/>
                <w:sz w:val="14"/>
                <w:szCs w:val="14"/>
                <w:b w:val="1"/>
                <w:bCs w:val="1"/>
                <w:color w:val="auto"/>
                <w:w w:val="92"/>
              </w:rPr>
              <w:t>For the Six Months Ended</w:t>
            </w:r>
          </w:p>
        </w:tc>
      </w:tr>
      <w:tr>
        <w:trPr>
          <w:trHeight w:val="219"/>
        </w:trPr>
        <w:tc>
          <w:tcPr>
            <w:tcW w:w="3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June 30, 2021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June 30, 2021</w:t>
            </w:r>
          </w:p>
        </w:tc>
        <w:tc>
          <w:tcPr>
            <w:tcW w:w="20" w:type="dxa"/>
            <w:vAlign w:val="bottom"/>
            <w:tcBorders>
              <w:bottom w:val="single" w:sz="8" w:color="auto"/>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590" w:type="dxa"/>
            <w:vAlign w:val="bottom"/>
            <w:tcBorders>
              <w:bottom w:val="single" w:sz="8" w:color="auto"/>
            </w:tcBorders>
          </w:tcPr>
          <w:p>
            <w:pPr>
              <w:spacing w:after="0"/>
              <w:rPr>
                <w:sz w:val="19"/>
                <w:szCs w:val="19"/>
                <w:color w:val="auto"/>
              </w:rPr>
            </w:pPr>
          </w:p>
        </w:tc>
      </w:tr>
      <w:tr>
        <w:trPr>
          <w:trHeight w:val="270"/>
        </w:trPr>
        <w:tc>
          <w:tcPr>
            <w:tcW w:w="3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Net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center"/>
              <w:ind w:right="29"/>
              <w:spacing w:after="0"/>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59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Net</w:t>
            </w:r>
          </w:p>
        </w:tc>
      </w:tr>
      <w:tr>
        <w:trPr>
          <w:trHeight w:val="160"/>
        </w:trPr>
        <w:tc>
          <w:tcPr>
            <w:tcW w:w="3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Realized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51"/>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Realized</w:t>
            </w:r>
          </w:p>
        </w:tc>
        <w:tc>
          <w:tcPr>
            <w:tcW w:w="20" w:type="dxa"/>
            <w:vAlign w:val="bottom"/>
          </w:tcPr>
          <w:p>
            <w:pPr>
              <w:spacing w:after="0"/>
              <w:rPr>
                <w:sz w:val="13"/>
                <w:szCs w:val="13"/>
                <w:color w:val="auto"/>
              </w:rPr>
            </w:pPr>
          </w:p>
        </w:tc>
        <w:tc>
          <w:tcPr>
            <w:tcW w:w="7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1"/>
              </w:rPr>
              <w:t>Realized</w:t>
            </w:r>
          </w:p>
        </w:tc>
      </w:tr>
      <w:tr>
        <w:trPr>
          <w:trHeight w:val="174"/>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2"/>
              </w:rPr>
              <w:t>Gains</w:t>
            </w:r>
          </w:p>
        </w:tc>
        <w:tc>
          <w:tcPr>
            <w:tcW w:w="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59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5"/>
              </w:rPr>
              <w:t>Loss</w:t>
            </w:r>
          </w:p>
        </w:tc>
      </w:tr>
      <w:tr>
        <w:trPr>
          <w:trHeight w:val="178"/>
        </w:trPr>
        <w:tc>
          <w:tcPr>
            <w:tcW w:w="3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4"/>
          </w:tcPr>
          <w:p>
            <w:pPr>
              <w:jc w:val="right"/>
              <w:ind w:right="69"/>
              <w:spacing w:after="0"/>
              <w:rPr>
                <w:sz w:val="20"/>
                <w:szCs w:val="20"/>
                <w:color w:val="auto"/>
              </w:rPr>
            </w:pPr>
            <w:r>
              <w:rPr>
                <w:rFonts w:ascii="Arial" w:cs="Arial" w:eastAsia="Arial" w:hAnsi="Arial"/>
                <w:sz w:val="13"/>
                <w:szCs w:val="13"/>
                <w:i w:val="1"/>
                <w:iCs w:val="1"/>
                <w:color w:val="auto"/>
                <w:w w:val="94"/>
              </w:rPr>
              <w:t>(Dollars 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590" w:type="dxa"/>
            <w:vAlign w:val="bottom"/>
          </w:tcPr>
          <w:p>
            <w:pPr>
              <w:spacing w:after="0"/>
              <w:rPr>
                <w:sz w:val="15"/>
                <w:szCs w:val="15"/>
                <w:color w:val="auto"/>
              </w:rPr>
            </w:pPr>
          </w:p>
        </w:tc>
      </w:tr>
      <w:tr>
        <w:trPr>
          <w:trHeight w:val="26"/>
        </w:trPr>
        <w:tc>
          <w:tcPr>
            <w:tcW w:w="3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 w:type="dxa"/>
            <w:vAlign w:val="bottom"/>
            <w:gridSpan w:val="2"/>
          </w:tcPr>
          <w:p>
            <w:pPr>
              <w:spacing w:after="0"/>
              <w:rPr>
                <w:sz w:val="2"/>
                <w:szCs w:val="2"/>
                <w:color w:val="auto"/>
              </w:rPr>
            </w:pPr>
          </w:p>
        </w:tc>
        <w:tc>
          <w:tcPr>
            <w:tcW w:w="590" w:type="dxa"/>
            <w:vAlign w:val="bottom"/>
          </w:tcPr>
          <w:p>
            <w:pPr>
              <w:spacing w:after="0"/>
              <w:rPr>
                <w:sz w:val="2"/>
                <w:szCs w:val="2"/>
                <w:color w:val="auto"/>
              </w:rPr>
            </w:pPr>
          </w:p>
        </w:tc>
      </w:tr>
      <w:tr>
        <w:trPr>
          <w:trHeight w:val="192"/>
        </w:trPr>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Available-for-sale securities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6"/>
                <w:szCs w:val="16"/>
                <w:color w:val="auto"/>
              </w:rPr>
            </w:pPr>
          </w:p>
        </w:tc>
        <w:tc>
          <w:tcPr>
            <w:tcW w:w="15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1"/>
        </w:trPr>
        <w:tc>
          <w:tcPr>
            <w:tcW w:w="3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30" w:type="dxa"/>
            <w:vAlign w:val="bottom"/>
            <w:shd w:val="clear" w:color="auto" w:fill="CCEEFF"/>
          </w:tcPr>
          <w:p>
            <w:pPr>
              <w:spacing w:after="0" w:line="20" w:lineRule="exact"/>
              <w:rPr>
                <w:sz w:val="1"/>
                <w:szCs w:val="1"/>
                <w:color w:val="auto"/>
              </w:rPr>
            </w:pPr>
          </w:p>
        </w:tc>
        <w:tc>
          <w:tcPr>
            <w:tcW w:w="590" w:type="dxa"/>
            <w:vAlign w:val="bottom"/>
            <w:shd w:val="clear" w:color="auto" w:fill="CCEEFF"/>
          </w:tcPr>
          <w:p>
            <w:pPr>
              <w:spacing w:after="0" w:line="20" w:lineRule="exact"/>
              <w:rPr>
                <w:sz w:val="1"/>
                <w:szCs w:val="1"/>
                <w:color w:val="auto"/>
              </w:rPr>
            </w:pPr>
          </w:p>
        </w:tc>
      </w:tr>
    </w:tbl>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Equity Securities</w:t>
      </w:r>
    </w:p>
    <w:p>
      <w:pPr>
        <w:spacing w:after="0" w:line="162" w:lineRule="exact"/>
        <w:rPr>
          <w:sz w:val="20"/>
          <w:szCs w:val="20"/>
          <w:color w:val="auto"/>
        </w:rPr>
      </w:pPr>
    </w:p>
    <w:p>
      <w:pPr>
        <w:ind w:left="660" w:right="759" w:firstLine="384"/>
        <w:spacing w:after="0" w:line="330" w:lineRule="auto"/>
        <w:rPr>
          <w:sz w:val="20"/>
          <w:szCs w:val="20"/>
          <w:color w:val="auto"/>
        </w:rPr>
      </w:pPr>
      <w:r>
        <w:rPr>
          <w:rFonts w:ascii="Arial" w:cs="Arial" w:eastAsia="Arial" w:hAnsi="Arial"/>
          <w:sz w:val="14"/>
          <w:szCs w:val="14"/>
          <w:color w:val="auto"/>
        </w:rPr>
        <w:t>Equity securities consist of a $ 2 million investment in a Community Reinvestment Act (“CRA”) mutual fund and $ 1 million in three private equity funds. Equity securities are included in “other assets” on the Consolidated Balance Sheets.</w:t>
      </w:r>
    </w:p>
    <w:p>
      <w:pPr>
        <w:spacing w:after="0" w:line="80" w:lineRule="exact"/>
        <w:rPr>
          <w:sz w:val="20"/>
          <w:szCs w:val="20"/>
          <w:color w:val="auto"/>
        </w:rPr>
      </w:pPr>
    </w:p>
    <w:p>
      <w:pPr>
        <w:ind w:left="660" w:right="599" w:firstLine="384"/>
        <w:spacing w:after="0" w:line="301" w:lineRule="auto"/>
        <w:rPr>
          <w:sz w:val="20"/>
          <w:szCs w:val="20"/>
          <w:color w:val="auto"/>
        </w:rPr>
      </w:pPr>
      <w:r>
        <w:rPr>
          <w:rFonts w:ascii="Arial" w:cs="Arial" w:eastAsia="Arial" w:hAnsi="Arial"/>
          <w:sz w:val="14"/>
          <w:szCs w:val="14"/>
          <w:color w:val="auto"/>
        </w:rPr>
        <w:t>The Company elected a measurement alternative for the three private equity funds that allows the securities to remain at cost until an impairment is identified or an observable price change for an identical or similar investment of the same issuer occurs. Impairment is recorded when there is evidence that the expected fair value of the investment has declined to below the recorded cost. No such events occurred during the three or six-month periods ended June 30, 2022.</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following is a summary of the unrealized and realized gains and losses recognized in net income on equity securities:</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5"/>
          </w:tcPr>
          <w:p>
            <w:pPr>
              <w:jc w:val="right"/>
              <w:ind w:right="169"/>
              <w:spacing w:after="0"/>
              <w:rPr>
                <w:sz w:val="20"/>
                <w:szCs w:val="20"/>
                <w:color w:val="auto"/>
              </w:rPr>
            </w:pPr>
            <w:r>
              <w:rPr>
                <w:rFonts w:ascii="Arial" w:cs="Arial" w:eastAsia="Arial" w:hAnsi="Arial"/>
                <w:sz w:val="14"/>
                <w:szCs w:val="14"/>
                <w:b w:val="1"/>
                <w:bCs w:val="1"/>
                <w:color w:val="auto"/>
                <w:w w:val="95"/>
              </w:rPr>
              <w:t>Six Months Ended</w:t>
            </w:r>
          </w:p>
        </w:tc>
      </w:tr>
      <w:tr>
        <w:trPr>
          <w:trHeight w:val="198"/>
        </w:trPr>
        <w:tc>
          <w:tcPr>
            <w:tcW w:w="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7"/>
                <w:szCs w:val="17"/>
                <w:color w:val="auto"/>
              </w:rPr>
            </w:pPr>
          </w:p>
        </w:tc>
      </w:tr>
      <w:tr>
        <w:trPr>
          <w:trHeight w:val="204"/>
        </w:trPr>
        <w:tc>
          <w:tcPr>
            <w:tcW w:w="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80" w:type="dxa"/>
            <w:vAlign w:val="bottom"/>
            <w:gridSpan w:val="2"/>
          </w:tcPr>
          <w:p>
            <w:pPr>
              <w:spacing w:after="0"/>
              <w:rPr>
                <w:sz w:val="17"/>
                <w:szCs w:val="17"/>
                <w:color w:val="auto"/>
              </w:rPr>
            </w:pPr>
          </w:p>
        </w:tc>
        <w:tc>
          <w:tcPr>
            <w:tcW w:w="5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89"/>
              </w:rPr>
              <w:t>2021</w:t>
            </w:r>
          </w:p>
        </w:tc>
      </w:tr>
      <w:tr>
        <w:trPr>
          <w:trHeight w:val="202"/>
        </w:trPr>
        <w:tc>
          <w:tcPr>
            <w:tcW w:w="4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5"/>
          </w:tcPr>
          <w:p>
            <w:pPr>
              <w:jc w:val="right"/>
              <w:ind w:right="149"/>
              <w:spacing w:after="0"/>
              <w:rPr>
                <w:sz w:val="20"/>
                <w:szCs w:val="20"/>
                <w:color w:val="auto"/>
              </w:rPr>
            </w:pPr>
            <w:r>
              <w:rPr>
                <w:rFonts w:ascii="Arial" w:cs="Arial" w:eastAsia="Arial" w:hAnsi="Arial"/>
                <w:sz w:val="13"/>
                <w:szCs w:val="13"/>
                <w:i w:val="1"/>
                <w:iCs w:val="1"/>
                <w:color w:val="auto"/>
                <w:w w:val="99"/>
              </w:rPr>
              <w:t>(Dollars in thousands)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w w:val="96"/>
              </w:rPr>
              <w:t>Net gains (losses) recognized during the reporting period on equity securities</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640" w:type="dxa"/>
            <w:vAlign w:val="bottom"/>
            <w:gridSpan w:val="3"/>
            <w:shd w:val="clear" w:color="auto" w:fill="CCEEFF"/>
          </w:tcPr>
          <w:p>
            <w:pPr>
              <w:jc w:val="right"/>
              <w:ind w:right="4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color w:val="auto"/>
                <w:w w:val="71"/>
              </w:rPr>
              <w:t>6</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2"/>
        </w:trPr>
        <w:tc>
          <w:tcPr>
            <w:tcW w:w="40" w:type="dxa"/>
            <w:vAlign w:val="bottom"/>
          </w:tcPr>
          <w:p>
            <w:pPr>
              <w:spacing w:after="0"/>
              <w:rPr>
                <w:sz w:val="15"/>
                <w:szCs w:val="15"/>
                <w:color w:val="auto"/>
              </w:rPr>
            </w:pPr>
          </w:p>
        </w:tc>
        <w:tc>
          <w:tcPr>
            <w:tcW w:w="4600" w:type="dxa"/>
            <w:vAlign w:val="bottom"/>
          </w:tcPr>
          <w:p>
            <w:pPr>
              <w:ind w:left="60"/>
              <w:spacing w:after="0"/>
              <w:rPr>
                <w:sz w:val="20"/>
                <w:szCs w:val="20"/>
                <w:color w:val="auto"/>
              </w:rPr>
            </w:pPr>
            <w:r>
              <w:rPr>
                <w:rFonts w:ascii="Arial" w:cs="Arial" w:eastAsia="Arial" w:hAnsi="Arial"/>
                <w:sz w:val="14"/>
                <w:szCs w:val="14"/>
                <w:color w:val="auto"/>
                <w:w w:val="92"/>
              </w:rPr>
              <w:t>Less: net gains recognized during the reporting period on equity securities sold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92"/>
        </w:trPr>
        <w:tc>
          <w:tcPr>
            <w:tcW w:w="40" w:type="dxa"/>
            <w:vAlign w:val="bottom"/>
          </w:tcPr>
          <w:p>
            <w:pPr>
              <w:spacing w:after="0"/>
              <w:rPr>
                <w:sz w:val="16"/>
                <w:szCs w:val="16"/>
                <w:color w:val="auto"/>
              </w:rPr>
            </w:pPr>
          </w:p>
        </w:tc>
        <w:tc>
          <w:tcPr>
            <w:tcW w:w="460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during the reporting period</w:t>
            </w:r>
          </w:p>
        </w:tc>
        <w:tc>
          <w:tcPr>
            <w:tcW w:w="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r>
      <w:tr>
        <w:trPr>
          <w:trHeight w:val="173"/>
        </w:trPr>
        <w:tc>
          <w:tcPr>
            <w:tcW w:w="40" w:type="dxa"/>
            <w:vAlign w:val="bottom"/>
          </w:tcPr>
          <w:p>
            <w:pPr>
              <w:spacing w:after="0"/>
              <w:rPr>
                <w:sz w:val="15"/>
                <w:szCs w:val="15"/>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w w:val="99"/>
              </w:rPr>
              <w:t>Unrealized gains (losses) recognized during the reporting period on equity</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192"/>
        </w:trPr>
        <w:tc>
          <w:tcPr>
            <w:tcW w:w="40" w:type="dxa"/>
            <w:vAlign w:val="bottom"/>
          </w:tcPr>
          <w:p>
            <w:pPr>
              <w:spacing w:after="0"/>
              <w:rPr>
                <w:sz w:val="16"/>
                <w:szCs w:val="16"/>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color w:val="auto"/>
              </w:rPr>
              <w:t>securities still held at the reporting date</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640" w:type="dxa"/>
            <w:vAlign w:val="bottom"/>
            <w:gridSpan w:val="3"/>
            <w:shd w:val="clear" w:color="auto" w:fill="CCEEFF"/>
          </w:tcPr>
          <w:p>
            <w:pPr>
              <w:jc w:val="right"/>
              <w:ind w:right="473"/>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color w:val="auto"/>
                <w:w w:val="71"/>
              </w:rPr>
              <w:t>6</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20"/>
        </w:trPr>
        <w:tc>
          <w:tcPr>
            <w:tcW w:w="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9019"/>
          </w:cols>
          <w:pgMar w:left="1440" w:top="460" w:right="1440" w:bottom="1440" w:gutter="0" w:footer="0" w:header="0"/>
        </w:sectPr>
      </w:pPr>
    </w:p>
    <w:bookmarkStart w:id="18" w:name="page19"/>
    <w:bookmarkEnd w:id="18"/>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rFonts w:ascii="Arial" w:cs="Arial" w:eastAsia="Arial" w:hAnsi="Arial"/>
          <w:sz w:val="14"/>
          <w:szCs w:val="14"/>
          <w:color w:val="0000FF"/>
        </w:rPr>
      </w:pP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(unaudited)</w:t>
      </w:r>
    </w:p>
    <w:p>
      <w:pPr>
        <w:spacing w:after="0" w:line="36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4:</w:t>
      </w:r>
      <w:r>
        <w:rPr>
          <w:sz w:val="20"/>
          <w:szCs w:val="20"/>
          <w:color w:val="auto"/>
        </w:rPr>
        <w:tab/>
      </w:r>
      <w:r>
        <w:rPr>
          <w:rFonts w:ascii="Arial" w:cs="Arial" w:eastAsia="Arial" w:hAnsi="Arial"/>
          <w:sz w:val="15"/>
          <w:szCs w:val="15"/>
          <w:b w:val="1"/>
          <w:bCs w:val="1"/>
          <w:color w:val="auto"/>
        </w:rPr>
        <w:t>Loans and Allowance for Credit Losses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Loan Portfolio Segments</w:t>
      </w: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Categories of loans at June 30, 2022 and December 31, 2021 include:</w:t>
      </w:r>
    </w:p>
    <w:p>
      <w:pPr>
        <w:spacing w:after="0" w:line="59"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0"/>
              </w:rPr>
              <w:t>June 30, 2022</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 w:type="dxa"/>
            <w:vAlign w:val="bottom"/>
            <w:tcBorders>
              <w:bottom w:val="single" w:sz="8" w:color="auto"/>
            </w:tcBorders>
          </w:tcPr>
          <w:p>
            <w:pPr>
              <w:spacing w:after="0"/>
              <w:rPr>
                <w:sz w:val="16"/>
                <w:szCs w:val="16"/>
                <w:color w:val="auto"/>
              </w:rPr>
            </w:pPr>
          </w:p>
        </w:tc>
        <w:tc>
          <w:tcPr>
            <w:tcW w:w="1910" w:type="dxa"/>
            <w:vAlign w:val="bottom"/>
            <w:tcBorders>
              <w:bottom w:val="single" w:sz="8" w:color="auto"/>
            </w:tcBorders>
            <w:gridSpan w:val="2"/>
          </w:tcPr>
          <w:p>
            <w:pPr>
              <w:jc w:val="right"/>
              <w:ind w:right="469"/>
              <w:spacing w:after="0"/>
              <w:rPr>
                <w:sz w:val="20"/>
                <w:szCs w:val="20"/>
                <w:color w:val="auto"/>
              </w:rPr>
            </w:pPr>
            <w:r>
              <w:rPr>
                <w:rFonts w:ascii="Arial" w:cs="Arial" w:eastAsia="Arial" w:hAnsi="Arial"/>
                <w:sz w:val="14"/>
                <w:szCs w:val="14"/>
                <w:b w:val="1"/>
                <w:bCs w:val="1"/>
                <w:color w:val="auto"/>
              </w:rPr>
              <w:t>December 31, 2021</w:t>
            </w:r>
          </w:p>
        </w:tc>
      </w:tr>
      <w:tr>
        <w:trPr>
          <w:trHeight w:val="199"/>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20" w:type="dxa"/>
            <w:vAlign w:val="bottom"/>
            <w:gridSpan w:val="4"/>
          </w:tcPr>
          <w:p>
            <w:pPr>
              <w:ind w:left="60"/>
              <w:spacing w:after="0"/>
              <w:rPr>
                <w:sz w:val="20"/>
                <w:szCs w:val="20"/>
                <w:color w:val="auto"/>
              </w:rPr>
            </w:pPr>
            <w:r>
              <w:rPr>
                <w:rFonts w:ascii="Arial" w:cs="Arial" w:eastAsia="Arial" w:hAnsi="Arial"/>
                <w:sz w:val="14"/>
                <w:szCs w:val="14"/>
                <w:i w:val="1"/>
                <w:iCs w:val="1"/>
                <w:color w:val="auto"/>
              </w:rPr>
              <w:t>(Dollars in thousands)</w:t>
            </w:r>
          </w:p>
        </w:tc>
        <w:tc>
          <w:tcPr>
            <w:tcW w:w="1140" w:type="dxa"/>
            <w:vAlign w:val="bottom"/>
          </w:tcPr>
          <w:p>
            <w:pPr>
              <w:spacing w:after="0"/>
              <w:rPr>
                <w:sz w:val="17"/>
                <w:szCs w:val="17"/>
                <w:color w:val="auto"/>
              </w:rPr>
            </w:pPr>
          </w:p>
        </w:tc>
      </w:tr>
      <w:tr>
        <w:trPr>
          <w:trHeight w:val="187"/>
        </w:trPr>
        <w:tc>
          <w:tcPr>
            <w:tcW w:w="20" w:type="dxa"/>
            <w:vAlign w:val="bottom"/>
          </w:tcPr>
          <w:p>
            <w:pPr>
              <w:spacing w:after="0"/>
              <w:rPr>
                <w:sz w:val="16"/>
                <w:szCs w:val="16"/>
                <w:color w:val="auto"/>
              </w:rPr>
            </w:pP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80" w:type="dxa"/>
            <w:vAlign w:val="bottom"/>
            <w:gridSpan w:val="2"/>
            <w:shd w:val="clear" w:color="auto" w:fill="CCEEFF"/>
          </w:tcPr>
          <w:p>
            <w:pPr>
              <w:jc w:val="right"/>
              <w:ind w:right="175"/>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812,411</w:t>
            </w:r>
          </w:p>
        </w:tc>
        <w:tc>
          <w:tcPr>
            <w:tcW w:w="35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843,024</w:t>
            </w:r>
          </w:p>
        </w:tc>
      </w:tr>
      <w:tr>
        <w:trPr>
          <w:trHeight w:val="181"/>
        </w:trPr>
        <w:tc>
          <w:tcPr>
            <w:tcW w:w="3440" w:type="dxa"/>
            <w:vAlign w:val="bottom"/>
            <w:gridSpan w:val="4"/>
          </w:tcPr>
          <w:p>
            <w:pPr>
              <w:spacing w:after="0"/>
              <w:rPr>
                <w:sz w:val="20"/>
                <w:szCs w:val="20"/>
                <w:color w:val="auto"/>
              </w:rPr>
            </w:pPr>
            <w:r>
              <w:rPr>
                <w:rFonts w:ascii="Arial" w:cs="Arial" w:eastAsia="Arial" w:hAnsi="Arial"/>
                <w:sz w:val="14"/>
                <w:szCs w:val="14"/>
                <w:color w:val="auto"/>
              </w:rPr>
              <w:t>Commercial and industrial lines of credit</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787,664</w:t>
            </w:r>
          </w:p>
        </w:tc>
        <w:tc>
          <w:tcPr>
            <w:tcW w:w="10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617,398</w:t>
            </w:r>
          </w:p>
        </w:tc>
      </w:tr>
      <w:tr>
        <w:trPr>
          <w:trHeight w:val="182"/>
        </w:trPr>
        <w:tc>
          <w:tcPr>
            <w:tcW w:w="20" w:type="dxa"/>
            <w:vAlign w:val="bottom"/>
          </w:tcPr>
          <w:p>
            <w:pPr>
              <w:spacing w:after="0"/>
              <w:rPr>
                <w:sz w:val="15"/>
                <w:szCs w:val="15"/>
                <w:color w:val="auto"/>
              </w:rPr>
            </w:pP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233,000</w:t>
            </w:r>
          </w:p>
        </w:tc>
        <w:tc>
          <w:tcPr>
            <w:tcW w:w="100" w:type="dxa"/>
            <w:vAlign w:val="bottom"/>
            <w:shd w:val="clear" w:color="auto" w:fill="CCEEFF"/>
          </w:tcPr>
          <w:p>
            <w:pPr>
              <w:spacing w:after="0"/>
              <w:rPr>
                <w:sz w:val="15"/>
                <w:szCs w:val="15"/>
                <w:color w:val="auto"/>
              </w:rPr>
            </w:pPr>
          </w:p>
        </w:tc>
        <w:tc>
          <w:tcPr>
            <w:tcW w:w="25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278,579</w:t>
            </w:r>
          </w:p>
        </w:tc>
      </w:tr>
      <w:tr>
        <w:trPr>
          <w:trHeight w:val="181"/>
        </w:trPr>
        <w:tc>
          <w:tcPr>
            <w:tcW w:w="3440" w:type="dxa"/>
            <w:vAlign w:val="bottom"/>
            <w:gridSpan w:val="4"/>
          </w:tcPr>
          <w:p>
            <w:pPr>
              <w:spacing w:after="0"/>
              <w:rPr>
                <w:sz w:val="20"/>
                <w:szCs w:val="20"/>
                <w:color w:val="auto"/>
              </w:rPr>
            </w:pPr>
            <w:r>
              <w:rPr>
                <w:rFonts w:ascii="Arial" w:cs="Arial" w:eastAsia="Arial" w:hAnsi="Arial"/>
                <w:sz w:val="14"/>
                <w:szCs w:val="14"/>
                <w:color w:val="auto"/>
              </w:rPr>
              <w:t>Commercial real estate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w w:val="89"/>
              </w:rPr>
              <w:t>1,435,893</w:t>
            </w:r>
          </w:p>
        </w:tc>
        <w:tc>
          <w:tcPr>
            <w:tcW w:w="10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140" w:type="dxa"/>
            <w:vAlign w:val="bottom"/>
          </w:tcPr>
          <w:p>
            <w:pPr>
              <w:jc w:val="right"/>
              <w:ind w:right="49"/>
              <w:spacing w:after="0"/>
              <w:rPr>
                <w:sz w:val="20"/>
                <w:szCs w:val="20"/>
                <w:color w:val="auto"/>
              </w:rPr>
            </w:pPr>
            <w:r>
              <w:rPr>
                <w:rFonts w:ascii="Arial" w:cs="Arial" w:eastAsia="Arial" w:hAnsi="Arial"/>
                <w:sz w:val="14"/>
                <w:szCs w:val="14"/>
                <w:color w:val="auto"/>
              </w:rPr>
              <w:t>1,278,479</w:t>
            </w:r>
          </w:p>
        </w:tc>
      </w:tr>
      <w:tr>
        <w:trPr>
          <w:trHeight w:val="182"/>
        </w:trPr>
        <w:tc>
          <w:tcPr>
            <w:tcW w:w="20" w:type="dxa"/>
            <w:vAlign w:val="bottom"/>
          </w:tcPr>
          <w:p>
            <w:pPr>
              <w:spacing w:after="0"/>
              <w:rPr>
                <w:sz w:val="15"/>
                <w:szCs w:val="15"/>
                <w:color w:val="auto"/>
              </w:rPr>
            </w:pP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Construction and land development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584,415</w:t>
            </w:r>
          </w:p>
        </w:tc>
        <w:tc>
          <w:tcPr>
            <w:tcW w:w="100" w:type="dxa"/>
            <w:vAlign w:val="bottom"/>
            <w:shd w:val="clear" w:color="auto" w:fill="CCEEFF"/>
          </w:tcPr>
          <w:p>
            <w:pPr>
              <w:spacing w:after="0"/>
              <w:rPr>
                <w:sz w:val="15"/>
                <w:szCs w:val="15"/>
                <w:color w:val="auto"/>
              </w:rPr>
            </w:pPr>
          </w:p>
        </w:tc>
        <w:tc>
          <w:tcPr>
            <w:tcW w:w="25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574,852</w:t>
            </w:r>
          </w:p>
        </w:tc>
      </w:tr>
      <w:tr>
        <w:trPr>
          <w:trHeight w:val="181"/>
        </w:trPr>
        <w:tc>
          <w:tcPr>
            <w:tcW w:w="3440" w:type="dxa"/>
            <w:vAlign w:val="bottom"/>
            <w:gridSpan w:val="4"/>
          </w:tcPr>
          <w:p>
            <w:pPr>
              <w:spacing w:after="0"/>
              <w:rPr>
                <w:sz w:val="20"/>
                <w:szCs w:val="20"/>
                <w:color w:val="auto"/>
              </w:rPr>
            </w:pPr>
            <w:r>
              <w:rPr>
                <w:rFonts w:ascii="Arial" w:cs="Arial" w:eastAsia="Arial" w:hAnsi="Arial"/>
                <w:sz w:val="14"/>
                <w:szCs w:val="14"/>
                <w:color w:val="auto"/>
              </w:rPr>
              <w:t>Residential real estate</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371,337</w:t>
            </w:r>
          </w:p>
        </w:tc>
        <w:tc>
          <w:tcPr>
            <w:tcW w:w="100" w:type="dxa"/>
            <w:vAlign w:val="bottom"/>
          </w:tcPr>
          <w:p>
            <w:pPr>
              <w:spacing w:after="0"/>
              <w:rPr>
                <w:sz w:val="15"/>
                <w:szCs w:val="15"/>
                <w:color w:val="auto"/>
              </w:rPr>
            </w:pPr>
          </w:p>
        </w:tc>
        <w:tc>
          <w:tcPr>
            <w:tcW w:w="25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360,046</w:t>
            </w:r>
          </w:p>
        </w:tc>
      </w:tr>
      <w:tr>
        <w:trPr>
          <w:trHeight w:val="182"/>
        </w:trPr>
        <w:tc>
          <w:tcPr>
            <w:tcW w:w="20" w:type="dxa"/>
            <w:vAlign w:val="bottom"/>
          </w:tcPr>
          <w:p>
            <w:pPr>
              <w:spacing w:after="0"/>
              <w:rPr>
                <w:sz w:val="15"/>
                <w:szCs w:val="15"/>
                <w:color w:val="auto"/>
              </w:rPr>
            </w:pP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249,641</w:t>
            </w:r>
          </w:p>
        </w:tc>
        <w:tc>
          <w:tcPr>
            <w:tcW w:w="100" w:type="dxa"/>
            <w:vAlign w:val="bottom"/>
            <w:shd w:val="clear" w:color="auto" w:fill="CCEEFF"/>
          </w:tcPr>
          <w:p>
            <w:pPr>
              <w:spacing w:after="0"/>
              <w:rPr>
                <w:sz w:val="15"/>
                <w:szCs w:val="15"/>
                <w:color w:val="auto"/>
              </w:rPr>
            </w:pPr>
          </w:p>
        </w:tc>
        <w:tc>
          <w:tcPr>
            <w:tcW w:w="25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240,230</w:t>
            </w:r>
          </w:p>
        </w:tc>
      </w:tr>
      <w:tr>
        <w:trPr>
          <w:trHeight w:val="172"/>
        </w:trPr>
        <w:tc>
          <w:tcPr>
            <w:tcW w:w="3440" w:type="dxa"/>
            <w:vAlign w:val="bottom"/>
            <w:gridSpan w:val="4"/>
          </w:tcPr>
          <w:p>
            <w:pPr>
              <w:spacing w:after="0"/>
              <w:rPr>
                <w:sz w:val="20"/>
                <w:szCs w:val="20"/>
                <w:color w:val="auto"/>
              </w:rPr>
            </w:pPr>
            <w:r>
              <w:rPr>
                <w:rFonts w:ascii="Arial" w:cs="Arial" w:eastAsia="Arial" w:hAnsi="Arial"/>
                <w:sz w:val="14"/>
                <w:szCs w:val="14"/>
                <w:color w:val="auto"/>
              </w:rPr>
              <w:t>Consumer</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53,873</w:t>
            </w:r>
          </w:p>
        </w:tc>
        <w:tc>
          <w:tcPr>
            <w:tcW w:w="100" w:type="dxa"/>
            <w:vAlign w:val="bottom"/>
          </w:tcPr>
          <w:p>
            <w:pPr>
              <w:spacing w:after="0"/>
              <w:rPr>
                <w:sz w:val="14"/>
                <w:szCs w:val="14"/>
                <w:color w:val="auto"/>
              </w:rPr>
            </w:pPr>
          </w:p>
        </w:tc>
        <w:tc>
          <w:tcPr>
            <w:tcW w:w="25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63,605</w:t>
            </w:r>
          </w:p>
        </w:tc>
      </w:tr>
      <w:tr>
        <w:trPr>
          <w:trHeight w:val="171"/>
        </w:trPr>
        <w:tc>
          <w:tcPr>
            <w:tcW w:w="20" w:type="dxa"/>
            <w:vAlign w:val="bottom"/>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Loans, net of unearned fees</w:t>
            </w: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89"/>
              </w:rPr>
              <w:t>4,528,234</w:t>
            </w:r>
          </w:p>
        </w:tc>
        <w:tc>
          <w:tcPr>
            <w:tcW w:w="100" w:type="dxa"/>
            <w:vAlign w:val="bottom"/>
            <w:tcBorders>
              <w:top w:val="single" w:sz="8" w:color="CCEEFF"/>
            </w:tcBorders>
            <w:shd w:val="clear" w:color="auto" w:fill="CCEEFF"/>
          </w:tcPr>
          <w:p>
            <w:pPr>
              <w:spacing w:after="0"/>
              <w:rPr>
                <w:sz w:val="14"/>
                <w:szCs w:val="14"/>
                <w:color w:val="auto"/>
              </w:rPr>
            </w:pPr>
          </w:p>
        </w:tc>
        <w:tc>
          <w:tcPr>
            <w:tcW w:w="250" w:type="dxa"/>
            <w:vAlign w:val="bottom"/>
            <w:tcBorders>
              <w:top w:val="single" w:sz="8" w:color="auto"/>
            </w:tcBorders>
            <w:shd w:val="clear" w:color="auto" w:fill="CCEEFF"/>
          </w:tcPr>
          <w:p>
            <w:pPr>
              <w:spacing w:after="0"/>
              <w:rPr>
                <w:sz w:val="14"/>
                <w:szCs w:val="14"/>
                <w:color w:val="auto"/>
              </w:rPr>
            </w:pPr>
          </w:p>
        </w:tc>
        <w:tc>
          <w:tcPr>
            <w:tcW w:w="77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4,256,213</w:t>
            </w:r>
          </w:p>
        </w:tc>
      </w:tr>
      <w:tr>
        <w:trPr>
          <w:trHeight w:val="215"/>
        </w:trPr>
        <w:tc>
          <w:tcPr>
            <w:tcW w:w="3440" w:type="dxa"/>
            <w:vAlign w:val="bottom"/>
            <w:gridSpan w:val="4"/>
          </w:tcPr>
          <w:p>
            <w:pPr>
              <w:spacing w:after="0"/>
              <w:rPr>
                <w:sz w:val="20"/>
                <w:szCs w:val="20"/>
                <w:color w:val="auto"/>
              </w:rPr>
            </w:pPr>
            <w:r>
              <w:rPr>
                <w:rFonts w:ascii="Arial" w:cs="Arial" w:eastAsia="Arial" w:hAnsi="Arial"/>
                <w:sz w:val="14"/>
                <w:szCs w:val="14"/>
                <w:color w:val="auto"/>
              </w:rPr>
              <w:t xml:space="preserve">Less: allowance for credit losses </w:t>
            </w:r>
            <w:r>
              <w:rPr>
                <w:rFonts w:ascii="Arial" w:cs="Arial" w:eastAsia="Arial" w:hAnsi="Arial"/>
                <w:sz w:val="18"/>
                <w:szCs w:val="18"/>
                <w:color w:val="auto"/>
                <w:vertAlign w:val="superscript"/>
              </w:rPr>
              <w:t>(1)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55,817</w:t>
            </w:r>
          </w:p>
        </w:tc>
        <w:tc>
          <w:tcPr>
            <w:tcW w:w="100" w:type="dxa"/>
            <w:vAlign w:val="bottom"/>
          </w:tcPr>
          <w:p>
            <w:pPr>
              <w:spacing w:after="0"/>
              <w:rPr>
                <w:sz w:val="18"/>
                <w:szCs w:val="18"/>
                <w:color w:val="auto"/>
              </w:rPr>
            </w:pPr>
          </w:p>
        </w:tc>
        <w:tc>
          <w:tcPr>
            <w:tcW w:w="25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auto"/>
              </w:rPr>
              <w:t>58,375</w:t>
            </w:r>
          </w:p>
        </w:tc>
      </w:tr>
      <w:tr>
        <w:trPr>
          <w:trHeight w:val="181"/>
        </w:trPr>
        <w:tc>
          <w:tcPr>
            <w:tcW w:w="20" w:type="dxa"/>
            <w:vAlign w:val="bottom"/>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Loans, net</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1220" w:type="dxa"/>
            <w:vAlign w:val="bottom"/>
            <w:tcBorders>
              <w:top w:val="single" w:sz="8" w:color="auto"/>
              <w:bottom w:val="single" w:sz="8" w:color="CCEEFF"/>
            </w:tcBorders>
            <w:shd w:val="clear" w:color="auto" w:fill="CCEEFF"/>
          </w:tcPr>
          <w:p>
            <w:pPr>
              <w:spacing w:after="0"/>
              <w:rPr>
                <w:sz w:val="15"/>
                <w:szCs w:val="15"/>
                <w:color w:val="auto"/>
              </w:rPr>
            </w:pPr>
          </w:p>
        </w:tc>
        <w:tc>
          <w:tcPr>
            <w:tcW w:w="70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89"/>
              </w:rPr>
              <w:t>4,472,417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5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4,197,838</w:t>
            </w: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620" w:right="859"/>
        <w:spacing w:after="0" w:line="221" w:lineRule="auto"/>
        <w:tabs>
          <w:tab w:leader="none" w:pos="769"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As of December 31, 2021, this line represents the allowance for loan and lease losses. See further discussion in "Note 1: Nature of Operations and Summary of Significant Accounting Policies.”</w:t>
      </w:r>
    </w:p>
    <w:p>
      <w:pPr>
        <w:spacing w:after="0" w:line="152" w:lineRule="exact"/>
        <w:rPr>
          <w:sz w:val="20"/>
          <w:szCs w:val="20"/>
          <w:color w:val="auto"/>
        </w:rPr>
      </w:pPr>
    </w:p>
    <w:p>
      <w:pPr>
        <w:ind w:left="660" w:right="999" w:firstLine="384"/>
        <w:spacing w:after="0" w:line="357" w:lineRule="auto"/>
        <w:rPr>
          <w:sz w:val="20"/>
          <w:szCs w:val="20"/>
          <w:color w:val="auto"/>
        </w:rPr>
      </w:pPr>
      <w:r>
        <w:rPr>
          <w:rFonts w:ascii="Arial" w:cs="Arial" w:eastAsia="Arial" w:hAnsi="Arial"/>
          <w:sz w:val="13"/>
          <w:szCs w:val="13"/>
          <w:color w:val="auto"/>
        </w:rPr>
        <w:t>Accrued interest of $ 12 million and $10 million at June 30, 2022 and December 31, 2021, respectively, presented in “other assets” on the Consolidated Balance Sheets is excluded from the amortized cost basis disclosed in the above table.</w:t>
      </w:r>
    </w:p>
    <w:p>
      <w:pPr>
        <w:spacing w:after="0" w:line="110" w:lineRule="exact"/>
        <w:rPr>
          <w:sz w:val="20"/>
          <w:szCs w:val="20"/>
          <w:color w:val="auto"/>
        </w:rPr>
      </w:pPr>
    </w:p>
    <w:p>
      <w:pPr>
        <w:ind w:left="1020" w:right="799"/>
        <w:spacing w:after="0" w:line="283" w:lineRule="auto"/>
        <w:rPr>
          <w:sz w:val="20"/>
          <w:szCs w:val="20"/>
          <w:color w:val="auto"/>
        </w:rPr>
      </w:pPr>
      <w:r>
        <w:rPr>
          <w:rFonts w:ascii="Arial" w:cs="Arial" w:eastAsia="Arial" w:hAnsi="Arial"/>
          <w:sz w:val="14"/>
          <w:szCs w:val="14"/>
          <w:color w:val="auto"/>
        </w:rPr>
        <w:t>The Company aggregates the loan portfolio by similar credit risk characteristics. The loan segments are described in additional detail below:</w:t>
      </w:r>
    </w:p>
    <w:p>
      <w:pPr>
        <w:spacing w:after="0" w:line="118" w:lineRule="exact"/>
        <w:rPr>
          <w:sz w:val="20"/>
          <w:szCs w:val="20"/>
          <w:color w:val="auto"/>
        </w:rPr>
      </w:pPr>
    </w:p>
    <w:p>
      <w:pPr>
        <w:ind w:left="1540" w:right="739" w:hanging="514"/>
        <w:spacing w:after="0" w:line="346" w:lineRule="auto"/>
        <w:tabs>
          <w:tab w:leader="none" w:pos="1540" w:val="left"/>
        </w:tabs>
        <w:numPr>
          <w:ilvl w:val="0"/>
          <w:numId w:val="11"/>
        </w:numPr>
        <w:rPr>
          <w:rFonts w:ascii="Arial" w:cs="Arial" w:eastAsia="Arial" w:hAnsi="Arial"/>
          <w:sz w:val="12"/>
          <w:szCs w:val="12"/>
          <w:color w:val="auto"/>
        </w:rPr>
      </w:pPr>
      <w:r>
        <w:rPr>
          <w:rFonts w:ascii="Arial" w:cs="Arial" w:eastAsia="Arial" w:hAnsi="Arial"/>
          <w:sz w:val="12"/>
          <w:szCs w:val="12"/>
          <w:b w:val="1"/>
          <w:bCs w:val="1"/>
          <w:color w:val="auto"/>
        </w:rPr>
        <w:t xml:space="preserve">Commercial and Industrial </w:t>
      </w:r>
      <w:r>
        <w:rPr>
          <w:rFonts w:ascii="Arial" w:cs="Arial" w:eastAsia="Arial" w:hAnsi="Arial"/>
          <w:sz w:val="12"/>
          <w:szCs w:val="12"/>
          <w:color w:val="auto"/>
        </w:rPr>
        <w:t>- The category includes loans to commercial and industrial customers for use in property,</w:t>
      </w:r>
      <w:r>
        <w:rPr>
          <w:rFonts w:ascii="Arial" w:cs="Arial" w:eastAsia="Arial" w:hAnsi="Arial"/>
          <w:sz w:val="12"/>
          <w:szCs w:val="12"/>
          <w:b w:val="1"/>
          <w:bCs w:val="1"/>
          <w:color w:val="auto"/>
        </w:rPr>
        <w:t xml:space="preserve"> </w:t>
      </w:r>
      <w:r>
        <w:rPr>
          <w:rFonts w:ascii="Arial" w:cs="Arial" w:eastAsia="Arial" w:hAnsi="Arial"/>
          <w:sz w:val="12"/>
          <w:szCs w:val="12"/>
          <w:color w:val="auto"/>
        </w:rPr>
        <w:t>plant, and equipment purchases and expansions. Loan terms typically require principal and interest payments that</w:t>
      </w:r>
    </w:p>
    <w:p>
      <w:pPr>
        <w:ind w:left="1540" w:right="659"/>
        <w:spacing w:after="0" w:line="308" w:lineRule="auto"/>
        <w:rPr>
          <w:rFonts w:ascii="Arial" w:cs="Arial" w:eastAsia="Arial" w:hAnsi="Arial"/>
          <w:sz w:val="12"/>
          <w:szCs w:val="12"/>
          <w:color w:val="auto"/>
        </w:rPr>
      </w:pPr>
      <w:r>
        <w:rPr>
          <w:rFonts w:ascii="Arial" w:cs="Arial" w:eastAsia="Arial" w:hAnsi="Arial"/>
          <w:sz w:val="14"/>
          <w:szCs w:val="14"/>
          <w:color w:val="auto"/>
        </w:rPr>
        <w:t>decrease the outstanding loan balance. Repayment is primarily from the cash flow of a borrower’s principal business operation. Credit risk is driven by creditworthiness of a borrower and the economic conditions that impact the cash flow stability from business operations.</w:t>
      </w:r>
    </w:p>
    <w:p>
      <w:pPr>
        <w:spacing w:after="0" w:line="52" w:lineRule="exact"/>
        <w:rPr>
          <w:rFonts w:ascii="Arial" w:cs="Arial" w:eastAsia="Arial" w:hAnsi="Arial"/>
          <w:sz w:val="12"/>
          <w:szCs w:val="12"/>
          <w:color w:val="auto"/>
        </w:rPr>
      </w:pPr>
    </w:p>
    <w:p>
      <w:pPr>
        <w:jc w:val="both"/>
        <w:ind w:left="1540" w:right="699"/>
        <w:spacing w:after="0" w:line="343" w:lineRule="auto"/>
        <w:rPr>
          <w:rFonts w:ascii="Arial" w:cs="Arial" w:eastAsia="Arial" w:hAnsi="Arial"/>
          <w:sz w:val="12"/>
          <w:szCs w:val="12"/>
          <w:color w:val="auto"/>
        </w:rPr>
      </w:pPr>
      <w:r>
        <w:rPr>
          <w:rFonts w:ascii="Arial" w:cs="Arial" w:eastAsia="Arial" w:hAnsi="Arial"/>
          <w:sz w:val="12"/>
          <w:szCs w:val="12"/>
          <w:color w:val="auto"/>
        </w:rPr>
        <w:t>The category also includes the remaining PPP loans outstanding. These loans were established by the Coronavirus Aid, Relief, and Economic Security Act which authorized forgivable loans to small businesses to pay their employees during</w:t>
      </w:r>
    </w:p>
    <w:p>
      <w:pPr>
        <w:ind w:left="1540" w:right="899"/>
        <w:spacing w:after="0" w:line="314" w:lineRule="auto"/>
        <w:rPr>
          <w:rFonts w:ascii="Arial" w:cs="Arial" w:eastAsia="Arial" w:hAnsi="Arial"/>
          <w:sz w:val="12"/>
          <w:szCs w:val="12"/>
          <w:color w:val="auto"/>
        </w:rPr>
      </w:pPr>
      <w:r>
        <w:rPr>
          <w:rFonts w:ascii="Arial" w:cs="Arial" w:eastAsia="Arial" w:hAnsi="Arial"/>
          <w:sz w:val="14"/>
          <w:szCs w:val="14"/>
          <w:color w:val="auto"/>
        </w:rPr>
        <w:t>the COVID-19 pandemic. The loans are 100 percent guaranteed by the Small Business Administration (“SBA”) and repayment is primarily dependent on the borrower’s cash flow or SBA repayment approval.</w:t>
      </w:r>
    </w:p>
    <w:p>
      <w:pPr>
        <w:spacing w:after="0" w:line="65" w:lineRule="exact"/>
        <w:rPr>
          <w:rFonts w:ascii="Arial" w:cs="Arial" w:eastAsia="Arial" w:hAnsi="Arial"/>
          <w:sz w:val="12"/>
          <w:szCs w:val="12"/>
          <w:color w:val="auto"/>
        </w:rPr>
      </w:pPr>
    </w:p>
    <w:p>
      <w:pPr>
        <w:ind w:left="1540" w:right="679" w:hanging="514"/>
        <w:spacing w:after="0" w:line="316" w:lineRule="auto"/>
        <w:tabs>
          <w:tab w:leader="none" w:pos="154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Commercial and Industrial Lines of Credit </w:t>
      </w:r>
      <w:r>
        <w:rPr>
          <w:rFonts w:ascii="Arial" w:cs="Arial" w:eastAsia="Arial" w:hAnsi="Arial"/>
          <w:sz w:val="13"/>
          <w:szCs w:val="13"/>
          <w:color w:val="auto"/>
        </w:rPr>
        <w:t>– The category includes lines of credit to commercial and industrial</w:t>
      </w:r>
      <w:r>
        <w:rPr>
          <w:rFonts w:ascii="Arial" w:cs="Arial" w:eastAsia="Arial" w:hAnsi="Arial"/>
          <w:sz w:val="13"/>
          <w:szCs w:val="13"/>
          <w:b w:val="1"/>
          <w:bCs w:val="1"/>
          <w:color w:val="auto"/>
        </w:rPr>
        <w:t xml:space="preserve"> </w:t>
      </w:r>
      <w:r>
        <w:rPr>
          <w:rFonts w:ascii="Arial" w:cs="Arial" w:eastAsia="Arial" w:hAnsi="Arial"/>
          <w:sz w:val="13"/>
          <w:szCs w:val="13"/>
          <w:color w:val="auto"/>
        </w:rPr>
        <w:t>customers for working capital needs. The loan terms typically require interest-only payments, mature in one year, and require the full balance paid-off at maturity. Lines of credit allow the borrower to drawdown and repay the line of credit</w:t>
      </w:r>
    </w:p>
    <w:p>
      <w:pPr>
        <w:ind w:left="1540" w:right="779"/>
        <w:spacing w:after="0" w:line="308" w:lineRule="auto"/>
        <w:rPr>
          <w:rFonts w:ascii="Arial" w:cs="Arial" w:eastAsia="Arial" w:hAnsi="Arial"/>
          <w:sz w:val="13"/>
          <w:szCs w:val="13"/>
          <w:color w:val="auto"/>
        </w:rPr>
      </w:pPr>
      <w:r>
        <w:rPr>
          <w:rFonts w:ascii="Arial" w:cs="Arial" w:eastAsia="Arial" w:hAnsi="Arial"/>
          <w:sz w:val="14"/>
          <w:szCs w:val="14"/>
          <w:color w:val="auto"/>
        </w:rPr>
        <w:t>based on the customer’s cash flow needs. Repayment is primarily from the operating cash flow of the business. Credit risk is driven by creditworthiness of a borrower and the economic conditions that impact the cash flow stability from business operations.</w:t>
      </w:r>
    </w:p>
    <w:p>
      <w:pPr>
        <w:spacing w:after="0" w:line="59" w:lineRule="exact"/>
        <w:rPr>
          <w:rFonts w:ascii="Arial" w:cs="Arial" w:eastAsia="Arial" w:hAnsi="Arial"/>
          <w:sz w:val="13"/>
          <w:szCs w:val="13"/>
          <w:color w:val="auto"/>
        </w:rPr>
      </w:pPr>
    </w:p>
    <w:p>
      <w:pPr>
        <w:ind w:left="1540" w:right="759" w:hanging="514"/>
        <w:spacing w:after="0" w:line="320" w:lineRule="auto"/>
        <w:tabs>
          <w:tab w:leader="none" w:pos="1540" w:val="left"/>
        </w:tabs>
        <w:numPr>
          <w:ilvl w:val="0"/>
          <w:numId w:val="11"/>
        </w:numPr>
        <w:rPr>
          <w:rFonts w:ascii="Arial" w:cs="Arial" w:eastAsia="Arial" w:hAnsi="Arial"/>
          <w:sz w:val="13"/>
          <w:szCs w:val="13"/>
          <w:color w:val="auto"/>
        </w:rPr>
      </w:pPr>
      <w:r>
        <w:rPr>
          <w:rFonts w:ascii="Arial" w:cs="Arial" w:eastAsia="Arial" w:hAnsi="Arial"/>
          <w:sz w:val="13"/>
          <w:szCs w:val="13"/>
          <w:b w:val="1"/>
          <w:bCs w:val="1"/>
          <w:color w:val="auto"/>
        </w:rPr>
        <w:t xml:space="preserve">Energy </w:t>
      </w:r>
      <w:r>
        <w:rPr>
          <w:rFonts w:ascii="Arial" w:cs="Arial" w:eastAsia="Arial" w:hAnsi="Arial"/>
          <w:sz w:val="13"/>
          <w:szCs w:val="13"/>
          <w:color w:val="auto"/>
        </w:rPr>
        <w:t>- The category includes loans to oil and natural gas customers for use in financing working capital needs,</w:t>
      </w:r>
      <w:r>
        <w:rPr>
          <w:rFonts w:ascii="Arial" w:cs="Arial" w:eastAsia="Arial" w:hAnsi="Arial"/>
          <w:sz w:val="13"/>
          <w:szCs w:val="13"/>
          <w:b w:val="1"/>
          <w:bCs w:val="1"/>
          <w:color w:val="auto"/>
        </w:rPr>
        <w:t xml:space="preserve"> </w:t>
      </w:r>
      <w:r>
        <w:rPr>
          <w:rFonts w:ascii="Arial" w:cs="Arial" w:eastAsia="Arial" w:hAnsi="Arial"/>
          <w:sz w:val="13"/>
          <w:szCs w:val="13"/>
          <w:color w:val="auto"/>
        </w:rPr>
        <w:t>exploration and production activities, and acquisitions. The loans are repaid primarily from the conversion of crude oil</w:t>
      </w:r>
    </w:p>
    <w:p>
      <w:pPr>
        <w:ind w:left="1540" w:right="619"/>
        <w:spacing w:after="0" w:line="308" w:lineRule="auto"/>
        <w:rPr>
          <w:rFonts w:ascii="Arial" w:cs="Arial" w:eastAsia="Arial" w:hAnsi="Arial"/>
          <w:sz w:val="13"/>
          <w:szCs w:val="13"/>
          <w:color w:val="auto"/>
        </w:rPr>
      </w:pPr>
      <w:r>
        <w:rPr>
          <w:rFonts w:ascii="Arial" w:cs="Arial" w:eastAsia="Arial" w:hAnsi="Arial"/>
          <w:sz w:val="14"/>
          <w:szCs w:val="14"/>
          <w:color w:val="auto"/>
        </w:rPr>
        <w:t>and natural gas to cash. Credit risk is driven by creditworthiness of a borrower and the economic conditions that impact the cash flow stability from business operations. Energy loans are typically collateralized with the underlying oil and gas reserves.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9019"/>
          </w:cols>
          <w:pgMar w:left="1440" w:top="460" w:right="1440" w:bottom="1440" w:gutter="0" w:footer="0" w:header="0"/>
        </w:sectPr>
      </w:pPr>
    </w:p>
    <w:bookmarkStart w:id="19" w:name="page20"/>
    <w:bookmarkEnd w:id="19"/>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rFonts w:ascii="Arial" w:cs="Arial" w:eastAsia="Arial" w:hAnsi="Arial"/>
          <w:sz w:val="14"/>
          <w:szCs w:val="14"/>
          <w:color w:val="0000FF"/>
        </w:rPr>
      </w:pP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(unaudited)</w:t>
      </w:r>
    </w:p>
    <w:p>
      <w:pPr>
        <w:spacing w:after="0" w:line="390" w:lineRule="exact"/>
        <w:rPr>
          <w:sz w:val="20"/>
          <w:szCs w:val="20"/>
          <w:color w:val="auto"/>
        </w:rPr>
      </w:pPr>
    </w:p>
    <w:p>
      <w:pPr>
        <w:ind w:left="1540" w:right="599" w:hanging="514"/>
        <w:spacing w:after="0" w:line="320" w:lineRule="auto"/>
        <w:tabs>
          <w:tab w:leader="none" w:pos="154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Commercial Real Estate </w:t>
      </w:r>
      <w:r>
        <w:rPr>
          <w:rFonts w:ascii="Arial" w:cs="Arial" w:eastAsia="Arial" w:hAnsi="Arial"/>
          <w:sz w:val="13"/>
          <w:szCs w:val="13"/>
          <w:color w:val="auto"/>
        </w:rPr>
        <w:t>- The category includes loans that typically involve larger principal amounts and repayment of</w:t>
      </w:r>
      <w:r>
        <w:rPr>
          <w:rFonts w:ascii="Arial" w:cs="Arial" w:eastAsia="Arial" w:hAnsi="Arial"/>
          <w:sz w:val="13"/>
          <w:szCs w:val="13"/>
          <w:b w:val="1"/>
          <w:bCs w:val="1"/>
          <w:color w:val="auto"/>
        </w:rPr>
        <w:t xml:space="preserve"> </w:t>
      </w:r>
      <w:r>
        <w:rPr>
          <w:rFonts w:ascii="Arial" w:cs="Arial" w:eastAsia="Arial" w:hAnsi="Arial"/>
          <w:sz w:val="13"/>
          <w:szCs w:val="13"/>
          <w:color w:val="auto"/>
        </w:rPr>
        <w:t>these loans is generally dependent on the successful operations of the property securing the loan or the business</w:t>
      </w:r>
    </w:p>
    <w:p>
      <w:pPr>
        <w:ind w:left="1540" w:right="719"/>
        <w:spacing w:after="0" w:line="308" w:lineRule="auto"/>
        <w:rPr>
          <w:rFonts w:ascii="Arial" w:cs="Arial" w:eastAsia="Arial" w:hAnsi="Arial"/>
          <w:sz w:val="13"/>
          <w:szCs w:val="13"/>
          <w:color w:val="auto"/>
        </w:rPr>
      </w:pPr>
      <w:r>
        <w:rPr>
          <w:rFonts w:ascii="Arial" w:cs="Arial" w:eastAsia="Arial" w:hAnsi="Arial"/>
          <w:sz w:val="14"/>
          <w:szCs w:val="14"/>
          <w:color w:val="auto"/>
        </w:rPr>
        <w:t>conducted on the property securing the loan. These are viewed primarily as cash flow loans and secondarily as loans secured by real estate. Credit risk may be impacted by the creditworthiness of a borrower, property values and the local economies in the borrower’s market areas.</w:t>
      </w:r>
    </w:p>
    <w:p>
      <w:pPr>
        <w:spacing w:after="0" w:line="58" w:lineRule="exact"/>
        <w:rPr>
          <w:rFonts w:ascii="Arial" w:cs="Arial" w:eastAsia="Arial" w:hAnsi="Arial"/>
          <w:sz w:val="13"/>
          <w:szCs w:val="13"/>
          <w:color w:val="auto"/>
        </w:rPr>
      </w:pPr>
    </w:p>
    <w:p>
      <w:pPr>
        <w:ind w:left="1540" w:right="679" w:hanging="514"/>
        <w:spacing w:after="0" w:line="346" w:lineRule="auto"/>
        <w:tabs>
          <w:tab w:leader="none" w:pos="154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Construction and Land Development </w:t>
      </w:r>
      <w:r>
        <w:rPr>
          <w:rFonts w:ascii="Arial" w:cs="Arial" w:eastAsia="Arial" w:hAnsi="Arial"/>
          <w:sz w:val="12"/>
          <w:szCs w:val="12"/>
          <w:color w:val="auto"/>
        </w:rPr>
        <w:t>- The category includes loans that are usually based upon estimates of costs and</w:t>
      </w:r>
      <w:r>
        <w:rPr>
          <w:rFonts w:ascii="Arial" w:cs="Arial" w:eastAsia="Arial" w:hAnsi="Arial"/>
          <w:sz w:val="12"/>
          <w:szCs w:val="12"/>
          <w:b w:val="1"/>
          <w:bCs w:val="1"/>
          <w:color w:val="auto"/>
        </w:rPr>
        <w:t xml:space="preserve"> </w:t>
      </w:r>
      <w:r>
        <w:rPr>
          <w:rFonts w:ascii="Arial" w:cs="Arial" w:eastAsia="Arial" w:hAnsi="Arial"/>
          <w:sz w:val="12"/>
          <w:szCs w:val="12"/>
          <w:color w:val="auto"/>
        </w:rPr>
        <w:t>estimated value of the completed project and include independent appraisal reviews and a financial analysis of the</w:t>
      </w:r>
    </w:p>
    <w:p>
      <w:pPr>
        <w:ind w:left="1540" w:right="899"/>
        <w:spacing w:after="0" w:line="343" w:lineRule="auto"/>
        <w:rPr>
          <w:rFonts w:ascii="Arial" w:cs="Arial" w:eastAsia="Arial" w:hAnsi="Arial"/>
          <w:sz w:val="12"/>
          <w:szCs w:val="12"/>
          <w:color w:val="auto"/>
        </w:rPr>
      </w:pPr>
      <w:r>
        <w:rPr>
          <w:rFonts w:ascii="Arial" w:cs="Arial" w:eastAsia="Arial" w:hAnsi="Arial"/>
          <w:sz w:val="12"/>
          <w:szCs w:val="12"/>
          <w:color w:val="auto"/>
        </w:rPr>
        <w:t>developers and property owners. Sources of repayment include permanent loans, sales of developed property or an interim loan commitment from the Company until permanent financing is obtained. These loans are higher risk than</w:t>
      </w:r>
    </w:p>
    <w:p>
      <w:pPr>
        <w:jc w:val="both"/>
        <w:ind w:left="1540" w:right="1139"/>
        <w:spacing w:after="0" w:line="332" w:lineRule="auto"/>
        <w:rPr>
          <w:rFonts w:ascii="Arial" w:cs="Arial" w:eastAsia="Arial" w:hAnsi="Arial"/>
          <w:sz w:val="12"/>
          <w:szCs w:val="12"/>
          <w:color w:val="auto"/>
        </w:rPr>
      </w:pPr>
      <w:r>
        <w:rPr>
          <w:rFonts w:ascii="Arial" w:cs="Arial" w:eastAsia="Arial" w:hAnsi="Arial"/>
          <w:sz w:val="13"/>
          <w:szCs w:val="13"/>
          <w:color w:val="auto"/>
        </w:rPr>
        <w:t>other real estate loans due to their ultimate repayment being sensitive to interest rate changes, general economic conditions and the availability of long-term financing. Credit risk may be impacted by the creditworthiness of a borrower, property values and the local economies in the borrower’s market areas.</w:t>
      </w:r>
    </w:p>
    <w:p>
      <w:pPr>
        <w:spacing w:after="0" w:line="58" w:lineRule="exact"/>
        <w:rPr>
          <w:rFonts w:ascii="Arial" w:cs="Arial" w:eastAsia="Arial" w:hAnsi="Arial"/>
          <w:sz w:val="12"/>
          <w:szCs w:val="12"/>
          <w:color w:val="auto"/>
        </w:rPr>
      </w:pPr>
    </w:p>
    <w:p>
      <w:pPr>
        <w:ind w:left="1540" w:right="699" w:hanging="514"/>
        <w:spacing w:after="0" w:line="346" w:lineRule="auto"/>
        <w:tabs>
          <w:tab w:leader="none" w:pos="1540" w:val="left"/>
        </w:tabs>
        <w:numPr>
          <w:ilvl w:val="0"/>
          <w:numId w:val="12"/>
        </w:numPr>
        <w:rPr>
          <w:rFonts w:ascii="Arial" w:cs="Arial" w:eastAsia="Arial" w:hAnsi="Arial"/>
          <w:sz w:val="12"/>
          <w:szCs w:val="12"/>
          <w:color w:val="auto"/>
        </w:rPr>
      </w:pPr>
      <w:r>
        <w:rPr>
          <w:rFonts w:ascii="Arial" w:cs="Arial" w:eastAsia="Arial" w:hAnsi="Arial"/>
          <w:sz w:val="12"/>
          <w:szCs w:val="12"/>
          <w:b w:val="1"/>
          <w:bCs w:val="1"/>
          <w:color w:val="auto"/>
        </w:rPr>
        <w:t xml:space="preserve">Residential Real Estate </w:t>
      </w:r>
      <w:r>
        <w:rPr>
          <w:rFonts w:ascii="Arial" w:cs="Arial" w:eastAsia="Arial" w:hAnsi="Arial"/>
          <w:sz w:val="12"/>
          <w:szCs w:val="12"/>
          <w:color w:val="auto"/>
        </w:rPr>
        <w:t>- The category includes loans that are generally secured by owner-occupied 1-4 family</w:t>
      </w:r>
      <w:r>
        <w:rPr>
          <w:rFonts w:ascii="Arial" w:cs="Arial" w:eastAsia="Arial" w:hAnsi="Arial"/>
          <w:sz w:val="12"/>
          <w:szCs w:val="12"/>
          <w:b w:val="1"/>
          <w:bCs w:val="1"/>
          <w:color w:val="auto"/>
        </w:rPr>
        <w:t xml:space="preserve"> </w:t>
      </w:r>
      <w:r>
        <w:rPr>
          <w:rFonts w:ascii="Arial" w:cs="Arial" w:eastAsia="Arial" w:hAnsi="Arial"/>
          <w:sz w:val="12"/>
          <w:szCs w:val="12"/>
          <w:color w:val="auto"/>
        </w:rPr>
        <w:t>residences. Repayment of these loans is primarily dependent on the personal income and credit rating of the borrowers.</w:t>
      </w:r>
    </w:p>
    <w:p>
      <w:pPr>
        <w:ind w:left="1540" w:right="859"/>
        <w:spacing w:after="0" w:line="314" w:lineRule="auto"/>
        <w:rPr>
          <w:rFonts w:ascii="Arial" w:cs="Arial" w:eastAsia="Arial" w:hAnsi="Arial"/>
          <w:sz w:val="12"/>
          <w:szCs w:val="12"/>
          <w:color w:val="auto"/>
        </w:rPr>
      </w:pPr>
      <w:r>
        <w:rPr>
          <w:rFonts w:ascii="Arial" w:cs="Arial" w:eastAsia="Arial" w:hAnsi="Arial"/>
          <w:sz w:val="14"/>
          <w:szCs w:val="14"/>
          <w:color w:val="auto"/>
        </w:rPr>
        <w:t>Credit risk in these loans can be impacted by economic conditions within or outside the borrower’s market areas that might impact either property values or a borrower’s personal income.</w:t>
      </w:r>
    </w:p>
    <w:p>
      <w:pPr>
        <w:spacing w:after="0" w:line="54" w:lineRule="exact"/>
        <w:rPr>
          <w:rFonts w:ascii="Arial" w:cs="Arial" w:eastAsia="Arial" w:hAnsi="Arial"/>
          <w:sz w:val="12"/>
          <w:szCs w:val="12"/>
          <w:color w:val="auto"/>
        </w:rPr>
      </w:pPr>
    </w:p>
    <w:p>
      <w:pPr>
        <w:ind w:left="1540" w:hanging="514"/>
        <w:spacing w:after="0"/>
        <w:tabs>
          <w:tab w:leader="none" w:pos="154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Multifamily Real Estate - </w:t>
      </w:r>
      <w:r>
        <w:rPr>
          <w:rFonts w:ascii="Arial" w:cs="Arial" w:eastAsia="Arial" w:hAnsi="Arial"/>
          <w:sz w:val="13"/>
          <w:szCs w:val="13"/>
          <w:color w:val="auto"/>
        </w:rPr>
        <w:t>The category includes loans that are generally secured by multifamily properties. Repayment</w:t>
      </w:r>
    </w:p>
    <w:p>
      <w:pPr>
        <w:spacing w:after="0" w:line="57" w:lineRule="exact"/>
        <w:rPr>
          <w:rFonts w:ascii="Arial" w:cs="Arial" w:eastAsia="Arial" w:hAnsi="Arial"/>
          <w:sz w:val="13"/>
          <w:szCs w:val="13"/>
          <w:color w:val="auto"/>
        </w:rPr>
      </w:pPr>
    </w:p>
    <w:p>
      <w:pPr>
        <w:ind w:left="1540" w:right="819"/>
        <w:spacing w:after="0" w:line="308" w:lineRule="auto"/>
        <w:rPr>
          <w:rFonts w:ascii="Arial" w:cs="Arial" w:eastAsia="Arial" w:hAnsi="Arial"/>
          <w:sz w:val="13"/>
          <w:szCs w:val="13"/>
          <w:color w:val="auto"/>
        </w:rPr>
      </w:pPr>
      <w:r>
        <w:rPr>
          <w:rFonts w:ascii="Arial" w:cs="Arial" w:eastAsia="Arial" w:hAnsi="Arial"/>
          <w:sz w:val="14"/>
          <w:szCs w:val="14"/>
          <w:color w:val="auto"/>
        </w:rPr>
        <w:t>of these loans is primarily dependent on occupancy rates and the personal income of the tenants. Credit risk in these loans can be impacted by economic conditions within or outside the borrower’s market areas that might impact either property values or the tenants’ personal income.</w:t>
      </w:r>
    </w:p>
    <w:p>
      <w:pPr>
        <w:spacing w:after="0" w:line="59" w:lineRule="exact"/>
        <w:rPr>
          <w:rFonts w:ascii="Arial" w:cs="Arial" w:eastAsia="Arial" w:hAnsi="Arial"/>
          <w:sz w:val="13"/>
          <w:szCs w:val="13"/>
          <w:color w:val="auto"/>
        </w:rPr>
      </w:pPr>
    </w:p>
    <w:p>
      <w:pPr>
        <w:ind w:left="1540" w:right="719" w:hanging="514"/>
        <w:spacing w:after="0" w:line="320" w:lineRule="auto"/>
        <w:tabs>
          <w:tab w:leader="none" w:pos="1540" w:val="left"/>
        </w:tabs>
        <w:numPr>
          <w:ilvl w:val="0"/>
          <w:numId w:val="12"/>
        </w:numPr>
        <w:rPr>
          <w:rFonts w:ascii="Arial" w:cs="Arial" w:eastAsia="Arial" w:hAnsi="Arial"/>
          <w:sz w:val="13"/>
          <w:szCs w:val="13"/>
          <w:color w:val="auto"/>
        </w:rPr>
      </w:pPr>
      <w:r>
        <w:rPr>
          <w:rFonts w:ascii="Arial" w:cs="Arial" w:eastAsia="Arial" w:hAnsi="Arial"/>
          <w:sz w:val="13"/>
          <w:szCs w:val="13"/>
          <w:b w:val="1"/>
          <w:bCs w:val="1"/>
          <w:color w:val="auto"/>
        </w:rPr>
        <w:t xml:space="preserve">Consumer </w:t>
      </w:r>
      <w:r>
        <w:rPr>
          <w:rFonts w:ascii="Arial" w:cs="Arial" w:eastAsia="Arial" w:hAnsi="Arial"/>
          <w:sz w:val="13"/>
          <w:szCs w:val="13"/>
          <w:color w:val="auto"/>
        </w:rPr>
        <w:t>- The category includes revolving lines of credit and various term loans such as automobile loans and loans</w:t>
      </w:r>
      <w:r>
        <w:rPr>
          <w:rFonts w:ascii="Arial" w:cs="Arial" w:eastAsia="Arial" w:hAnsi="Arial"/>
          <w:sz w:val="13"/>
          <w:szCs w:val="13"/>
          <w:b w:val="1"/>
          <w:bCs w:val="1"/>
          <w:color w:val="auto"/>
        </w:rPr>
        <w:t xml:space="preserve"> </w:t>
      </w:r>
      <w:r>
        <w:rPr>
          <w:rFonts w:ascii="Arial" w:cs="Arial" w:eastAsia="Arial" w:hAnsi="Arial"/>
          <w:sz w:val="13"/>
          <w:szCs w:val="13"/>
          <w:color w:val="auto"/>
        </w:rPr>
        <w:t>for other personal purposes. Repayment is primarily dependent on the personal income and credit rating of the</w:t>
      </w:r>
    </w:p>
    <w:p>
      <w:pPr>
        <w:ind w:left="1540" w:right="639"/>
        <w:spacing w:after="0" w:line="314" w:lineRule="auto"/>
        <w:rPr>
          <w:rFonts w:ascii="Arial" w:cs="Arial" w:eastAsia="Arial" w:hAnsi="Arial"/>
          <w:sz w:val="13"/>
          <w:szCs w:val="13"/>
          <w:color w:val="auto"/>
        </w:rPr>
      </w:pPr>
      <w:r>
        <w:rPr>
          <w:rFonts w:ascii="Arial" w:cs="Arial" w:eastAsia="Arial" w:hAnsi="Arial"/>
          <w:sz w:val="14"/>
          <w:szCs w:val="14"/>
          <w:color w:val="auto"/>
        </w:rPr>
        <w:t>borrowers. Credit risk is driven by consumer economic factors (such as unemployment and general economic conditions in the borrower’s market area) and the creditworthiness of a borrower.</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Allowance for Credit Losses</w:t>
      </w:r>
    </w:p>
    <w:p>
      <w:pPr>
        <w:spacing w:after="0" w:line="194" w:lineRule="exact"/>
        <w:rPr>
          <w:sz w:val="20"/>
          <w:szCs w:val="20"/>
          <w:color w:val="auto"/>
        </w:rPr>
      </w:pPr>
    </w:p>
    <w:p>
      <w:pPr>
        <w:ind w:left="640" w:right="799" w:firstLine="384"/>
        <w:spacing w:after="0" w:line="253" w:lineRule="auto"/>
        <w:rPr>
          <w:sz w:val="20"/>
          <w:szCs w:val="20"/>
          <w:color w:val="auto"/>
        </w:rPr>
      </w:pPr>
      <w:r>
        <w:rPr>
          <w:rFonts w:ascii="Arial" w:cs="Arial" w:eastAsia="Arial" w:hAnsi="Arial"/>
          <w:sz w:val="14"/>
          <w:szCs w:val="14"/>
          <w:color w:val="auto"/>
        </w:rPr>
        <w:t>The Company established a CECL committee that meets at least quarterly to oversee the ACL methodology. The committee estimates the ACL using relevant available information, from internal and external sources, relating to past events, current conditions, and reasonable and supportable forecasts. The ACL represents the Company’s current estimate of lifetime credit losses inherent in the loan portfolio at the balance sheet date. The ACL is adjusted for expected prepayments when appropriate and excludes expected extensions, renewals, and modifications.</w:t>
      </w:r>
    </w:p>
    <w:p>
      <w:pPr>
        <w:spacing w:after="0" w:line="133" w:lineRule="exact"/>
        <w:rPr>
          <w:sz w:val="20"/>
          <w:szCs w:val="20"/>
          <w:color w:val="auto"/>
        </w:rPr>
      </w:pPr>
    </w:p>
    <w:p>
      <w:pPr>
        <w:ind w:left="640" w:right="999" w:firstLine="384"/>
        <w:spacing w:after="0" w:line="283" w:lineRule="auto"/>
        <w:rPr>
          <w:sz w:val="20"/>
          <w:szCs w:val="20"/>
          <w:color w:val="auto"/>
        </w:rPr>
      </w:pPr>
      <w:r>
        <w:rPr>
          <w:rFonts w:ascii="Arial" w:cs="Arial" w:eastAsia="Arial" w:hAnsi="Arial"/>
          <w:sz w:val="14"/>
          <w:szCs w:val="14"/>
          <w:color w:val="auto"/>
        </w:rPr>
        <w:t>The ACL is the sum of three components: (i) asset specific / individual loan reserves; (ii) quantitative (formulaic or pooled) reserves; and (iii) qualitative (judgmental) reserves.</w:t>
      </w:r>
    </w:p>
    <w:p>
      <w:pPr>
        <w:spacing w:after="0" w:line="107" w:lineRule="exact"/>
        <w:rPr>
          <w:sz w:val="20"/>
          <w:szCs w:val="20"/>
          <w:color w:val="auto"/>
        </w:rPr>
      </w:pPr>
    </w:p>
    <w:p>
      <w:pPr>
        <w:ind w:left="640" w:right="619" w:firstLine="384"/>
        <w:spacing w:after="0" w:line="255" w:lineRule="auto"/>
        <w:rPr>
          <w:sz w:val="20"/>
          <w:szCs w:val="20"/>
          <w:color w:val="auto"/>
        </w:rPr>
      </w:pPr>
      <w:r>
        <w:rPr>
          <w:rFonts w:ascii="Arial" w:cs="Arial" w:eastAsia="Arial" w:hAnsi="Arial"/>
          <w:sz w:val="14"/>
          <w:szCs w:val="14"/>
          <w:b w:val="1"/>
          <w:bCs w:val="1"/>
          <w:color w:val="auto"/>
        </w:rPr>
        <w:t xml:space="preserve">Asset Specific - </w:t>
      </w:r>
      <w:r>
        <w:rPr>
          <w:rFonts w:ascii="Arial" w:cs="Arial" w:eastAsia="Arial" w:hAnsi="Arial"/>
          <w:sz w:val="14"/>
          <w:szCs w:val="14"/>
          <w:color w:val="auto"/>
        </w:rPr>
        <w:t>When unique qualities cause a loan’s exposure to loss to be inconsistent with the pool segments, the loan is</w:t>
      </w:r>
      <w:r>
        <w:rPr>
          <w:rFonts w:ascii="Arial" w:cs="Arial" w:eastAsia="Arial" w:hAnsi="Arial"/>
          <w:sz w:val="14"/>
          <w:szCs w:val="14"/>
          <w:b w:val="1"/>
          <w:bCs w:val="1"/>
          <w:color w:val="auto"/>
        </w:rPr>
        <w:t xml:space="preserve"> </w:t>
      </w:r>
      <w:r>
        <w:rPr>
          <w:rFonts w:ascii="Arial" w:cs="Arial" w:eastAsia="Arial" w:hAnsi="Arial"/>
          <w:sz w:val="14"/>
          <w:szCs w:val="14"/>
          <w:color w:val="auto"/>
        </w:rPr>
        <w:t>individually evaluated. Individual reserves are calculated for loans that are risk-rated substandard and on non-accrual and loans that are risk-rated doubtful or loss that are greater than a defined dollar threshold. In addition, TDRs are also individually evaluated. Reserves on asset specific loans may be based on collateral, for collateral-dependent loans, or on quantitative and qualitative factors, including expected cash flow, market sentiment, and guarantor support.</w:t>
      </w:r>
    </w:p>
    <w:p>
      <w:pPr>
        <w:spacing w:after="0" w:line="126" w:lineRule="exact"/>
        <w:rPr>
          <w:sz w:val="20"/>
          <w:szCs w:val="20"/>
          <w:color w:val="auto"/>
        </w:rPr>
      </w:pPr>
    </w:p>
    <w:p>
      <w:pPr>
        <w:ind w:left="640" w:right="699" w:firstLine="384"/>
        <w:spacing w:after="0" w:line="274" w:lineRule="auto"/>
        <w:rPr>
          <w:sz w:val="20"/>
          <w:szCs w:val="20"/>
          <w:color w:val="auto"/>
        </w:rPr>
      </w:pPr>
      <w:r>
        <w:rPr>
          <w:rFonts w:ascii="Arial" w:cs="Arial" w:eastAsia="Arial" w:hAnsi="Arial"/>
          <w:sz w:val="13"/>
          <w:szCs w:val="13"/>
          <w:b w:val="1"/>
          <w:bCs w:val="1"/>
          <w:color w:val="auto"/>
        </w:rPr>
        <w:t xml:space="preserve">Quantitative </w:t>
      </w:r>
      <w:r>
        <w:rPr>
          <w:rFonts w:ascii="Arial" w:cs="Arial" w:eastAsia="Arial" w:hAnsi="Arial"/>
          <w:sz w:val="13"/>
          <w:szCs w:val="13"/>
          <w:color w:val="auto"/>
        </w:rPr>
        <w:t>- The Company used the cohort method, which identifies and captures the balance of a pool of loans with similar</w:t>
      </w:r>
      <w:r>
        <w:rPr>
          <w:rFonts w:ascii="Arial" w:cs="Arial" w:eastAsia="Arial" w:hAnsi="Arial"/>
          <w:sz w:val="13"/>
          <w:szCs w:val="13"/>
          <w:b w:val="1"/>
          <w:bCs w:val="1"/>
          <w:color w:val="auto"/>
        </w:rPr>
        <w:t xml:space="preserve"> </w:t>
      </w:r>
      <w:r>
        <w:rPr>
          <w:rFonts w:ascii="Arial" w:cs="Arial" w:eastAsia="Arial" w:hAnsi="Arial"/>
          <w:sz w:val="13"/>
          <w:szCs w:val="13"/>
          <w:color w:val="auto"/>
        </w:rPr>
        <w:t>risk characteristics as of a particular time to form a cohort. For example, the outstanding commercial and industrial loans and commercial and industrial lines of credit loan segments as of quarter -end are considered cohorts. The cohort is then tracked for losses over the remaining life of loans or until the pool is exhausted. The Company used a lookback period of approximately six-years to establish the cohort population. By using the historical data timeframe, the Company can establish a historical loss factor for each of its loan segments and adjust the losses with qualitative and forecast factors.</w:t>
      </w:r>
    </w:p>
    <w:p>
      <w:pPr>
        <w:spacing w:after="0" w:line="128" w:lineRule="exact"/>
        <w:rPr>
          <w:sz w:val="20"/>
          <w:szCs w:val="20"/>
          <w:color w:val="auto"/>
        </w:rPr>
      </w:pPr>
    </w:p>
    <w:p>
      <w:pPr>
        <w:ind w:left="640" w:right="939" w:firstLine="384"/>
        <w:spacing w:after="0" w:line="273" w:lineRule="auto"/>
        <w:rPr>
          <w:sz w:val="20"/>
          <w:szCs w:val="20"/>
          <w:color w:val="auto"/>
        </w:rPr>
      </w:pPr>
      <w:r>
        <w:rPr>
          <w:rFonts w:ascii="Arial" w:cs="Arial" w:eastAsia="Arial" w:hAnsi="Arial"/>
          <w:sz w:val="14"/>
          <w:szCs w:val="14"/>
          <w:b w:val="1"/>
          <w:bCs w:val="1"/>
          <w:color w:val="auto"/>
        </w:rPr>
        <w:t xml:space="preserve">Qualitative </w:t>
      </w:r>
      <w:r>
        <w:rPr>
          <w:rFonts w:ascii="Arial" w:cs="Arial" w:eastAsia="Arial" w:hAnsi="Arial"/>
          <w:sz w:val="14"/>
          <w:szCs w:val="14"/>
          <w:color w:val="auto"/>
        </w:rPr>
        <w:t>– The Company uses qualitative factors to adjust the historical loss factors for current conditions. The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uses the following qualitative factors: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9019"/>
          </w:cols>
          <w:pgMar w:left="1440" w:top="460" w:right="1440" w:bottom="1440" w:gutter="0" w:footer="0" w:header="0"/>
        </w:sectPr>
      </w:pPr>
    </w:p>
    <w:bookmarkStart w:id="20" w:name="page21"/>
    <w:bookmarkEnd w:id="20"/>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spacing w:after="0" w:line="319" w:lineRule="exact"/>
        <w:rPr>
          <w:sz w:val="20"/>
          <w:szCs w:val="20"/>
          <w:color w:val="auto"/>
        </w:rPr>
      </w:pPr>
    </w:p>
    <w:p>
      <w:pPr>
        <w:ind w:left="1540" w:right="4679"/>
        <w:spacing w:after="0" w:line="368" w:lineRule="auto"/>
        <w:rPr>
          <w:sz w:val="20"/>
          <w:szCs w:val="20"/>
          <w:color w:val="auto"/>
        </w:rPr>
      </w:pPr>
      <w:r>
        <w:rPr>
          <w:rFonts w:ascii="Arial" w:cs="Arial" w:eastAsia="Arial" w:hAnsi="Arial"/>
          <w:sz w:val="12"/>
          <w:szCs w:val="12"/>
          <w:color w:val="auto"/>
        </w:rPr>
        <w:t>The nature and volume of changes in risk ratings; The volume and severity of past due loans;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volume of non-accrual loans;</w:t>
      </w:r>
    </w:p>
    <w:p>
      <w:pPr>
        <w:spacing w:after="0" w:line="31" w:lineRule="exact"/>
        <w:rPr>
          <w:sz w:val="20"/>
          <w:szCs w:val="20"/>
          <w:color w:val="auto"/>
        </w:rPr>
      </w:pPr>
    </w:p>
    <w:p>
      <w:pPr>
        <w:jc w:val="both"/>
        <w:ind w:left="1540" w:right="679"/>
        <w:spacing w:after="0" w:line="291" w:lineRule="auto"/>
        <w:rPr>
          <w:sz w:val="20"/>
          <w:szCs w:val="20"/>
          <w:color w:val="auto"/>
        </w:rPr>
      </w:pPr>
      <w:r>
        <w:rPr>
          <w:rFonts w:ascii="Arial" w:cs="Arial" w:eastAsia="Arial" w:hAnsi="Arial"/>
          <w:sz w:val="14"/>
          <w:szCs w:val="14"/>
          <w:color w:val="auto"/>
        </w:rPr>
        <w:t>The nature and volume of the loan portfolio, including the existence, growth, and effect of any concentrations of credit; Changes in the Institute of Supply Management’s Purchasing Manager Indices (“PMI”) for services and manufacturing; Changes in collateral values;</w:t>
      </w:r>
    </w:p>
    <w:p>
      <w:pPr>
        <w:spacing w:after="0" w:line="1" w:lineRule="exact"/>
        <w:rPr>
          <w:sz w:val="20"/>
          <w:szCs w:val="20"/>
          <w:color w:val="auto"/>
        </w:rPr>
      </w:pPr>
    </w:p>
    <w:p>
      <w:pPr>
        <w:ind w:left="1540" w:right="3579"/>
        <w:spacing w:after="0" w:line="294" w:lineRule="auto"/>
        <w:rPr>
          <w:sz w:val="20"/>
          <w:szCs w:val="20"/>
          <w:color w:val="auto"/>
        </w:rPr>
      </w:pPr>
      <w:r>
        <w:rPr>
          <w:rFonts w:ascii="Arial" w:cs="Arial" w:eastAsia="Arial" w:hAnsi="Arial"/>
          <w:sz w:val="14"/>
          <w:szCs w:val="14"/>
          <w:color w:val="auto"/>
        </w:rPr>
        <w:t>Changes in lending policies, procedures, and quality of loan reviews; Changes in lending staff; and</w:t>
      </w:r>
    </w:p>
    <w:p>
      <w:pPr>
        <w:ind w:left="1280"/>
        <w:spacing w:after="0"/>
        <w:rPr>
          <w:sz w:val="20"/>
          <w:szCs w:val="20"/>
          <w:color w:val="auto"/>
        </w:rPr>
      </w:pPr>
      <w:r>
        <w:rPr>
          <w:rFonts w:ascii="Arial" w:cs="Arial" w:eastAsia="Arial" w:hAnsi="Arial"/>
          <w:sz w:val="14"/>
          <w:szCs w:val="14"/>
          <w:color w:val="auto"/>
        </w:rPr>
        <w:t>Changes in competition, legal and regulatory environments</w:t>
      </w:r>
    </w:p>
    <w:p>
      <w:pPr>
        <w:spacing w:after="0" w:line="198" w:lineRule="exact"/>
        <w:rPr>
          <w:sz w:val="20"/>
          <w:szCs w:val="20"/>
          <w:color w:val="auto"/>
        </w:rPr>
      </w:pPr>
    </w:p>
    <w:p>
      <w:pPr>
        <w:ind w:left="640" w:right="659" w:firstLine="384"/>
        <w:spacing w:after="0" w:line="260" w:lineRule="auto"/>
        <w:rPr>
          <w:sz w:val="20"/>
          <w:szCs w:val="20"/>
          <w:color w:val="auto"/>
        </w:rPr>
      </w:pPr>
      <w:r>
        <w:rPr>
          <w:rFonts w:ascii="Arial" w:cs="Arial" w:eastAsia="Arial" w:hAnsi="Arial"/>
          <w:sz w:val="14"/>
          <w:szCs w:val="14"/>
          <w:color w:val="auto"/>
        </w:rPr>
        <w:t>In addition to the current condition qualitative adjustments, the Company uses the Federal Reserve’s unemployment forecast to adjust the ACL based on forward looking guidance. The Federal Reserve’s unemployment forecast extends three-years and is eventually reverted to the mean of six percent by year 10.</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Drivers of Change in the ACL</w:t>
      </w:r>
    </w:p>
    <w:p>
      <w:pPr>
        <w:spacing w:after="0" w:line="163" w:lineRule="exact"/>
        <w:rPr>
          <w:sz w:val="20"/>
          <w:szCs w:val="20"/>
          <w:color w:val="auto"/>
        </w:rPr>
      </w:pPr>
    </w:p>
    <w:p>
      <w:pPr>
        <w:ind w:left="660" w:right="579" w:firstLine="384"/>
        <w:spacing w:after="0" w:line="301" w:lineRule="auto"/>
        <w:rPr>
          <w:sz w:val="20"/>
          <w:szCs w:val="20"/>
          <w:color w:val="auto"/>
        </w:rPr>
      </w:pPr>
      <w:r>
        <w:rPr>
          <w:rFonts w:ascii="Arial" w:cs="Arial" w:eastAsia="Arial" w:hAnsi="Arial"/>
          <w:sz w:val="14"/>
          <w:szCs w:val="14"/>
          <w:color w:val="auto"/>
        </w:rPr>
        <w:t>The ACL increased by $586 thousand during the three-month period ended June 30, 2022 driven by an increase of $ 3.8 million related to loan growth, performance and economic factors, partially offset by $1.1 million in net charge-offs and a reduction of $2.2 million in reserves on impaired loans. The ACL declined by $2.6 million between January 1, 2022 and June 30, 2022 driven by $ 2.2 million in net charge-offs and a reduction of $5.2 million in reserves on impaired loans which were partially offset by an increase of $4.9 million related to loan growth, performance and economic factors.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Credit Quality Indicators</w:t>
      </w:r>
    </w:p>
    <w:p>
      <w:pPr>
        <w:spacing w:after="0" w:line="169"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w:t>
      </w:r>
      <w:r>
        <w:rPr>
          <w:rFonts w:ascii="Arial" w:cs="Arial" w:eastAsia="Arial" w:hAnsi="Arial"/>
          <w:sz w:val="16"/>
          <w:szCs w:val="16"/>
          <w:u w:val="single" w:color="auto"/>
          <w:color w:val="auto"/>
        </w:rPr>
        <w:t>nternal Credit Risk Ratings</w:t>
      </w:r>
    </w:p>
    <w:p>
      <w:pPr>
        <w:spacing w:after="0" w:line="162" w:lineRule="exact"/>
        <w:rPr>
          <w:sz w:val="20"/>
          <w:szCs w:val="20"/>
          <w:color w:val="auto"/>
        </w:rPr>
      </w:pPr>
    </w:p>
    <w:p>
      <w:pPr>
        <w:ind w:left="660" w:right="719" w:firstLine="384"/>
        <w:spacing w:after="0" w:line="298" w:lineRule="auto"/>
        <w:rPr>
          <w:sz w:val="20"/>
          <w:szCs w:val="20"/>
          <w:color w:val="auto"/>
        </w:rPr>
      </w:pPr>
      <w:r>
        <w:rPr>
          <w:rFonts w:ascii="Arial" w:cs="Arial" w:eastAsia="Arial" w:hAnsi="Arial"/>
          <w:sz w:val="14"/>
          <w:szCs w:val="14"/>
          <w:color w:val="auto"/>
        </w:rPr>
        <w:t>The Company uses a weighted average risk rating factor to adjust the historical loss factors for current events. Risk ratings incorporate the criteria utilized by regulatory authorities to describe criticized assets, but separate various levels of risk concentrated within the regulatory “Pass” category. Risk ratings are established for loans at origination and are monitored on an ongoing basis. The rating assigned to a loan reflects the risks posed by the borrower’s expected performance and the transaction’s structure. Performance metrics used to determine a risk rating include, but are not limited to, cash flow adequacy, liquidity, and collateral. A description of the loan risk ratings follows: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Loan Grades</w:t>
      </w:r>
    </w:p>
    <w:p>
      <w:pPr>
        <w:spacing w:after="0" w:line="166" w:lineRule="exact"/>
        <w:rPr>
          <w:sz w:val="20"/>
          <w:szCs w:val="20"/>
          <w:color w:val="auto"/>
        </w:rPr>
      </w:pPr>
    </w:p>
    <w:p>
      <w:pPr>
        <w:ind w:left="1540" w:right="799" w:hanging="514"/>
        <w:spacing w:after="0" w:line="346" w:lineRule="auto"/>
        <w:tabs>
          <w:tab w:leader="none" w:pos="1540" w:val="left"/>
        </w:tabs>
        <w:numPr>
          <w:ilvl w:val="0"/>
          <w:numId w:val="14"/>
        </w:numPr>
        <w:rPr>
          <w:rFonts w:ascii="Arial" w:cs="Arial" w:eastAsia="Arial" w:hAnsi="Arial"/>
          <w:sz w:val="12"/>
          <w:szCs w:val="12"/>
          <w:color w:val="auto"/>
        </w:rPr>
      </w:pPr>
      <w:r>
        <w:rPr>
          <w:rFonts w:ascii="Arial" w:cs="Arial" w:eastAsia="Arial" w:hAnsi="Arial"/>
          <w:sz w:val="12"/>
          <w:szCs w:val="12"/>
          <w:b w:val="1"/>
          <w:bCs w:val="1"/>
          <w:color w:val="auto"/>
        </w:rPr>
        <w:t xml:space="preserve">Pass (risk rating 1-4) </w:t>
      </w:r>
      <w:r>
        <w:rPr>
          <w:rFonts w:ascii="Arial" w:cs="Arial" w:eastAsia="Arial" w:hAnsi="Arial"/>
          <w:sz w:val="12"/>
          <w:szCs w:val="12"/>
          <w:color w:val="auto"/>
        </w:rPr>
        <w:t>- The category includes loans that are considered satisfactory. The category includes borrowers</w:t>
      </w:r>
      <w:r>
        <w:rPr>
          <w:rFonts w:ascii="Arial" w:cs="Arial" w:eastAsia="Arial" w:hAnsi="Arial"/>
          <w:sz w:val="12"/>
          <w:szCs w:val="12"/>
          <w:b w:val="1"/>
          <w:bCs w:val="1"/>
          <w:color w:val="auto"/>
        </w:rPr>
        <w:t xml:space="preserve"> </w:t>
      </w:r>
      <w:r>
        <w:rPr>
          <w:rFonts w:ascii="Arial" w:cs="Arial" w:eastAsia="Arial" w:hAnsi="Arial"/>
          <w:sz w:val="12"/>
          <w:szCs w:val="12"/>
          <w:color w:val="auto"/>
        </w:rPr>
        <w:t>that generally maintain good liquidity and financial condition or the credit is currently protected with sales trends</w:t>
      </w:r>
    </w:p>
    <w:p>
      <w:pPr>
        <w:ind w:left="1540" w:right="1179"/>
        <w:spacing w:after="0" w:line="314" w:lineRule="auto"/>
        <w:rPr>
          <w:rFonts w:ascii="Arial" w:cs="Arial" w:eastAsia="Arial" w:hAnsi="Arial"/>
          <w:sz w:val="12"/>
          <w:szCs w:val="12"/>
          <w:color w:val="auto"/>
        </w:rPr>
      </w:pPr>
      <w:r>
        <w:rPr>
          <w:rFonts w:ascii="Arial" w:cs="Arial" w:eastAsia="Arial" w:hAnsi="Arial"/>
          <w:sz w:val="14"/>
          <w:szCs w:val="14"/>
          <w:color w:val="auto"/>
        </w:rPr>
        <w:t>remaining flat or declining. Most ratios compare favorably with industry norms and Company policies. Debt is programmed and timely repayment is expected.</w:t>
      </w:r>
    </w:p>
    <w:p>
      <w:pPr>
        <w:spacing w:after="0" w:line="65" w:lineRule="exact"/>
        <w:rPr>
          <w:rFonts w:ascii="Arial" w:cs="Arial" w:eastAsia="Arial" w:hAnsi="Arial"/>
          <w:sz w:val="12"/>
          <w:szCs w:val="12"/>
          <w:color w:val="auto"/>
        </w:rPr>
      </w:pPr>
    </w:p>
    <w:p>
      <w:pPr>
        <w:ind w:left="1540" w:right="639" w:hanging="514"/>
        <w:spacing w:after="0" w:line="316" w:lineRule="auto"/>
        <w:tabs>
          <w:tab w:leader="none" w:pos="1540"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 xml:space="preserve">Special Mention (risk rating 5) </w:t>
      </w:r>
      <w:r>
        <w:rPr>
          <w:rFonts w:ascii="Arial" w:cs="Arial" w:eastAsia="Arial" w:hAnsi="Arial"/>
          <w:sz w:val="13"/>
          <w:szCs w:val="13"/>
          <w:color w:val="auto"/>
        </w:rPr>
        <w:t>- The category includes borrowers that generally exhibit adverse trends in operations or</w:t>
      </w:r>
      <w:r>
        <w:rPr>
          <w:rFonts w:ascii="Arial" w:cs="Arial" w:eastAsia="Arial" w:hAnsi="Arial"/>
          <w:sz w:val="13"/>
          <w:szCs w:val="13"/>
          <w:b w:val="1"/>
          <w:bCs w:val="1"/>
          <w:color w:val="auto"/>
        </w:rPr>
        <w:t xml:space="preserve"> </w:t>
      </w:r>
      <w:r>
        <w:rPr>
          <w:rFonts w:ascii="Arial" w:cs="Arial" w:eastAsia="Arial" w:hAnsi="Arial"/>
          <w:sz w:val="13"/>
          <w:szCs w:val="13"/>
          <w:color w:val="auto"/>
        </w:rPr>
        <w:t>an imbalanced position in their balance sheet that has not reached a point where repayment is jeopardized. Credits are currently protected but, if left uncorrected, the potential weaknesses may result in deterioration of the repayment</w:t>
      </w:r>
    </w:p>
    <w:p>
      <w:pPr>
        <w:ind w:left="1540" w:right="1019"/>
        <w:spacing w:after="0" w:line="314" w:lineRule="auto"/>
        <w:rPr>
          <w:rFonts w:ascii="Arial" w:cs="Arial" w:eastAsia="Arial" w:hAnsi="Arial"/>
          <w:sz w:val="13"/>
          <w:szCs w:val="13"/>
          <w:color w:val="auto"/>
        </w:rPr>
      </w:pPr>
      <w:r>
        <w:rPr>
          <w:rFonts w:ascii="Arial" w:cs="Arial" w:eastAsia="Arial" w:hAnsi="Arial"/>
          <w:sz w:val="14"/>
          <w:szCs w:val="14"/>
          <w:color w:val="auto"/>
        </w:rPr>
        <w:t>prospects for the credit or in the Company’s credit or lien position at a future date. These credits are not adversely classified and do not expose the Company to enough risk to warrant adverse classification.</w:t>
      </w:r>
    </w:p>
    <w:p>
      <w:pPr>
        <w:spacing w:after="0" w:line="65" w:lineRule="exact"/>
        <w:rPr>
          <w:rFonts w:ascii="Arial" w:cs="Arial" w:eastAsia="Arial" w:hAnsi="Arial"/>
          <w:sz w:val="13"/>
          <w:szCs w:val="13"/>
          <w:color w:val="auto"/>
        </w:rPr>
      </w:pPr>
    </w:p>
    <w:p>
      <w:pPr>
        <w:ind w:left="1540" w:right="759" w:hanging="514"/>
        <w:spacing w:after="0" w:line="316" w:lineRule="auto"/>
        <w:tabs>
          <w:tab w:leader="none" w:pos="1540" w:val="left"/>
        </w:tabs>
        <w:numPr>
          <w:ilvl w:val="0"/>
          <w:numId w:val="14"/>
        </w:numPr>
        <w:rPr>
          <w:rFonts w:ascii="Arial" w:cs="Arial" w:eastAsia="Arial" w:hAnsi="Arial"/>
          <w:sz w:val="13"/>
          <w:szCs w:val="13"/>
          <w:color w:val="auto"/>
        </w:rPr>
      </w:pPr>
      <w:r>
        <w:rPr>
          <w:rFonts w:ascii="Arial" w:cs="Arial" w:eastAsia="Arial" w:hAnsi="Arial"/>
          <w:sz w:val="13"/>
          <w:szCs w:val="13"/>
          <w:b w:val="1"/>
          <w:bCs w:val="1"/>
          <w:color w:val="auto"/>
        </w:rPr>
        <w:t xml:space="preserve">Substandard (risk rating 6) </w:t>
      </w:r>
      <w:r>
        <w:rPr>
          <w:rFonts w:ascii="Arial" w:cs="Arial" w:eastAsia="Arial" w:hAnsi="Arial"/>
          <w:sz w:val="13"/>
          <w:szCs w:val="13"/>
          <w:color w:val="auto"/>
        </w:rPr>
        <w:t>- The category includes borrowers that generally exhibit well-defined weakness(es) that</w:t>
      </w:r>
      <w:r>
        <w:rPr>
          <w:rFonts w:ascii="Arial" w:cs="Arial" w:eastAsia="Arial" w:hAnsi="Arial"/>
          <w:sz w:val="13"/>
          <w:szCs w:val="13"/>
          <w:b w:val="1"/>
          <w:bCs w:val="1"/>
          <w:color w:val="auto"/>
        </w:rPr>
        <w:t xml:space="preserve"> </w:t>
      </w:r>
      <w:r>
        <w:rPr>
          <w:rFonts w:ascii="Arial" w:cs="Arial" w:eastAsia="Arial" w:hAnsi="Arial"/>
          <w:sz w:val="13"/>
          <w:szCs w:val="13"/>
          <w:color w:val="auto"/>
        </w:rPr>
        <w:t>jeopardize repayment. Credits are inadequately protected by the current worth and paying capacity of the obligor or of the collateral pledged. A distinct possibility exists that the Company will sustain some loss if deficiencies are not</w:t>
      </w:r>
    </w:p>
    <w:p>
      <w:pPr>
        <w:ind w:left="1540" w:right="779"/>
        <w:spacing w:after="0" w:line="308" w:lineRule="auto"/>
        <w:rPr>
          <w:rFonts w:ascii="Arial" w:cs="Arial" w:eastAsia="Arial" w:hAnsi="Arial"/>
          <w:sz w:val="13"/>
          <w:szCs w:val="13"/>
          <w:color w:val="auto"/>
        </w:rPr>
      </w:pPr>
      <w:r>
        <w:rPr>
          <w:rFonts w:ascii="Arial" w:cs="Arial" w:eastAsia="Arial" w:hAnsi="Arial"/>
          <w:sz w:val="14"/>
          <w:szCs w:val="14"/>
          <w:color w:val="auto"/>
        </w:rPr>
        <w:t>corrected. Loss potential, while existing in the aggregate amount of substandard assets, does not have to exist in individual assets classified substandard. Substandard loans include both performing and non-performing loans and are broken out in the table below.</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9019"/>
          </w:cols>
          <w:pgMar w:left="1440" w:top="460" w:right="1440" w:bottom="1440" w:gutter="0" w:footer="0" w:header="0"/>
        </w:sectPr>
      </w:pPr>
    </w:p>
    <w:bookmarkStart w:id="21" w:name="page22"/>
    <w:bookmarkEnd w:id="21"/>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1540" w:right="639" w:hanging="514"/>
        <w:spacing w:after="0" w:line="346" w:lineRule="auto"/>
        <w:tabs>
          <w:tab w:leader="none" w:pos="1540" w:val="left"/>
        </w:tabs>
        <w:numPr>
          <w:ilvl w:val="0"/>
          <w:numId w:val="15"/>
        </w:numPr>
        <w:rPr>
          <w:rFonts w:ascii="Arial" w:cs="Arial" w:eastAsia="Arial" w:hAnsi="Arial"/>
          <w:sz w:val="12"/>
          <w:szCs w:val="12"/>
          <w:color w:val="auto"/>
        </w:rPr>
      </w:pPr>
      <w:r>
        <w:rPr>
          <w:rFonts w:ascii="Arial" w:cs="Arial" w:eastAsia="Arial" w:hAnsi="Arial"/>
          <w:sz w:val="12"/>
          <w:szCs w:val="12"/>
          <w:b w:val="1"/>
          <w:bCs w:val="1"/>
          <w:color w:val="auto"/>
        </w:rPr>
        <w:t xml:space="preserve">Doubtful (risk rating 7) </w:t>
      </w:r>
      <w:r>
        <w:rPr>
          <w:rFonts w:ascii="Arial" w:cs="Arial" w:eastAsia="Arial" w:hAnsi="Arial"/>
          <w:sz w:val="12"/>
          <w:szCs w:val="12"/>
          <w:color w:val="auto"/>
        </w:rPr>
        <w:t>- The category includes borrowers that exhibit weaknesses inherent in a substandard credit and</w:t>
      </w:r>
      <w:r>
        <w:rPr>
          <w:rFonts w:ascii="Arial" w:cs="Arial" w:eastAsia="Arial" w:hAnsi="Arial"/>
          <w:sz w:val="12"/>
          <w:szCs w:val="12"/>
          <w:b w:val="1"/>
          <w:bCs w:val="1"/>
          <w:color w:val="auto"/>
        </w:rPr>
        <w:t xml:space="preserve"> </w:t>
      </w:r>
      <w:r>
        <w:rPr>
          <w:rFonts w:ascii="Arial" w:cs="Arial" w:eastAsia="Arial" w:hAnsi="Arial"/>
          <w:sz w:val="12"/>
          <w:szCs w:val="12"/>
          <w:color w:val="auto"/>
        </w:rPr>
        <w:t>characteristics that these weaknesses make collection or liquidation in full highly questionable or improbable based on</w:t>
      </w:r>
    </w:p>
    <w:p>
      <w:pPr>
        <w:ind w:left="1540" w:right="699"/>
        <w:spacing w:after="0" w:line="407" w:lineRule="auto"/>
        <w:rPr>
          <w:rFonts w:ascii="Arial" w:cs="Arial" w:eastAsia="Arial" w:hAnsi="Arial"/>
          <w:sz w:val="12"/>
          <w:szCs w:val="12"/>
          <w:color w:val="auto"/>
        </w:rPr>
      </w:pPr>
      <w:r>
        <w:rPr>
          <w:rFonts w:ascii="Arial" w:cs="Arial" w:eastAsia="Arial" w:hAnsi="Arial"/>
          <w:sz w:val="12"/>
          <w:szCs w:val="12"/>
          <w:color w:val="auto"/>
        </w:rPr>
        <w:t>existing facts, conditions and values. Because of reasonably specific pending factors, which may work to the advantage and strengthening of the assets, classification as a loss is deferred until its more exact status may be determined.</w:t>
      </w:r>
    </w:p>
    <w:p>
      <w:pPr>
        <w:spacing w:after="0" w:line="18" w:lineRule="exact"/>
        <w:rPr>
          <w:rFonts w:ascii="Arial" w:cs="Arial" w:eastAsia="Arial" w:hAnsi="Arial"/>
          <w:sz w:val="12"/>
          <w:szCs w:val="12"/>
          <w:color w:val="auto"/>
        </w:rPr>
      </w:pPr>
    </w:p>
    <w:p>
      <w:pPr>
        <w:ind w:left="1540" w:right="1019" w:hanging="514"/>
        <w:spacing w:after="0" w:line="320" w:lineRule="auto"/>
        <w:tabs>
          <w:tab w:leader="none" w:pos="1540" w:val="left"/>
        </w:tabs>
        <w:numPr>
          <w:ilvl w:val="0"/>
          <w:numId w:val="15"/>
        </w:numPr>
        <w:rPr>
          <w:rFonts w:ascii="Arial" w:cs="Arial" w:eastAsia="Arial" w:hAnsi="Arial"/>
          <w:sz w:val="14"/>
          <w:szCs w:val="14"/>
          <w:color w:val="auto"/>
        </w:rPr>
      </w:pPr>
      <w:r>
        <w:rPr>
          <w:rFonts w:ascii="Arial" w:cs="Arial" w:eastAsia="Arial" w:hAnsi="Arial"/>
          <w:sz w:val="14"/>
          <w:szCs w:val="14"/>
          <w:b w:val="1"/>
          <w:bCs w:val="1"/>
          <w:color w:val="auto"/>
        </w:rPr>
        <w:t xml:space="preserve">Loss (risk rating 8) </w:t>
      </w:r>
      <w:r>
        <w:rPr>
          <w:rFonts w:ascii="Arial" w:cs="Arial" w:eastAsia="Arial" w:hAnsi="Arial"/>
          <w:sz w:val="14"/>
          <w:szCs w:val="14"/>
          <w:color w:val="auto"/>
        </w:rPr>
        <w:t>- Credits which are considered uncollectible or of such little value that their continuance as a</w:t>
      </w:r>
      <w:r>
        <w:rPr>
          <w:rFonts w:ascii="Arial" w:cs="Arial" w:eastAsia="Arial" w:hAnsi="Arial"/>
          <w:sz w:val="14"/>
          <w:szCs w:val="14"/>
          <w:b w:val="1"/>
          <w:bCs w:val="1"/>
          <w:color w:val="auto"/>
        </w:rPr>
        <w:t xml:space="preserve"> </w:t>
      </w:r>
      <w:r>
        <w:rPr>
          <w:rFonts w:ascii="Arial" w:cs="Arial" w:eastAsia="Arial" w:hAnsi="Arial"/>
          <w:sz w:val="14"/>
          <w:szCs w:val="14"/>
          <w:color w:val="auto"/>
        </w:rPr>
        <w:t>bankable asset is not warranted.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9019"/>
          </w:cols>
          <w:pgMar w:left="1440" w:top="460" w:right="1440" w:bottom="1440" w:gutter="0" w:footer="0" w:header="0"/>
        </w:sectPr>
      </w:pPr>
    </w:p>
    <w:bookmarkStart w:id="22" w:name="page23"/>
    <w:bookmarkEnd w:id="22"/>
    <w:p>
      <w:pPr>
        <w:spacing w:after="0"/>
        <w:tabs>
          <w:tab w:leader="none" w:pos="326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Condensed Consolidated Financial Statements (unaudited)</w:t>
      </w:r>
    </w:p>
    <w:p>
      <w:pPr>
        <w:spacing w:after="0" w:line="383"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The following tables present the credit risk profile of the Company’s loan portfolio based on internal rating categories and loan segments:</w:t>
      </w:r>
    </w:p>
    <w:p>
      <w:pPr>
        <w:spacing w:after="0" w:line="4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June 30, 2022</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gridSpan w:val="14"/>
          </w:tcPr>
          <w:p>
            <w:pPr>
              <w:jc w:val="right"/>
              <w:spacing w:after="0"/>
              <w:rPr>
                <w:sz w:val="20"/>
                <w:szCs w:val="20"/>
                <w:color w:val="auto"/>
              </w:rPr>
            </w:pPr>
            <w:r>
              <w:rPr>
                <w:rFonts w:ascii="Arial" w:cs="Arial" w:eastAsia="Arial" w:hAnsi="Arial"/>
                <w:sz w:val="14"/>
                <w:szCs w:val="14"/>
                <w:b w:val="1"/>
                <w:bCs w:val="1"/>
                <w:color w:val="auto"/>
              </w:rPr>
              <w:t>Amortized Cost Basis by Origination Year and Internal Risk Rating</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center"/>
              <w:ind w:left="489"/>
              <w:spacing w:after="0"/>
              <w:rPr>
                <w:sz w:val="20"/>
                <w:szCs w:val="20"/>
                <w:color w:val="auto"/>
              </w:rPr>
            </w:pPr>
            <w:r>
              <w:rPr>
                <w:rFonts w:ascii="Arial" w:cs="Arial" w:eastAsia="Arial" w:hAnsi="Arial"/>
                <w:sz w:val="14"/>
                <w:szCs w:val="14"/>
                <w:b w:val="1"/>
                <w:bCs w:val="1"/>
                <w:color w:val="auto"/>
                <w:w w:val="91"/>
              </w:rPr>
              <w:t>Amortized Cost Basis</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4"/>
        </w:trPr>
        <w:tc>
          <w:tcPr>
            <w:tcW w:w="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 w:type="dxa"/>
            <w:vAlign w:val="bottom"/>
          </w:tcPr>
          <w:p>
            <w:pPr>
              <w:spacing w:after="0"/>
              <w:rPr>
                <w:sz w:val="22"/>
                <w:szCs w:val="22"/>
                <w:color w:val="auto"/>
              </w:rPr>
            </w:pPr>
          </w:p>
        </w:tc>
        <w:tc>
          <w:tcPr>
            <w:tcW w:w="75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7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77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87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7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7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120" w:type="dxa"/>
            <w:vAlign w:val="bottom"/>
          </w:tcPr>
          <w:p>
            <w:pPr>
              <w:spacing w:after="0"/>
              <w:rPr>
                <w:sz w:val="13"/>
                <w:szCs w:val="13"/>
                <w:color w:val="auto"/>
              </w:rPr>
            </w:pPr>
          </w:p>
        </w:tc>
        <w:tc>
          <w:tcPr>
            <w:tcW w:w="86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90"/>
              </w:rPr>
              <w:t>converted to</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5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7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Loans</w:t>
            </w:r>
          </w:p>
        </w:tc>
        <w:tc>
          <w:tcPr>
            <w:tcW w:w="120" w:type="dxa"/>
            <w:vAlign w:val="bottom"/>
          </w:tcPr>
          <w:p>
            <w:pPr>
              <w:spacing w:after="0"/>
              <w:rPr>
                <w:sz w:val="15"/>
                <w:szCs w:val="15"/>
                <w:color w:val="auto"/>
              </w:rPr>
            </w:pPr>
          </w:p>
        </w:tc>
        <w:tc>
          <w:tcPr>
            <w:tcW w:w="860" w:type="dxa"/>
            <w:vAlign w:val="bottom"/>
            <w:tcBorders>
              <w:bottom w:val="single" w:sz="8" w:color="auto"/>
            </w:tcBorders>
            <w:gridSpan w:val="2"/>
          </w:tcPr>
          <w:p>
            <w:pPr>
              <w:jc w:val="center"/>
              <w:ind w:right="29"/>
              <w:spacing w:after="0"/>
              <w:rPr>
                <w:sz w:val="20"/>
                <w:szCs w:val="20"/>
                <w:color w:val="auto"/>
              </w:rPr>
            </w:pPr>
            <w:r>
              <w:rPr>
                <w:rFonts w:ascii="Arial" w:cs="Arial" w:eastAsia="Arial" w:hAnsi="Arial"/>
                <w:sz w:val="14"/>
                <w:szCs w:val="14"/>
                <w:b w:val="1"/>
                <w:bCs w:val="1"/>
                <w:color w:val="auto"/>
                <w:w w:val="90"/>
              </w:rPr>
              <w:t>Term Loans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970" w:type="dxa"/>
            <w:vAlign w:val="bottom"/>
            <w:gridSpan w:val="5"/>
          </w:tcPr>
          <w:p>
            <w:pPr>
              <w:jc w:val="right"/>
              <w:ind w:right="6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7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w w:val="96"/>
              </w:rPr>
              <w:t>Commercial and industrial</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7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Pass</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197,451</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330,830</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76,610</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58,648</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59,121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22,720</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22,166</w:t>
            </w:r>
          </w:p>
        </w:tc>
        <w:tc>
          <w:tcPr>
            <w:tcW w:w="24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767,546</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721</w:t>
            </w:r>
          </w:p>
        </w:tc>
        <w:tc>
          <w:tcPr>
            <w:tcW w:w="10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14,488</w:t>
            </w: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1,060</w:t>
            </w:r>
          </w:p>
        </w:tc>
        <w:tc>
          <w:tcPr>
            <w:tcW w:w="100" w:type="dxa"/>
            <w:vAlign w:val="bottom"/>
            <w:tcBorders>
              <w:right w:val="single" w:sz="8" w:color="CCEEFF"/>
            </w:tcBorders>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70" w:type="dxa"/>
            <w:vAlign w:val="bottom"/>
            <w:tcBorders>
              <w:right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3,414</w:t>
            </w:r>
          </w:p>
        </w:tc>
        <w:tc>
          <w:tcPr>
            <w:tcW w:w="12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20,065</w:t>
            </w:r>
          </w:p>
        </w:tc>
        <w:tc>
          <w:tcPr>
            <w:tcW w:w="2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2,290</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70" w:type="dxa"/>
            <w:vAlign w:val="bottom"/>
          </w:tcPr>
          <w:p>
            <w:pPr>
              <w:jc w:val="right"/>
              <w:ind w:right="149"/>
              <w:spacing w:after="0"/>
              <w:rPr>
                <w:sz w:val="20"/>
                <w:szCs w:val="20"/>
                <w:color w:val="auto"/>
              </w:rPr>
            </w:pPr>
            <w:r>
              <w:rPr>
                <w:rFonts w:ascii="Arial" w:cs="Arial" w:eastAsia="Arial" w:hAnsi="Arial"/>
                <w:sz w:val="14"/>
                <w:szCs w:val="14"/>
                <w:color w:val="auto"/>
              </w:rPr>
              <w:t>766</w:t>
            </w:r>
          </w:p>
        </w:tc>
        <w:tc>
          <w:tcPr>
            <w:tcW w:w="12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16,677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19,782</w:t>
            </w: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5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spacing w:after="0"/>
              <w:rPr>
                <w:sz w:val="17"/>
                <w:szCs w:val="17"/>
                <w:color w:val="auto"/>
              </w:rPr>
            </w:pPr>
          </w:p>
        </w:tc>
        <w:tc>
          <w:tcPr>
            <w:tcW w:w="87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994</w:t>
            </w: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70" w:type="dxa"/>
            <w:vAlign w:val="bottom"/>
            <w:tcBorders>
              <w:right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1,397</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738</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1,868</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5,018</w:t>
            </w:r>
          </w:p>
        </w:tc>
        <w:tc>
          <w:tcPr>
            <w:tcW w:w="20" w:type="dxa"/>
            <w:vAlign w:val="bottom"/>
            <w:shd w:val="clear" w:color="auto" w:fill="CCEE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15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7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204"/>
        </w:trPr>
        <w:tc>
          <w:tcPr>
            <w:tcW w:w="20" w:type="dxa"/>
            <w:vAlign w:val="bottom"/>
          </w:tcPr>
          <w:p>
            <w:pPr>
              <w:spacing w:after="0"/>
              <w:rPr>
                <w:sz w:val="17"/>
                <w:szCs w:val="17"/>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198,172</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331,824</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91,098</w:t>
            </w: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62,019</w:t>
            </w:r>
          </w:p>
        </w:tc>
        <w:tc>
          <w:tcPr>
            <w:tcW w:w="100" w:type="dxa"/>
            <w:vAlign w:val="bottom"/>
            <w:tcBorders>
              <w:right w:val="single" w:sz="8" w:color="CCEEFF"/>
            </w:tcBorders>
            <w:shd w:val="clear" w:color="auto" w:fill="CCEEFF"/>
          </w:tcPr>
          <w:p>
            <w:pPr>
              <w:spacing w:after="0"/>
              <w:rPr>
                <w:sz w:val="17"/>
                <w:szCs w:val="17"/>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61,597</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23,576</w:t>
            </w: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44,125</w:t>
            </w: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812,411</w:t>
            </w:r>
          </w:p>
        </w:tc>
        <w:tc>
          <w:tcPr>
            <w:tcW w:w="20" w:type="dxa"/>
            <w:vAlign w:val="bottom"/>
            <w:shd w:val="clear" w:color="auto" w:fill="CCEEFF"/>
          </w:tcPr>
          <w:p>
            <w:pPr>
              <w:spacing w:after="0"/>
              <w:rPr>
                <w:sz w:val="17"/>
                <w:szCs w:val="17"/>
                <w:color w:val="auto"/>
              </w:rPr>
            </w:pPr>
          </w:p>
        </w:tc>
      </w:tr>
      <w:tr>
        <w:trPr>
          <w:trHeight w:val="213"/>
        </w:trPr>
        <w:tc>
          <w:tcPr>
            <w:tcW w:w="250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Commercial and industrial lines of credit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Pass</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734,130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734,130</w:t>
            </w: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35,139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35,139</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9"/>
              </w:rPr>
              <w:t>Substandard - accrual</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8,790</w:t>
            </w: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8,790</w:t>
            </w:r>
          </w:p>
        </w:tc>
        <w:tc>
          <w:tcPr>
            <w:tcW w:w="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Substandard - non-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7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7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77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87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20" w:type="dxa"/>
            <w:vAlign w:val="bottom"/>
          </w:tcPr>
          <w:p>
            <w:pPr>
              <w:spacing w:after="0"/>
              <w:rPr>
                <w:sz w:val="14"/>
                <w:szCs w:val="14"/>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accrual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9,605</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9,605</w:t>
            </w:r>
          </w:p>
        </w:tc>
        <w:tc>
          <w:tcPr>
            <w:tcW w:w="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1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0" w:type="dxa"/>
            <w:vAlign w:val="bottom"/>
            <w:tcBorders>
              <w:bottom w:val="single" w:sz="8" w:color="auto"/>
            </w:tcBorders>
            <w:shd w:val="clear" w:color="auto" w:fill="CCEEFF"/>
          </w:tcPr>
          <w:p>
            <w:pPr>
              <w:spacing w:after="0"/>
              <w:rPr>
                <w:sz w:val="17"/>
                <w:szCs w:val="17"/>
                <w:color w:val="auto"/>
              </w:rPr>
            </w:pPr>
          </w:p>
        </w:tc>
        <w:tc>
          <w:tcPr>
            <w:tcW w:w="75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10" w:type="dxa"/>
            <w:vAlign w:val="bottom"/>
            <w:tcBorders>
              <w:bottom w:val="single" w:sz="8" w:color="auto"/>
            </w:tcBorders>
            <w:shd w:val="clear" w:color="auto" w:fill="CCEEFF"/>
          </w:tcPr>
          <w:p>
            <w:pPr>
              <w:spacing w:after="0"/>
              <w:rPr>
                <w:sz w:val="17"/>
                <w:szCs w:val="17"/>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10" w:type="dxa"/>
            <w:vAlign w:val="bottom"/>
            <w:tcBorders>
              <w:bottom w:val="single" w:sz="8" w:color="auto"/>
            </w:tcBorders>
            <w:shd w:val="clear" w:color="auto" w:fill="CCEEFF"/>
          </w:tcPr>
          <w:p>
            <w:pPr>
              <w:spacing w:after="0"/>
              <w:rPr>
                <w:sz w:val="17"/>
                <w:szCs w:val="17"/>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110" w:type="dxa"/>
            <w:vAlign w:val="bottom"/>
            <w:tcBorders>
              <w:bottom w:val="single" w:sz="8" w:color="auto"/>
            </w:tcBorders>
            <w:shd w:val="clear" w:color="auto" w:fill="CCEEFF"/>
          </w:tcPr>
          <w:p>
            <w:pPr>
              <w:spacing w:after="0"/>
              <w:rPr>
                <w:sz w:val="17"/>
                <w:szCs w:val="17"/>
                <w:color w:val="auto"/>
              </w:rPr>
            </w:pPr>
          </w:p>
        </w:tc>
        <w:tc>
          <w:tcPr>
            <w:tcW w:w="870" w:type="dxa"/>
            <w:vAlign w:val="bottom"/>
            <w:tcBorders>
              <w:bottom w:val="single" w:sz="8" w:color="auto"/>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Total</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787,664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787,664</w:t>
            </w: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Energy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Pass</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7,445</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900</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264</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7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5"/>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198,257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210</w:t>
            </w:r>
          </w:p>
        </w:tc>
        <w:tc>
          <w:tcPr>
            <w:tcW w:w="240" w:type="dxa"/>
            <w:vAlign w:val="bottom"/>
            <w:gridSpan w:val="2"/>
          </w:tcPr>
          <w:p>
            <w:pPr>
              <w:jc w:val="right"/>
              <w:ind w:right="55"/>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207,120</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1,469</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12,494</w:t>
            </w: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13,963</w:t>
            </w: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870" w:type="dxa"/>
            <w:vAlign w:val="bottom"/>
          </w:tcPr>
          <w:p>
            <w:pPr>
              <w:jc w:val="right"/>
              <w:ind w:right="14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6,013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6,023</w:t>
            </w:r>
          </w:p>
        </w:tc>
        <w:tc>
          <w:tcPr>
            <w:tcW w:w="2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7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20" w:type="dxa"/>
            <w:vAlign w:val="bottom"/>
          </w:tcPr>
          <w:p>
            <w:pPr>
              <w:spacing w:after="0"/>
              <w:rPr>
                <w:sz w:val="13"/>
                <w:szCs w:val="13"/>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70" w:type="dxa"/>
            <w:vAlign w:val="bottom"/>
            <w:tcBorders>
              <w:right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3,750</w:t>
            </w:r>
          </w:p>
        </w:tc>
        <w:tc>
          <w:tcPr>
            <w:tcW w:w="1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3,750</w:t>
            </w:r>
          </w:p>
        </w:tc>
        <w:tc>
          <w:tcPr>
            <w:tcW w:w="20" w:type="dxa"/>
            <w:vAlign w:val="bottom"/>
            <w:shd w:val="clear" w:color="auto" w:fill="CCEEFF"/>
          </w:tcPr>
          <w:p>
            <w:pPr>
              <w:spacing w:after="0"/>
              <w:rPr>
                <w:sz w:val="13"/>
                <w:szCs w:val="13"/>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0" w:type="dxa"/>
            <w:vAlign w:val="bottom"/>
            <w:tcBorders>
              <w:bottom w:val="single" w:sz="8" w:color="auto"/>
            </w:tcBorders>
          </w:tcPr>
          <w:p>
            <w:pPr>
              <w:spacing w:after="0"/>
              <w:rPr>
                <w:sz w:val="18"/>
                <w:szCs w:val="18"/>
                <w:color w:val="auto"/>
              </w:rPr>
            </w:pPr>
          </w:p>
        </w:tc>
        <w:tc>
          <w:tcPr>
            <w:tcW w:w="87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2,144</w:t>
            </w: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2,144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70" w:type="dxa"/>
            <w:vAlign w:val="bottom"/>
            <w:tcBorders>
              <w:right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7,445</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2,369</w:t>
            </w:r>
          </w:p>
        </w:tc>
        <w:tc>
          <w:tcPr>
            <w:tcW w:w="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264</w:t>
            </w:r>
          </w:p>
        </w:tc>
        <w:tc>
          <w:tcPr>
            <w:tcW w:w="100" w:type="dxa"/>
            <w:vAlign w:val="bottom"/>
            <w:tcBorders>
              <w:right w:val="single" w:sz="8" w:color="CCEEFF"/>
            </w:tcBorders>
            <w:shd w:val="clear" w:color="auto" w:fill="CCEEFF"/>
          </w:tcPr>
          <w:p>
            <w:pPr>
              <w:spacing w:after="0"/>
              <w:rPr>
                <w:sz w:val="16"/>
                <w:szCs w:val="16"/>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100" w:type="dxa"/>
            <w:vAlign w:val="bottom"/>
            <w:tcBorders>
              <w:right w:val="single" w:sz="8" w:color="CCEEFF"/>
            </w:tcBorders>
            <w:shd w:val="clear" w:color="auto" w:fill="CCEEFF"/>
          </w:tcPr>
          <w:p>
            <w:pPr>
              <w:spacing w:after="0"/>
              <w:rPr>
                <w:sz w:val="16"/>
                <w:szCs w:val="16"/>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70" w:type="dxa"/>
            <w:vAlign w:val="bottom"/>
            <w:tcBorders>
              <w:right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222,658</w:t>
            </w:r>
          </w:p>
        </w:tc>
        <w:tc>
          <w:tcPr>
            <w:tcW w:w="1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210</w:t>
            </w: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jc w:val="right"/>
              <w:ind w:right="55"/>
              <w:spacing w:after="0"/>
              <w:rPr>
                <w:sz w:val="20"/>
                <w:szCs w:val="20"/>
                <w:color w:val="auto"/>
              </w:rPr>
            </w:pPr>
            <w:r>
              <w:rPr>
                <w:rFonts w:ascii="Arial" w:cs="Arial" w:eastAsia="Arial" w:hAnsi="Arial"/>
                <w:sz w:val="5"/>
                <w:szCs w:val="5"/>
                <w:color w:val="auto"/>
                <w:w w:val="70"/>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233,000</w:t>
            </w:r>
          </w:p>
        </w:tc>
        <w:tc>
          <w:tcPr>
            <w:tcW w:w="2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420"/>
          </w:cols>
          <w:pgMar w:left="820" w:top="460" w:right="6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4690" w:type="dxa"/>
            <w:vAlign w:val="bottom"/>
            <w:gridSpan w:val="15"/>
          </w:tcPr>
          <w:p>
            <w:pPr>
              <w:jc w:val="right"/>
              <w:ind w:right="289"/>
              <w:spacing w:after="0"/>
              <w:rPr>
                <w:sz w:val="20"/>
                <w:szCs w:val="20"/>
                <w:color w:val="auto"/>
              </w:rPr>
            </w:pPr>
            <w:r>
              <w:rPr>
                <w:rFonts w:ascii="Arial" w:cs="Arial" w:eastAsia="Arial" w:hAnsi="Arial"/>
                <w:sz w:val="14"/>
                <w:szCs w:val="14"/>
                <w:color w:val="auto"/>
              </w:rPr>
              <w:t>Notes to Condensed Consolidated Financial Statements (unaudited)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56"/>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75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77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9"/>
              </w:rPr>
              <w:t>As of June 30, 2022</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15"/>
          </w:tcPr>
          <w:p>
            <w:pPr>
              <w:ind w:left="640"/>
              <w:spacing w:after="0"/>
              <w:rPr>
                <w:sz w:val="20"/>
                <w:szCs w:val="20"/>
                <w:color w:val="auto"/>
              </w:rPr>
            </w:pPr>
            <w:r>
              <w:rPr>
                <w:rFonts w:ascii="Arial" w:cs="Arial" w:eastAsia="Arial" w:hAnsi="Arial"/>
                <w:sz w:val="14"/>
                <w:szCs w:val="14"/>
                <w:b w:val="1"/>
                <w:bCs w:val="1"/>
                <w:color w:val="auto"/>
                <w:w w:val="92"/>
              </w:rPr>
              <w:t>Amortized Cost Basis by Origination Year and Internal Risk Rating</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center"/>
              <w:ind w:left="489"/>
              <w:spacing w:after="0"/>
              <w:rPr>
                <w:sz w:val="20"/>
                <w:szCs w:val="20"/>
                <w:color w:val="auto"/>
              </w:rPr>
            </w:pPr>
            <w:r>
              <w:rPr>
                <w:rFonts w:ascii="Arial" w:cs="Arial" w:eastAsia="Arial" w:hAnsi="Arial"/>
                <w:sz w:val="14"/>
                <w:szCs w:val="14"/>
                <w:b w:val="1"/>
                <w:bCs w:val="1"/>
                <w:color w:val="auto"/>
                <w:w w:val="91"/>
              </w:rPr>
              <w:t>Amortized Cost Basis</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65"/>
        </w:trPr>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7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100" w:type="dxa"/>
            <w:vAlign w:val="bottom"/>
          </w:tcPr>
          <w:p>
            <w:pPr>
              <w:spacing w:after="0"/>
              <w:rPr>
                <w:sz w:val="13"/>
                <w:szCs w:val="13"/>
                <w:color w:val="auto"/>
              </w:rPr>
            </w:pPr>
          </w:p>
        </w:tc>
        <w:tc>
          <w:tcPr>
            <w:tcW w:w="88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0"/>
              </w:rPr>
              <w:t>converted to</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5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5"/>
                <w:szCs w:val="15"/>
                <w:color w:val="auto"/>
              </w:rPr>
            </w:pPr>
          </w:p>
        </w:tc>
        <w:tc>
          <w:tcPr>
            <w:tcW w:w="88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90"/>
              </w:rPr>
              <w:t>Term Loans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970" w:type="dxa"/>
            <w:vAlign w:val="bottom"/>
            <w:gridSpan w:val="7"/>
          </w:tcPr>
          <w:p>
            <w:pPr>
              <w:jc w:val="right"/>
              <w:ind w:right="4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5"/>
              </w:rPr>
              <w:t>Commercial real estate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Pass</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219,481</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273,536</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152,920</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114,384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71,024</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83,540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330,625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100,089</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w w:val="99"/>
              </w:rPr>
              <w:t>1,345,599</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29,688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7,499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33,294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71,662</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10,681</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11,673</w:t>
            </w:r>
          </w:p>
        </w:tc>
        <w:tc>
          <w:tcPr>
            <w:tcW w:w="20" w:type="dxa"/>
            <w:vAlign w:val="bottom"/>
          </w:tcPr>
          <w:p>
            <w:pPr>
              <w:spacing w:after="0"/>
              <w:rPr>
                <w:sz w:val="18"/>
                <w:szCs w:val="18"/>
                <w:color w:val="auto"/>
              </w:rPr>
            </w:pPr>
          </w:p>
        </w:tc>
      </w:tr>
      <w:tr>
        <w:trPr>
          <w:trHeight w:val="203"/>
        </w:trPr>
        <w:tc>
          <w:tcPr>
            <w:tcW w:w="60" w:type="dxa"/>
            <w:vAlign w:val="bottom"/>
          </w:tcPr>
          <w:p>
            <w:pPr>
              <w:spacing w:after="0"/>
              <w:rPr>
                <w:sz w:val="17"/>
                <w:szCs w:val="17"/>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5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1"/>
        </w:trPr>
        <w:tc>
          <w:tcPr>
            <w:tcW w:w="60" w:type="dxa"/>
            <w:vAlign w:val="bottom"/>
          </w:tcPr>
          <w:p>
            <w:pPr>
              <w:spacing w:after="0"/>
              <w:rPr>
                <w:sz w:val="14"/>
                <w:szCs w:val="14"/>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2,498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292</w:t>
            </w: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6,959</w:t>
            </w:r>
          </w:p>
        </w:tc>
        <w:tc>
          <w:tcPr>
            <w:tcW w:w="20" w:type="dxa"/>
            <w:vAlign w:val="bottom"/>
            <w:shd w:val="clear" w:color="auto" w:fill="CCEEFF"/>
          </w:tcPr>
          <w:p>
            <w:pPr>
              <w:spacing w:after="0"/>
              <w:rPr>
                <w:sz w:val="14"/>
                <w:szCs w:val="14"/>
                <w:color w:val="auto"/>
              </w:rPr>
            </w:pPr>
          </w:p>
        </w:tc>
      </w:tr>
      <w:tr>
        <w:trPr>
          <w:trHeight w:val="203"/>
        </w:trPr>
        <w:tc>
          <w:tcPr>
            <w:tcW w:w="60" w:type="dxa"/>
            <w:vAlign w:val="bottom"/>
          </w:tcPr>
          <w:p>
            <w:pPr>
              <w:spacing w:after="0"/>
              <w:rPr>
                <w:sz w:val="17"/>
                <w:szCs w:val="17"/>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230,626</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305,722</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153,212</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114,809</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78,600</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84,941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330,625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137,358</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1,435,893</w:t>
            </w:r>
          </w:p>
        </w:tc>
        <w:tc>
          <w:tcPr>
            <w:tcW w:w="20" w:type="dxa"/>
            <w:vAlign w:val="bottom"/>
            <w:shd w:val="clear" w:color="auto" w:fill="CCEEFF"/>
          </w:tcPr>
          <w:p>
            <w:pPr>
              <w:spacing w:after="0"/>
              <w:rPr>
                <w:sz w:val="16"/>
                <w:szCs w:val="16"/>
                <w:color w:val="auto"/>
              </w:rPr>
            </w:pPr>
          </w:p>
        </w:tc>
      </w:tr>
      <w:tr>
        <w:trPr>
          <w:trHeight w:val="213"/>
        </w:trPr>
        <w:tc>
          <w:tcPr>
            <w:tcW w:w="2540" w:type="dxa"/>
            <w:vAlign w:val="bottom"/>
            <w:gridSpan w:val="6"/>
          </w:tcPr>
          <w:p>
            <w:pPr>
              <w:jc w:val="right"/>
              <w:ind w:right="269"/>
              <w:spacing w:after="0"/>
              <w:rPr>
                <w:sz w:val="20"/>
                <w:szCs w:val="20"/>
                <w:color w:val="auto"/>
              </w:rPr>
            </w:pPr>
            <w:r>
              <w:rPr>
                <w:rFonts w:ascii="Arial" w:cs="Arial" w:eastAsia="Arial" w:hAnsi="Arial"/>
                <w:sz w:val="14"/>
                <w:szCs w:val="14"/>
                <w:b w:val="1"/>
                <w:bCs w:val="1"/>
                <w:color w:val="auto"/>
                <w:w w:val="91"/>
              </w:rPr>
              <w:t>Construction and land development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Pass</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122,363</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249,651</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131,909</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51,139</w:t>
            </w:r>
          </w:p>
        </w:tc>
        <w:tc>
          <w:tcPr>
            <w:tcW w:w="32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3,751</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576,480</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7,935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7,935</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9"/>
              </w:rPr>
              <w:t>Substandard - accrual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r>
      <w:tr>
        <w:trPr>
          <w:trHeight w:val="214"/>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non-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accrual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Doubtful</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5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r>
      <w:tr>
        <w:trPr>
          <w:trHeight w:val="204"/>
        </w:trPr>
        <w:tc>
          <w:tcPr>
            <w:tcW w:w="6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122,363</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257,586</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131,909</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51,139</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3,751</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4,503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13,164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584,415</w:t>
            </w:r>
          </w:p>
        </w:tc>
        <w:tc>
          <w:tcPr>
            <w:tcW w:w="20" w:type="dxa"/>
            <w:vAlign w:val="bottom"/>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8"/>
              </w:rPr>
              <w:t>Residential real estate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Pass</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38,134</w:t>
            </w:r>
          </w:p>
        </w:tc>
        <w:tc>
          <w:tcPr>
            <w:tcW w:w="23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79,391</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121,547</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47,354</w:t>
            </w:r>
          </w:p>
        </w:tc>
        <w:tc>
          <w:tcPr>
            <w:tcW w:w="32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40,803</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36,793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626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364,648</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3,308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3,183</w:t>
            </w: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6,491</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20" w:type="dxa"/>
            <w:vAlign w:val="bottom"/>
            <w:shd w:val="clear" w:color="auto" w:fill="CCEEFF"/>
          </w:tcPr>
          <w:p>
            <w:pPr>
              <w:spacing w:after="0"/>
              <w:rPr>
                <w:sz w:val="13"/>
                <w:szCs w:val="13"/>
                <w:color w:val="auto"/>
              </w:rPr>
            </w:pPr>
          </w:p>
        </w:tc>
      </w:tr>
      <w:tr>
        <w:trPr>
          <w:trHeight w:val="213"/>
        </w:trPr>
        <w:tc>
          <w:tcPr>
            <w:tcW w:w="60" w:type="dxa"/>
            <w:vAlign w:val="bottom"/>
          </w:tcPr>
          <w:p>
            <w:pPr>
              <w:spacing w:after="0"/>
              <w:rPr>
                <w:sz w:val="18"/>
                <w:szCs w:val="18"/>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4"/>
        </w:trPr>
        <w:tc>
          <w:tcPr>
            <w:tcW w:w="60" w:type="dxa"/>
            <w:vAlign w:val="bottom"/>
          </w:tcPr>
          <w:p>
            <w:pPr>
              <w:spacing w:after="0"/>
              <w:rPr>
                <w:sz w:val="17"/>
                <w:szCs w:val="17"/>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38,134</w:t>
            </w:r>
          </w:p>
        </w:tc>
        <w:tc>
          <w:tcPr>
            <w:tcW w:w="23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82,699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124,730</w:t>
            </w: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47,354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40,803</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36,793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371,337</w:t>
            </w:r>
          </w:p>
        </w:tc>
        <w:tc>
          <w:tcPr>
            <w:tcW w:w="20" w:type="dxa"/>
            <w:vAlign w:val="bottom"/>
            <w:shd w:val="clear" w:color="auto" w:fill="CCEEFF"/>
          </w:tcPr>
          <w:p>
            <w:pPr>
              <w:spacing w:after="0"/>
              <w:rPr>
                <w:sz w:val="17"/>
                <w:szCs w:val="17"/>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420"/>
          </w:cols>
          <w:pgMar w:left="820" w:top="448" w:right="6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4690" w:type="dxa"/>
            <w:vAlign w:val="bottom"/>
            <w:gridSpan w:val="17"/>
          </w:tcPr>
          <w:p>
            <w:pPr>
              <w:jc w:val="right"/>
              <w:ind w:right="289"/>
              <w:spacing w:after="0"/>
              <w:rPr>
                <w:sz w:val="20"/>
                <w:szCs w:val="20"/>
                <w:color w:val="auto"/>
              </w:rPr>
            </w:pPr>
            <w:r>
              <w:rPr>
                <w:rFonts w:ascii="Arial" w:cs="Arial" w:eastAsia="Arial" w:hAnsi="Arial"/>
                <w:sz w:val="14"/>
                <w:szCs w:val="14"/>
                <w:color w:val="auto"/>
              </w:rPr>
              <w:t>Notes to Condensed Consolidated Financial Statements (unaudited)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556"/>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75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77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As of June 30, 2022</w:t>
            </w: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18"/>
          </w:tcPr>
          <w:p>
            <w:pPr>
              <w:ind w:left="640"/>
              <w:spacing w:after="0"/>
              <w:rPr>
                <w:sz w:val="20"/>
                <w:szCs w:val="20"/>
                <w:color w:val="auto"/>
              </w:rPr>
            </w:pPr>
            <w:r>
              <w:rPr>
                <w:rFonts w:ascii="Arial" w:cs="Arial" w:eastAsia="Arial" w:hAnsi="Arial"/>
                <w:sz w:val="14"/>
                <w:szCs w:val="14"/>
                <w:b w:val="1"/>
                <w:bCs w:val="1"/>
                <w:color w:val="auto"/>
                <w:w w:val="92"/>
              </w:rPr>
              <w:t>Amortized Cost Basis by Origination Year and Internal Risk Rating</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center"/>
              <w:ind w:left="489"/>
              <w:spacing w:after="0"/>
              <w:rPr>
                <w:sz w:val="20"/>
                <w:szCs w:val="20"/>
                <w:color w:val="auto"/>
              </w:rPr>
            </w:pPr>
            <w:r>
              <w:rPr>
                <w:rFonts w:ascii="Arial" w:cs="Arial" w:eastAsia="Arial" w:hAnsi="Arial"/>
                <w:sz w:val="14"/>
                <w:szCs w:val="14"/>
                <w:b w:val="1"/>
                <w:bCs w:val="1"/>
                <w:color w:val="auto"/>
                <w:w w:val="91"/>
              </w:rPr>
              <w:t>Amortized Cost Basis</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65"/>
        </w:trPr>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5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7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0"/>
              </w:rPr>
              <w:t>converted to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5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90"/>
              </w:rPr>
              <w:t>Term 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970" w:type="dxa"/>
            <w:vAlign w:val="bottom"/>
            <w:gridSpan w:val="8"/>
          </w:tcPr>
          <w:p>
            <w:pPr>
              <w:jc w:val="right"/>
              <w:ind w:right="4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9"/>
              </w:rPr>
              <w:t>Multifamily real estate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Pass</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58,346</w:t>
            </w:r>
          </w:p>
        </w:tc>
        <w:tc>
          <w:tcPr>
            <w:tcW w:w="23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28,407</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5,424</w:t>
            </w:r>
          </w:p>
        </w:tc>
        <w:tc>
          <w:tcPr>
            <w:tcW w:w="21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12,070</w:t>
            </w:r>
          </w:p>
        </w:tc>
        <w:tc>
          <w:tcPr>
            <w:tcW w:w="32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3,115</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1,901</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123,802</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16,538</w:t>
            </w:r>
          </w:p>
        </w:tc>
        <w:tc>
          <w:tcPr>
            <w:tcW w:w="24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249,603</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03"/>
        </w:trPr>
        <w:tc>
          <w:tcPr>
            <w:tcW w:w="60" w:type="dxa"/>
            <w:vAlign w:val="bottom"/>
          </w:tcPr>
          <w:p>
            <w:pPr>
              <w:spacing w:after="0"/>
              <w:rPr>
                <w:sz w:val="17"/>
                <w:szCs w:val="17"/>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5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 w:type="dxa"/>
            <w:vAlign w:val="bottom"/>
            <w:shd w:val="clear" w:color="auto" w:fill="CCEEFF"/>
          </w:tcPr>
          <w:p>
            <w:pPr>
              <w:spacing w:after="0"/>
              <w:rPr>
                <w:sz w:val="17"/>
                <w:szCs w:val="17"/>
                <w:color w:val="auto"/>
              </w:rPr>
            </w:pPr>
          </w:p>
        </w:tc>
        <w:tc>
          <w:tcPr>
            <w:tcW w:w="77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71"/>
        </w:trPr>
        <w:tc>
          <w:tcPr>
            <w:tcW w:w="60" w:type="dxa"/>
            <w:vAlign w:val="bottom"/>
          </w:tcPr>
          <w:p>
            <w:pPr>
              <w:spacing w:after="0"/>
              <w:rPr>
                <w:sz w:val="14"/>
                <w:szCs w:val="14"/>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r>
      <w:tr>
        <w:trPr>
          <w:trHeight w:val="203"/>
        </w:trPr>
        <w:tc>
          <w:tcPr>
            <w:tcW w:w="60" w:type="dxa"/>
            <w:vAlign w:val="bottom"/>
          </w:tcPr>
          <w:p>
            <w:pPr>
              <w:spacing w:after="0"/>
              <w:rPr>
                <w:sz w:val="17"/>
                <w:szCs w:val="17"/>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30" w:type="dxa"/>
            <w:vAlign w:val="bottom"/>
            <w:tcBorders>
              <w:bottom w:val="single" w:sz="8" w:color="auto"/>
            </w:tcBorders>
          </w:tcPr>
          <w:p>
            <w:pPr>
              <w:spacing w:after="0"/>
              <w:rPr>
                <w:sz w:val="17"/>
                <w:szCs w:val="17"/>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60" w:type="dxa"/>
            <w:vAlign w:val="bottom"/>
          </w:tcPr>
          <w:p>
            <w:pPr>
              <w:spacing w:after="0"/>
              <w:rPr>
                <w:sz w:val="16"/>
                <w:szCs w:val="16"/>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58,346</w:t>
            </w:r>
          </w:p>
        </w:tc>
        <w:tc>
          <w:tcPr>
            <w:tcW w:w="23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28,407</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5,424</w:t>
            </w:r>
          </w:p>
        </w:tc>
        <w:tc>
          <w:tcPr>
            <w:tcW w:w="21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12,070</w:t>
            </w:r>
          </w:p>
        </w:tc>
        <w:tc>
          <w:tcPr>
            <w:tcW w:w="32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3,115</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1,901</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123,802</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16,576</w:t>
            </w:r>
          </w:p>
        </w:tc>
        <w:tc>
          <w:tcPr>
            <w:tcW w:w="2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249,641</w:t>
            </w:r>
          </w:p>
        </w:tc>
        <w:tc>
          <w:tcPr>
            <w:tcW w:w="20" w:type="dxa"/>
            <w:vAlign w:val="bottom"/>
            <w:shd w:val="clear" w:color="auto" w:fill="CCEEFF"/>
          </w:tcPr>
          <w:p>
            <w:pPr>
              <w:spacing w:after="0"/>
              <w:rPr>
                <w:sz w:val="16"/>
                <w:szCs w:val="16"/>
                <w:color w:val="auto"/>
              </w:rPr>
            </w:pPr>
          </w:p>
        </w:tc>
      </w:tr>
      <w:tr>
        <w:trPr>
          <w:trHeight w:val="213"/>
        </w:trPr>
        <w:tc>
          <w:tcPr>
            <w:tcW w:w="1560" w:type="dxa"/>
            <w:vAlign w:val="bottom"/>
            <w:gridSpan w:val="3"/>
          </w:tcPr>
          <w:p>
            <w:pPr>
              <w:ind w:left="40"/>
              <w:spacing w:after="0"/>
              <w:rPr>
                <w:sz w:val="20"/>
                <w:szCs w:val="20"/>
                <w:color w:val="auto"/>
              </w:rPr>
            </w:pPr>
            <w:r>
              <w:rPr>
                <w:rFonts w:ascii="Arial" w:cs="Arial" w:eastAsia="Arial" w:hAnsi="Arial"/>
                <w:sz w:val="14"/>
                <w:szCs w:val="14"/>
                <w:b w:val="1"/>
                <w:bCs w:val="1"/>
                <w:color w:val="auto"/>
              </w:rPr>
              <w:t>Consumer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Pass</w:t>
            </w:r>
          </w:p>
        </w:tc>
        <w:tc>
          <w:tcPr>
            <w:tcW w:w="2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1,811</w:t>
            </w:r>
          </w:p>
        </w:tc>
        <w:tc>
          <w:tcPr>
            <w:tcW w:w="23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2,691</w:t>
            </w:r>
          </w:p>
        </w:tc>
        <w:tc>
          <w:tcPr>
            <w:tcW w:w="23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1,975</w:t>
            </w:r>
          </w:p>
        </w:tc>
        <w:tc>
          <w:tcPr>
            <w:tcW w:w="21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233</w:t>
            </w:r>
          </w:p>
        </w:tc>
        <w:tc>
          <w:tcPr>
            <w:tcW w:w="32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w:t>
            </w: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47,039</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3"/>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53,873</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Special mention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99"/>
              </w:rPr>
              <w:t>Substandard - accrual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r>
      <w:tr>
        <w:trPr>
          <w:trHeight w:val="214"/>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non-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accrual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5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 w:type="dxa"/>
            <w:vAlign w:val="bottom"/>
          </w:tcPr>
          <w:p>
            <w:pPr>
              <w:spacing w:after="0"/>
              <w:rPr>
                <w:sz w:val="13"/>
                <w:szCs w:val="13"/>
                <w:color w:val="auto"/>
              </w:rPr>
            </w:pPr>
          </w:p>
        </w:tc>
        <w:tc>
          <w:tcPr>
            <w:tcW w:w="77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Doubtful</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5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tcBorders>
              <w:bottom w:val="single" w:sz="8" w:color="auto"/>
            </w:tcBorders>
            <w:shd w:val="clear" w:color="auto" w:fill="CCEEFF"/>
          </w:tcPr>
          <w:p>
            <w:pPr>
              <w:spacing w:after="0"/>
              <w:rPr>
                <w:sz w:val="18"/>
                <w:szCs w:val="18"/>
                <w:color w:val="auto"/>
              </w:rPr>
            </w:pPr>
          </w:p>
        </w:tc>
        <w:tc>
          <w:tcPr>
            <w:tcW w:w="77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r>
      <w:tr>
        <w:trPr>
          <w:trHeight w:val="204"/>
        </w:trPr>
        <w:tc>
          <w:tcPr>
            <w:tcW w:w="6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Total</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1,811</w:t>
            </w:r>
          </w:p>
        </w:tc>
        <w:tc>
          <w:tcPr>
            <w:tcW w:w="23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2,691</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1,975</w:t>
            </w:r>
          </w:p>
        </w:tc>
        <w:tc>
          <w:tcPr>
            <w:tcW w:w="21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233</w:t>
            </w:r>
          </w:p>
        </w:tc>
        <w:tc>
          <w:tcPr>
            <w:tcW w:w="32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114</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47,039</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53,873</w:t>
            </w:r>
          </w:p>
        </w:tc>
        <w:tc>
          <w:tcPr>
            <w:tcW w:w="20" w:type="dxa"/>
            <w:vAlign w:val="bottom"/>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Pass</w:t>
            </w:r>
          </w:p>
        </w:tc>
        <w:tc>
          <w:tcPr>
            <w:tcW w:w="2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645,031</w:t>
            </w:r>
          </w:p>
        </w:tc>
        <w:tc>
          <w:tcPr>
            <w:tcW w:w="23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965,406</w:t>
            </w:r>
          </w:p>
        </w:tc>
        <w:tc>
          <w:tcPr>
            <w:tcW w:w="23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490,649</w:t>
            </w:r>
          </w:p>
        </w:tc>
        <w:tc>
          <w:tcPr>
            <w:tcW w:w="21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283,872</w:t>
            </w:r>
          </w:p>
        </w:tc>
        <w:tc>
          <w:tcPr>
            <w:tcW w:w="32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177,928</w:t>
            </w: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149,467</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1,447,643</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139,003</w:t>
            </w:r>
          </w:p>
        </w:tc>
        <w:tc>
          <w:tcPr>
            <w:tcW w:w="240" w:type="dxa"/>
            <w:vAlign w:val="bottom"/>
            <w:gridSpan w:val="3"/>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w w:val="99"/>
              </w:rPr>
              <w:t>4,298,999</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Special mention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39,092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14,488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1,485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7,812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47,633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36,746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148,802</w:t>
            </w:r>
          </w:p>
        </w:tc>
        <w:tc>
          <w:tcPr>
            <w:tcW w:w="20" w:type="dxa"/>
            <w:vAlign w:val="bottom"/>
            <w:shd w:val="clear" w:color="auto" w:fill="CCEEFF"/>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Substandard - accrual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10,681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50" w:type="dxa"/>
            <w:vAlign w:val="bottom"/>
          </w:tcPr>
          <w:p>
            <w:pPr>
              <w:jc w:val="right"/>
              <w:ind w:right="29"/>
              <w:spacing w:after="0"/>
              <w:rPr>
                <w:sz w:val="20"/>
                <w:szCs w:val="20"/>
                <w:color w:val="auto"/>
              </w:rPr>
            </w:pPr>
            <w:r>
              <w:rPr>
                <w:rFonts w:ascii="Arial" w:cs="Arial" w:eastAsia="Arial" w:hAnsi="Arial"/>
                <w:sz w:val="14"/>
                <w:szCs w:val="14"/>
                <w:color w:val="auto"/>
              </w:rPr>
              <w:t>3,308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3,183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2,290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776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14,803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17,669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52,759</w:t>
            </w:r>
          </w:p>
        </w:tc>
        <w:tc>
          <w:tcPr>
            <w:tcW w:w="20" w:type="dxa"/>
            <w:vAlign w:val="bottom"/>
          </w:tcPr>
          <w:p>
            <w:pPr>
              <w:spacing w:after="0"/>
              <w:rPr>
                <w:sz w:val="18"/>
                <w:szCs w:val="18"/>
                <w:color w:val="auto"/>
              </w:rPr>
            </w:pPr>
          </w:p>
        </w:tc>
      </w:tr>
      <w:tr>
        <w:trPr>
          <w:trHeight w:val="213"/>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Substandard - non-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77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accrual</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3,492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292</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1,474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1,847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13,355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5,049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25,530</w:t>
            </w:r>
          </w:p>
        </w:tc>
        <w:tc>
          <w:tcPr>
            <w:tcW w:w="20" w:type="dxa"/>
            <w:vAlign w:val="bottom"/>
            <w:shd w:val="clear" w:color="auto" w:fill="CCEEFF"/>
          </w:tcPr>
          <w:p>
            <w:pPr>
              <w:spacing w:after="0"/>
              <w:rPr>
                <w:sz w:val="13"/>
                <w:szCs w:val="13"/>
                <w:color w:val="auto"/>
              </w:rPr>
            </w:pPr>
          </w:p>
        </w:tc>
      </w:tr>
      <w:tr>
        <w:trPr>
          <w:trHeight w:val="213"/>
        </w:trPr>
        <w:tc>
          <w:tcPr>
            <w:tcW w:w="60" w:type="dxa"/>
            <w:vAlign w:val="bottom"/>
          </w:tcPr>
          <w:p>
            <w:pPr>
              <w:spacing w:after="0"/>
              <w:rPr>
                <w:sz w:val="18"/>
                <w:szCs w:val="18"/>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Doubtful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5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2,144</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2,144</w:t>
            </w:r>
          </w:p>
        </w:tc>
        <w:tc>
          <w:tcPr>
            <w:tcW w:w="20" w:type="dxa"/>
            <w:vAlign w:val="bottom"/>
          </w:tcPr>
          <w:p>
            <w:pPr>
              <w:spacing w:after="0"/>
              <w:rPr>
                <w:sz w:val="18"/>
                <w:szCs w:val="18"/>
                <w:color w:val="auto"/>
              </w:rPr>
            </w:pPr>
          </w:p>
        </w:tc>
      </w:tr>
      <w:tr>
        <w:trPr>
          <w:trHeight w:val="215"/>
        </w:trPr>
        <w:tc>
          <w:tcPr>
            <w:tcW w:w="60" w:type="dxa"/>
            <w:vAlign w:val="bottom"/>
          </w:tcPr>
          <w:p>
            <w:pPr>
              <w:spacing w:after="0"/>
              <w:rPr>
                <w:sz w:val="18"/>
                <w:szCs w:val="18"/>
                <w:color w:val="auto"/>
              </w:rPr>
            </w:pPr>
          </w:p>
        </w:tc>
        <w:tc>
          <w:tcPr>
            <w:tcW w:w="1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656,897</w:t>
            </w:r>
          </w:p>
        </w:tc>
        <w:tc>
          <w:tcPr>
            <w:tcW w:w="20" w:type="dxa"/>
            <w:vAlign w:val="bottom"/>
            <w:shd w:val="clear" w:color="auto" w:fill="CCEEFF"/>
          </w:tcPr>
          <w:p>
            <w:pPr>
              <w:spacing w:after="0"/>
              <w:rPr>
                <w:sz w:val="18"/>
                <w:szCs w:val="18"/>
                <w:color w:val="auto"/>
              </w:rPr>
            </w:pPr>
          </w:p>
        </w:tc>
        <w:tc>
          <w:tcPr>
            <w:tcW w:w="21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1,011,298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508,612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287,668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187,990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151,724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shd w:val="clear" w:color="auto" w:fill="CCEEFF"/>
              </w:rPr>
              <w:t>1,525,578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198,467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99"/>
                <w:shd w:val="clear" w:color="auto" w:fill="CCEEFF"/>
              </w:rPr>
              <w:t>4,528,234</w:t>
            </w:r>
          </w:p>
        </w:tc>
        <w:tc>
          <w:tcPr>
            <w:tcW w:w="20" w:type="dxa"/>
            <w:vAlign w:val="bottom"/>
            <w:shd w:val="clear" w:color="auto" w:fill="CCEEFF"/>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420"/>
          </w:cols>
          <w:pgMar w:left="820" w:top="448" w:right="659" w:bottom="1440" w:gutter="0" w:footer="0" w:header="0"/>
        </w:sectPr>
      </w:pPr>
    </w:p>
    <w:bookmarkStart w:id="25" w:name="page26"/>
    <w:bookmarkEnd w:id="2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70"/>
        </w:trPr>
        <w:tc>
          <w:tcPr>
            <w:tcW w:w="100" w:type="dxa"/>
            <w:vAlign w:val="bottom"/>
            <w:tcBorders>
              <w:bottom w:val="single" w:sz="8" w:color="E6E6E6"/>
              <w:right w:val="single" w:sz="8" w:color="E6E6E6"/>
            </w:tcBorders>
            <w:shd w:val="clear" w:color="auto" w:fill="E6E6E6"/>
          </w:tcPr>
          <w:p>
            <w:pPr>
              <w:spacing w:after="0"/>
              <w:rPr>
                <w:sz w:val="6"/>
                <w:szCs w:val="6"/>
                <w:color w:val="auto"/>
              </w:rPr>
            </w:pPr>
          </w:p>
        </w:tc>
        <w:tc>
          <w:tcPr>
            <w:tcW w:w="520" w:type="dxa"/>
            <w:vAlign w:val="bottom"/>
            <w:tcBorders>
              <w:bottom w:val="single" w:sz="8" w:color="C6C6C6"/>
              <w:right w:val="single" w:sz="8" w:color="E6E6E6"/>
            </w:tcBorders>
            <w:shd w:val="clear" w:color="auto" w:fill="E6E6E6"/>
          </w:tcPr>
          <w:p>
            <w:pPr>
              <w:spacing w:after="0"/>
              <w:rPr>
                <w:sz w:val="6"/>
                <w:szCs w:val="6"/>
                <w:color w:val="auto"/>
              </w:rPr>
            </w:pPr>
          </w:p>
        </w:tc>
        <w:tc>
          <w:tcPr>
            <w:tcW w:w="900" w:type="dxa"/>
            <w:vAlign w:val="bottom"/>
            <w:tcBorders>
              <w:bottom w:val="single" w:sz="8" w:color="C6C6C6"/>
            </w:tcBorders>
            <w:shd w:val="clear" w:color="auto" w:fill="E6E6E6"/>
          </w:tcPr>
          <w:p>
            <w:pPr>
              <w:spacing w:after="0"/>
              <w:rPr>
                <w:sz w:val="6"/>
                <w:szCs w:val="6"/>
                <w:color w:val="auto"/>
              </w:rPr>
            </w:pPr>
          </w:p>
        </w:tc>
        <w:tc>
          <w:tcPr>
            <w:tcW w:w="56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40" w:type="dxa"/>
            <w:vAlign w:val="bottom"/>
            <w:tcBorders>
              <w:bottom w:val="single" w:sz="8" w:color="C6C6C6"/>
            </w:tcBorders>
            <w:shd w:val="clear" w:color="auto" w:fill="E6E6E6"/>
          </w:tcPr>
          <w:p>
            <w:pPr>
              <w:spacing w:after="0"/>
              <w:rPr>
                <w:sz w:val="6"/>
                <w:szCs w:val="6"/>
                <w:color w:val="auto"/>
              </w:rPr>
            </w:pPr>
          </w:p>
        </w:tc>
        <w:tc>
          <w:tcPr>
            <w:tcW w:w="72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5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7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7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240" w:type="dxa"/>
            <w:vAlign w:val="bottom"/>
            <w:tcBorders>
              <w:bottom w:val="single" w:sz="8" w:color="C6C6C6"/>
            </w:tcBorders>
            <w:shd w:val="clear" w:color="auto" w:fill="E6E6E6"/>
          </w:tcPr>
          <w:p>
            <w:pPr>
              <w:spacing w:after="0"/>
              <w:rPr>
                <w:sz w:val="6"/>
                <w:szCs w:val="6"/>
                <w:color w:val="auto"/>
              </w:rPr>
            </w:pPr>
          </w:p>
        </w:tc>
        <w:tc>
          <w:tcPr>
            <w:tcW w:w="64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20" w:type="dxa"/>
            <w:vAlign w:val="bottom"/>
            <w:tcBorders>
              <w:bottom w:val="single" w:sz="8" w:color="C6C6C6"/>
            </w:tcBorders>
            <w:shd w:val="clear" w:color="auto" w:fill="E6E6E6"/>
          </w:tcPr>
          <w:p>
            <w:pPr>
              <w:spacing w:after="0"/>
              <w:rPr>
                <w:sz w:val="6"/>
                <w:szCs w:val="6"/>
                <w:color w:val="auto"/>
              </w:rPr>
            </w:pPr>
          </w:p>
        </w:tc>
        <w:tc>
          <w:tcPr>
            <w:tcW w:w="76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78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8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140" w:type="dxa"/>
            <w:vAlign w:val="bottom"/>
            <w:tcBorders>
              <w:bottom w:val="single" w:sz="8" w:color="C6C6C6"/>
            </w:tcBorders>
            <w:shd w:val="clear" w:color="auto" w:fill="E6E6E6"/>
          </w:tcPr>
          <w:p>
            <w:pPr>
              <w:spacing w:after="0"/>
              <w:rPr>
                <w:sz w:val="6"/>
                <w:szCs w:val="6"/>
                <w:color w:val="auto"/>
              </w:rPr>
            </w:pPr>
          </w:p>
        </w:tc>
        <w:tc>
          <w:tcPr>
            <w:tcW w:w="760" w:type="dxa"/>
            <w:vAlign w:val="bottom"/>
            <w:tcBorders>
              <w:bottom w:val="single" w:sz="8" w:color="C6C6C6"/>
              <w:right w:val="single" w:sz="8" w:color="E6E6E6"/>
            </w:tcBorders>
            <w:shd w:val="clear" w:color="auto" w:fill="E6E6E6"/>
          </w:tcPr>
          <w:p>
            <w:pPr>
              <w:spacing w:after="0"/>
              <w:rPr>
                <w:sz w:val="6"/>
                <w:szCs w:val="6"/>
                <w:color w:val="auto"/>
              </w:rPr>
            </w:pPr>
          </w:p>
        </w:tc>
        <w:tc>
          <w:tcPr>
            <w:tcW w:w="34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tcPr>
          <w:p>
            <w:pPr>
              <w:spacing w:after="0"/>
              <w:rPr>
                <w:sz w:val="6"/>
                <w:szCs w:val="6"/>
                <w:color w:val="auto"/>
              </w:rPr>
            </w:pPr>
          </w:p>
        </w:tc>
      </w:tr>
      <w:tr>
        <w:trPr>
          <w:trHeight w:val="379"/>
        </w:trPr>
        <w:tc>
          <w:tcPr>
            <w:tcW w:w="100" w:type="dxa"/>
            <w:vAlign w:val="bottom"/>
            <w:tcBorders>
              <w:right w:val="single" w:sz="8" w:color="C6C6C6"/>
            </w:tcBorders>
            <w:shd w:val="clear" w:color="auto" w:fill="E6E6E6"/>
          </w:tcPr>
          <w:p>
            <w:pPr>
              <w:spacing w:after="0"/>
              <w:rPr>
                <w:sz w:val="24"/>
                <w:szCs w:val="24"/>
                <w:color w:val="auto"/>
              </w:rPr>
            </w:pPr>
          </w:p>
        </w:tc>
        <w:tc>
          <w:tcPr>
            <w:tcW w:w="1980" w:type="dxa"/>
            <w:vAlign w:val="bottom"/>
            <w:gridSpan w:val="3"/>
            <w:shd w:val="clear" w:color="auto" w:fill="E6E6E6"/>
          </w:tcPr>
          <w:p>
            <w:pPr>
              <w:ind w:left="420"/>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4690" w:type="dxa"/>
            <w:vAlign w:val="bottom"/>
            <w:gridSpan w:val="18"/>
            <w:shd w:val="clear" w:color="auto" w:fill="E6E6E6"/>
          </w:tcPr>
          <w:p>
            <w:pPr>
              <w:jc w:val="center"/>
              <w:ind w:left="79"/>
              <w:spacing w:after="0"/>
              <w:rPr>
                <w:sz w:val="20"/>
                <w:szCs w:val="20"/>
                <w:color w:val="auto"/>
              </w:rPr>
            </w:pPr>
            <w:r>
              <w:rPr>
                <w:rFonts w:ascii="Arial" w:cs="Arial" w:eastAsia="Arial" w:hAnsi="Arial"/>
                <w:sz w:val="14"/>
                <w:szCs w:val="14"/>
                <w:color w:val="auto"/>
                <w:w w:val="90"/>
              </w:rPr>
              <w:t>Notes to Condensed Consolidated Financial Statements (unaudited)</w:t>
            </w: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
        </w:trPr>
        <w:tc>
          <w:tcPr>
            <w:tcW w:w="100" w:type="dxa"/>
            <w:vAlign w:val="bottom"/>
            <w:tcBorders>
              <w:right w:val="single" w:sz="8" w:color="C6C6C6"/>
            </w:tcBorders>
            <w:shd w:val="clear" w:color="auto" w:fill="E6E6E6"/>
          </w:tcPr>
          <w:p>
            <w:pPr>
              <w:spacing w:after="0" w:line="20" w:lineRule="exact"/>
              <w:rPr>
                <w:sz w:val="1"/>
                <w:szCs w:val="1"/>
                <w:color w:val="auto"/>
              </w:rPr>
            </w:pPr>
          </w:p>
        </w:tc>
        <w:tc>
          <w:tcPr>
            <w:tcW w:w="520" w:type="dxa"/>
            <w:vAlign w:val="bottom"/>
            <w:tcBorders>
              <w:right w:val="single" w:sz="8" w:color="0000FF"/>
            </w:tcBorders>
            <w:shd w:val="clear" w:color="auto" w:fill="E6E6E6"/>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20" w:type="dxa"/>
            <w:vAlign w:val="bottom"/>
            <w:gridSpan w:val="4"/>
            <w:shd w:val="clear" w:color="auto" w:fill="E6E6E6"/>
          </w:tcPr>
          <w:p>
            <w:pPr>
              <w:spacing w:after="0" w:line="20" w:lineRule="exact"/>
              <w:rPr>
                <w:sz w:val="1"/>
                <w:szCs w:val="1"/>
                <w:color w:val="auto"/>
              </w:rPr>
            </w:pPr>
          </w:p>
        </w:tc>
        <w:tc>
          <w:tcPr>
            <w:tcW w:w="72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5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7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7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240" w:type="dxa"/>
            <w:vAlign w:val="bottom"/>
            <w:shd w:val="clear" w:color="auto" w:fill="E6E6E6"/>
          </w:tcPr>
          <w:p>
            <w:pPr>
              <w:spacing w:after="0" w:line="20" w:lineRule="exact"/>
              <w:rPr>
                <w:sz w:val="1"/>
                <w:szCs w:val="1"/>
                <w:color w:val="auto"/>
              </w:rPr>
            </w:pPr>
          </w:p>
        </w:tc>
        <w:tc>
          <w:tcPr>
            <w:tcW w:w="64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20" w:type="dxa"/>
            <w:vAlign w:val="bottom"/>
            <w:shd w:val="clear" w:color="auto" w:fill="E6E6E6"/>
          </w:tcPr>
          <w:p>
            <w:pPr>
              <w:spacing w:after="0" w:line="20" w:lineRule="exact"/>
              <w:rPr>
                <w:sz w:val="1"/>
                <w:szCs w:val="1"/>
                <w:color w:val="auto"/>
              </w:rPr>
            </w:pPr>
          </w:p>
        </w:tc>
        <w:tc>
          <w:tcPr>
            <w:tcW w:w="76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78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80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spacing w:after="0" w:line="20" w:lineRule="exact"/>
              <w:rPr>
                <w:sz w:val="1"/>
                <w:szCs w:val="1"/>
                <w:color w:val="auto"/>
              </w:rPr>
            </w:pPr>
          </w:p>
        </w:tc>
        <w:tc>
          <w:tcPr>
            <w:tcW w:w="340" w:type="dxa"/>
            <w:vAlign w:val="bottom"/>
            <w:shd w:val="clear" w:color="auto" w:fill="E6E6E6"/>
          </w:tcPr>
          <w:p>
            <w:pPr>
              <w:spacing w:after="0" w:line="20" w:lineRule="exact"/>
              <w:rPr>
                <w:sz w:val="1"/>
                <w:szCs w:val="1"/>
                <w:color w:val="auto"/>
              </w:rPr>
            </w:pPr>
          </w:p>
        </w:tc>
        <w:tc>
          <w:tcPr>
            <w:tcW w:w="100" w:type="dxa"/>
            <w:vAlign w:val="bottom"/>
            <w:tcBorders>
              <w:right w:val="single" w:sz="8" w:color="C6C6C6"/>
            </w:tcBorders>
          </w:tcPr>
          <w:p>
            <w:pPr>
              <w:spacing w:after="0" w:line="20" w:lineRule="exact"/>
              <w:rPr>
                <w:sz w:val="1"/>
                <w:szCs w:val="1"/>
                <w:color w:val="auto"/>
              </w:rPr>
            </w:pPr>
          </w:p>
        </w:tc>
      </w:tr>
      <w:tr>
        <w:trPr>
          <w:trHeight w:val="524"/>
        </w:trPr>
        <w:tc>
          <w:tcPr>
            <w:tcW w:w="100" w:type="dxa"/>
            <w:vAlign w:val="bottom"/>
            <w:tcBorders>
              <w:right w:val="single" w:sz="8" w:color="C6C6C6"/>
            </w:tcBorders>
            <w:shd w:val="clear" w:color="auto" w:fill="E6E6E6"/>
          </w:tcPr>
          <w:p>
            <w:pPr>
              <w:spacing w:after="0"/>
              <w:rPr>
                <w:sz w:val="24"/>
                <w:szCs w:val="24"/>
                <w:color w:val="auto"/>
              </w:rPr>
            </w:pPr>
          </w:p>
        </w:tc>
        <w:tc>
          <w:tcPr>
            <w:tcW w:w="520" w:type="dxa"/>
            <w:vAlign w:val="bottom"/>
            <w:tcBorders>
              <w:right w:val="single" w:sz="8" w:color="E6E6E6"/>
            </w:tcBorders>
            <w:shd w:val="clear" w:color="auto" w:fill="E6E6E6"/>
          </w:tcPr>
          <w:p>
            <w:pPr>
              <w:spacing w:after="0"/>
              <w:rPr>
                <w:sz w:val="24"/>
                <w:szCs w:val="24"/>
                <w:color w:val="auto"/>
              </w:rPr>
            </w:pPr>
          </w:p>
        </w:tc>
        <w:tc>
          <w:tcPr>
            <w:tcW w:w="1720" w:type="dxa"/>
            <w:vAlign w:val="bottom"/>
            <w:gridSpan w:val="5"/>
            <w:shd w:val="clear" w:color="auto" w:fill="E6E6E6"/>
          </w:tcPr>
          <w:p>
            <w:pPr>
              <w:spacing w:after="0"/>
              <w:rPr>
                <w:sz w:val="20"/>
                <w:szCs w:val="20"/>
                <w:color w:val="auto"/>
              </w:rPr>
            </w:pPr>
            <w:r>
              <w:rPr>
                <w:rFonts w:ascii="Arial" w:cs="Arial" w:eastAsia="Arial" w:hAnsi="Arial"/>
                <w:sz w:val="14"/>
                <w:szCs w:val="14"/>
                <w:i w:val="1"/>
                <w:iCs w:val="1"/>
                <w:color w:val="auto"/>
                <w:w w:val="93"/>
              </w:rPr>
              <w:t>Loan Portfolio Aging Analysis</w:t>
            </w:r>
          </w:p>
        </w:tc>
        <w:tc>
          <w:tcPr>
            <w:tcW w:w="7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
        </w:trPr>
        <w:tc>
          <w:tcPr>
            <w:tcW w:w="100" w:type="dxa"/>
            <w:vAlign w:val="bottom"/>
            <w:tcBorders>
              <w:right w:val="single" w:sz="8" w:color="C6C6C6"/>
            </w:tcBorders>
            <w:shd w:val="clear" w:color="auto" w:fill="E6E6E6"/>
          </w:tcPr>
          <w:p>
            <w:pPr>
              <w:spacing w:after="0" w:line="20" w:lineRule="exact"/>
              <w:rPr>
                <w:sz w:val="1"/>
                <w:szCs w:val="1"/>
                <w:color w:val="auto"/>
              </w:rPr>
            </w:pPr>
          </w:p>
        </w:tc>
        <w:tc>
          <w:tcPr>
            <w:tcW w:w="520" w:type="dxa"/>
            <w:vAlign w:val="bottom"/>
            <w:tcBorders>
              <w:right w:val="single" w:sz="8" w:color="E6E6E6"/>
            </w:tcBorders>
            <w:shd w:val="clear" w:color="auto" w:fill="E6E6E6"/>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5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7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10" w:type="dxa"/>
            <w:vAlign w:val="bottom"/>
            <w:shd w:val="clear" w:color="auto" w:fill="E6E6E6"/>
          </w:tcPr>
          <w:p>
            <w:pPr>
              <w:spacing w:after="0" w:line="20" w:lineRule="exact"/>
              <w:rPr>
                <w:sz w:val="1"/>
                <w:szCs w:val="1"/>
                <w:color w:val="auto"/>
              </w:rPr>
            </w:pPr>
          </w:p>
        </w:tc>
        <w:tc>
          <w:tcPr>
            <w:tcW w:w="77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240" w:type="dxa"/>
            <w:vAlign w:val="bottom"/>
            <w:shd w:val="clear" w:color="auto" w:fill="E6E6E6"/>
          </w:tcPr>
          <w:p>
            <w:pPr>
              <w:spacing w:after="0" w:line="20" w:lineRule="exact"/>
              <w:rPr>
                <w:sz w:val="1"/>
                <w:szCs w:val="1"/>
                <w:color w:val="auto"/>
              </w:rPr>
            </w:pPr>
          </w:p>
        </w:tc>
        <w:tc>
          <w:tcPr>
            <w:tcW w:w="64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20" w:type="dxa"/>
            <w:vAlign w:val="bottom"/>
            <w:shd w:val="clear" w:color="auto" w:fill="E6E6E6"/>
          </w:tcPr>
          <w:p>
            <w:pPr>
              <w:spacing w:after="0" w:line="20" w:lineRule="exact"/>
              <w:rPr>
                <w:sz w:val="1"/>
                <w:szCs w:val="1"/>
                <w:color w:val="auto"/>
              </w:rPr>
            </w:pPr>
          </w:p>
        </w:tc>
        <w:tc>
          <w:tcPr>
            <w:tcW w:w="120" w:type="dxa"/>
            <w:vAlign w:val="bottom"/>
            <w:shd w:val="clear" w:color="auto" w:fill="E6E6E6"/>
          </w:tcPr>
          <w:p>
            <w:pPr>
              <w:spacing w:after="0" w:line="20" w:lineRule="exact"/>
              <w:rPr>
                <w:sz w:val="1"/>
                <w:szCs w:val="1"/>
                <w:color w:val="auto"/>
              </w:rPr>
            </w:pPr>
          </w:p>
        </w:tc>
        <w:tc>
          <w:tcPr>
            <w:tcW w:w="76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78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80" w:type="dxa"/>
            <w:vAlign w:val="bottom"/>
            <w:shd w:val="clear" w:color="auto" w:fill="E6E6E6"/>
          </w:tcPr>
          <w:p>
            <w:pPr>
              <w:spacing w:after="0" w:line="20" w:lineRule="exact"/>
              <w:rPr>
                <w:sz w:val="1"/>
                <w:szCs w:val="1"/>
                <w:color w:val="auto"/>
              </w:rPr>
            </w:pPr>
          </w:p>
        </w:tc>
        <w:tc>
          <w:tcPr>
            <w:tcW w:w="800" w:type="dxa"/>
            <w:vAlign w:val="bottom"/>
            <w:shd w:val="clear" w:color="auto" w:fill="E6E6E6"/>
          </w:tcPr>
          <w:p>
            <w:pPr>
              <w:spacing w:after="0" w:line="20" w:lineRule="exact"/>
              <w:rPr>
                <w:sz w:val="1"/>
                <w:szCs w:val="1"/>
                <w:color w:val="auto"/>
              </w:rPr>
            </w:pPr>
          </w:p>
        </w:tc>
        <w:tc>
          <w:tcPr>
            <w:tcW w:w="100" w:type="dxa"/>
            <w:vAlign w:val="bottom"/>
            <w:shd w:val="clear" w:color="auto" w:fill="E6E6E6"/>
          </w:tcPr>
          <w:p>
            <w:pPr>
              <w:spacing w:after="0" w:line="20" w:lineRule="exact"/>
              <w:rPr>
                <w:sz w:val="1"/>
                <w:szCs w:val="1"/>
                <w:color w:val="auto"/>
              </w:rPr>
            </w:pPr>
          </w:p>
        </w:tc>
        <w:tc>
          <w:tcPr>
            <w:tcW w:w="140" w:type="dxa"/>
            <w:vAlign w:val="bottom"/>
            <w:shd w:val="clear" w:color="auto" w:fill="E6E6E6"/>
          </w:tcPr>
          <w:p>
            <w:pPr>
              <w:spacing w:after="0" w:line="20" w:lineRule="exact"/>
              <w:rPr>
                <w:sz w:val="1"/>
                <w:szCs w:val="1"/>
                <w:color w:val="auto"/>
              </w:rPr>
            </w:pPr>
          </w:p>
        </w:tc>
        <w:tc>
          <w:tcPr>
            <w:tcW w:w="760" w:type="dxa"/>
            <w:vAlign w:val="bottom"/>
            <w:tcBorders>
              <w:right w:val="single" w:sz="8" w:color="E6E6E6"/>
            </w:tcBorders>
            <w:shd w:val="clear" w:color="auto" w:fill="E6E6E6"/>
          </w:tcPr>
          <w:p>
            <w:pPr>
              <w:spacing w:after="0" w:line="20" w:lineRule="exact"/>
              <w:rPr>
                <w:sz w:val="1"/>
                <w:szCs w:val="1"/>
                <w:color w:val="auto"/>
              </w:rPr>
            </w:pPr>
          </w:p>
        </w:tc>
        <w:tc>
          <w:tcPr>
            <w:tcW w:w="340" w:type="dxa"/>
            <w:vAlign w:val="bottom"/>
            <w:shd w:val="clear" w:color="auto" w:fill="E6E6E6"/>
          </w:tcPr>
          <w:p>
            <w:pPr>
              <w:spacing w:after="0" w:line="20" w:lineRule="exact"/>
              <w:rPr>
                <w:sz w:val="1"/>
                <w:szCs w:val="1"/>
                <w:color w:val="auto"/>
              </w:rPr>
            </w:pPr>
          </w:p>
        </w:tc>
        <w:tc>
          <w:tcPr>
            <w:tcW w:w="100" w:type="dxa"/>
            <w:vAlign w:val="bottom"/>
            <w:tcBorders>
              <w:right w:val="single" w:sz="8" w:color="C6C6C6"/>
            </w:tcBorders>
          </w:tcPr>
          <w:p>
            <w:pPr>
              <w:spacing w:after="0" w:line="20" w:lineRule="exact"/>
              <w:rPr>
                <w:sz w:val="1"/>
                <w:szCs w:val="1"/>
                <w:color w:val="auto"/>
              </w:rPr>
            </w:pPr>
          </w:p>
        </w:tc>
      </w:tr>
      <w:tr>
        <w:trPr>
          <w:trHeight w:val="406"/>
        </w:trPr>
        <w:tc>
          <w:tcPr>
            <w:tcW w:w="100" w:type="dxa"/>
            <w:vAlign w:val="bottom"/>
            <w:tcBorders>
              <w:right w:val="single" w:sz="8" w:color="C6C6C6"/>
            </w:tcBorders>
            <w:shd w:val="clear" w:color="auto" w:fill="E6E6E6"/>
          </w:tcPr>
          <w:p>
            <w:pPr>
              <w:spacing w:after="0"/>
              <w:rPr>
                <w:sz w:val="24"/>
                <w:szCs w:val="24"/>
                <w:color w:val="auto"/>
              </w:rPr>
            </w:pPr>
          </w:p>
        </w:tc>
        <w:tc>
          <w:tcPr>
            <w:tcW w:w="520" w:type="dxa"/>
            <w:vAlign w:val="bottom"/>
            <w:tcBorders>
              <w:right w:val="single" w:sz="8" w:color="E6E6E6"/>
            </w:tcBorders>
            <w:shd w:val="clear" w:color="auto" w:fill="E6E6E6"/>
          </w:tcPr>
          <w:p>
            <w:pPr>
              <w:spacing w:after="0"/>
              <w:rPr>
                <w:sz w:val="24"/>
                <w:szCs w:val="24"/>
                <w:color w:val="auto"/>
              </w:rPr>
            </w:pPr>
          </w:p>
        </w:tc>
        <w:tc>
          <w:tcPr>
            <w:tcW w:w="5740" w:type="dxa"/>
            <w:vAlign w:val="bottom"/>
            <w:gridSpan w:val="23"/>
            <w:shd w:val="clear" w:color="auto" w:fill="E6E6E6"/>
          </w:tcPr>
          <w:p>
            <w:pPr>
              <w:ind w:left="360"/>
              <w:spacing w:after="0"/>
              <w:rPr>
                <w:sz w:val="20"/>
                <w:szCs w:val="20"/>
                <w:color w:val="auto"/>
              </w:rPr>
            </w:pPr>
            <w:r>
              <w:rPr>
                <w:rFonts w:ascii="Arial" w:cs="Arial" w:eastAsia="Arial" w:hAnsi="Arial"/>
                <w:sz w:val="14"/>
                <w:szCs w:val="14"/>
                <w:color w:val="auto"/>
                <w:w w:val="92"/>
              </w:rPr>
              <w:t>The following tables present the Company’s loan portfolio aging analysis as of June 30, 2022:</w:t>
            </w:r>
          </w:p>
        </w:tc>
        <w:tc>
          <w:tcPr>
            <w:tcW w:w="6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3"/>
        </w:trPr>
        <w:tc>
          <w:tcPr>
            <w:tcW w:w="100" w:type="dxa"/>
            <w:vAlign w:val="bottom"/>
            <w:tcBorders>
              <w:bottom w:val="single" w:sz="8" w:color="E6E6E6"/>
              <w:right w:val="single" w:sz="8" w:color="C6C6C6"/>
            </w:tcBorders>
            <w:shd w:val="clear" w:color="auto" w:fill="E6E6E6"/>
          </w:tcPr>
          <w:p>
            <w:pPr>
              <w:spacing w:after="0"/>
              <w:rPr>
                <w:sz w:val="17"/>
                <w:szCs w:val="17"/>
                <w:color w:val="auto"/>
              </w:rPr>
            </w:pPr>
          </w:p>
        </w:tc>
        <w:tc>
          <w:tcPr>
            <w:tcW w:w="520" w:type="dxa"/>
            <w:vAlign w:val="bottom"/>
            <w:tcBorders>
              <w:bottom w:val="single" w:sz="8" w:color="E6E6E6"/>
              <w:right w:val="single" w:sz="8" w:color="E6E6E6"/>
            </w:tcBorders>
            <w:shd w:val="clear" w:color="auto" w:fill="E6E6E6"/>
          </w:tcPr>
          <w:p>
            <w:pPr>
              <w:spacing w:after="0"/>
              <w:rPr>
                <w:sz w:val="17"/>
                <w:szCs w:val="17"/>
                <w:color w:val="auto"/>
              </w:rPr>
            </w:pPr>
          </w:p>
        </w:tc>
        <w:tc>
          <w:tcPr>
            <w:tcW w:w="900" w:type="dxa"/>
            <w:vAlign w:val="bottom"/>
            <w:tcBorders>
              <w:bottom w:val="single" w:sz="8" w:color="auto"/>
            </w:tcBorders>
            <w:shd w:val="clear" w:color="auto" w:fill="E6E6E6"/>
          </w:tcPr>
          <w:p>
            <w:pPr>
              <w:spacing w:after="0"/>
              <w:rPr>
                <w:sz w:val="17"/>
                <w:szCs w:val="17"/>
                <w:color w:val="auto"/>
              </w:rPr>
            </w:pPr>
          </w:p>
        </w:tc>
        <w:tc>
          <w:tcPr>
            <w:tcW w:w="56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140" w:type="dxa"/>
            <w:vAlign w:val="bottom"/>
            <w:tcBorders>
              <w:bottom w:val="single" w:sz="8" w:color="auto"/>
            </w:tcBorders>
            <w:shd w:val="clear" w:color="auto" w:fill="E6E6E6"/>
          </w:tcPr>
          <w:p>
            <w:pPr>
              <w:spacing w:after="0"/>
              <w:rPr>
                <w:sz w:val="17"/>
                <w:szCs w:val="17"/>
                <w:color w:val="auto"/>
              </w:rPr>
            </w:pPr>
          </w:p>
        </w:tc>
        <w:tc>
          <w:tcPr>
            <w:tcW w:w="72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110" w:type="dxa"/>
            <w:vAlign w:val="bottom"/>
            <w:tcBorders>
              <w:bottom w:val="single" w:sz="8" w:color="auto"/>
            </w:tcBorders>
            <w:shd w:val="clear" w:color="auto" w:fill="E6E6E6"/>
          </w:tcPr>
          <w:p>
            <w:pPr>
              <w:spacing w:after="0"/>
              <w:rPr>
                <w:sz w:val="17"/>
                <w:szCs w:val="17"/>
                <w:color w:val="auto"/>
              </w:rPr>
            </w:pPr>
          </w:p>
        </w:tc>
        <w:tc>
          <w:tcPr>
            <w:tcW w:w="75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110" w:type="dxa"/>
            <w:vAlign w:val="bottom"/>
            <w:tcBorders>
              <w:bottom w:val="single" w:sz="8" w:color="auto"/>
            </w:tcBorders>
            <w:shd w:val="clear" w:color="auto" w:fill="E6E6E6"/>
          </w:tcPr>
          <w:p>
            <w:pPr>
              <w:spacing w:after="0"/>
              <w:rPr>
                <w:sz w:val="17"/>
                <w:szCs w:val="17"/>
                <w:color w:val="auto"/>
              </w:rPr>
            </w:pPr>
          </w:p>
        </w:tc>
        <w:tc>
          <w:tcPr>
            <w:tcW w:w="77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1240" w:type="dxa"/>
            <w:vAlign w:val="bottom"/>
            <w:tcBorders>
              <w:bottom w:val="single" w:sz="8" w:color="auto"/>
            </w:tcBorders>
            <w:gridSpan w:val="6"/>
            <w:shd w:val="clear" w:color="auto" w:fill="E6E6E6"/>
          </w:tcPr>
          <w:p>
            <w:pPr>
              <w:jc w:val="center"/>
              <w:ind w:right="9"/>
              <w:spacing w:after="0"/>
              <w:rPr>
                <w:sz w:val="20"/>
                <w:szCs w:val="20"/>
                <w:color w:val="auto"/>
              </w:rPr>
            </w:pPr>
            <w:r>
              <w:rPr>
                <w:rFonts w:ascii="Arial" w:cs="Arial" w:eastAsia="Arial" w:hAnsi="Arial"/>
                <w:sz w:val="14"/>
                <w:szCs w:val="14"/>
                <w:b w:val="1"/>
                <w:bCs w:val="1"/>
                <w:color w:val="auto"/>
                <w:w w:val="90"/>
              </w:rPr>
              <w:t>As of June 30, 2022</w:t>
            </w:r>
          </w:p>
        </w:tc>
        <w:tc>
          <w:tcPr>
            <w:tcW w:w="64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20" w:type="dxa"/>
            <w:vAlign w:val="bottom"/>
            <w:tcBorders>
              <w:bottom w:val="single" w:sz="8" w:color="auto"/>
            </w:tcBorders>
            <w:shd w:val="clear" w:color="auto" w:fill="E6E6E6"/>
          </w:tcPr>
          <w:p>
            <w:pPr>
              <w:spacing w:after="0"/>
              <w:rPr>
                <w:sz w:val="17"/>
                <w:szCs w:val="17"/>
                <w:color w:val="auto"/>
              </w:rPr>
            </w:pPr>
          </w:p>
        </w:tc>
        <w:tc>
          <w:tcPr>
            <w:tcW w:w="12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78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80" w:type="dxa"/>
            <w:vAlign w:val="bottom"/>
            <w:tcBorders>
              <w:bottom w:val="single" w:sz="8" w:color="auto"/>
            </w:tcBorders>
            <w:shd w:val="clear" w:color="auto" w:fill="E6E6E6"/>
          </w:tcPr>
          <w:p>
            <w:pPr>
              <w:spacing w:after="0"/>
              <w:rPr>
                <w:sz w:val="17"/>
                <w:szCs w:val="17"/>
                <w:color w:val="auto"/>
              </w:rPr>
            </w:pPr>
          </w:p>
        </w:tc>
        <w:tc>
          <w:tcPr>
            <w:tcW w:w="800" w:type="dxa"/>
            <w:vAlign w:val="bottom"/>
            <w:tcBorders>
              <w:bottom w:val="single" w:sz="8" w:color="auto"/>
            </w:tcBorders>
            <w:shd w:val="clear" w:color="auto" w:fill="E6E6E6"/>
          </w:tcPr>
          <w:p>
            <w:pPr>
              <w:spacing w:after="0"/>
              <w:rPr>
                <w:sz w:val="17"/>
                <w:szCs w:val="17"/>
                <w:color w:val="auto"/>
              </w:rPr>
            </w:pPr>
          </w:p>
        </w:tc>
        <w:tc>
          <w:tcPr>
            <w:tcW w:w="100" w:type="dxa"/>
            <w:vAlign w:val="bottom"/>
            <w:tcBorders>
              <w:bottom w:val="single" w:sz="8" w:color="auto"/>
            </w:tcBorders>
            <w:shd w:val="clear" w:color="auto" w:fill="E6E6E6"/>
          </w:tcPr>
          <w:p>
            <w:pPr>
              <w:spacing w:after="0"/>
              <w:rPr>
                <w:sz w:val="17"/>
                <w:szCs w:val="17"/>
                <w:color w:val="auto"/>
              </w:rPr>
            </w:pPr>
          </w:p>
        </w:tc>
        <w:tc>
          <w:tcPr>
            <w:tcW w:w="140" w:type="dxa"/>
            <w:vAlign w:val="bottom"/>
            <w:tcBorders>
              <w:bottom w:val="single" w:sz="8" w:color="auto"/>
            </w:tcBorders>
            <w:shd w:val="clear" w:color="auto" w:fill="E6E6E6"/>
          </w:tcPr>
          <w:p>
            <w:pPr>
              <w:spacing w:after="0"/>
              <w:rPr>
                <w:sz w:val="17"/>
                <w:szCs w:val="17"/>
                <w:color w:val="auto"/>
              </w:rPr>
            </w:pPr>
          </w:p>
        </w:tc>
        <w:tc>
          <w:tcPr>
            <w:tcW w:w="760" w:type="dxa"/>
            <w:vAlign w:val="bottom"/>
            <w:tcBorders>
              <w:bottom w:val="single" w:sz="8" w:color="auto"/>
              <w:right w:val="single" w:sz="8" w:color="E6E6E6"/>
            </w:tcBorders>
            <w:shd w:val="clear" w:color="auto" w:fill="E6E6E6"/>
          </w:tcPr>
          <w:p>
            <w:pPr>
              <w:spacing w:after="0"/>
              <w:rPr>
                <w:sz w:val="17"/>
                <w:szCs w:val="17"/>
                <w:color w:val="auto"/>
              </w:rPr>
            </w:pPr>
          </w:p>
        </w:tc>
        <w:tc>
          <w:tcPr>
            <w:tcW w:w="340" w:type="dxa"/>
            <w:vAlign w:val="bottom"/>
            <w:tcBorders>
              <w:bottom w:val="single" w:sz="8" w:color="E6E6E6"/>
            </w:tcBorders>
            <w:shd w:val="clear" w:color="auto" w:fill="E6E6E6"/>
          </w:tcPr>
          <w:p>
            <w:pPr>
              <w:spacing w:after="0"/>
              <w:rPr>
                <w:sz w:val="17"/>
                <w:szCs w:val="17"/>
                <w:color w:val="auto"/>
              </w:rPr>
            </w:pPr>
          </w:p>
        </w:tc>
        <w:tc>
          <w:tcPr>
            <w:tcW w:w="100" w:type="dxa"/>
            <w:vAlign w:val="bottom"/>
            <w:tcBorders>
              <w:right w:val="single" w:sz="8" w:color="C6C6C6"/>
            </w:tcBorders>
          </w:tcPr>
          <w:p>
            <w:pPr>
              <w:spacing w:after="0"/>
              <w:rPr>
                <w:sz w:val="17"/>
                <w:szCs w:val="17"/>
                <w:color w:val="auto"/>
              </w:rPr>
            </w:pPr>
          </w:p>
        </w:tc>
      </w:tr>
      <w:tr>
        <w:trPr>
          <w:trHeight w:val="161"/>
        </w:trPr>
        <w:tc>
          <w:tcPr>
            <w:tcW w:w="100" w:type="dxa"/>
            <w:vAlign w:val="bottom"/>
            <w:tcBorders>
              <w:bottom w:val="single" w:sz="8" w:color="E6E6E6"/>
              <w:right w:val="single" w:sz="8" w:color="C6C6C6"/>
            </w:tcBorders>
            <w:shd w:val="clear" w:color="auto" w:fill="E6E6E6"/>
          </w:tcPr>
          <w:p>
            <w:pPr>
              <w:spacing w:after="0"/>
              <w:rPr>
                <w:sz w:val="14"/>
                <w:szCs w:val="14"/>
                <w:color w:val="auto"/>
              </w:rPr>
            </w:pPr>
          </w:p>
        </w:tc>
        <w:tc>
          <w:tcPr>
            <w:tcW w:w="520" w:type="dxa"/>
            <w:vAlign w:val="bottom"/>
            <w:tcBorders>
              <w:bottom w:val="single" w:sz="8" w:color="E6E6E6"/>
              <w:right w:val="single" w:sz="8" w:color="E6E6E6"/>
            </w:tcBorders>
            <w:shd w:val="clear" w:color="auto" w:fill="E6E6E6"/>
          </w:tcPr>
          <w:p>
            <w:pPr>
              <w:spacing w:after="0"/>
              <w:rPr>
                <w:sz w:val="14"/>
                <w:szCs w:val="14"/>
                <w:color w:val="auto"/>
              </w:rPr>
            </w:pPr>
          </w:p>
        </w:tc>
        <w:tc>
          <w:tcPr>
            <w:tcW w:w="900" w:type="dxa"/>
            <w:vAlign w:val="bottom"/>
            <w:tcBorders>
              <w:bottom w:val="single" w:sz="8" w:color="E6E6E6"/>
            </w:tcBorders>
            <w:shd w:val="clear" w:color="auto" w:fill="E6E6E6"/>
          </w:tcPr>
          <w:p>
            <w:pPr>
              <w:spacing w:after="0"/>
              <w:rPr>
                <w:sz w:val="14"/>
                <w:szCs w:val="14"/>
                <w:color w:val="auto"/>
              </w:rPr>
            </w:pPr>
          </w:p>
        </w:tc>
        <w:tc>
          <w:tcPr>
            <w:tcW w:w="56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140" w:type="dxa"/>
            <w:vAlign w:val="bottom"/>
            <w:tcBorders>
              <w:bottom w:val="single" w:sz="8" w:color="auto"/>
            </w:tcBorders>
            <w:shd w:val="clear" w:color="auto" w:fill="E6E6E6"/>
          </w:tcPr>
          <w:p>
            <w:pPr>
              <w:spacing w:after="0"/>
              <w:rPr>
                <w:sz w:val="14"/>
                <w:szCs w:val="14"/>
                <w:color w:val="auto"/>
              </w:rPr>
            </w:pPr>
          </w:p>
        </w:tc>
        <w:tc>
          <w:tcPr>
            <w:tcW w:w="72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3920" w:type="dxa"/>
            <w:vAlign w:val="bottom"/>
            <w:tcBorders>
              <w:bottom w:val="single" w:sz="8" w:color="auto"/>
            </w:tcBorders>
            <w:gridSpan w:val="17"/>
            <w:shd w:val="clear" w:color="auto" w:fill="E6E6E6"/>
          </w:tcPr>
          <w:p>
            <w:pPr>
              <w:jc w:val="right"/>
              <w:ind w:right="29"/>
              <w:spacing w:after="0"/>
              <w:rPr>
                <w:sz w:val="20"/>
                <w:szCs w:val="20"/>
                <w:color w:val="auto"/>
              </w:rPr>
            </w:pPr>
            <w:r>
              <w:rPr>
                <w:rFonts w:ascii="Arial" w:cs="Arial" w:eastAsia="Arial" w:hAnsi="Arial"/>
                <w:sz w:val="14"/>
                <w:szCs w:val="14"/>
                <w:b w:val="1"/>
                <w:bCs w:val="1"/>
                <w:color w:val="auto"/>
                <w:w w:val="91"/>
              </w:rPr>
              <w:t>Amortized Cost Basis by Origination Year and Past Due Status</w:t>
            </w:r>
          </w:p>
        </w:tc>
        <w:tc>
          <w:tcPr>
            <w:tcW w:w="8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120" w:type="dxa"/>
            <w:vAlign w:val="bottom"/>
            <w:tcBorders>
              <w:bottom w:val="single" w:sz="8" w:color="auto"/>
            </w:tcBorders>
            <w:shd w:val="clear" w:color="auto" w:fill="E6E6E6"/>
          </w:tcPr>
          <w:p>
            <w:pPr>
              <w:spacing w:after="0"/>
              <w:rPr>
                <w:sz w:val="14"/>
                <w:szCs w:val="14"/>
                <w:color w:val="auto"/>
              </w:rPr>
            </w:pPr>
          </w:p>
        </w:tc>
        <w:tc>
          <w:tcPr>
            <w:tcW w:w="760" w:type="dxa"/>
            <w:vAlign w:val="bottom"/>
            <w:tcBorders>
              <w:bottom w:val="single" w:sz="8" w:color="auto"/>
            </w:tcBorders>
            <w:shd w:val="clear" w:color="auto" w:fill="E6E6E6"/>
          </w:tcPr>
          <w:p>
            <w:pPr>
              <w:spacing w:after="0"/>
              <w:rPr>
                <w:sz w:val="14"/>
                <w:szCs w:val="14"/>
                <w:color w:val="auto"/>
              </w:rPr>
            </w:pPr>
          </w:p>
        </w:tc>
        <w:tc>
          <w:tcPr>
            <w:tcW w:w="10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2000" w:type="dxa"/>
            <w:vAlign w:val="bottom"/>
            <w:tcBorders>
              <w:bottom w:val="single" w:sz="8" w:color="auto"/>
            </w:tcBorders>
            <w:gridSpan w:val="6"/>
            <w:shd w:val="clear" w:color="auto" w:fill="E6E6E6"/>
          </w:tcPr>
          <w:p>
            <w:pPr>
              <w:jc w:val="center"/>
              <w:ind w:left="489"/>
              <w:spacing w:after="0"/>
              <w:rPr>
                <w:sz w:val="20"/>
                <w:szCs w:val="20"/>
                <w:color w:val="auto"/>
              </w:rPr>
            </w:pPr>
            <w:r>
              <w:rPr>
                <w:rFonts w:ascii="Arial" w:cs="Arial" w:eastAsia="Arial" w:hAnsi="Arial"/>
                <w:sz w:val="14"/>
                <w:szCs w:val="14"/>
                <w:b w:val="1"/>
                <w:bCs w:val="1"/>
                <w:color w:val="auto"/>
                <w:w w:val="91"/>
              </w:rPr>
              <w:t>Amortized Cost Basis</w:t>
            </w:r>
          </w:p>
        </w:tc>
        <w:tc>
          <w:tcPr>
            <w:tcW w:w="760" w:type="dxa"/>
            <w:vAlign w:val="bottom"/>
            <w:tcBorders>
              <w:bottom w:val="single" w:sz="8" w:color="auto"/>
              <w:right w:val="single" w:sz="8" w:color="E6E6E6"/>
            </w:tcBorders>
            <w:shd w:val="clear" w:color="auto" w:fill="E6E6E6"/>
          </w:tcPr>
          <w:p>
            <w:pPr>
              <w:spacing w:after="0"/>
              <w:rPr>
                <w:sz w:val="14"/>
                <w:szCs w:val="14"/>
                <w:color w:val="auto"/>
              </w:rPr>
            </w:pPr>
          </w:p>
        </w:tc>
        <w:tc>
          <w:tcPr>
            <w:tcW w:w="34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265"/>
        </w:trPr>
        <w:tc>
          <w:tcPr>
            <w:tcW w:w="100" w:type="dxa"/>
            <w:vAlign w:val="bottom"/>
            <w:tcBorders>
              <w:right w:val="single" w:sz="8" w:color="C6C6C6"/>
            </w:tcBorders>
            <w:shd w:val="clear" w:color="auto" w:fill="E6E6E6"/>
          </w:tcPr>
          <w:p>
            <w:pPr>
              <w:spacing w:after="0"/>
              <w:rPr>
                <w:sz w:val="23"/>
                <w:szCs w:val="23"/>
                <w:color w:val="auto"/>
              </w:rPr>
            </w:pPr>
          </w:p>
        </w:tc>
        <w:tc>
          <w:tcPr>
            <w:tcW w:w="520" w:type="dxa"/>
            <w:vAlign w:val="bottom"/>
            <w:tcBorders>
              <w:right w:val="single" w:sz="8" w:color="E6E6E6"/>
            </w:tcBorders>
            <w:shd w:val="clear" w:color="auto" w:fill="E6E6E6"/>
          </w:tcPr>
          <w:p>
            <w:pPr>
              <w:spacing w:after="0"/>
              <w:rPr>
                <w:sz w:val="23"/>
                <w:szCs w:val="23"/>
                <w:color w:val="auto"/>
              </w:rPr>
            </w:pPr>
          </w:p>
        </w:tc>
        <w:tc>
          <w:tcPr>
            <w:tcW w:w="900" w:type="dxa"/>
            <w:vAlign w:val="bottom"/>
            <w:shd w:val="clear" w:color="auto" w:fill="E6E6E6"/>
          </w:tcPr>
          <w:p>
            <w:pPr>
              <w:spacing w:after="0"/>
              <w:rPr>
                <w:sz w:val="23"/>
                <w:szCs w:val="23"/>
                <w:color w:val="auto"/>
              </w:rPr>
            </w:pPr>
          </w:p>
        </w:tc>
        <w:tc>
          <w:tcPr>
            <w:tcW w:w="56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72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10" w:type="dxa"/>
            <w:vAlign w:val="bottom"/>
            <w:shd w:val="clear" w:color="auto" w:fill="E6E6E6"/>
          </w:tcPr>
          <w:p>
            <w:pPr>
              <w:spacing w:after="0"/>
              <w:rPr>
                <w:sz w:val="23"/>
                <w:szCs w:val="23"/>
                <w:color w:val="auto"/>
              </w:rPr>
            </w:pPr>
          </w:p>
        </w:tc>
        <w:tc>
          <w:tcPr>
            <w:tcW w:w="75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10" w:type="dxa"/>
            <w:vAlign w:val="bottom"/>
            <w:shd w:val="clear" w:color="auto" w:fill="E6E6E6"/>
          </w:tcPr>
          <w:p>
            <w:pPr>
              <w:spacing w:after="0"/>
              <w:rPr>
                <w:sz w:val="23"/>
                <w:szCs w:val="23"/>
                <w:color w:val="auto"/>
              </w:rPr>
            </w:pPr>
          </w:p>
        </w:tc>
        <w:tc>
          <w:tcPr>
            <w:tcW w:w="77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10" w:type="dxa"/>
            <w:vAlign w:val="bottom"/>
            <w:shd w:val="clear" w:color="auto" w:fill="E6E6E6"/>
          </w:tcPr>
          <w:p>
            <w:pPr>
              <w:spacing w:after="0"/>
              <w:rPr>
                <w:sz w:val="23"/>
                <w:szCs w:val="23"/>
                <w:color w:val="auto"/>
              </w:rPr>
            </w:pPr>
          </w:p>
        </w:tc>
        <w:tc>
          <w:tcPr>
            <w:tcW w:w="77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240" w:type="dxa"/>
            <w:vAlign w:val="bottom"/>
            <w:shd w:val="clear" w:color="auto" w:fill="E6E6E6"/>
          </w:tcPr>
          <w:p>
            <w:pPr>
              <w:spacing w:after="0"/>
              <w:rPr>
                <w:sz w:val="23"/>
                <w:szCs w:val="23"/>
                <w:color w:val="auto"/>
              </w:rPr>
            </w:pPr>
          </w:p>
        </w:tc>
        <w:tc>
          <w:tcPr>
            <w:tcW w:w="64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20" w:type="dxa"/>
            <w:vAlign w:val="bottom"/>
            <w:shd w:val="clear" w:color="auto" w:fill="E6E6E6"/>
          </w:tcPr>
          <w:p>
            <w:pPr>
              <w:spacing w:after="0"/>
              <w:rPr>
                <w:sz w:val="23"/>
                <w:szCs w:val="23"/>
                <w:color w:val="auto"/>
              </w:rPr>
            </w:pPr>
          </w:p>
        </w:tc>
        <w:tc>
          <w:tcPr>
            <w:tcW w:w="120" w:type="dxa"/>
            <w:vAlign w:val="bottom"/>
            <w:shd w:val="clear" w:color="auto" w:fill="E6E6E6"/>
          </w:tcPr>
          <w:p>
            <w:pPr>
              <w:spacing w:after="0"/>
              <w:rPr>
                <w:sz w:val="23"/>
                <w:szCs w:val="23"/>
                <w:color w:val="auto"/>
              </w:rPr>
            </w:pPr>
          </w:p>
        </w:tc>
        <w:tc>
          <w:tcPr>
            <w:tcW w:w="76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780" w:type="dxa"/>
            <w:vAlign w:val="bottom"/>
            <w:shd w:val="clear" w:color="auto" w:fill="E6E6E6"/>
          </w:tcPr>
          <w:p>
            <w:pPr>
              <w:spacing w:after="0"/>
              <w:rPr>
                <w:sz w:val="23"/>
                <w:szCs w:val="23"/>
                <w:color w:val="auto"/>
              </w:rPr>
            </w:pPr>
          </w:p>
        </w:tc>
        <w:tc>
          <w:tcPr>
            <w:tcW w:w="100" w:type="dxa"/>
            <w:vAlign w:val="bottom"/>
            <w:shd w:val="clear" w:color="auto" w:fill="E6E6E6"/>
          </w:tcPr>
          <w:p>
            <w:pPr>
              <w:spacing w:after="0"/>
              <w:rPr>
                <w:sz w:val="23"/>
                <w:szCs w:val="23"/>
                <w:color w:val="auto"/>
              </w:rPr>
            </w:pPr>
          </w:p>
        </w:tc>
        <w:tc>
          <w:tcPr>
            <w:tcW w:w="80" w:type="dxa"/>
            <w:vAlign w:val="bottom"/>
            <w:shd w:val="clear" w:color="auto" w:fill="E6E6E6"/>
          </w:tcPr>
          <w:p>
            <w:pPr>
              <w:spacing w:after="0"/>
              <w:rPr>
                <w:sz w:val="23"/>
                <w:szCs w:val="23"/>
                <w:color w:val="auto"/>
              </w:rPr>
            </w:pPr>
          </w:p>
        </w:tc>
        <w:tc>
          <w:tcPr>
            <w:tcW w:w="800" w:type="dxa"/>
            <w:vAlign w:val="bottom"/>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100" w:type="dxa"/>
            <w:vAlign w:val="bottom"/>
            <w:shd w:val="clear" w:color="auto" w:fill="E6E6E6"/>
          </w:tcPr>
          <w:p>
            <w:pPr>
              <w:spacing w:after="0"/>
              <w:rPr>
                <w:sz w:val="23"/>
                <w:szCs w:val="23"/>
                <w:color w:val="auto"/>
              </w:rPr>
            </w:pPr>
          </w:p>
        </w:tc>
        <w:tc>
          <w:tcPr>
            <w:tcW w:w="140" w:type="dxa"/>
            <w:vAlign w:val="bottom"/>
            <w:shd w:val="clear" w:color="auto" w:fill="E6E6E6"/>
          </w:tcPr>
          <w:p>
            <w:pPr>
              <w:spacing w:after="0"/>
              <w:rPr>
                <w:sz w:val="23"/>
                <w:szCs w:val="23"/>
                <w:color w:val="auto"/>
              </w:rPr>
            </w:pPr>
          </w:p>
        </w:tc>
        <w:tc>
          <w:tcPr>
            <w:tcW w:w="760" w:type="dxa"/>
            <w:vAlign w:val="bottom"/>
            <w:tcBorders>
              <w:right w:val="single" w:sz="8" w:color="E6E6E6"/>
            </w:tcBorders>
            <w:shd w:val="clear" w:color="auto" w:fill="E6E6E6"/>
          </w:tcPr>
          <w:p>
            <w:pPr>
              <w:spacing w:after="0"/>
              <w:rPr>
                <w:sz w:val="23"/>
                <w:szCs w:val="23"/>
                <w:color w:val="auto"/>
              </w:rPr>
            </w:pPr>
          </w:p>
        </w:tc>
        <w:tc>
          <w:tcPr>
            <w:tcW w:w="340" w:type="dxa"/>
            <w:vAlign w:val="bottom"/>
            <w:shd w:val="clear" w:color="auto" w:fill="E6E6E6"/>
          </w:tcPr>
          <w:p>
            <w:pPr>
              <w:spacing w:after="0"/>
              <w:rPr>
                <w:sz w:val="23"/>
                <w:szCs w:val="23"/>
                <w:color w:val="auto"/>
              </w:rPr>
            </w:pPr>
          </w:p>
        </w:tc>
        <w:tc>
          <w:tcPr>
            <w:tcW w:w="100" w:type="dxa"/>
            <w:vAlign w:val="bottom"/>
            <w:tcBorders>
              <w:right w:val="single" w:sz="8" w:color="C6C6C6"/>
            </w:tcBorders>
          </w:tcPr>
          <w:p>
            <w:pPr>
              <w:spacing w:after="0"/>
              <w:rPr>
                <w:sz w:val="23"/>
                <w:szCs w:val="23"/>
                <w:color w:val="auto"/>
              </w:rPr>
            </w:pPr>
          </w:p>
        </w:tc>
      </w:tr>
      <w:tr>
        <w:trPr>
          <w:trHeight w:val="171"/>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900" w:type="dxa"/>
            <w:vAlign w:val="bottom"/>
            <w:shd w:val="clear" w:color="auto" w:fill="E6E6E6"/>
          </w:tcPr>
          <w:p>
            <w:pPr>
              <w:spacing w:after="0"/>
              <w:rPr>
                <w:sz w:val="14"/>
                <w:szCs w:val="14"/>
                <w:color w:val="auto"/>
              </w:rPr>
            </w:pPr>
          </w:p>
        </w:tc>
        <w:tc>
          <w:tcPr>
            <w:tcW w:w="5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7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5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40" w:type="dxa"/>
            <w:vAlign w:val="bottom"/>
            <w:shd w:val="clear" w:color="auto" w:fill="E6E6E6"/>
          </w:tcPr>
          <w:p>
            <w:pPr>
              <w:spacing w:after="0"/>
              <w:rPr>
                <w:sz w:val="14"/>
                <w:szCs w:val="14"/>
                <w:color w:val="auto"/>
              </w:rPr>
            </w:pPr>
          </w:p>
        </w:tc>
        <w:tc>
          <w:tcPr>
            <w:tcW w:w="64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7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0" w:type="dxa"/>
            <w:vAlign w:val="bottom"/>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760" w:type="dxa"/>
            <w:vAlign w:val="bottom"/>
            <w:tcBorders>
              <w:right w:val="single" w:sz="8" w:color="E6E6E6"/>
            </w:tcBorders>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60"/>
        </w:trPr>
        <w:tc>
          <w:tcPr>
            <w:tcW w:w="100" w:type="dxa"/>
            <w:vAlign w:val="bottom"/>
            <w:tcBorders>
              <w:right w:val="single" w:sz="8" w:color="C6C6C6"/>
            </w:tcBorders>
            <w:shd w:val="clear" w:color="auto" w:fill="E6E6E6"/>
          </w:tcPr>
          <w:p>
            <w:pPr>
              <w:spacing w:after="0"/>
              <w:rPr>
                <w:sz w:val="13"/>
                <w:szCs w:val="13"/>
                <w:color w:val="auto"/>
              </w:rPr>
            </w:pPr>
          </w:p>
        </w:tc>
        <w:tc>
          <w:tcPr>
            <w:tcW w:w="520" w:type="dxa"/>
            <w:vAlign w:val="bottom"/>
            <w:tcBorders>
              <w:right w:val="single" w:sz="8" w:color="E6E6E6"/>
            </w:tcBorders>
            <w:shd w:val="clear" w:color="auto" w:fill="E6E6E6"/>
          </w:tcPr>
          <w:p>
            <w:pPr>
              <w:spacing w:after="0"/>
              <w:rPr>
                <w:sz w:val="13"/>
                <w:szCs w:val="13"/>
                <w:color w:val="auto"/>
              </w:rPr>
            </w:pPr>
          </w:p>
        </w:tc>
        <w:tc>
          <w:tcPr>
            <w:tcW w:w="900" w:type="dxa"/>
            <w:vAlign w:val="bottom"/>
            <w:shd w:val="clear" w:color="auto" w:fill="E6E6E6"/>
          </w:tcPr>
          <w:p>
            <w:pPr>
              <w:spacing w:after="0"/>
              <w:rPr>
                <w:sz w:val="13"/>
                <w:szCs w:val="13"/>
                <w:color w:val="auto"/>
              </w:rPr>
            </w:pPr>
          </w:p>
        </w:tc>
        <w:tc>
          <w:tcPr>
            <w:tcW w:w="56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72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5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7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7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40" w:type="dxa"/>
            <w:vAlign w:val="bottom"/>
            <w:shd w:val="clear" w:color="auto" w:fill="E6E6E6"/>
          </w:tcPr>
          <w:p>
            <w:pPr>
              <w:spacing w:after="0"/>
              <w:rPr>
                <w:sz w:val="13"/>
                <w:szCs w:val="13"/>
                <w:color w:val="auto"/>
              </w:rPr>
            </w:pPr>
          </w:p>
        </w:tc>
        <w:tc>
          <w:tcPr>
            <w:tcW w:w="64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760" w:type="dxa"/>
            <w:vAlign w:val="bottom"/>
            <w:shd w:val="clear" w:color="auto" w:fill="E6E6E6"/>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1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80" w:type="dxa"/>
            <w:vAlign w:val="bottom"/>
            <w:shd w:val="clear" w:color="auto" w:fill="E6E6E6"/>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100" w:type="dxa"/>
            <w:vAlign w:val="bottom"/>
            <w:shd w:val="clear" w:color="auto" w:fill="E6E6E6"/>
          </w:tcPr>
          <w:p>
            <w:pPr>
              <w:spacing w:after="0"/>
              <w:rPr>
                <w:sz w:val="13"/>
                <w:szCs w:val="13"/>
                <w:color w:val="auto"/>
              </w:rPr>
            </w:pPr>
          </w:p>
        </w:tc>
        <w:tc>
          <w:tcPr>
            <w:tcW w:w="880" w:type="dxa"/>
            <w:vAlign w:val="bottom"/>
            <w:gridSpan w:val="2"/>
            <w:shd w:val="clear" w:color="auto" w:fill="E6E6E6"/>
          </w:tcPr>
          <w:p>
            <w:pPr>
              <w:jc w:val="center"/>
              <w:ind w:right="9"/>
              <w:spacing w:after="0"/>
              <w:rPr>
                <w:sz w:val="20"/>
                <w:szCs w:val="20"/>
                <w:color w:val="auto"/>
              </w:rPr>
            </w:pPr>
            <w:r>
              <w:rPr>
                <w:rFonts w:ascii="Arial" w:cs="Arial" w:eastAsia="Arial" w:hAnsi="Arial"/>
                <w:sz w:val="14"/>
                <w:szCs w:val="14"/>
                <w:b w:val="1"/>
                <w:bCs w:val="1"/>
                <w:color w:val="auto"/>
                <w:w w:val="90"/>
              </w:rPr>
              <w:t>converted to</w:t>
            </w:r>
          </w:p>
        </w:tc>
        <w:tc>
          <w:tcPr>
            <w:tcW w:w="10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760" w:type="dxa"/>
            <w:vAlign w:val="bottom"/>
            <w:tcBorders>
              <w:right w:val="single" w:sz="8" w:color="E6E6E6"/>
            </w:tcBorders>
            <w:shd w:val="clear" w:color="auto" w:fill="E6E6E6"/>
          </w:tcPr>
          <w:p>
            <w:pPr>
              <w:spacing w:after="0"/>
              <w:rPr>
                <w:sz w:val="13"/>
                <w:szCs w:val="13"/>
                <w:color w:val="auto"/>
              </w:rPr>
            </w:pPr>
          </w:p>
        </w:tc>
        <w:tc>
          <w:tcPr>
            <w:tcW w:w="340" w:type="dxa"/>
            <w:vAlign w:val="bottom"/>
            <w:shd w:val="clear" w:color="auto" w:fill="E6E6E6"/>
          </w:tcPr>
          <w:p>
            <w:pPr>
              <w:spacing w:after="0"/>
              <w:rPr>
                <w:sz w:val="13"/>
                <w:szCs w:val="13"/>
                <w:color w:val="auto"/>
              </w:rPr>
            </w:pPr>
          </w:p>
        </w:tc>
        <w:tc>
          <w:tcPr>
            <w:tcW w:w="100" w:type="dxa"/>
            <w:vAlign w:val="bottom"/>
            <w:tcBorders>
              <w:right w:val="single" w:sz="8" w:color="C6C6C6"/>
            </w:tcBorders>
          </w:tcPr>
          <w:p>
            <w:pPr>
              <w:spacing w:after="0"/>
              <w:rPr>
                <w:sz w:val="13"/>
                <w:szCs w:val="13"/>
                <w:color w:val="auto"/>
              </w:rPr>
            </w:pPr>
          </w:p>
        </w:tc>
      </w:tr>
      <w:tr>
        <w:trPr>
          <w:trHeight w:val="174"/>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520" w:type="dxa"/>
            <w:vAlign w:val="bottom"/>
            <w:tcBorders>
              <w:bottom w:val="single" w:sz="8" w:color="E6E6E6"/>
              <w:right w:val="single" w:sz="8" w:color="E6E6E6"/>
            </w:tcBorders>
            <w:shd w:val="clear" w:color="auto" w:fill="E6E6E6"/>
          </w:tcPr>
          <w:p>
            <w:pPr>
              <w:spacing w:after="0"/>
              <w:rPr>
                <w:sz w:val="15"/>
                <w:szCs w:val="15"/>
                <w:color w:val="auto"/>
              </w:rPr>
            </w:pPr>
          </w:p>
        </w:tc>
        <w:tc>
          <w:tcPr>
            <w:tcW w:w="900" w:type="dxa"/>
            <w:vAlign w:val="bottom"/>
            <w:tcBorders>
              <w:bottom w:val="single" w:sz="8" w:color="E6E6E6"/>
            </w:tcBorders>
            <w:shd w:val="clear" w:color="auto" w:fill="E6E6E6"/>
          </w:tcPr>
          <w:p>
            <w:pPr>
              <w:spacing w:after="0"/>
              <w:rPr>
                <w:sz w:val="15"/>
                <w:szCs w:val="15"/>
                <w:color w:val="auto"/>
              </w:rPr>
            </w:pPr>
          </w:p>
        </w:tc>
        <w:tc>
          <w:tcPr>
            <w:tcW w:w="56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2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40" w:type="dxa"/>
            <w:vAlign w:val="bottom"/>
            <w:tcBorders>
              <w:bottom w:val="single" w:sz="8" w:color="auto"/>
            </w:tcBorders>
            <w:shd w:val="clear" w:color="auto" w:fill="E6E6E6"/>
          </w:tcPr>
          <w:p>
            <w:pPr>
              <w:spacing w:after="0"/>
              <w:rPr>
                <w:sz w:val="15"/>
                <w:szCs w:val="15"/>
                <w:color w:val="auto"/>
              </w:rPr>
            </w:pPr>
          </w:p>
        </w:tc>
        <w:tc>
          <w:tcPr>
            <w:tcW w:w="64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90"/>
              </w:rPr>
              <w:t>term loans</w:t>
            </w:r>
          </w:p>
        </w:tc>
        <w:tc>
          <w:tcPr>
            <w:tcW w:w="100" w:type="dxa"/>
            <w:vAlign w:val="bottom"/>
            <w:tcBorders>
              <w:bottom w:val="single" w:sz="8" w:color="E6E6E6"/>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right w:val="single" w:sz="8" w:color="E6E6E6"/>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900" w:type="dxa"/>
            <w:vAlign w:val="bottom"/>
            <w:shd w:val="clear" w:color="auto" w:fill="E6E6E6"/>
          </w:tcPr>
          <w:p>
            <w:pPr>
              <w:spacing w:after="0"/>
              <w:rPr>
                <w:sz w:val="14"/>
                <w:szCs w:val="14"/>
                <w:color w:val="auto"/>
              </w:rPr>
            </w:pPr>
          </w:p>
        </w:tc>
        <w:tc>
          <w:tcPr>
            <w:tcW w:w="5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72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5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1970" w:type="dxa"/>
            <w:vAlign w:val="bottom"/>
            <w:gridSpan w:val="8"/>
            <w:shd w:val="clear" w:color="auto" w:fill="E6E6E6"/>
          </w:tcPr>
          <w:p>
            <w:pPr>
              <w:jc w:val="right"/>
              <w:ind w:right="6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760" w:type="dxa"/>
            <w:vAlign w:val="bottom"/>
            <w:tcBorders>
              <w:right w:val="single" w:sz="8" w:color="E6E6E6"/>
            </w:tcBorders>
            <w:shd w:val="clear" w:color="auto" w:fill="E6E6E6"/>
          </w:tcPr>
          <w:p>
            <w:pPr>
              <w:spacing w:after="0"/>
              <w:rPr>
                <w:sz w:val="14"/>
                <w:szCs w:val="14"/>
                <w:color w:val="auto"/>
              </w:rPr>
            </w:pP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7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w w:val="96"/>
              </w:rPr>
              <w:t>Commercial and industrial</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30-59 days</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7</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88</w:t>
            </w:r>
          </w:p>
        </w:tc>
        <w:tc>
          <w:tcPr>
            <w:tcW w:w="340" w:type="dxa"/>
            <w:vAlign w:val="bottom"/>
            <w:gridSpan w:val="3"/>
            <w:shd w:val="clear" w:color="auto" w:fill="E6E6E6"/>
          </w:tcPr>
          <w:p>
            <w:pPr>
              <w:jc w:val="right"/>
              <w:ind w:right="129"/>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126</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221</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74</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520" w:type="dxa"/>
            <w:vAlign w:val="bottom"/>
            <w:tcBorders>
              <w:bottom w:val="single" w:sz="8" w:color="E6E6E6"/>
              <w:right w:val="single" w:sz="8" w:color="E6E6E6"/>
            </w:tcBorders>
            <w:shd w:val="clear" w:color="auto" w:fill="E6E6E6"/>
          </w:tcPr>
          <w:p>
            <w:pPr>
              <w:spacing w:after="0"/>
              <w:rPr>
                <w:sz w:val="16"/>
                <w:szCs w:val="16"/>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E6E6E6"/>
          </w:tcPr>
          <w:p>
            <w:pPr>
              <w:spacing w:after="0"/>
              <w:rPr>
                <w:sz w:val="16"/>
                <w:szCs w:val="16"/>
                <w:color w:val="auto"/>
              </w:rPr>
            </w:pP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104</w:t>
            </w:r>
          </w:p>
        </w:tc>
        <w:tc>
          <w:tcPr>
            <w:tcW w:w="20" w:type="dxa"/>
            <w:vAlign w:val="bottom"/>
            <w:tcBorders>
              <w:bottom w:val="single" w:sz="8" w:color="CCEEFF"/>
            </w:tcBorders>
            <w:shd w:val="clear" w:color="auto" w:fill="E6E6E6"/>
          </w:tcPr>
          <w:p>
            <w:pPr>
              <w:spacing w:after="0"/>
              <w:rPr>
                <w:sz w:val="16"/>
                <w:szCs w:val="16"/>
                <w:color w:val="auto"/>
              </w:rPr>
            </w:pP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240" w:type="dxa"/>
            <w:vAlign w:val="bottom"/>
            <w:tcBorders>
              <w:bottom w:val="single" w:sz="8" w:color="auto"/>
            </w:tcBorders>
            <w:shd w:val="clear" w:color="auto" w:fill="E6E6E6"/>
          </w:tcPr>
          <w:p>
            <w:pPr>
              <w:spacing w:after="0"/>
              <w:rPr>
                <w:sz w:val="16"/>
                <w:szCs w:val="16"/>
                <w:color w:val="auto"/>
              </w:rPr>
            </w:pPr>
          </w:p>
        </w:tc>
        <w:tc>
          <w:tcPr>
            <w:tcW w:w="64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1,383</w:t>
            </w:r>
          </w:p>
        </w:tc>
        <w:tc>
          <w:tcPr>
            <w:tcW w:w="8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2,155</w:t>
            </w:r>
          </w:p>
        </w:tc>
        <w:tc>
          <w:tcPr>
            <w:tcW w:w="34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63"/>
        </w:trPr>
        <w:tc>
          <w:tcPr>
            <w:tcW w:w="100" w:type="dxa"/>
            <w:vAlign w:val="bottom"/>
            <w:tcBorders>
              <w:top w:val="single" w:sz="8" w:color="E6E6E6"/>
              <w:right w:val="single" w:sz="8" w:color="C6C6C6"/>
            </w:tcBorders>
            <w:shd w:val="clear" w:color="auto" w:fill="E6E6E6"/>
          </w:tcPr>
          <w:p>
            <w:pPr>
              <w:spacing w:after="0"/>
              <w:rPr>
                <w:sz w:val="14"/>
                <w:szCs w:val="14"/>
                <w:color w:val="auto"/>
              </w:rPr>
            </w:pPr>
          </w:p>
        </w:tc>
        <w:tc>
          <w:tcPr>
            <w:tcW w:w="520" w:type="dxa"/>
            <w:vAlign w:val="bottom"/>
            <w:tcBorders>
              <w:top w:val="single" w:sz="8" w:color="E6E6E6"/>
              <w:right w:val="single" w:sz="8" w:color="E6E6E6"/>
            </w:tcBorders>
            <w:shd w:val="clear" w:color="auto" w:fill="E6E6E6"/>
          </w:tcPr>
          <w:p>
            <w:pPr>
              <w:spacing w:after="0"/>
              <w:rPr>
                <w:sz w:val="14"/>
                <w:szCs w:val="14"/>
                <w:color w:val="auto"/>
              </w:rPr>
            </w:pPr>
          </w:p>
        </w:tc>
        <w:tc>
          <w:tcPr>
            <w:tcW w:w="1460" w:type="dxa"/>
            <w:vAlign w:val="bottom"/>
            <w:tcBorders>
              <w:top w:val="single" w:sz="8" w:color="E6E6E6"/>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past due</w:t>
            </w:r>
          </w:p>
        </w:tc>
        <w:tc>
          <w:tcPr>
            <w:tcW w:w="10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40" w:type="dxa"/>
            <w:vAlign w:val="bottom"/>
            <w:tcBorders>
              <w:top w:val="single" w:sz="8" w:color="E6E6E6"/>
            </w:tcBorders>
            <w:shd w:val="clear" w:color="auto" w:fill="CCEEFF"/>
          </w:tcPr>
          <w:p>
            <w:pPr>
              <w:spacing w:after="0"/>
              <w:rPr>
                <w:sz w:val="14"/>
                <w:szCs w:val="14"/>
                <w:color w:val="auto"/>
              </w:rPr>
            </w:pPr>
          </w:p>
        </w:tc>
        <w:tc>
          <w:tcPr>
            <w:tcW w:w="72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104</w:t>
            </w:r>
          </w:p>
        </w:tc>
        <w:tc>
          <w:tcPr>
            <w:tcW w:w="2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98</w:t>
            </w: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240" w:type="dxa"/>
            <w:vAlign w:val="bottom"/>
            <w:tcBorders>
              <w:top w:val="single" w:sz="8" w:color="E6E6E6"/>
            </w:tcBorders>
            <w:shd w:val="clear" w:color="auto" w:fill="CCEEFF"/>
          </w:tcPr>
          <w:p>
            <w:pPr>
              <w:spacing w:after="0"/>
              <w:rPr>
                <w:sz w:val="14"/>
                <w:szCs w:val="14"/>
                <w:color w:val="auto"/>
              </w:rPr>
            </w:pPr>
          </w:p>
        </w:tc>
        <w:tc>
          <w:tcPr>
            <w:tcW w:w="64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1,383</w:t>
            </w:r>
          </w:p>
        </w:tc>
        <w:tc>
          <w:tcPr>
            <w:tcW w:w="80" w:type="dxa"/>
            <w:vAlign w:val="bottom"/>
            <w:tcBorders>
              <w:top w:val="single" w:sz="8" w:color="E6E6E6"/>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20" w:type="dxa"/>
            <w:vAlign w:val="bottom"/>
            <w:tcBorders>
              <w:top w:val="single" w:sz="8" w:color="E6E6E6"/>
            </w:tcBorders>
            <w:shd w:val="clear" w:color="auto" w:fill="CCEEFF"/>
          </w:tcPr>
          <w:p>
            <w:pPr>
              <w:spacing w:after="0"/>
              <w:rPr>
                <w:sz w:val="14"/>
                <w:szCs w:val="14"/>
                <w:color w:val="auto"/>
              </w:rPr>
            </w:pPr>
          </w:p>
        </w:tc>
        <w:tc>
          <w:tcPr>
            <w:tcW w:w="76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729</w:t>
            </w:r>
          </w:p>
        </w:tc>
        <w:tc>
          <w:tcPr>
            <w:tcW w:w="100" w:type="dxa"/>
            <w:vAlign w:val="bottom"/>
            <w:tcBorders>
              <w:top w:val="single" w:sz="8" w:color="E6E6E6"/>
            </w:tcBorders>
            <w:shd w:val="clear" w:color="auto" w:fill="CCEEFF"/>
          </w:tcPr>
          <w:p>
            <w:pPr>
              <w:spacing w:after="0"/>
              <w:rPr>
                <w:sz w:val="14"/>
                <w:szCs w:val="14"/>
                <w:color w:val="auto"/>
              </w:rPr>
            </w:pPr>
          </w:p>
        </w:tc>
        <w:tc>
          <w:tcPr>
            <w:tcW w:w="100" w:type="dxa"/>
            <w:vAlign w:val="bottom"/>
            <w:tcBorders>
              <w:top w:val="single" w:sz="8" w:color="E6E6E6"/>
            </w:tcBorders>
            <w:shd w:val="clear" w:color="auto" w:fill="CCEEFF"/>
          </w:tcPr>
          <w:p>
            <w:pPr>
              <w:spacing w:after="0"/>
              <w:rPr>
                <w:sz w:val="14"/>
                <w:szCs w:val="14"/>
                <w:color w:val="auto"/>
              </w:rPr>
            </w:pPr>
          </w:p>
        </w:tc>
        <w:tc>
          <w:tcPr>
            <w:tcW w:w="78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E6E6E6"/>
            </w:tcBorders>
            <w:shd w:val="clear" w:color="auto" w:fill="CCEEFF"/>
          </w:tcPr>
          <w:p>
            <w:pPr>
              <w:spacing w:after="0"/>
              <w:rPr>
                <w:sz w:val="14"/>
                <w:szCs w:val="14"/>
                <w:color w:val="auto"/>
              </w:rPr>
            </w:pP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126</w:t>
            </w:r>
          </w:p>
        </w:tc>
        <w:tc>
          <w:tcPr>
            <w:tcW w:w="100" w:type="dxa"/>
            <w:vAlign w:val="bottom"/>
            <w:tcBorders>
              <w:top w:val="single" w:sz="8" w:color="E6E6E6"/>
            </w:tcBorders>
            <w:shd w:val="clear" w:color="auto" w:fill="CCEEFF"/>
          </w:tcPr>
          <w:p>
            <w:pPr>
              <w:spacing w:after="0"/>
              <w:rPr>
                <w:sz w:val="14"/>
                <w:szCs w:val="14"/>
                <w:color w:val="auto"/>
              </w:rPr>
            </w:pPr>
          </w:p>
        </w:tc>
        <w:tc>
          <w:tcPr>
            <w:tcW w:w="140" w:type="dxa"/>
            <w:vAlign w:val="bottom"/>
            <w:tcBorders>
              <w:top w:val="single" w:sz="8" w:color="E6E6E6"/>
            </w:tcBorders>
            <w:shd w:val="clear" w:color="auto" w:fill="CCEEFF"/>
          </w:tcPr>
          <w:p>
            <w:pPr>
              <w:spacing w:after="0"/>
              <w:rPr>
                <w:sz w:val="14"/>
                <w:szCs w:val="14"/>
                <w:color w:val="auto"/>
              </w:rPr>
            </w:pPr>
          </w:p>
        </w:tc>
        <w:tc>
          <w:tcPr>
            <w:tcW w:w="760" w:type="dxa"/>
            <w:vAlign w:val="bottom"/>
            <w:tcBorders>
              <w:top w:val="single" w:sz="8" w:color="E6E6E6"/>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2,450</w:t>
            </w:r>
          </w:p>
        </w:tc>
        <w:tc>
          <w:tcPr>
            <w:tcW w:w="340" w:type="dxa"/>
            <w:vAlign w:val="bottom"/>
            <w:tcBorders>
              <w:top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520" w:type="dxa"/>
            <w:vAlign w:val="bottom"/>
            <w:tcBorders>
              <w:bottom w:val="single" w:sz="8" w:color="E6E6E6"/>
              <w:right w:val="single" w:sz="8" w:color="E6E6E6"/>
            </w:tcBorders>
            <w:shd w:val="clear" w:color="auto" w:fill="E6E6E6"/>
          </w:tcPr>
          <w:p>
            <w:pPr>
              <w:spacing w:after="0"/>
              <w:rPr>
                <w:sz w:val="16"/>
                <w:szCs w:val="16"/>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198,172</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331,720</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91,088</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center"/>
              <w:ind w:left="79"/>
              <w:spacing w:after="0"/>
              <w:rPr>
                <w:sz w:val="20"/>
                <w:szCs w:val="20"/>
                <w:color w:val="auto"/>
              </w:rPr>
            </w:pPr>
            <w:r>
              <w:rPr>
                <w:rFonts w:ascii="Arial" w:cs="Arial" w:eastAsia="Arial" w:hAnsi="Arial"/>
                <w:sz w:val="14"/>
                <w:szCs w:val="14"/>
                <w:color w:val="auto"/>
                <w:w w:val="88"/>
              </w:rPr>
              <w:t>61,921</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240" w:type="dxa"/>
            <w:vAlign w:val="bottom"/>
            <w:tcBorders>
              <w:bottom w:val="single" w:sz="8" w:color="auto"/>
            </w:tcBorders>
            <w:shd w:val="clear" w:color="auto" w:fill="E6E6E6"/>
          </w:tcPr>
          <w:p>
            <w:pPr>
              <w:spacing w:after="0"/>
              <w:rPr>
                <w:sz w:val="16"/>
                <w:szCs w:val="16"/>
                <w:color w:val="auto"/>
              </w:rPr>
            </w:pPr>
          </w:p>
        </w:tc>
        <w:tc>
          <w:tcPr>
            <w:tcW w:w="64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60,214</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22,847</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43,999</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809,961</w:t>
            </w:r>
          </w:p>
        </w:tc>
        <w:tc>
          <w:tcPr>
            <w:tcW w:w="34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203"/>
        </w:trPr>
        <w:tc>
          <w:tcPr>
            <w:tcW w:w="100" w:type="dxa"/>
            <w:vAlign w:val="bottom"/>
            <w:tcBorders>
              <w:top w:val="single" w:sz="8" w:color="E6E6E6"/>
              <w:right w:val="single" w:sz="8" w:color="C6C6C6"/>
            </w:tcBorders>
            <w:shd w:val="clear" w:color="auto" w:fill="E6E6E6"/>
          </w:tcPr>
          <w:p>
            <w:pPr>
              <w:spacing w:after="0"/>
              <w:rPr>
                <w:sz w:val="17"/>
                <w:szCs w:val="17"/>
                <w:color w:val="auto"/>
              </w:rPr>
            </w:pPr>
          </w:p>
        </w:tc>
        <w:tc>
          <w:tcPr>
            <w:tcW w:w="520" w:type="dxa"/>
            <w:vAlign w:val="bottom"/>
            <w:tcBorders>
              <w:top w:val="single" w:sz="8" w:color="E6E6E6"/>
              <w:right w:val="single" w:sz="8" w:color="E6E6E6"/>
            </w:tcBorders>
            <w:shd w:val="clear" w:color="auto" w:fill="E6E6E6"/>
          </w:tcPr>
          <w:p>
            <w:pPr>
              <w:spacing w:after="0"/>
              <w:rPr>
                <w:sz w:val="17"/>
                <w:szCs w:val="17"/>
                <w:color w:val="auto"/>
              </w:rPr>
            </w:pPr>
          </w:p>
        </w:tc>
        <w:tc>
          <w:tcPr>
            <w:tcW w:w="14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E6E6E6"/>
            </w:tcBorders>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198,172</w:t>
            </w:r>
          </w:p>
        </w:tc>
        <w:tc>
          <w:tcPr>
            <w:tcW w:w="20" w:type="dxa"/>
            <w:vAlign w:val="bottom"/>
            <w:tcBorders>
              <w:top w:val="single" w:sz="8" w:color="E6E6E6"/>
            </w:tcBorders>
            <w:shd w:val="clear" w:color="auto" w:fill="CCEEFF"/>
          </w:tcPr>
          <w:p>
            <w:pPr>
              <w:spacing w:after="0"/>
              <w:rPr>
                <w:sz w:val="17"/>
                <w:szCs w:val="17"/>
                <w:color w:val="auto"/>
              </w:rPr>
            </w:pPr>
          </w:p>
        </w:tc>
        <w:tc>
          <w:tcPr>
            <w:tcW w:w="210" w:type="dxa"/>
            <w:vAlign w:val="bottom"/>
            <w:tcBorders>
              <w:top w:val="single" w:sz="8" w:color="E6E6E6"/>
            </w:tcBorders>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331,824</w:t>
            </w:r>
          </w:p>
        </w:tc>
        <w:tc>
          <w:tcPr>
            <w:tcW w:w="20" w:type="dxa"/>
            <w:vAlign w:val="bottom"/>
            <w:tcBorders>
              <w:top w:val="single" w:sz="8" w:color="E6E6E6"/>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91,098</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center"/>
              <w:ind w:left="79"/>
              <w:spacing w:after="0"/>
              <w:rPr>
                <w:sz w:val="20"/>
                <w:szCs w:val="20"/>
                <w:color w:val="auto"/>
              </w:rPr>
            </w:pPr>
            <w:r>
              <w:rPr>
                <w:rFonts w:ascii="Arial" w:cs="Arial" w:eastAsia="Arial" w:hAnsi="Arial"/>
                <w:sz w:val="14"/>
                <w:szCs w:val="14"/>
                <w:color w:val="auto"/>
                <w:w w:val="88"/>
              </w:rPr>
              <w:t>62,019</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E6E6E6"/>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61,597</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E6E6E6"/>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23,576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44,125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812,411</w:t>
            </w:r>
          </w:p>
        </w:tc>
        <w:tc>
          <w:tcPr>
            <w:tcW w:w="340" w:type="dxa"/>
            <w:vAlign w:val="bottom"/>
            <w:tcBorders>
              <w:top w:val="single" w:sz="8" w:color="E6E6E6"/>
            </w:tcBorders>
            <w:shd w:val="clear" w:color="auto" w:fill="E6E6E6"/>
          </w:tcPr>
          <w:p>
            <w:pPr>
              <w:spacing w:after="0"/>
              <w:rPr>
                <w:sz w:val="17"/>
                <w:szCs w:val="17"/>
                <w:color w:val="auto"/>
              </w:rPr>
            </w:pPr>
          </w:p>
        </w:tc>
        <w:tc>
          <w:tcPr>
            <w:tcW w:w="100" w:type="dxa"/>
            <w:vAlign w:val="bottom"/>
            <w:tcBorders>
              <w:right w:val="single" w:sz="8" w:color="C6C6C6"/>
            </w:tcBorders>
          </w:tcPr>
          <w:p>
            <w:pPr>
              <w:spacing w:after="0"/>
              <w:rPr>
                <w:sz w:val="17"/>
                <w:szCs w:val="17"/>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520" w:type="dxa"/>
            <w:vAlign w:val="bottom"/>
            <w:tcBorders>
              <w:top w:val="single" w:sz="8" w:color="E6E6E6"/>
              <w:right w:val="single" w:sz="8" w:color="E6E6E6"/>
            </w:tcBorders>
            <w:shd w:val="clear" w:color="auto" w:fill="E6E6E6"/>
          </w:tcPr>
          <w:p>
            <w:pPr>
              <w:spacing w:after="0"/>
              <w:rPr>
                <w:sz w:val="15"/>
                <w:szCs w:val="15"/>
                <w:color w:val="auto"/>
              </w:rPr>
            </w:pPr>
          </w:p>
        </w:tc>
        <w:tc>
          <w:tcPr>
            <w:tcW w:w="146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40" w:type="dxa"/>
            <w:vAlign w:val="bottom"/>
            <w:tcBorders>
              <w:top w:val="single" w:sz="8" w:color="auto"/>
            </w:tcBorders>
            <w:shd w:val="clear" w:color="auto" w:fill="E6E6E6"/>
          </w:tcPr>
          <w:p>
            <w:pPr>
              <w:spacing w:after="0"/>
              <w:rPr>
                <w:sz w:val="15"/>
                <w:szCs w:val="15"/>
                <w:color w:val="auto"/>
              </w:rPr>
            </w:pPr>
          </w:p>
        </w:tc>
        <w:tc>
          <w:tcPr>
            <w:tcW w:w="64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right w:val="single" w:sz="8" w:color="E6E6E6"/>
            </w:tcBorders>
            <w:shd w:val="clear" w:color="auto" w:fill="E6E6E6"/>
          </w:tcPr>
          <w:p>
            <w:pPr>
              <w:spacing w:after="0"/>
              <w:rPr>
                <w:sz w:val="15"/>
                <w:szCs w:val="15"/>
                <w:color w:val="auto"/>
              </w:rPr>
            </w:pPr>
          </w:p>
        </w:tc>
        <w:tc>
          <w:tcPr>
            <w:tcW w:w="34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0"/>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and accruing</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3</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E6E6E6"/>
          </w:tcPr>
          <w:p>
            <w:pPr>
              <w:jc w:val="right"/>
              <w:ind w:right="129"/>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3</w:t>
            </w: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61"/>
        </w:trPr>
        <w:tc>
          <w:tcPr>
            <w:tcW w:w="100" w:type="dxa"/>
            <w:vAlign w:val="bottom"/>
            <w:tcBorders>
              <w:bottom w:val="single" w:sz="8" w:color="E6E6E6"/>
              <w:right w:val="single" w:sz="8" w:color="C6C6C6"/>
            </w:tcBorders>
            <w:shd w:val="clear" w:color="auto" w:fill="E6E6E6"/>
          </w:tcPr>
          <w:p>
            <w:pPr>
              <w:spacing w:after="0"/>
              <w:rPr>
                <w:sz w:val="14"/>
                <w:szCs w:val="14"/>
                <w:color w:val="auto"/>
              </w:rPr>
            </w:pPr>
          </w:p>
        </w:tc>
        <w:tc>
          <w:tcPr>
            <w:tcW w:w="520" w:type="dxa"/>
            <w:vAlign w:val="bottom"/>
            <w:tcBorders>
              <w:bottom w:val="single" w:sz="8" w:color="E6E6E6"/>
              <w:right w:val="single" w:sz="8" w:color="E6E6E6"/>
            </w:tcBorders>
            <w:shd w:val="clear" w:color="auto" w:fill="E6E6E6"/>
          </w:tcPr>
          <w:p>
            <w:pPr>
              <w:spacing w:after="0"/>
              <w:rPr>
                <w:sz w:val="14"/>
                <w:szCs w:val="14"/>
                <w:color w:val="auto"/>
              </w:rPr>
            </w:pPr>
          </w:p>
        </w:tc>
        <w:tc>
          <w:tcPr>
            <w:tcW w:w="244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b w:val="1"/>
                <w:bCs w:val="1"/>
                <w:color w:val="auto"/>
                <w:w w:val="89"/>
              </w:rPr>
              <w:t>Commercial and industrial lines of credit</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5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7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77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right w:val="single" w:sz="8" w:color="CCEEFF"/>
            </w:tcBorders>
            <w:shd w:val="clear" w:color="auto" w:fill="CCEEFF"/>
          </w:tcPr>
          <w:p>
            <w:pPr>
              <w:spacing w:after="0"/>
              <w:rPr>
                <w:sz w:val="14"/>
                <w:szCs w:val="14"/>
                <w:color w:val="auto"/>
              </w:rPr>
            </w:pPr>
          </w:p>
        </w:tc>
        <w:tc>
          <w:tcPr>
            <w:tcW w:w="34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30-59 days</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E6E6E6"/>
          </w:tcPr>
          <w:p>
            <w:pPr>
              <w:jc w:val="right"/>
              <w:ind w:right="129"/>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2,086</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2,086</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784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784</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520" w:type="dxa"/>
            <w:vAlign w:val="bottom"/>
            <w:tcBorders>
              <w:bottom w:val="single" w:sz="8" w:color="E6E6E6"/>
              <w:right w:val="single" w:sz="8" w:color="E6E6E6"/>
            </w:tcBorders>
            <w:shd w:val="clear" w:color="auto" w:fill="E6E6E6"/>
          </w:tcPr>
          <w:p>
            <w:pPr>
              <w:spacing w:after="0"/>
              <w:rPr>
                <w:sz w:val="15"/>
                <w:szCs w:val="15"/>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40" w:type="dxa"/>
            <w:vAlign w:val="bottom"/>
            <w:tcBorders>
              <w:bottom w:val="single" w:sz="8" w:color="auto"/>
            </w:tcBorders>
            <w:shd w:val="clear" w:color="auto" w:fill="E6E6E6"/>
          </w:tcPr>
          <w:p>
            <w:pPr>
              <w:spacing w:after="0"/>
              <w:rPr>
                <w:sz w:val="15"/>
                <w:szCs w:val="15"/>
                <w:color w:val="auto"/>
              </w:rPr>
            </w:pPr>
          </w:p>
        </w:tc>
        <w:tc>
          <w:tcPr>
            <w:tcW w:w="64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11,765</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11,765</w:t>
            </w:r>
          </w:p>
        </w:tc>
        <w:tc>
          <w:tcPr>
            <w:tcW w:w="34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14,635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14,635</w:t>
            </w: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520" w:type="dxa"/>
            <w:vAlign w:val="bottom"/>
            <w:tcBorders>
              <w:bottom w:val="single" w:sz="8" w:color="E6E6E6"/>
              <w:right w:val="single" w:sz="8" w:color="E6E6E6"/>
            </w:tcBorders>
            <w:shd w:val="clear" w:color="auto" w:fill="E6E6E6"/>
          </w:tcPr>
          <w:p>
            <w:pPr>
              <w:spacing w:after="0"/>
              <w:rPr>
                <w:sz w:val="15"/>
                <w:szCs w:val="15"/>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40" w:type="dxa"/>
            <w:vAlign w:val="bottom"/>
            <w:tcBorders>
              <w:bottom w:val="single" w:sz="8" w:color="auto"/>
            </w:tcBorders>
            <w:shd w:val="clear" w:color="auto" w:fill="E6E6E6"/>
          </w:tcPr>
          <w:p>
            <w:pPr>
              <w:spacing w:after="0"/>
              <w:rPr>
                <w:sz w:val="15"/>
                <w:szCs w:val="15"/>
                <w:color w:val="auto"/>
              </w:rPr>
            </w:pPr>
          </w:p>
        </w:tc>
        <w:tc>
          <w:tcPr>
            <w:tcW w:w="64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773,029</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773,029</w:t>
            </w:r>
          </w:p>
        </w:tc>
        <w:tc>
          <w:tcPr>
            <w:tcW w:w="34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223"/>
        </w:trPr>
        <w:tc>
          <w:tcPr>
            <w:tcW w:w="100" w:type="dxa"/>
            <w:vAlign w:val="bottom"/>
            <w:tcBorders>
              <w:right w:val="single" w:sz="8" w:color="C6C6C6"/>
            </w:tcBorders>
            <w:shd w:val="clear" w:color="auto" w:fill="E6E6E6"/>
          </w:tcPr>
          <w:p>
            <w:pPr>
              <w:spacing w:after="0"/>
              <w:rPr>
                <w:sz w:val="19"/>
                <w:szCs w:val="19"/>
                <w:color w:val="auto"/>
              </w:rPr>
            </w:pPr>
          </w:p>
        </w:tc>
        <w:tc>
          <w:tcPr>
            <w:tcW w:w="520" w:type="dxa"/>
            <w:vAlign w:val="bottom"/>
            <w:tcBorders>
              <w:right w:val="single" w:sz="8" w:color="E6E6E6"/>
            </w:tcBorders>
            <w:shd w:val="clear" w:color="auto" w:fill="E6E6E6"/>
          </w:tcPr>
          <w:p>
            <w:pPr>
              <w:spacing w:after="0"/>
              <w:rPr>
                <w:sz w:val="19"/>
                <w:szCs w:val="19"/>
                <w:color w:val="auto"/>
              </w:rPr>
            </w:pP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787,664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787,664</w:t>
            </w:r>
          </w:p>
        </w:tc>
        <w:tc>
          <w:tcPr>
            <w:tcW w:w="340" w:type="dxa"/>
            <w:vAlign w:val="bottom"/>
            <w:shd w:val="clear" w:color="auto" w:fill="E6E6E6"/>
          </w:tcPr>
          <w:p>
            <w:pPr>
              <w:spacing w:after="0"/>
              <w:rPr>
                <w:sz w:val="19"/>
                <w:szCs w:val="19"/>
                <w:color w:val="auto"/>
              </w:rPr>
            </w:pPr>
          </w:p>
        </w:tc>
        <w:tc>
          <w:tcPr>
            <w:tcW w:w="100" w:type="dxa"/>
            <w:vAlign w:val="bottom"/>
            <w:tcBorders>
              <w:right w:val="single" w:sz="8" w:color="C6C6C6"/>
            </w:tcBorders>
          </w:tcPr>
          <w:p>
            <w:pPr>
              <w:spacing w:after="0"/>
              <w:rPr>
                <w:sz w:val="19"/>
                <w:szCs w:val="19"/>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520" w:type="dxa"/>
            <w:vAlign w:val="bottom"/>
            <w:tcBorders>
              <w:top w:val="single" w:sz="8" w:color="E6E6E6"/>
              <w:right w:val="single" w:sz="8" w:color="E6E6E6"/>
            </w:tcBorders>
            <w:shd w:val="clear" w:color="auto" w:fill="E6E6E6"/>
          </w:tcPr>
          <w:p>
            <w:pPr>
              <w:spacing w:after="0"/>
              <w:rPr>
                <w:sz w:val="15"/>
                <w:szCs w:val="15"/>
                <w:color w:val="auto"/>
              </w:rPr>
            </w:pPr>
          </w:p>
        </w:tc>
        <w:tc>
          <w:tcPr>
            <w:tcW w:w="146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40" w:type="dxa"/>
            <w:vAlign w:val="bottom"/>
            <w:tcBorders>
              <w:top w:val="single" w:sz="8" w:color="auto"/>
            </w:tcBorders>
            <w:shd w:val="clear" w:color="auto" w:fill="E6E6E6"/>
          </w:tcPr>
          <w:p>
            <w:pPr>
              <w:spacing w:after="0"/>
              <w:rPr>
                <w:sz w:val="15"/>
                <w:szCs w:val="15"/>
                <w:color w:val="auto"/>
              </w:rPr>
            </w:pPr>
          </w:p>
        </w:tc>
        <w:tc>
          <w:tcPr>
            <w:tcW w:w="64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right w:val="single" w:sz="8" w:color="E6E6E6"/>
            </w:tcBorders>
            <w:shd w:val="clear" w:color="auto" w:fill="E6E6E6"/>
          </w:tcPr>
          <w:p>
            <w:pPr>
              <w:spacing w:after="0"/>
              <w:rPr>
                <w:sz w:val="15"/>
                <w:szCs w:val="15"/>
                <w:color w:val="auto"/>
              </w:rPr>
            </w:pPr>
          </w:p>
        </w:tc>
        <w:tc>
          <w:tcPr>
            <w:tcW w:w="34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0"/>
        </w:trPr>
        <w:tc>
          <w:tcPr>
            <w:tcW w:w="100" w:type="dxa"/>
            <w:vAlign w:val="bottom"/>
            <w:tcBorders>
              <w:right w:val="single" w:sz="8" w:color="C6C6C6"/>
            </w:tcBorders>
            <w:shd w:val="clear" w:color="auto" w:fill="E6E6E6"/>
          </w:tcPr>
          <w:p>
            <w:pPr>
              <w:spacing w:after="0"/>
              <w:rPr>
                <w:sz w:val="14"/>
                <w:szCs w:val="14"/>
                <w:color w:val="auto"/>
              </w:rPr>
            </w:pPr>
          </w:p>
        </w:tc>
        <w:tc>
          <w:tcPr>
            <w:tcW w:w="520" w:type="dxa"/>
            <w:vAlign w:val="bottom"/>
            <w:tcBorders>
              <w:right w:val="single" w:sz="8" w:color="E6E6E6"/>
            </w:tcBorders>
            <w:shd w:val="clear" w:color="auto" w:fill="E6E6E6"/>
          </w:tcPr>
          <w:p>
            <w:pPr>
              <w:spacing w:after="0"/>
              <w:rPr>
                <w:sz w:val="14"/>
                <w:szCs w:val="14"/>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and accruing</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E6E6E6"/>
          </w:tcPr>
          <w:p>
            <w:pPr>
              <w:jc w:val="right"/>
              <w:ind w:right="129"/>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2,160</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2,160</w:t>
            </w:r>
          </w:p>
        </w:tc>
        <w:tc>
          <w:tcPr>
            <w:tcW w:w="34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76"/>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Energy</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7"/>
        </w:trPr>
        <w:tc>
          <w:tcPr>
            <w:tcW w:w="100" w:type="dxa"/>
            <w:vAlign w:val="bottom"/>
            <w:tcBorders>
              <w:right w:val="single" w:sz="8" w:color="C6C6C6"/>
            </w:tcBorders>
            <w:shd w:val="clear" w:color="auto" w:fill="E6E6E6"/>
          </w:tcPr>
          <w:p>
            <w:pPr>
              <w:spacing w:after="0"/>
              <w:rPr>
                <w:sz w:val="16"/>
                <w:szCs w:val="16"/>
                <w:color w:val="auto"/>
              </w:rPr>
            </w:pPr>
          </w:p>
        </w:tc>
        <w:tc>
          <w:tcPr>
            <w:tcW w:w="520" w:type="dxa"/>
            <w:vAlign w:val="bottom"/>
            <w:tcBorders>
              <w:right w:val="single" w:sz="8" w:color="E6E6E6"/>
            </w:tcBorders>
            <w:shd w:val="clear" w:color="auto" w:fill="E6E6E6"/>
          </w:tcPr>
          <w:p>
            <w:pPr>
              <w:spacing w:after="0"/>
              <w:rPr>
                <w:sz w:val="16"/>
                <w:szCs w:val="16"/>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30-59 days</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1,469</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E6E6E6"/>
          </w:tcPr>
          <w:p>
            <w:pPr>
              <w:jc w:val="right"/>
              <w:ind w:right="129"/>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1,469</w:t>
            </w:r>
          </w:p>
        </w:tc>
        <w:tc>
          <w:tcPr>
            <w:tcW w:w="340" w:type="dxa"/>
            <w:vAlign w:val="bottom"/>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520" w:type="dxa"/>
            <w:vAlign w:val="bottom"/>
            <w:tcBorders>
              <w:bottom w:val="single" w:sz="8" w:color="E6E6E6"/>
              <w:right w:val="single" w:sz="8" w:color="E6E6E6"/>
            </w:tcBorders>
            <w:shd w:val="clear" w:color="auto" w:fill="E6E6E6"/>
          </w:tcPr>
          <w:p>
            <w:pPr>
              <w:spacing w:after="0"/>
              <w:rPr>
                <w:sz w:val="16"/>
                <w:szCs w:val="16"/>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240" w:type="dxa"/>
            <w:vAlign w:val="bottom"/>
            <w:tcBorders>
              <w:bottom w:val="single" w:sz="8" w:color="auto"/>
            </w:tcBorders>
            <w:shd w:val="clear" w:color="auto" w:fill="E6E6E6"/>
          </w:tcPr>
          <w:p>
            <w:pPr>
              <w:spacing w:after="0"/>
              <w:rPr>
                <w:sz w:val="16"/>
                <w:szCs w:val="16"/>
                <w:color w:val="auto"/>
              </w:rPr>
            </w:pPr>
          </w:p>
        </w:tc>
        <w:tc>
          <w:tcPr>
            <w:tcW w:w="64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5,894</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5,894</w:t>
            </w:r>
          </w:p>
        </w:tc>
        <w:tc>
          <w:tcPr>
            <w:tcW w:w="34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52"/>
        </w:trPr>
        <w:tc>
          <w:tcPr>
            <w:tcW w:w="100" w:type="dxa"/>
            <w:vAlign w:val="bottom"/>
            <w:tcBorders>
              <w:top w:val="single" w:sz="8" w:color="E6E6E6"/>
              <w:right w:val="single" w:sz="8" w:color="C6C6C6"/>
            </w:tcBorders>
            <w:shd w:val="clear" w:color="auto" w:fill="E6E6E6"/>
          </w:tcPr>
          <w:p>
            <w:pPr>
              <w:spacing w:after="0"/>
              <w:rPr>
                <w:sz w:val="13"/>
                <w:szCs w:val="13"/>
                <w:color w:val="auto"/>
              </w:rPr>
            </w:pPr>
          </w:p>
        </w:tc>
        <w:tc>
          <w:tcPr>
            <w:tcW w:w="520" w:type="dxa"/>
            <w:vAlign w:val="bottom"/>
            <w:tcBorders>
              <w:top w:val="single" w:sz="8" w:color="E6E6E6"/>
              <w:right w:val="single" w:sz="8" w:color="E6E6E6"/>
            </w:tcBorders>
            <w:shd w:val="clear" w:color="auto" w:fill="E6E6E6"/>
          </w:tcPr>
          <w:p>
            <w:pPr>
              <w:spacing w:after="0"/>
              <w:rPr>
                <w:sz w:val="13"/>
                <w:szCs w:val="13"/>
                <w:color w:val="auto"/>
              </w:rPr>
            </w:pPr>
          </w:p>
        </w:tc>
        <w:tc>
          <w:tcPr>
            <w:tcW w:w="1460" w:type="dxa"/>
            <w:vAlign w:val="bottom"/>
            <w:tcBorders>
              <w:top w:val="single" w:sz="8" w:color="CCEEFF"/>
            </w:tcBorders>
            <w:gridSpan w:val="2"/>
            <w:shd w:val="clear" w:color="auto" w:fill="CCEEFF"/>
          </w:tcPr>
          <w:p>
            <w:pPr>
              <w:ind w:left="180"/>
              <w:spacing w:after="0" w:line="152" w:lineRule="exact"/>
              <w:rPr>
                <w:sz w:val="20"/>
                <w:szCs w:val="20"/>
                <w:color w:val="auto"/>
              </w:rPr>
            </w:pPr>
            <w:r>
              <w:rPr>
                <w:rFonts w:ascii="Arial" w:cs="Arial" w:eastAsia="Arial" w:hAnsi="Arial"/>
                <w:sz w:val="14"/>
                <w:szCs w:val="14"/>
                <w:color w:val="auto"/>
              </w:rPr>
              <w:t>Total past due</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E6E6E6"/>
            </w:tcBorders>
            <w:shd w:val="clear" w:color="auto" w:fill="CCEEFF"/>
          </w:tcPr>
          <w:p>
            <w:pPr>
              <w:spacing w:after="0"/>
              <w:rPr>
                <w:sz w:val="13"/>
                <w:szCs w:val="13"/>
                <w:color w:val="auto"/>
              </w:rPr>
            </w:pPr>
          </w:p>
        </w:tc>
        <w:tc>
          <w:tcPr>
            <w:tcW w:w="140" w:type="dxa"/>
            <w:vAlign w:val="bottom"/>
            <w:tcBorders>
              <w:top w:val="single" w:sz="8" w:color="E6E6E6"/>
            </w:tcBorders>
            <w:shd w:val="clear" w:color="auto" w:fill="CCEEFF"/>
          </w:tcPr>
          <w:p>
            <w:pPr>
              <w:spacing w:after="0"/>
              <w:rPr>
                <w:sz w:val="13"/>
                <w:szCs w:val="13"/>
                <w:color w:val="auto"/>
              </w:rPr>
            </w:pPr>
          </w:p>
        </w:tc>
        <w:tc>
          <w:tcPr>
            <w:tcW w:w="72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E6E6E6"/>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E6E6E6"/>
            </w:tcBorders>
            <w:shd w:val="clear" w:color="auto" w:fill="CCEEFF"/>
          </w:tcPr>
          <w:p>
            <w:pPr>
              <w:spacing w:after="0"/>
              <w:rPr>
                <w:sz w:val="13"/>
                <w:szCs w:val="13"/>
                <w:color w:val="auto"/>
              </w:rPr>
            </w:pPr>
          </w:p>
        </w:tc>
        <w:tc>
          <w:tcPr>
            <w:tcW w:w="75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1,469</w:t>
            </w:r>
          </w:p>
        </w:tc>
        <w:tc>
          <w:tcPr>
            <w:tcW w:w="20" w:type="dxa"/>
            <w:vAlign w:val="bottom"/>
            <w:tcBorders>
              <w:top w:val="single" w:sz="8" w:color="E6E6E6"/>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E6E6E6"/>
            </w:tcBorders>
            <w:shd w:val="clear" w:color="auto" w:fill="CCEEFF"/>
          </w:tcPr>
          <w:p>
            <w:pPr>
              <w:spacing w:after="0"/>
              <w:rPr>
                <w:sz w:val="13"/>
                <w:szCs w:val="13"/>
                <w:color w:val="auto"/>
              </w:rPr>
            </w:pPr>
          </w:p>
        </w:tc>
        <w:tc>
          <w:tcPr>
            <w:tcW w:w="770" w:type="dxa"/>
            <w:vAlign w:val="bottom"/>
            <w:tcBorders>
              <w:top w:val="single" w:sz="8" w:color="E6E6E6"/>
            </w:tcBorders>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0" w:type="dxa"/>
            <w:vAlign w:val="bottom"/>
            <w:tcBorders>
              <w:top w:val="single" w:sz="8" w:color="E6E6E6"/>
            </w:tcBorders>
            <w:shd w:val="clear" w:color="auto" w:fill="CCEEFF"/>
          </w:tcPr>
          <w:p>
            <w:pPr>
              <w:spacing w:after="0"/>
              <w:rPr>
                <w:sz w:val="13"/>
                <w:szCs w:val="13"/>
                <w:color w:val="auto"/>
              </w:rPr>
            </w:pPr>
          </w:p>
        </w:tc>
        <w:tc>
          <w:tcPr>
            <w:tcW w:w="770" w:type="dxa"/>
            <w:vAlign w:val="bottom"/>
            <w:tcBorders>
              <w:top w:val="single" w:sz="8" w:color="E6E6E6"/>
            </w:tcBorders>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E6E6E6"/>
            </w:tcBorders>
            <w:shd w:val="clear" w:color="auto" w:fill="CCEEFF"/>
          </w:tcPr>
          <w:p>
            <w:pPr>
              <w:spacing w:after="0"/>
              <w:rPr>
                <w:sz w:val="13"/>
                <w:szCs w:val="13"/>
                <w:color w:val="auto"/>
              </w:rPr>
            </w:pPr>
          </w:p>
        </w:tc>
        <w:tc>
          <w:tcPr>
            <w:tcW w:w="64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E6E6E6"/>
            </w:tcBorders>
            <w:shd w:val="clear" w:color="auto" w:fill="CCEEFF"/>
          </w:tcPr>
          <w:p>
            <w:pPr>
              <w:spacing w:after="0"/>
              <w:rPr>
                <w:sz w:val="13"/>
                <w:szCs w:val="13"/>
                <w:color w:val="auto"/>
              </w:rPr>
            </w:pPr>
          </w:p>
        </w:tc>
        <w:tc>
          <w:tcPr>
            <w:tcW w:w="76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E6E6E6"/>
            </w:tcBorders>
            <w:shd w:val="clear" w:color="auto" w:fill="CCEEFF"/>
          </w:tcPr>
          <w:p>
            <w:pPr>
              <w:spacing w:after="0"/>
              <w:rPr>
                <w:sz w:val="13"/>
                <w:szCs w:val="13"/>
                <w:color w:val="auto"/>
              </w:rPr>
            </w:pPr>
          </w:p>
        </w:tc>
        <w:tc>
          <w:tcPr>
            <w:tcW w:w="780" w:type="dxa"/>
            <w:vAlign w:val="bottom"/>
            <w:tcBorders>
              <w:top w:val="single" w:sz="8" w:color="E6E6E6"/>
            </w:tcBorders>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rPr>
              <w:t>5,894</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E6E6E6"/>
            </w:tcBorders>
            <w:shd w:val="clear" w:color="auto" w:fill="CCEEFF"/>
          </w:tcPr>
          <w:p>
            <w:pPr>
              <w:spacing w:after="0"/>
              <w:rPr>
                <w:sz w:val="13"/>
                <w:szCs w:val="13"/>
                <w:color w:val="auto"/>
              </w:rPr>
            </w:pPr>
          </w:p>
        </w:tc>
        <w:tc>
          <w:tcPr>
            <w:tcW w:w="800" w:type="dxa"/>
            <w:vAlign w:val="bottom"/>
            <w:tcBorders>
              <w:top w:val="single" w:sz="8" w:color="E6E6E6"/>
            </w:tcBorders>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E6E6E6"/>
            </w:tcBorders>
            <w:shd w:val="clear" w:color="auto" w:fill="CCEEFF"/>
          </w:tcPr>
          <w:p>
            <w:pPr>
              <w:spacing w:after="0"/>
              <w:rPr>
                <w:sz w:val="13"/>
                <w:szCs w:val="13"/>
                <w:color w:val="auto"/>
              </w:rPr>
            </w:pPr>
          </w:p>
        </w:tc>
        <w:tc>
          <w:tcPr>
            <w:tcW w:w="760" w:type="dxa"/>
            <w:vAlign w:val="bottom"/>
            <w:tcBorders>
              <w:top w:val="single" w:sz="8" w:color="E6E6E6"/>
              <w:right w:val="single" w:sz="8" w:color="CCEEFF"/>
            </w:tcBorders>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rPr>
              <w:t>7,363</w:t>
            </w:r>
          </w:p>
        </w:tc>
        <w:tc>
          <w:tcPr>
            <w:tcW w:w="340" w:type="dxa"/>
            <w:vAlign w:val="bottom"/>
            <w:tcBorders>
              <w:top w:val="single" w:sz="8" w:color="E6E6E6"/>
            </w:tcBorders>
            <w:shd w:val="clear" w:color="auto" w:fill="E6E6E6"/>
          </w:tcPr>
          <w:p>
            <w:pPr>
              <w:spacing w:after="0"/>
              <w:rPr>
                <w:sz w:val="13"/>
                <w:szCs w:val="13"/>
                <w:color w:val="auto"/>
              </w:rPr>
            </w:pPr>
          </w:p>
        </w:tc>
        <w:tc>
          <w:tcPr>
            <w:tcW w:w="100" w:type="dxa"/>
            <w:vAlign w:val="bottom"/>
            <w:tcBorders>
              <w:right w:val="single" w:sz="8" w:color="C6C6C6"/>
            </w:tcBorders>
          </w:tcPr>
          <w:p>
            <w:pPr>
              <w:spacing w:after="0"/>
              <w:rPr>
                <w:sz w:val="13"/>
                <w:szCs w:val="13"/>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520" w:type="dxa"/>
            <w:vAlign w:val="bottom"/>
            <w:tcBorders>
              <w:bottom w:val="single" w:sz="8" w:color="E6E6E6"/>
              <w:right w:val="single" w:sz="8" w:color="E6E6E6"/>
            </w:tcBorders>
            <w:shd w:val="clear" w:color="auto" w:fill="E6E6E6"/>
          </w:tcPr>
          <w:p>
            <w:pPr>
              <w:spacing w:after="0"/>
              <w:rPr>
                <w:sz w:val="15"/>
                <w:szCs w:val="15"/>
                <w:color w:val="auto"/>
              </w:rPr>
            </w:pPr>
          </w:p>
        </w:tc>
        <w:tc>
          <w:tcPr>
            <w:tcW w:w="1460" w:type="dxa"/>
            <w:vAlign w:val="bottom"/>
            <w:tcBorders>
              <w:bottom w:val="single" w:sz="8" w:color="CCEEFF"/>
            </w:tcBorders>
            <w:gridSpan w:val="2"/>
            <w:shd w:val="clear" w:color="auto" w:fill="E6E6E6"/>
          </w:tcPr>
          <w:p>
            <w:pPr>
              <w:ind w:left="4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2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7,445</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900</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264</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40" w:type="dxa"/>
            <w:vAlign w:val="bottom"/>
            <w:tcBorders>
              <w:bottom w:val="single" w:sz="8" w:color="auto"/>
            </w:tcBorders>
            <w:shd w:val="clear" w:color="auto" w:fill="E6E6E6"/>
          </w:tcPr>
          <w:p>
            <w:pPr>
              <w:spacing w:after="0"/>
              <w:rPr>
                <w:sz w:val="15"/>
                <w:szCs w:val="15"/>
                <w:color w:val="auto"/>
              </w:rPr>
            </w:pPr>
          </w:p>
        </w:tc>
        <w:tc>
          <w:tcPr>
            <w:tcW w:w="64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216,764</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225,637</w:t>
            </w:r>
          </w:p>
        </w:tc>
        <w:tc>
          <w:tcPr>
            <w:tcW w:w="34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223"/>
        </w:trPr>
        <w:tc>
          <w:tcPr>
            <w:tcW w:w="100" w:type="dxa"/>
            <w:vAlign w:val="bottom"/>
            <w:tcBorders>
              <w:right w:val="single" w:sz="8" w:color="C6C6C6"/>
            </w:tcBorders>
            <w:shd w:val="clear" w:color="auto" w:fill="E6E6E6"/>
          </w:tcPr>
          <w:p>
            <w:pPr>
              <w:spacing w:after="0"/>
              <w:rPr>
                <w:sz w:val="19"/>
                <w:szCs w:val="19"/>
                <w:color w:val="auto"/>
              </w:rPr>
            </w:pPr>
          </w:p>
        </w:tc>
        <w:tc>
          <w:tcPr>
            <w:tcW w:w="520" w:type="dxa"/>
            <w:vAlign w:val="bottom"/>
            <w:tcBorders>
              <w:right w:val="single" w:sz="8" w:color="E6E6E6"/>
            </w:tcBorders>
            <w:shd w:val="clear" w:color="auto" w:fill="E6E6E6"/>
          </w:tcPr>
          <w:p>
            <w:pPr>
              <w:spacing w:after="0"/>
              <w:rPr>
                <w:sz w:val="19"/>
                <w:szCs w:val="19"/>
                <w:color w:val="auto"/>
              </w:rPr>
            </w:pPr>
          </w:p>
        </w:tc>
        <w:tc>
          <w:tcPr>
            <w:tcW w:w="1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7,445</w:t>
            </w:r>
          </w:p>
        </w:tc>
        <w:tc>
          <w:tcPr>
            <w:tcW w:w="20" w:type="dxa"/>
            <w:vAlign w:val="bottom"/>
            <w:shd w:val="clear" w:color="auto" w:fill="CCEEFF"/>
          </w:tcPr>
          <w:p>
            <w:pPr>
              <w:spacing w:after="0"/>
              <w:rPr>
                <w:sz w:val="19"/>
                <w:szCs w:val="19"/>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2,369</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264</w:t>
            </w: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1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w:t>
            </w:r>
          </w:p>
        </w:tc>
        <w:tc>
          <w:tcPr>
            <w:tcW w:w="1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222,658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233,000</w:t>
            </w:r>
          </w:p>
        </w:tc>
        <w:tc>
          <w:tcPr>
            <w:tcW w:w="340" w:type="dxa"/>
            <w:vAlign w:val="bottom"/>
            <w:shd w:val="clear" w:color="auto" w:fill="E6E6E6"/>
          </w:tcPr>
          <w:p>
            <w:pPr>
              <w:spacing w:after="0"/>
              <w:rPr>
                <w:sz w:val="19"/>
                <w:szCs w:val="19"/>
                <w:color w:val="auto"/>
              </w:rPr>
            </w:pPr>
          </w:p>
        </w:tc>
        <w:tc>
          <w:tcPr>
            <w:tcW w:w="100" w:type="dxa"/>
            <w:vAlign w:val="bottom"/>
            <w:tcBorders>
              <w:right w:val="single" w:sz="8" w:color="C6C6C6"/>
            </w:tcBorders>
          </w:tcPr>
          <w:p>
            <w:pPr>
              <w:spacing w:after="0"/>
              <w:rPr>
                <w:sz w:val="19"/>
                <w:szCs w:val="19"/>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520" w:type="dxa"/>
            <w:vAlign w:val="bottom"/>
            <w:tcBorders>
              <w:top w:val="single" w:sz="8" w:color="E6E6E6"/>
              <w:right w:val="single" w:sz="8" w:color="E6E6E6"/>
            </w:tcBorders>
            <w:shd w:val="clear" w:color="auto" w:fill="E6E6E6"/>
          </w:tcPr>
          <w:p>
            <w:pPr>
              <w:spacing w:after="0"/>
              <w:rPr>
                <w:sz w:val="15"/>
                <w:szCs w:val="15"/>
                <w:color w:val="auto"/>
              </w:rPr>
            </w:pPr>
          </w:p>
        </w:tc>
        <w:tc>
          <w:tcPr>
            <w:tcW w:w="1460" w:type="dxa"/>
            <w:vAlign w:val="bottom"/>
            <w:tcBorders>
              <w:top w:val="single" w:sz="8" w:color="E6E6E6"/>
            </w:tcBorders>
            <w:gridSpan w:val="2"/>
            <w:shd w:val="clear" w:color="auto" w:fill="E6E6E6"/>
          </w:tcPr>
          <w:p>
            <w:pPr>
              <w:ind w:left="4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2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40" w:type="dxa"/>
            <w:vAlign w:val="bottom"/>
            <w:tcBorders>
              <w:top w:val="single" w:sz="8" w:color="auto"/>
            </w:tcBorders>
            <w:shd w:val="clear" w:color="auto" w:fill="E6E6E6"/>
          </w:tcPr>
          <w:p>
            <w:pPr>
              <w:spacing w:after="0"/>
              <w:rPr>
                <w:sz w:val="15"/>
                <w:szCs w:val="15"/>
                <w:color w:val="auto"/>
              </w:rPr>
            </w:pPr>
          </w:p>
        </w:tc>
        <w:tc>
          <w:tcPr>
            <w:tcW w:w="64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right w:val="single" w:sz="8" w:color="E6E6E6"/>
            </w:tcBorders>
            <w:shd w:val="clear" w:color="auto" w:fill="E6E6E6"/>
          </w:tcPr>
          <w:p>
            <w:pPr>
              <w:spacing w:after="0"/>
              <w:rPr>
                <w:sz w:val="15"/>
                <w:szCs w:val="15"/>
                <w:color w:val="auto"/>
              </w:rPr>
            </w:pPr>
          </w:p>
        </w:tc>
        <w:tc>
          <w:tcPr>
            <w:tcW w:w="34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0"/>
        </w:trPr>
        <w:tc>
          <w:tcPr>
            <w:tcW w:w="100" w:type="dxa"/>
            <w:vAlign w:val="bottom"/>
            <w:tcBorders>
              <w:right w:val="single" w:sz="8" w:color="C6C6C6"/>
            </w:tcBorders>
            <w:shd w:val="clear" w:color="auto" w:fill="E6E6E6"/>
          </w:tcPr>
          <w:p>
            <w:pPr>
              <w:spacing w:after="0"/>
              <w:rPr>
                <w:sz w:val="15"/>
                <w:szCs w:val="15"/>
                <w:color w:val="auto"/>
              </w:rPr>
            </w:pPr>
          </w:p>
        </w:tc>
        <w:tc>
          <w:tcPr>
            <w:tcW w:w="520" w:type="dxa"/>
            <w:vAlign w:val="bottom"/>
            <w:tcBorders>
              <w:right w:val="single" w:sz="8" w:color="E6E6E6"/>
            </w:tcBorders>
            <w:shd w:val="clear" w:color="auto" w:fill="E6E6E6"/>
          </w:tcPr>
          <w:p>
            <w:pPr>
              <w:spacing w:after="0"/>
              <w:rPr>
                <w:sz w:val="15"/>
                <w:szCs w:val="15"/>
                <w:color w:val="auto"/>
              </w:rPr>
            </w:pPr>
          </w:p>
        </w:tc>
        <w:tc>
          <w:tcPr>
            <w:tcW w:w="1460" w:type="dxa"/>
            <w:vAlign w:val="bottom"/>
            <w:gridSpan w:val="2"/>
            <w:shd w:val="clear" w:color="auto" w:fill="E6E6E6"/>
          </w:tcPr>
          <w:p>
            <w:pPr>
              <w:ind w:left="40"/>
              <w:spacing w:after="0"/>
              <w:rPr>
                <w:sz w:val="20"/>
                <w:szCs w:val="20"/>
                <w:color w:val="auto"/>
              </w:rPr>
            </w:pPr>
            <w:r>
              <w:rPr>
                <w:rFonts w:ascii="Arial" w:cs="Arial" w:eastAsia="Arial" w:hAnsi="Arial"/>
                <w:sz w:val="14"/>
                <w:szCs w:val="14"/>
                <w:color w:val="auto"/>
              </w:rPr>
              <w:t>and accruing</w:t>
            </w:r>
          </w:p>
        </w:tc>
        <w:tc>
          <w:tcPr>
            <w:tcW w:w="260" w:type="dxa"/>
            <w:vAlign w:val="bottom"/>
            <w:gridSpan w:val="3"/>
            <w:shd w:val="clear" w:color="auto" w:fill="E6E6E6"/>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gridSpan w:val="3"/>
            <w:shd w:val="clear" w:color="auto" w:fill="E6E6E6"/>
          </w:tcPr>
          <w:p>
            <w:pPr>
              <w:jc w:val="right"/>
              <w:ind w:right="129"/>
              <w:spacing w:after="0"/>
              <w:rPr>
                <w:sz w:val="20"/>
                <w:szCs w:val="20"/>
                <w:color w:val="auto"/>
              </w:rPr>
            </w:pPr>
            <w:r>
              <w:rPr>
                <w:rFonts w:ascii="Arial" w:cs="Arial" w:eastAsia="Arial" w:hAnsi="Arial"/>
                <w:sz w:val="14"/>
                <w:szCs w:val="14"/>
                <w:color w:val="auto"/>
              </w:rPr>
              <w:t>$</w:t>
            </w:r>
          </w:p>
        </w:tc>
        <w:tc>
          <w:tcPr>
            <w:tcW w:w="64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4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661"/>
        </w:trPr>
        <w:tc>
          <w:tcPr>
            <w:tcW w:w="100" w:type="dxa"/>
            <w:vAlign w:val="bottom"/>
            <w:tcBorders>
              <w:right w:val="single" w:sz="8" w:color="C6C6C6"/>
            </w:tcBorders>
            <w:shd w:val="clear" w:color="auto" w:fill="E6E6E6"/>
          </w:tcPr>
          <w:p>
            <w:pPr>
              <w:spacing w:after="0"/>
              <w:rPr>
                <w:sz w:val="24"/>
                <w:szCs w:val="24"/>
                <w:color w:val="auto"/>
              </w:rPr>
            </w:pPr>
          </w:p>
        </w:tc>
        <w:tc>
          <w:tcPr>
            <w:tcW w:w="520" w:type="dxa"/>
            <w:vAlign w:val="bottom"/>
            <w:tcBorders>
              <w:right w:val="single" w:sz="8" w:color="E6E6E6"/>
            </w:tcBorders>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jc w:val="center"/>
              <w:ind w:left="99"/>
              <w:spacing w:after="0"/>
              <w:rPr>
                <w:sz w:val="20"/>
                <w:szCs w:val="20"/>
                <w:color w:val="auto"/>
              </w:rPr>
            </w:pPr>
            <w:r>
              <w:rPr>
                <w:rFonts w:ascii="Arial" w:cs="Arial" w:eastAsia="Arial" w:hAnsi="Arial"/>
                <w:sz w:val="14"/>
                <w:szCs w:val="14"/>
                <w:color w:val="auto"/>
              </w:rPr>
              <w:t>26</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9"/>
        </w:trPr>
        <w:tc>
          <w:tcPr>
            <w:tcW w:w="100" w:type="dxa"/>
            <w:vAlign w:val="bottom"/>
            <w:tcBorders>
              <w:bottom w:val="single" w:sz="8" w:color="E6E6E6"/>
              <w:right w:val="single" w:sz="8" w:color="C6C6C6"/>
            </w:tcBorders>
            <w:shd w:val="clear" w:color="auto" w:fill="E6E6E6"/>
          </w:tcPr>
          <w:p>
            <w:pPr>
              <w:spacing w:after="0"/>
              <w:rPr>
                <w:sz w:val="18"/>
                <w:szCs w:val="18"/>
                <w:color w:val="auto"/>
              </w:rPr>
            </w:pPr>
          </w:p>
        </w:tc>
        <w:tc>
          <w:tcPr>
            <w:tcW w:w="520" w:type="dxa"/>
            <w:vAlign w:val="bottom"/>
            <w:tcBorders>
              <w:bottom w:val="single" w:sz="8" w:color="C6C6C6"/>
              <w:right w:val="single" w:sz="8" w:color="E6E6E6"/>
            </w:tcBorders>
            <w:shd w:val="clear" w:color="auto" w:fill="E6E6E6"/>
          </w:tcPr>
          <w:p>
            <w:pPr>
              <w:spacing w:after="0"/>
              <w:rPr>
                <w:sz w:val="18"/>
                <w:szCs w:val="18"/>
                <w:color w:val="auto"/>
              </w:rPr>
            </w:pPr>
          </w:p>
        </w:tc>
        <w:tc>
          <w:tcPr>
            <w:tcW w:w="900" w:type="dxa"/>
            <w:vAlign w:val="bottom"/>
            <w:tcBorders>
              <w:bottom w:val="single" w:sz="8" w:color="C6C6C6"/>
            </w:tcBorders>
            <w:shd w:val="clear" w:color="auto" w:fill="E6E6E6"/>
          </w:tcPr>
          <w:p>
            <w:pPr>
              <w:spacing w:after="0"/>
              <w:rPr>
                <w:sz w:val="18"/>
                <w:szCs w:val="18"/>
                <w:color w:val="auto"/>
              </w:rPr>
            </w:pPr>
          </w:p>
        </w:tc>
        <w:tc>
          <w:tcPr>
            <w:tcW w:w="56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40" w:type="dxa"/>
            <w:vAlign w:val="bottom"/>
            <w:tcBorders>
              <w:bottom w:val="single" w:sz="8" w:color="C6C6C6"/>
            </w:tcBorders>
            <w:shd w:val="clear" w:color="auto" w:fill="E6E6E6"/>
          </w:tcPr>
          <w:p>
            <w:pPr>
              <w:spacing w:after="0"/>
              <w:rPr>
                <w:sz w:val="18"/>
                <w:szCs w:val="18"/>
                <w:color w:val="auto"/>
              </w:rPr>
            </w:pPr>
          </w:p>
        </w:tc>
        <w:tc>
          <w:tcPr>
            <w:tcW w:w="72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5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7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7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240" w:type="dxa"/>
            <w:vAlign w:val="bottom"/>
            <w:tcBorders>
              <w:bottom w:val="single" w:sz="8" w:color="C6C6C6"/>
            </w:tcBorders>
            <w:shd w:val="clear" w:color="auto" w:fill="E6E6E6"/>
          </w:tcPr>
          <w:p>
            <w:pPr>
              <w:spacing w:after="0"/>
              <w:rPr>
                <w:sz w:val="18"/>
                <w:szCs w:val="18"/>
                <w:color w:val="auto"/>
              </w:rPr>
            </w:pPr>
          </w:p>
        </w:tc>
        <w:tc>
          <w:tcPr>
            <w:tcW w:w="64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20" w:type="dxa"/>
            <w:vAlign w:val="bottom"/>
            <w:tcBorders>
              <w:bottom w:val="single" w:sz="8" w:color="C6C6C6"/>
            </w:tcBorders>
            <w:shd w:val="clear" w:color="auto" w:fill="E6E6E6"/>
          </w:tcPr>
          <w:p>
            <w:pPr>
              <w:spacing w:after="0"/>
              <w:rPr>
                <w:sz w:val="18"/>
                <w:szCs w:val="18"/>
                <w:color w:val="auto"/>
              </w:rPr>
            </w:pPr>
          </w:p>
        </w:tc>
        <w:tc>
          <w:tcPr>
            <w:tcW w:w="76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78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8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140" w:type="dxa"/>
            <w:vAlign w:val="bottom"/>
            <w:tcBorders>
              <w:bottom w:val="single" w:sz="8" w:color="C6C6C6"/>
            </w:tcBorders>
            <w:shd w:val="clear" w:color="auto" w:fill="E6E6E6"/>
          </w:tcPr>
          <w:p>
            <w:pPr>
              <w:spacing w:after="0"/>
              <w:rPr>
                <w:sz w:val="18"/>
                <w:szCs w:val="18"/>
                <w:color w:val="auto"/>
              </w:rPr>
            </w:pPr>
          </w:p>
        </w:tc>
        <w:tc>
          <w:tcPr>
            <w:tcW w:w="760" w:type="dxa"/>
            <w:vAlign w:val="bottom"/>
            <w:tcBorders>
              <w:bottom w:val="single" w:sz="8" w:color="C6C6C6"/>
              <w:right w:val="single" w:sz="8" w:color="E6E6E6"/>
            </w:tcBorders>
            <w:shd w:val="clear" w:color="auto" w:fill="E6E6E6"/>
          </w:tcPr>
          <w:p>
            <w:pPr>
              <w:spacing w:after="0"/>
              <w:rPr>
                <w:sz w:val="18"/>
                <w:szCs w:val="18"/>
                <w:color w:val="auto"/>
              </w:rPr>
            </w:pPr>
          </w:p>
        </w:tc>
        <w:tc>
          <w:tcPr>
            <w:tcW w:w="34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right w:val="single" w:sz="8" w:color="C6C6C6"/>
            </w:tcBorders>
          </w:tcPr>
          <w:p>
            <w:pPr>
              <w:spacing w:after="0"/>
              <w:rPr>
                <w:sz w:val="18"/>
                <w:szCs w:val="18"/>
                <w:color w:val="auto"/>
              </w:rPr>
            </w:pPr>
          </w:p>
        </w:tc>
      </w:tr>
      <w:tr>
        <w:trPr>
          <w:trHeight w:val="7753"/>
        </w:trPr>
        <w:tc>
          <w:tcPr>
            <w:tcW w:w="100" w:type="dxa"/>
            <w:vAlign w:val="bottom"/>
            <w:tcBorders>
              <w:right w:val="single" w:sz="8" w:color="E6E6E6"/>
            </w:tcBorders>
            <w:shd w:val="clear" w:color="auto" w:fill="E6E6E6"/>
          </w:tcPr>
          <w:p>
            <w:pPr>
              <w:spacing w:after="0"/>
              <w:rPr>
                <w:sz w:val="24"/>
                <w:szCs w:val="24"/>
                <w:color w:val="auto"/>
              </w:rPr>
            </w:pPr>
          </w:p>
        </w:tc>
        <w:tc>
          <w:tcPr>
            <w:tcW w:w="520" w:type="dxa"/>
            <w:vAlign w:val="bottom"/>
            <w:tcBorders>
              <w:right w:val="single" w:sz="8" w:color="E6E6E6"/>
            </w:tcBorders>
            <w:shd w:val="clear" w:color="auto" w:fill="E6E6E6"/>
          </w:tcPr>
          <w:p>
            <w:pPr>
              <w:spacing w:after="0"/>
              <w:rPr>
                <w:sz w:val="24"/>
                <w:szCs w:val="24"/>
                <w:color w:val="auto"/>
              </w:rPr>
            </w:pPr>
          </w:p>
        </w:tc>
        <w:tc>
          <w:tcPr>
            <w:tcW w:w="90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40" w:type="dxa"/>
            <w:vAlign w:val="bottom"/>
            <w:shd w:val="clear" w:color="auto" w:fill="E6E6E6"/>
          </w:tcPr>
          <w:p>
            <w:pPr>
              <w:spacing w:after="0"/>
              <w:rPr>
                <w:sz w:val="24"/>
                <w:szCs w:val="24"/>
                <w:color w:val="auto"/>
              </w:rPr>
            </w:pPr>
          </w:p>
        </w:tc>
        <w:tc>
          <w:tcPr>
            <w:tcW w:w="64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760" w:type="dxa"/>
            <w:vAlign w:val="bottom"/>
            <w:tcBorders>
              <w:right w:val="single" w:sz="8" w:color="E6E6E6"/>
            </w:tcBorders>
            <w:shd w:val="clear" w:color="auto" w:fill="E6E6E6"/>
          </w:tcPr>
          <w:p>
            <w:pPr>
              <w:spacing w:after="0"/>
              <w:rPr>
                <w:sz w:val="24"/>
                <w:szCs w:val="24"/>
                <w:color w:val="auto"/>
              </w:rPr>
            </w:pPr>
          </w:p>
        </w:tc>
        <w:tc>
          <w:tcPr>
            <w:tcW w:w="340" w:type="dxa"/>
            <w:vAlign w:val="bottom"/>
            <w:shd w:val="clear" w:color="auto" w:fill="E6E6E6"/>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-10467340</wp:posOffset>
            </wp:positionV>
            <wp:extent cx="7162800" cy="55416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5541645"/>
                    </a:xfrm>
                    <a:prstGeom prst="rect">
                      <a:avLst/>
                    </a:prstGeom>
                    <a:noFill/>
                  </pic:spPr>
                </pic:pic>
              </a:graphicData>
            </a:graphic>
          </wp:anchor>
        </w:drawing>
      </w:r>
    </w:p>
    <w:p>
      <w:pPr>
        <w:sectPr>
          <w:pgSz w:w="11900" w:h="16900" w:orient="portrait"/>
          <w:cols w:equalWidth="0" w:num="1">
            <w:col w:w="11360"/>
          </w:cols>
          <w:pgMar w:left="300" w:top="140" w:right="239" w:bottom="0" w:gutter="0" w:footer="0" w:header="0"/>
        </w:sectPr>
      </w:pPr>
    </w:p>
    <w:bookmarkStart w:id="26" w:name="page27"/>
    <w:bookmarkEnd w:id="2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70"/>
        </w:trPr>
        <w:tc>
          <w:tcPr>
            <w:tcW w:w="100" w:type="dxa"/>
            <w:vAlign w:val="bottom"/>
            <w:tcBorders>
              <w:bottom w:val="single" w:sz="8" w:color="E6E6E6"/>
              <w:right w:val="single" w:sz="8" w:color="E6E6E6"/>
            </w:tcBorders>
            <w:shd w:val="clear" w:color="auto" w:fill="E6E6E6"/>
          </w:tcPr>
          <w:p>
            <w:pPr>
              <w:spacing w:after="0"/>
              <w:rPr>
                <w:sz w:val="6"/>
                <w:szCs w:val="6"/>
                <w:color w:val="auto"/>
              </w:rPr>
            </w:pPr>
          </w:p>
        </w:tc>
        <w:tc>
          <w:tcPr>
            <w:tcW w:w="480" w:type="dxa"/>
            <w:vAlign w:val="bottom"/>
            <w:tcBorders>
              <w:bottom w:val="single" w:sz="8" w:color="C6C6C6"/>
              <w:right w:val="single" w:sz="8" w:color="E6E6E6"/>
            </w:tcBorders>
            <w:shd w:val="clear" w:color="auto" w:fill="E6E6E6"/>
          </w:tcPr>
          <w:p>
            <w:pPr>
              <w:spacing w:after="0"/>
              <w:rPr>
                <w:sz w:val="6"/>
                <w:szCs w:val="6"/>
                <w:color w:val="auto"/>
              </w:rPr>
            </w:pPr>
          </w:p>
        </w:tc>
        <w:tc>
          <w:tcPr>
            <w:tcW w:w="940" w:type="dxa"/>
            <w:vAlign w:val="bottom"/>
            <w:tcBorders>
              <w:bottom w:val="single" w:sz="8" w:color="C6C6C6"/>
            </w:tcBorders>
            <w:shd w:val="clear" w:color="auto" w:fill="E6E6E6"/>
          </w:tcPr>
          <w:p>
            <w:pPr>
              <w:spacing w:after="0"/>
              <w:rPr>
                <w:sz w:val="6"/>
                <w:szCs w:val="6"/>
                <w:color w:val="auto"/>
              </w:rPr>
            </w:pPr>
          </w:p>
        </w:tc>
        <w:tc>
          <w:tcPr>
            <w:tcW w:w="56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76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5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7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10" w:type="dxa"/>
            <w:vAlign w:val="bottom"/>
            <w:tcBorders>
              <w:bottom w:val="single" w:sz="8" w:color="C6C6C6"/>
            </w:tcBorders>
            <w:shd w:val="clear" w:color="auto" w:fill="E6E6E6"/>
          </w:tcPr>
          <w:p>
            <w:pPr>
              <w:spacing w:after="0"/>
              <w:rPr>
                <w:sz w:val="6"/>
                <w:szCs w:val="6"/>
                <w:color w:val="auto"/>
              </w:rPr>
            </w:pPr>
          </w:p>
        </w:tc>
        <w:tc>
          <w:tcPr>
            <w:tcW w:w="77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220" w:type="dxa"/>
            <w:vAlign w:val="bottom"/>
            <w:tcBorders>
              <w:bottom w:val="single" w:sz="8" w:color="C6C6C6"/>
            </w:tcBorders>
            <w:shd w:val="clear" w:color="auto" w:fill="E6E6E6"/>
          </w:tcPr>
          <w:p>
            <w:pPr>
              <w:spacing w:after="0"/>
              <w:rPr>
                <w:sz w:val="6"/>
                <w:szCs w:val="6"/>
                <w:color w:val="auto"/>
              </w:rPr>
            </w:pPr>
          </w:p>
        </w:tc>
        <w:tc>
          <w:tcPr>
            <w:tcW w:w="66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20" w:type="dxa"/>
            <w:vAlign w:val="bottom"/>
            <w:tcBorders>
              <w:bottom w:val="single" w:sz="8" w:color="C6C6C6"/>
            </w:tcBorders>
            <w:shd w:val="clear" w:color="auto" w:fill="E6E6E6"/>
          </w:tcPr>
          <w:p>
            <w:pPr>
              <w:spacing w:after="0"/>
              <w:rPr>
                <w:sz w:val="6"/>
                <w:szCs w:val="6"/>
                <w:color w:val="auto"/>
              </w:rPr>
            </w:pPr>
          </w:p>
        </w:tc>
        <w:tc>
          <w:tcPr>
            <w:tcW w:w="120" w:type="dxa"/>
            <w:vAlign w:val="bottom"/>
            <w:tcBorders>
              <w:bottom w:val="single" w:sz="8" w:color="C6C6C6"/>
            </w:tcBorders>
            <w:shd w:val="clear" w:color="auto" w:fill="E6E6E6"/>
          </w:tcPr>
          <w:p>
            <w:pPr>
              <w:spacing w:after="0"/>
              <w:rPr>
                <w:sz w:val="6"/>
                <w:szCs w:val="6"/>
                <w:color w:val="auto"/>
              </w:rPr>
            </w:pPr>
          </w:p>
        </w:tc>
        <w:tc>
          <w:tcPr>
            <w:tcW w:w="76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78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80" w:type="dxa"/>
            <w:vAlign w:val="bottom"/>
            <w:tcBorders>
              <w:bottom w:val="single" w:sz="8" w:color="C6C6C6"/>
            </w:tcBorders>
            <w:shd w:val="clear" w:color="auto" w:fill="E6E6E6"/>
          </w:tcPr>
          <w:p>
            <w:pPr>
              <w:spacing w:after="0"/>
              <w:rPr>
                <w:sz w:val="6"/>
                <w:szCs w:val="6"/>
                <w:color w:val="auto"/>
              </w:rPr>
            </w:pPr>
          </w:p>
        </w:tc>
        <w:tc>
          <w:tcPr>
            <w:tcW w:w="8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shd w:val="clear" w:color="auto" w:fill="E6E6E6"/>
          </w:tcPr>
          <w:p>
            <w:pPr>
              <w:spacing w:after="0"/>
              <w:rPr>
                <w:sz w:val="6"/>
                <w:szCs w:val="6"/>
                <w:color w:val="auto"/>
              </w:rPr>
            </w:pPr>
          </w:p>
        </w:tc>
        <w:tc>
          <w:tcPr>
            <w:tcW w:w="140" w:type="dxa"/>
            <w:vAlign w:val="bottom"/>
            <w:tcBorders>
              <w:bottom w:val="single" w:sz="8" w:color="C6C6C6"/>
            </w:tcBorders>
            <w:shd w:val="clear" w:color="auto" w:fill="E6E6E6"/>
          </w:tcPr>
          <w:p>
            <w:pPr>
              <w:spacing w:after="0"/>
              <w:rPr>
                <w:sz w:val="6"/>
                <w:szCs w:val="6"/>
                <w:color w:val="auto"/>
              </w:rPr>
            </w:pPr>
          </w:p>
        </w:tc>
        <w:tc>
          <w:tcPr>
            <w:tcW w:w="800" w:type="dxa"/>
            <w:vAlign w:val="bottom"/>
            <w:tcBorders>
              <w:bottom w:val="single" w:sz="8" w:color="C6C6C6"/>
              <w:right w:val="single" w:sz="8" w:color="E6E6E6"/>
            </w:tcBorders>
            <w:shd w:val="clear" w:color="auto" w:fill="E6E6E6"/>
          </w:tcPr>
          <w:p>
            <w:pPr>
              <w:spacing w:after="0"/>
              <w:rPr>
                <w:sz w:val="6"/>
                <w:szCs w:val="6"/>
                <w:color w:val="auto"/>
              </w:rPr>
            </w:pPr>
          </w:p>
        </w:tc>
        <w:tc>
          <w:tcPr>
            <w:tcW w:w="300" w:type="dxa"/>
            <w:vAlign w:val="bottom"/>
            <w:tcBorders>
              <w:bottom w:val="single" w:sz="8" w:color="C6C6C6"/>
            </w:tcBorders>
            <w:shd w:val="clear" w:color="auto" w:fill="E6E6E6"/>
          </w:tcPr>
          <w:p>
            <w:pPr>
              <w:spacing w:after="0"/>
              <w:rPr>
                <w:sz w:val="6"/>
                <w:szCs w:val="6"/>
                <w:color w:val="auto"/>
              </w:rPr>
            </w:pPr>
          </w:p>
        </w:tc>
        <w:tc>
          <w:tcPr>
            <w:tcW w:w="100" w:type="dxa"/>
            <w:vAlign w:val="bottom"/>
            <w:tcBorders>
              <w:bottom w:val="single" w:sz="8" w:color="C6C6C6"/>
            </w:tcBorders>
          </w:tcPr>
          <w:p>
            <w:pPr>
              <w:spacing w:after="0"/>
              <w:rPr>
                <w:sz w:val="6"/>
                <w:szCs w:val="6"/>
                <w:color w:val="auto"/>
              </w:rPr>
            </w:pPr>
          </w:p>
        </w:tc>
      </w:tr>
      <w:tr>
        <w:trPr>
          <w:trHeight w:val="379"/>
        </w:trPr>
        <w:tc>
          <w:tcPr>
            <w:tcW w:w="100" w:type="dxa"/>
            <w:vAlign w:val="bottom"/>
            <w:tcBorders>
              <w:right w:val="single" w:sz="8" w:color="C6C6C6"/>
            </w:tcBorders>
            <w:shd w:val="clear" w:color="auto" w:fill="E6E6E6"/>
          </w:tcPr>
          <w:p>
            <w:pPr>
              <w:spacing w:after="0"/>
              <w:rPr>
                <w:sz w:val="24"/>
                <w:szCs w:val="24"/>
                <w:color w:val="auto"/>
              </w:rPr>
            </w:pPr>
          </w:p>
        </w:tc>
        <w:tc>
          <w:tcPr>
            <w:tcW w:w="1980" w:type="dxa"/>
            <w:vAlign w:val="bottom"/>
            <w:gridSpan w:val="3"/>
            <w:shd w:val="clear" w:color="auto" w:fill="E6E6E6"/>
          </w:tcPr>
          <w:p>
            <w:pPr>
              <w:ind w:left="420"/>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4690" w:type="dxa"/>
            <w:vAlign w:val="bottom"/>
            <w:gridSpan w:val="18"/>
            <w:shd w:val="clear" w:color="auto" w:fill="E6E6E6"/>
          </w:tcPr>
          <w:p>
            <w:pPr>
              <w:jc w:val="right"/>
              <w:ind w:right="289"/>
              <w:spacing w:after="0"/>
              <w:rPr>
                <w:sz w:val="20"/>
                <w:szCs w:val="20"/>
                <w:color w:val="auto"/>
              </w:rPr>
            </w:pPr>
            <w:r>
              <w:rPr>
                <w:rFonts w:ascii="Arial" w:cs="Arial" w:eastAsia="Arial" w:hAnsi="Arial"/>
                <w:sz w:val="14"/>
                <w:szCs w:val="14"/>
                <w:color w:val="auto"/>
              </w:rPr>
              <w:t>Notes to Condensed Consolidated Financial Statements (unaudited)</w:t>
            </w: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tcBorders>
              <w:right w:val="single" w:sz="8" w:color="E6E6E6"/>
            </w:tcBorders>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759"/>
        </w:trPr>
        <w:tc>
          <w:tcPr>
            <w:tcW w:w="100" w:type="dxa"/>
            <w:vAlign w:val="bottom"/>
            <w:tcBorders>
              <w:top w:val="single" w:sz="8" w:color="E6E6E6"/>
              <w:bottom w:val="single" w:sz="8" w:color="E6E6E6"/>
              <w:right w:val="single" w:sz="8" w:color="C6C6C6"/>
            </w:tcBorders>
            <w:shd w:val="clear" w:color="auto" w:fill="E6E6E6"/>
          </w:tcPr>
          <w:p>
            <w:pPr>
              <w:spacing w:after="0"/>
              <w:rPr>
                <w:sz w:val="24"/>
                <w:szCs w:val="24"/>
                <w:color w:val="auto"/>
              </w:rPr>
            </w:pPr>
          </w:p>
        </w:tc>
        <w:tc>
          <w:tcPr>
            <w:tcW w:w="480" w:type="dxa"/>
            <w:vAlign w:val="bottom"/>
            <w:tcBorders>
              <w:top w:val="single" w:sz="8" w:color="E6E6E6"/>
              <w:bottom w:val="single" w:sz="8" w:color="E6E6E6"/>
              <w:right w:val="single" w:sz="8" w:color="E6E6E6"/>
            </w:tcBorders>
            <w:shd w:val="clear" w:color="auto" w:fill="E6E6E6"/>
          </w:tcPr>
          <w:p>
            <w:pPr>
              <w:spacing w:after="0"/>
              <w:rPr>
                <w:sz w:val="24"/>
                <w:szCs w:val="24"/>
                <w:color w:val="auto"/>
              </w:rPr>
            </w:pPr>
          </w:p>
        </w:tc>
        <w:tc>
          <w:tcPr>
            <w:tcW w:w="940" w:type="dxa"/>
            <w:vAlign w:val="bottom"/>
            <w:tcBorders>
              <w:top w:val="single" w:sz="8" w:color="0000FF"/>
              <w:bottom w:val="single" w:sz="8" w:color="auto"/>
            </w:tcBorders>
            <w:shd w:val="clear" w:color="auto" w:fill="E6E6E6"/>
          </w:tcPr>
          <w:p>
            <w:pPr>
              <w:spacing w:after="0"/>
              <w:rPr>
                <w:sz w:val="24"/>
                <w:szCs w:val="24"/>
                <w:color w:val="auto"/>
              </w:rPr>
            </w:pPr>
          </w:p>
        </w:tc>
        <w:tc>
          <w:tcPr>
            <w:tcW w:w="56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76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8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10" w:type="dxa"/>
            <w:vAlign w:val="bottom"/>
            <w:tcBorders>
              <w:top w:val="single" w:sz="8" w:color="E6E6E6"/>
              <w:bottom w:val="single" w:sz="8" w:color="auto"/>
            </w:tcBorders>
            <w:shd w:val="clear" w:color="auto" w:fill="E6E6E6"/>
          </w:tcPr>
          <w:p>
            <w:pPr>
              <w:spacing w:after="0"/>
              <w:rPr>
                <w:sz w:val="24"/>
                <w:szCs w:val="24"/>
                <w:color w:val="auto"/>
              </w:rPr>
            </w:pPr>
          </w:p>
        </w:tc>
        <w:tc>
          <w:tcPr>
            <w:tcW w:w="75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8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10" w:type="dxa"/>
            <w:vAlign w:val="bottom"/>
            <w:tcBorders>
              <w:top w:val="single" w:sz="8" w:color="E6E6E6"/>
              <w:bottom w:val="single" w:sz="8" w:color="auto"/>
            </w:tcBorders>
            <w:shd w:val="clear" w:color="auto" w:fill="E6E6E6"/>
          </w:tcPr>
          <w:p>
            <w:pPr>
              <w:spacing w:after="0"/>
              <w:rPr>
                <w:sz w:val="24"/>
                <w:szCs w:val="24"/>
                <w:color w:val="auto"/>
              </w:rPr>
            </w:pPr>
          </w:p>
        </w:tc>
        <w:tc>
          <w:tcPr>
            <w:tcW w:w="770" w:type="dxa"/>
            <w:vAlign w:val="bottom"/>
            <w:tcBorders>
              <w:top w:val="single" w:sz="8" w:color="E6E6E6"/>
              <w:bottom w:val="single" w:sz="8" w:color="auto"/>
            </w:tcBorders>
            <w:shd w:val="clear" w:color="auto" w:fill="E6E6E6"/>
          </w:tcPr>
          <w:p>
            <w:pPr>
              <w:spacing w:after="0"/>
              <w:rPr>
                <w:sz w:val="24"/>
                <w:szCs w:val="24"/>
                <w:color w:val="auto"/>
              </w:rPr>
            </w:pPr>
          </w:p>
        </w:tc>
        <w:tc>
          <w:tcPr>
            <w:tcW w:w="8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200" w:type="dxa"/>
            <w:vAlign w:val="bottom"/>
            <w:tcBorders>
              <w:top w:val="single" w:sz="8" w:color="E6E6E6"/>
              <w:bottom w:val="single" w:sz="8" w:color="auto"/>
            </w:tcBorders>
            <w:gridSpan w:val="5"/>
            <w:shd w:val="clear" w:color="auto" w:fill="E6E6E6"/>
          </w:tcPr>
          <w:p>
            <w:pPr>
              <w:jc w:val="right"/>
              <w:spacing w:after="0"/>
              <w:rPr>
                <w:sz w:val="20"/>
                <w:szCs w:val="20"/>
                <w:color w:val="auto"/>
              </w:rPr>
            </w:pPr>
            <w:r>
              <w:rPr>
                <w:rFonts w:ascii="Arial" w:cs="Arial" w:eastAsia="Arial" w:hAnsi="Arial"/>
                <w:sz w:val="14"/>
                <w:szCs w:val="14"/>
                <w:b w:val="1"/>
                <w:bCs w:val="1"/>
                <w:color w:val="auto"/>
                <w:w w:val="89"/>
              </w:rPr>
              <w:t>As of June 30, 2022</w:t>
            </w:r>
          </w:p>
        </w:tc>
        <w:tc>
          <w:tcPr>
            <w:tcW w:w="660" w:type="dxa"/>
            <w:vAlign w:val="bottom"/>
            <w:tcBorders>
              <w:top w:val="single" w:sz="8" w:color="E6E6E6"/>
              <w:bottom w:val="single" w:sz="8" w:color="auto"/>
            </w:tcBorders>
            <w:shd w:val="clear" w:color="auto" w:fill="E6E6E6"/>
          </w:tcPr>
          <w:p>
            <w:pPr>
              <w:spacing w:after="0"/>
              <w:rPr>
                <w:sz w:val="24"/>
                <w:szCs w:val="24"/>
                <w:color w:val="auto"/>
              </w:rPr>
            </w:pPr>
          </w:p>
        </w:tc>
        <w:tc>
          <w:tcPr>
            <w:tcW w:w="80" w:type="dxa"/>
            <w:vAlign w:val="bottom"/>
            <w:tcBorders>
              <w:top w:val="single" w:sz="8" w:color="E6E6E6"/>
              <w:bottom w:val="single" w:sz="8" w:color="auto"/>
            </w:tcBorders>
            <w:shd w:val="clear" w:color="auto" w:fill="E6E6E6"/>
          </w:tcPr>
          <w:p>
            <w:pPr>
              <w:spacing w:after="0"/>
              <w:rPr>
                <w:sz w:val="24"/>
                <w:szCs w:val="24"/>
                <w:color w:val="auto"/>
              </w:rPr>
            </w:pPr>
          </w:p>
        </w:tc>
        <w:tc>
          <w:tcPr>
            <w:tcW w:w="20" w:type="dxa"/>
            <w:vAlign w:val="bottom"/>
            <w:tcBorders>
              <w:top w:val="single" w:sz="8" w:color="E6E6E6"/>
              <w:bottom w:val="single" w:sz="8" w:color="auto"/>
            </w:tcBorders>
            <w:shd w:val="clear" w:color="auto" w:fill="E6E6E6"/>
          </w:tcPr>
          <w:p>
            <w:pPr>
              <w:spacing w:after="0"/>
              <w:rPr>
                <w:sz w:val="24"/>
                <w:szCs w:val="24"/>
                <w:color w:val="auto"/>
              </w:rPr>
            </w:pPr>
          </w:p>
        </w:tc>
        <w:tc>
          <w:tcPr>
            <w:tcW w:w="120" w:type="dxa"/>
            <w:vAlign w:val="bottom"/>
            <w:tcBorders>
              <w:top w:val="single" w:sz="8" w:color="E6E6E6"/>
              <w:bottom w:val="single" w:sz="8" w:color="auto"/>
            </w:tcBorders>
            <w:shd w:val="clear" w:color="auto" w:fill="E6E6E6"/>
          </w:tcPr>
          <w:p>
            <w:pPr>
              <w:spacing w:after="0"/>
              <w:rPr>
                <w:sz w:val="24"/>
                <w:szCs w:val="24"/>
                <w:color w:val="auto"/>
              </w:rPr>
            </w:pPr>
          </w:p>
        </w:tc>
        <w:tc>
          <w:tcPr>
            <w:tcW w:w="76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78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80" w:type="dxa"/>
            <w:vAlign w:val="bottom"/>
            <w:tcBorders>
              <w:top w:val="single" w:sz="8" w:color="E6E6E6"/>
              <w:bottom w:val="single" w:sz="8" w:color="auto"/>
            </w:tcBorders>
            <w:shd w:val="clear" w:color="auto" w:fill="E6E6E6"/>
          </w:tcPr>
          <w:p>
            <w:pPr>
              <w:spacing w:after="0"/>
              <w:rPr>
                <w:sz w:val="24"/>
                <w:szCs w:val="24"/>
                <w:color w:val="auto"/>
              </w:rPr>
            </w:pPr>
          </w:p>
        </w:tc>
        <w:tc>
          <w:tcPr>
            <w:tcW w:w="800" w:type="dxa"/>
            <w:vAlign w:val="bottom"/>
            <w:tcBorders>
              <w:top w:val="single" w:sz="8" w:color="E6E6E6"/>
              <w:bottom w:val="single" w:sz="8" w:color="auto"/>
            </w:tcBorders>
            <w:shd w:val="clear" w:color="auto" w:fill="E6E6E6"/>
          </w:tcPr>
          <w:p>
            <w:pPr>
              <w:spacing w:after="0"/>
              <w:rPr>
                <w:sz w:val="24"/>
                <w:szCs w:val="24"/>
                <w:color w:val="auto"/>
              </w:rPr>
            </w:pPr>
          </w:p>
        </w:tc>
        <w:tc>
          <w:tcPr>
            <w:tcW w:w="100" w:type="dxa"/>
            <w:vAlign w:val="bottom"/>
            <w:tcBorders>
              <w:top w:val="single" w:sz="8" w:color="E6E6E6"/>
              <w:bottom w:val="single" w:sz="8" w:color="auto"/>
            </w:tcBorders>
            <w:shd w:val="clear" w:color="auto" w:fill="E6E6E6"/>
          </w:tcPr>
          <w:p>
            <w:pPr>
              <w:spacing w:after="0"/>
              <w:rPr>
                <w:sz w:val="24"/>
                <w:szCs w:val="24"/>
                <w:color w:val="auto"/>
              </w:rPr>
            </w:pPr>
          </w:p>
        </w:tc>
        <w:tc>
          <w:tcPr>
            <w:tcW w:w="140" w:type="dxa"/>
            <w:vAlign w:val="bottom"/>
            <w:tcBorders>
              <w:top w:val="single" w:sz="8" w:color="E6E6E6"/>
              <w:bottom w:val="single" w:sz="8" w:color="auto"/>
            </w:tcBorders>
            <w:shd w:val="clear" w:color="auto" w:fill="E6E6E6"/>
          </w:tcPr>
          <w:p>
            <w:pPr>
              <w:spacing w:after="0"/>
              <w:rPr>
                <w:sz w:val="24"/>
                <w:szCs w:val="24"/>
                <w:color w:val="auto"/>
              </w:rPr>
            </w:pPr>
          </w:p>
        </w:tc>
        <w:tc>
          <w:tcPr>
            <w:tcW w:w="800" w:type="dxa"/>
            <w:vAlign w:val="bottom"/>
            <w:tcBorders>
              <w:top w:val="single" w:sz="8" w:color="E6E6E6"/>
              <w:bottom w:val="single" w:sz="8" w:color="auto"/>
              <w:right w:val="single" w:sz="8" w:color="E6E6E6"/>
            </w:tcBorders>
            <w:shd w:val="clear" w:color="auto" w:fill="E6E6E6"/>
          </w:tcPr>
          <w:p>
            <w:pPr>
              <w:spacing w:after="0"/>
              <w:rPr>
                <w:sz w:val="24"/>
                <w:szCs w:val="24"/>
                <w:color w:val="auto"/>
              </w:rPr>
            </w:pPr>
          </w:p>
        </w:tc>
        <w:tc>
          <w:tcPr>
            <w:tcW w:w="300" w:type="dxa"/>
            <w:vAlign w:val="bottom"/>
            <w:tcBorders>
              <w:top w:val="single" w:sz="8" w:color="E6E6E6"/>
              <w:bottom w:val="single" w:sz="8" w:color="E6E6E6"/>
            </w:tcBorders>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172"/>
        </w:trPr>
        <w:tc>
          <w:tcPr>
            <w:tcW w:w="100" w:type="dxa"/>
            <w:vAlign w:val="bottom"/>
            <w:tcBorders>
              <w:bottom w:val="single" w:sz="8" w:color="E6E6E6"/>
              <w:right w:val="single" w:sz="8" w:color="C6C6C6"/>
            </w:tcBorders>
            <w:shd w:val="clear" w:color="auto" w:fill="E6E6E6"/>
          </w:tcPr>
          <w:p>
            <w:pPr>
              <w:spacing w:after="0"/>
              <w:rPr>
                <w:sz w:val="14"/>
                <w:szCs w:val="14"/>
                <w:color w:val="auto"/>
              </w:rPr>
            </w:pPr>
          </w:p>
        </w:tc>
        <w:tc>
          <w:tcPr>
            <w:tcW w:w="480" w:type="dxa"/>
            <w:vAlign w:val="bottom"/>
            <w:tcBorders>
              <w:bottom w:val="single" w:sz="8" w:color="E6E6E6"/>
              <w:right w:val="single" w:sz="8" w:color="E6E6E6"/>
            </w:tcBorders>
            <w:shd w:val="clear" w:color="auto" w:fill="E6E6E6"/>
          </w:tcPr>
          <w:p>
            <w:pPr>
              <w:spacing w:after="0"/>
              <w:rPr>
                <w:sz w:val="14"/>
                <w:szCs w:val="14"/>
                <w:color w:val="auto"/>
              </w:rPr>
            </w:pPr>
          </w:p>
        </w:tc>
        <w:tc>
          <w:tcPr>
            <w:tcW w:w="940" w:type="dxa"/>
            <w:vAlign w:val="bottom"/>
            <w:tcBorders>
              <w:bottom w:val="single" w:sz="8" w:color="E6E6E6"/>
            </w:tcBorders>
            <w:shd w:val="clear" w:color="auto" w:fill="E6E6E6"/>
          </w:tcPr>
          <w:p>
            <w:pPr>
              <w:spacing w:after="0"/>
              <w:rPr>
                <w:sz w:val="14"/>
                <w:szCs w:val="14"/>
                <w:color w:val="auto"/>
              </w:rPr>
            </w:pPr>
          </w:p>
        </w:tc>
        <w:tc>
          <w:tcPr>
            <w:tcW w:w="56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76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3920" w:type="dxa"/>
            <w:vAlign w:val="bottom"/>
            <w:tcBorders>
              <w:bottom w:val="single" w:sz="8" w:color="auto"/>
            </w:tcBorders>
            <w:gridSpan w:val="17"/>
            <w:shd w:val="clear" w:color="auto" w:fill="E6E6E6"/>
          </w:tcPr>
          <w:p>
            <w:pPr>
              <w:jc w:val="right"/>
              <w:ind w:right="29"/>
              <w:spacing w:after="0"/>
              <w:rPr>
                <w:sz w:val="20"/>
                <w:szCs w:val="20"/>
                <w:color w:val="auto"/>
              </w:rPr>
            </w:pPr>
            <w:r>
              <w:rPr>
                <w:rFonts w:ascii="Arial" w:cs="Arial" w:eastAsia="Arial" w:hAnsi="Arial"/>
                <w:sz w:val="14"/>
                <w:szCs w:val="14"/>
                <w:b w:val="1"/>
                <w:bCs w:val="1"/>
                <w:color w:val="auto"/>
                <w:w w:val="91"/>
              </w:rPr>
              <w:t>Amortized Cost Basis by Origination Year and Past Due Status</w:t>
            </w:r>
          </w:p>
        </w:tc>
        <w:tc>
          <w:tcPr>
            <w:tcW w:w="80" w:type="dxa"/>
            <w:vAlign w:val="bottom"/>
            <w:tcBorders>
              <w:bottom w:val="single" w:sz="8" w:color="auto"/>
            </w:tcBorders>
            <w:shd w:val="clear" w:color="auto" w:fill="E6E6E6"/>
          </w:tcPr>
          <w:p>
            <w:pPr>
              <w:spacing w:after="0"/>
              <w:rPr>
                <w:sz w:val="14"/>
                <w:szCs w:val="14"/>
                <w:color w:val="auto"/>
              </w:rPr>
            </w:pPr>
          </w:p>
        </w:tc>
        <w:tc>
          <w:tcPr>
            <w:tcW w:w="20" w:type="dxa"/>
            <w:vAlign w:val="bottom"/>
            <w:tcBorders>
              <w:bottom w:val="single" w:sz="8" w:color="auto"/>
            </w:tcBorders>
            <w:shd w:val="clear" w:color="auto" w:fill="E6E6E6"/>
          </w:tcPr>
          <w:p>
            <w:pPr>
              <w:spacing w:after="0"/>
              <w:rPr>
                <w:sz w:val="14"/>
                <w:szCs w:val="14"/>
                <w:color w:val="auto"/>
              </w:rPr>
            </w:pPr>
          </w:p>
        </w:tc>
        <w:tc>
          <w:tcPr>
            <w:tcW w:w="120" w:type="dxa"/>
            <w:vAlign w:val="bottom"/>
            <w:tcBorders>
              <w:bottom w:val="single" w:sz="8" w:color="auto"/>
            </w:tcBorders>
            <w:shd w:val="clear" w:color="auto" w:fill="E6E6E6"/>
          </w:tcPr>
          <w:p>
            <w:pPr>
              <w:spacing w:after="0"/>
              <w:rPr>
                <w:sz w:val="14"/>
                <w:szCs w:val="14"/>
                <w:color w:val="auto"/>
              </w:rPr>
            </w:pPr>
          </w:p>
        </w:tc>
        <w:tc>
          <w:tcPr>
            <w:tcW w:w="760" w:type="dxa"/>
            <w:vAlign w:val="bottom"/>
            <w:tcBorders>
              <w:bottom w:val="single" w:sz="8" w:color="auto"/>
            </w:tcBorders>
            <w:shd w:val="clear" w:color="auto" w:fill="E6E6E6"/>
          </w:tcPr>
          <w:p>
            <w:pPr>
              <w:spacing w:after="0"/>
              <w:rPr>
                <w:sz w:val="14"/>
                <w:szCs w:val="14"/>
                <w:color w:val="auto"/>
              </w:rPr>
            </w:pPr>
          </w:p>
        </w:tc>
        <w:tc>
          <w:tcPr>
            <w:tcW w:w="10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bottom w:val="single" w:sz="8" w:color="auto"/>
            </w:tcBorders>
            <w:shd w:val="clear" w:color="auto" w:fill="E6E6E6"/>
          </w:tcPr>
          <w:p>
            <w:pPr>
              <w:spacing w:after="0"/>
              <w:rPr>
                <w:sz w:val="14"/>
                <w:szCs w:val="14"/>
                <w:color w:val="auto"/>
              </w:rPr>
            </w:pPr>
          </w:p>
        </w:tc>
        <w:tc>
          <w:tcPr>
            <w:tcW w:w="2000" w:type="dxa"/>
            <w:vAlign w:val="bottom"/>
            <w:tcBorders>
              <w:bottom w:val="single" w:sz="8" w:color="auto"/>
            </w:tcBorders>
            <w:gridSpan w:val="6"/>
            <w:shd w:val="clear" w:color="auto" w:fill="E6E6E6"/>
          </w:tcPr>
          <w:p>
            <w:pPr>
              <w:jc w:val="right"/>
              <w:spacing w:after="0"/>
              <w:rPr>
                <w:sz w:val="20"/>
                <w:szCs w:val="20"/>
                <w:color w:val="auto"/>
              </w:rPr>
            </w:pPr>
            <w:r>
              <w:rPr>
                <w:rFonts w:ascii="Arial" w:cs="Arial" w:eastAsia="Arial" w:hAnsi="Arial"/>
                <w:sz w:val="14"/>
                <w:szCs w:val="14"/>
                <w:b w:val="1"/>
                <w:bCs w:val="1"/>
                <w:color w:val="auto"/>
              </w:rPr>
              <w:t>Amortized Cost Basis</w:t>
            </w:r>
          </w:p>
        </w:tc>
        <w:tc>
          <w:tcPr>
            <w:tcW w:w="800" w:type="dxa"/>
            <w:vAlign w:val="bottom"/>
            <w:tcBorders>
              <w:bottom w:val="single" w:sz="8" w:color="auto"/>
              <w:right w:val="single" w:sz="8" w:color="E6E6E6"/>
            </w:tcBorders>
            <w:shd w:val="clear" w:color="auto" w:fill="E6E6E6"/>
          </w:tcPr>
          <w:p>
            <w:pPr>
              <w:spacing w:after="0"/>
              <w:rPr>
                <w:sz w:val="14"/>
                <w:szCs w:val="14"/>
                <w:color w:val="auto"/>
              </w:rPr>
            </w:pPr>
          </w:p>
        </w:tc>
        <w:tc>
          <w:tcPr>
            <w:tcW w:w="300" w:type="dxa"/>
            <w:vAlign w:val="bottom"/>
            <w:tcBorders>
              <w:bottom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254"/>
        </w:trPr>
        <w:tc>
          <w:tcPr>
            <w:tcW w:w="100" w:type="dxa"/>
            <w:vAlign w:val="bottom"/>
            <w:tcBorders>
              <w:right w:val="single" w:sz="8" w:color="C6C6C6"/>
            </w:tcBorders>
            <w:shd w:val="clear" w:color="auto" w:fill="E6E6E6"/>
          </w:tcPr>
          <w:p>
            <w:pPr>
              <w:spacing w:after="0"/>
              <w:rPr>
                <w:sz w:val="22"/>
                <w:szCs w:val="22"/>
                <w:color w:val="auto"/>
              </w:rPr>
            </w:pPr>
          </w:p>
        </w:tc>
        <w:tc>
          <w:tcPr>
            <w:tcW w:w="480" w:type="dxa"/>
            <w:vAlign w:val="bottom"/>
            <w:tcBorders>
              <w:right w:val="single" w:sz="8" w:color="E6E6E6"/>
            </w:tcBorders>
            <w:shd w:val="clear" w:color="auto" w:fill="E6E6E6"/>
          </w:tcPr>
          <w:p>
            <w:pPr>
              <w:spacing w:after="0"/>
              <w:rPr>
                <w:sz w:val="22"/>
                <w:szCs w:val="22"/>
                <w:color w:val="auto"/>
              </w:rPr>
            </w:pPr>
          </w:p>
        </w:tc>
        <w:tc>
          <w:tcPr>
            <w:tcW w:w="940" w:type="dxa"/>
            <w:vAlign w:val="bottom"/>
            <w:shd w:val="clear" w:color="auto" w:fill="E6E6E6"/>
          </w:tcPr>
          <w:p>
            <w:pPr>
              <w:spacing w:after="0"/>
              <w:rPr>
                <w:sz w:val="22"/>
                <w:szCs w:val="22"/>
                <w:color w:val="auto"/>
              </w:rPr>
            </w:pPr>
          </w:p>
        </w:tc>
        <w:tc>
          <w:tcPr>
            <w:tcW w:w="5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0" w:type="dxa"/>
            <w:vAlign w:val="bottom"/>
            <w:shd w:val="clear" w:color="auto" w:fill="E6E6E6"/>
          </w:tcPr>
          <w:p>
            <w:pPr>
              <w:spacing w:after="0"/>
              <w:rPr>
                <w:sz w:val="22"/>
                <w:szCs w:val="22"/>
                <w:color w:val="auto"/>
              </w:rPr>
            </w:pPr>
          </w:p>
        </w:tc>
        <w:tc>
          <w:tcPr>
            <w:tcW w:w="75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0" w:type="dxa"/>
            <w:vAlign w:val="bottom"/>
            <w:shd w:val="clear" w:color="auto" w:fill="E6E6E6"/>
          </w:tcPr>
          <w:p>
            <w:pPr>
              <w:spacing w:after="0"/>
              <w:rPr>
                <w:sz w:val="22"/>
                <w:szCs w:val="22"/>
                <w:color w:val="auto"/>
              </w:rPr>
            </w:pPr>
          </w:p>
        </w:tc>
        <w:tc>
          <w:tcPr>
            <w:tcW w:w="77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10" w:type="dxa"/>
            <w:vAlign w:val="bottom"/>
            <w:shd w:val="clear" w:color="auto" w:fill="E6E6E6"/>
          </w:tcPr>
          <w:p>
            <w:pPr>
              <w:spacing w:after="0"/>
              <w:rPr>
                <w:sz w:val="22"/>
                <w:szCs w:val="22"/>
                <w:color w:val="auto"/>
              </w:rPr>
            </w:pPr>
          </w:p>
        </w:tc>
        <w:tc>
          <w:tcPr>
            <w:tcW w:w="77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220" w:type="dxa"/>
            <w:vAlign w:val="bottom"/>
            <w:shd w:val="clear" w:color="auto" w:fill="E6E6E6"/>
          </w:tcPr>
          <w:p>
            <w:pPr>
              <w:spacing w:after="0"/>
              <w:rPr>
                <w:sz w:val="22"/>
                <w:szCs w:val="22"/>
                <w:color w:val="auto"/>
              </w:rPr>
            </w:pPr>
          </w:p>
        </w:tc>
        <w:tc>
          <w:tcPr>
            <w:tcW w:w="66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2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76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780" w:type="dxa"/>
            <w:vAlign w:val="bottom"/>
            <w:shd w:val="clear" w:color="auto" w:fill="E6E6E6"/>
          </w:tcPr>
          <w:p>
            <w:pPr>
              <w:spacing w:after="0"/>
              <w:rPr>
                <w:sz w:val="22"/>
                <w:szCs w:val="22"/>
                <w:color w:val="auto"/>
              </w:rPr>
            </w:pPr>
          </w:p>
        </w:tc>
        <w:tc>
          <w:tcPr>
            <w:tcW w:w="100" w:type="dxa"/>
            <w:vAlign w:val="bottom"/>
            <w:shd w:val="clear" w:color="auto" w:fill="E6E6E6"/>
          </w:tcPr>
          <w:p>
            <w:pPr>
              <w:spacing w:after="0"/>
              <w:rPr>
                <w:sz w:val="22"/>
                <w:szCs w:val="22"/>
                <w:color w:val="auto"/>
              </w:rPr>
            </w:pPr>
          </w:p>
        </w:tc>
        <w:tc>
          <w:tcPr>
            <w:tcW w:w="80" w:type="dxa"/>
            <w:vAlign w:val="bottom"/>
            <w:shd w:val="clear" w:color="auto" w:fill="E6E6E6"/>
          </w:tcPr>
          <w:p>
            <w:pPr>
              <w:spacing w:after="0"/>
              <w:rPr>
                <w:sz w:val="22"/>
                <w:szCs w:val="22"/>
                <w:color w:val="auto"/>
              </w:rPr>
            </w:pPr>
          </w:p>
        </w:tc>
        <w:tc>
          <w:tcPr>
            <w:tcW w:w="800" w:type="dxa"/>
            <w:vAlign w:val="bottom"/>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89"/>
              </w:rPr>
              <w:t>Revolving</w:t>
            </w:r>
          </w:p>
        </w:tc>
        <w:tc>
          <w:tcPr>
            <w:tcW w:w="100" w:type="dxa"/>
            <w:vAlign w:val="bottom"/>
            <w:shd w:val="clear" w:color="auto" w:fill="E6E6E6"/>
          </w:tcPr>
          <w:p>
            <w:pPr>
              <w:spacing w:after="0"/>
              <w:rPr>
                <w:sz w:val="22"/>
                <w:szCs w:val="22"/>
                <w:color w:val="auto"/>
              </w:rPr>
            </w:pPr>
          </w:p>
        </w:tc>
        <w:tc>
          <w:tcPr>
            <w:tcW w:w="140" w:type="dxa"/>
            <w:vAlign w:val="bottom"/>
            <w:shd w:val="clear" w:color="auto" w:fill="E6E6E6"/>
          </w:tcPr>
          <w:p>
            <w:pPr>
              <w:spacing w:after="0"/>
              <w:rPr>
                <w:sz w:val="22"/>
                <w:szCs w:val="22"/>
                <w:color w:val="auto"/>
              </w:rPr>
            </w:pPr>
          </w:p>
        </w:tc>
        <w:tc>
          <w:tcPr>
            <w:tcW w:w="800" w:type="dxa"/>
            <w:vAlign w:val="bottom"/>
            <w:tcBorders>
              <w:right w:val="single" w:sz="8" w:color="E6E6E6"/>
            </w:tcBorders>
            <w:shd w:val="clear" w:color="auto" w:fill="E6E6E6"/>
          </w:tcPr>
          <w:p>
            <w:pPr>
              <w:spacing w:after="0"/>
              <w:rPr>
                <w:sz w:val="22"/>
                <w:szCs w:val="22"/>
                <w:color w:val="auto"/>
              </w:rPr>
            </w:pPr>
          </w:p>
        </w:tc>
        <w:tc>
          <w:tcPr>
            <w:tcW w:w="300" w:type="dxa"/>
            <w:vAlign w:val="bottom"/>
            <w:shd w:val="clear" w:color="auto" w:fill="E6E6E6"/>
          </w:tcPr>
          <w:p>
            <w:pPr>
              <w:spacing w:after="0"/>
              <w:rPr>
                <w:sz w:val="22"/>
                <w:szCs w:val="22"/>
                <w:color w:val="auto"/>
              </w:rPr>
            </w:pPr>
          </w:p>
        </w:tc>
        <w:tc>
          <w:tcPr>
            <w:tcW w:w="100" w:type="dxa"/>
            <w:vAlign w:val="bottom"/>
            <w:tcBorders>
              <w:right w:val="single" w:sz="8" w:color="C6C6C6"/>
            </w:tcBorders>
          </w:tcPr>
          <w:p>
            <w:pPr>
              <w:spacing w:after="0"/>
              <w:rPr>
                <w:sz w:val="22"/>
                <w:szCs w:val="22"/>
                <w:color w:val="auto"/>
              </w:rPr>
            </w:pPr>
          </w:p>
        </w:tc>
      </w:tr>
      <w:tr>
        <w:trPr>
          <w:trHeight w:val="171"/>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5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5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220" w:type="dxa"/>
            <w:vAlign w:val="bottom"/>
            <w:shd w:val="clear" w:color="auto" w:fill="E6E6E6"/>
          </w:tcPr>
          <w:p>
            <w:pPr>
              <w:spacing w:after="0"/>
              <w:rPr>
                <w:sz w:val="14"/>
                <w:szCs w:val="14"/>
                <w:color w:val="auto"/>
              </w:rPr>
            </w:pPr>
          </w:p>
        </w:tc>
        <w:tc>
          <w:tcPr>
            <w:tcW w:w="66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20" w:type="dxa"/>
            <w:vAlign w:val="bottom"/>
            <w:shd w:val="clear" w:color="auto" w:fill="E6E6E6"/>
          </w:tcPr>
          <w:p>
            <w:pPr>
              <w:spacing w:after="0"/>
              <w:rPr>
                <w:sz w:val="14"/>
                <w:szCs w:val="14"/>
                <w:color w:val="auto"/>
              </w:rPr>
            </w:pPr>
          </w:p>
        </w:tc>
        <w:tc>
          <w:tcPr>
            <w:tcW w:w="7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0" w:type="dxa"/>
            <w:vAlign w:val="bottom"/>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00" w:type="dxa"/>
            <w:vAlign w:val="bottom"/>
            <w:tcBorders>
              <w:right w:val="single" w:sz="8" w:color="E6E6E6"/>
            </w:tcBorders>
            <w:shd w:val="clear" w:color="auto" w:fill="E6E6E6"/>
          </w:tcPr>
          <w:p>
            <w:pPr>
              <w:spacing w:after="0"/>
              <w:rPr>
                <w:sz w:val="14"/>
                <w:szCs w:val="14"/>
                <w:color w:val="auto"/>
              </w:rPr>
            </w:pP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60"/>
        </w:trPr>
        <w:tc>
          <w:tcPr>
            <w:tcW w:w="100" w:type="dxa"/>
            <w:vAlign w:val="bottom"/>
            <w:tcBorders>
              <w:right w:val="single" w:sz="8" w:color="C6C6C6"/>
            </w:tcBorders>
            <w:shd w:val="clear" w:color="auto" w:fill="E6E6E6"/>
          </w:tcPr>
          <w:p>
            <w:pPr>
              <w:spacing w:after="0"/>
              <w:rPr>
                <w:sz w:val="13"/>
                <w:szCs w:val="13"/>
                <w:color w:val="auto"/>
              </w:rPr>
            </w:pPr>
          </w:p>
        </w:tc>
        <w:tc>
          <w:tcPr>
            <w:tcW w:w="480" w:type="dxa"/>
            <w:vAlign w:val="bottom"/>
            <w:tcBorders>
              <w:right w:val="single" w:sz="8" w:color="E6E6E6"/>
            </w:tcBorders>
            <w:shd w:val="clear" w:color="auto" w:fill="E6E6E6"/>
          </w:tcPr>
          <w:p>
            <w:pPr>
              <w:spacing w:after="0"/>
              <w:rPr>
                <w:sz w:val="13"/>
                <w:szCs w:val="13"/>
                <w:color w:val="auto"/>
              </w:rPr>
            </w:pPr>
          </w:p>
        </w:tc>
        <w:tc>
          <w:tcPr>
            <w:tcW w:w="940" w:type="dxa"/>
            <w:vAlign w:val="bottom"/>
            <w:shd w:val="clear" w:color="auto" w:fill="E6E6E6"/>
          </w:tcPr>
          <w:p>
            <w:pPr>
              <w:spacing w:after="0"/>
              <w:rPr>
                <w:sz w:val="13"/>
                <w:szCs w:val="13"/>
                <w:color w:val="auto"/>
              </w:rPr>
            </w:pPr>
          </w:p>
        </w:tc>
        <w:tc>
          <w:tcPr>
            <w:tcW w:w="56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6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5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7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10" w:type="dxa"/>
            <w:vAlign w:val="bottom"/>
            <w:shd w:val="clear" w:color="auto" w:fill="E6E6E6"/>
          </w:tcPr>
          <w:p>
            <w:pPr>
              <w:spacing w:after="0"/>
              <w:rPr>
                <w:sz w:val="13"/>
                <w:szCs w:val="13"/>
                <w:color w:val="auto"/>
              </w:rPr>
            </w:pPr>
          </w:p>
        </w:tc>
        <w:tc>
          <w:tcPr>
            <w:tcW w:w="77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220" w:type="dxa"/>
            <w:vAlign w:val="bottom"/>
            <w:shd w:val="clear" w:color="auto" w:fill="E6E6E6"/>
          </w:tcPr>
          <w:p>
            <w:pPr>
              <w:spacing w:after="0"/>
              <w:rPr>
                <w:sz w:val="13"/>
                <w:szCs w:val="13"/>
                <w:color w:val="auto"/>
              </w:rPr>
            </w:pPr>
          </w:p>
        </w:tc>
        <w:tc>
          <w:tcPr>
            <w:tcW w:w="660" w:type="dxa"/>
            <w:vAlign w:val="bottom"/>
            <w:shd w:val="clear" w:color="auto" w:fill="E6E6E6"/>
          </w:tcPr>
          <w:p>
            <w:pPr>
              <w:spacing w:after="0"/>
              <w:rPr>
                <w:sz w:val="13"/>
                <w:szCs w:val="13"/>
                <w:color w:val="auto"/>
              </w:rPr>
            </w:pPr>
          </w:p>
        </w:tc>
        <w:tc>
          <w:tcPr>
            <w:tcW w:w="80" w:type="dxa"/>
            <w:vAlign w:val="bottom"/>
            <w:shd w:val="clear" w:color="auto" w:fill="E6E6E6"/>
          </w:tcPr>
          <w:p>
            <w:pPr>
              <w:spacing w:after="0"/>
              <w:rPr>
                <w:sz w:val="13"/>
                <w:szCs w:val="13"/>
                <w:color w:val="auto"/>
              </w:rPr>
            </w:pPr>
          </w:p>
        </w:tc>
        <w:tc>
          <w:tcPr>
            <w:tcW w:w="20" w:type="dxa"/>
            <w:vAlign w:val="bottom"/>
            <w:shd w:val="clear" w:color="auto" w:fill="E6E6E6"/>
          </w:tcPr>
          <w:p>
            <w:pPr>
              <w:spacing w:after="0"/>
              <w:rPr>
                <w:sz w:val="13"/>
                <w:szCs w:val="13"/>
                <w:color w:val="auto"/>
              </w:rPr>
            </w:pPr>
          </w:p>
        </w:tc>
        <w:tc>
          <w:tcPr>
            <w:tcW w:w="120" w:type="dxa"/>
            <w:vAlign w:val="bottom"/>
            <w:shd w:val="clear" w:color="auto" w:fill="E6E6E6"/>
          </w:tcPr>
          <w:p>
            <w:pPr>
              <w:spacing w:after="0"/>
              <w:rPr>
                <w:sz w:val="13"/>
                <w:szCs w:val="13"/>
                <w:color w:val="auto"/>
              </w:rPr>
            </w:pPr>
          </w:p>
        </w:tc>
        <w:tc>
          <w:tcPr>
            <w:tcW w:w="760" w:type="dxa"/>
            <w:vAlign w:val="bottom"/>
            <w:shd w:val="clear" w:color="auto" w:fill="E6E6E6"/>
          </w:tcPr>
          <w:p>
            <w:pPr>
              <w:jc w:val="right"/>
              <w:ind w:right="129"/>
              <w:spacing w:after="0"/>
              <w:rPr>
                <w:sz w:val="20"/>
                <w:szCs w:val="20"/>
                <w:color w:val="auto"/>
              </w:rPr>
            </w:pPr>
            <w:r>
              <w:rPr>
                <w:rFonts w:ascii="Arial" w:cs="Arial" w:eastAsia="Arial" w:hAnsi="Arial"/>
                <w:sz w:val="14"/>
                <w:szCs w:val="14"/>
                <w:b w:val="1"/>
                <w:bCs w:val="1"/>
                <w:color w:val="auto"/>
                <w:w w:val="90"/>
              </w:rPr>
              <w:t>2017 and</w:t>
            </w:r>
          </w:p>
        </w:tc>
        <w:tc>
          <w:tcPr>
            <w:tcW w:w="100" w:type="dxa"/>
            <w:vAlign w:val="bottom"/>
            <w:shd w:val="clear" w:color="auto" w:fill="E6E6E6"/>
          </w:tcPr>
          <w:p>
            <w:pPr>
              <w:spacing w:after="0"/>
              <w:rPr>
                <w:sz w:val="13"/>
                <w:szCs w:val="13"/>
                <w:color w:val="auto"/>
              </w:rPr>
            </w:pPr>
          </w:p>
        </w:tc>
        <w:tc>
          <w:tcPr>
            <w:tcW w:w="100" w:type="dxa"/>
            <w:vAlign w:val="bottom"/>
            <w:shd w:val="clear" w:color="auto" w:fill="E6E6E6"/>
          </w:tcPr>
          <w:p>
            <w:pPr>
              <w:spacing w:after="0"/>
              <w:rPr>
                <w:sz w:val="13"/>
                <w:szCs w:val="13"/>
                <w:color w:val="auto"/>
              </w:rPr>
            </w:pPr>
          </w:p>
        </w:tc>
        <w:tc>
          <w:tcPr>
            <w:tcW w:w="780" w:type="dxa"/>
            <w:vAlign w:val="bottom"/>
            <w:shd w:val="clear" w:color="auto" w:fill="E6E6E6"/>
          </w:tcPr>
          <w:p>
            <w:pPr>
              <w:jc w:val="right"/>
              <w:ind w:right="109"/>
              <w:spacing w:after="0"/>
              <w:rPr>
                <w:sz w:val="20"/>
                <w:szCs w:val="20"/>
                <w:color w:val="auto"/>
              </w:rPr>
            </w:pPr>
            <w:r>
              <w:rPr>
                <w:rFonts w:ascii="Arial" w:cs="Arial" w:eastAsia="Arial" w:hAnsi="Arial"/>
                <w:sz w:val="14"/>
                <w:szCs w:val="14"/>
                <w:b w:val="1"/>
                <w:bCs w:val="1"/>
                <w:color w:val="auto"/>
                <w:w w:val="86"/>
              </w:rPr>
              <w:t>Revolving</w:t>
            </w:r>
          </w:p>
        </w:tc>
        <w:tc>
          <w:tcPr>
            <w:tcW w:w="100" w:type="dxa"/>
            <w:vAlign w:val="bottom"/>
            <w:shd w:val="clear" w:color="auto" w:fill="E6E6E6"/>
          </w:tcPr>
          <w:p>
            <w:pPr>
              <w:spacing w:after="0"/>
              <w:rPr>
                <w:sz w:val="13"/>
                <w:szCs w:val="13"/>
                <w:color w:val="auto"/>
              </w:rPr>
            </w:pPr>
          </w:p>
        </w:tc>
        <w:tc>
          <w:tcPr>
            <w:tcW w:w="880" w:type="dxa"/>
            <w:vAlign w:val="bottom"/>
            <w:gridSpan w:val="2"/>
            <w:shd w:val="clear" w:color="auto" w:fill="E6E6E6"/>
          </w:tcPr>
          <w:p>
            <w:pPr>
              <w:jc w:val="center"/>
              <w:ind w:right="9"/>
              <w:spacing w:after="0"/>
              <w:rPr>
                <w:sz w:val="20"/>
                <w:szCs w:val="20"/>
                <w:color w:val="auto"/>
              </w:rPr>
            </w:pPr>
            <w:r>
              <w:rPr>
                <w:rFonts w:ascii="Arial" w:cs="Arial" w:eastAsia="Arial" w:hAnsi="Arial"/>
                <w:sz w:val="14"/>
                <w:szCs w:val="14"/>
                <w:b w:val="1"/>
                <w:bCs w:val="1"/>
                <w:color w:val="auto"/>
                <w:w w:val="90"/>
              </w:rPr>
              <w:t>converted to</w:t>
            </w:r>
          </w:p>
        </w:tc>
        <w:tc>
          <w:tcPr>
            <w:tcW w:w="100" w:type="dxa"/>
            <w:vAlign w:val="bottom"/>
            <w:shd w:val="clear" w:color="auto" w:fill="E6E6E6"/>
          </w:tcPr>
          <w:p>
            <w:pPr>
              <w:spacing w:after="0"/>
              <w:rPr>
                <w:sz w:val="13"/>
                <w:szCs w:val="13"/>
                <w:color w:val="auto"/>
              </w:rPr>
            </w:pPr>
          </w:p>
        </w:tc>
        <w:tc>
          <w:tcPr>
            <w:tcW w:w="140" w:type="dxa"/>
            <w:vAlign w:val="bottom"/>
            <w:shd w:val="clear" w:color="auto" w:fill="E6E6E6"/>
          </w:tcPr>
          <w:p>
            <w:pPr>
              <w:spacing w:after="0"/>
              <w:rPr>
                <w:sz w:val="13"/>
                <w:szCs w:val="13"/>
                <w:color w:val="auto"/>
              </w:rPr>
            </w:pPr>
          </w:p>
        </w:tc>
        <w:tc>
          <w:tcPr>
            <w:tcW w:w="800" w:type="dxa"/>
            <w:vAlign w:val="bottom"/>
            <w:tcBorders>
              <w:right w:val="single" w:sz="8" w:color="E6E6E6"/>
            </w:tcBorders>
            <w:shd w:val="clear" w:color="auto" w:fill="E6E6E6"/>
          </w:tcPr>
          <w:p>
            <w:pPr>
              <w:spacing w:after="0"/>
              <w:rPr>
                <w:sz w:val="13"/>
                <w:szCs w:val="13"/>
                <w:color w:val="auto"/>
              </w:rPr>
            </w:pPr>
          </w:p>
        </w:tc>
        <w:tc>
          <w:tcPr>
            <w:tcW w:w="300" w:type="dxa"/>
            <w:vAlign w:val="bottom"/>
            <w:shd w:val="clear" w:color="auto" w:fill="E6E6E6"/>
          </w:tcPr>
          <w:p>
            <w:pPr>
              <w:spacing w:after="0"/>
              <w:rPr>
                <w:sz w:val="13"/>
                <w:szCs w:val="13"/>
                <w:color w:val="auto"/>
              </w:rPr>
            </w:pPr>
          </w:p>
        </w:tc>
        <w:tc>
          <w:tcPr>
            <w:tcW w:w="100" w:type="dxa"/>
            <w:vAlign w:val="bottom"/>
            <w:tcBorders>
              <w:right w:val="single" w:sz="8" w:color="C6C6C6"/>
            </w:tcBorders>
          </w:tcPr>
          <w:p>
            <w:pPr>
              <w:spacing w:after="0"/>
              <w:rPr>
                <w:sz w:val="13"/>
                <w:szCs w:val="13"/>
                <w:color w:val="auto"/>
              </w:rPr>
            </w:pPr>
          </w:p>
        </w:tc>
      </w:tr>
      <w:tr>
        <w:trPr>
          <w:trHeight w:val="174"/>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480" w:type="dxa"/>
            <w:vAlign w:val="bottom"/>
            <w:tcBorders>
              <w:bottom w:val="single" w:sz="8" w:color="E6E6E6"/>
              <w:right w:val="single" w:sz="8" w:color="E6E6E6"/>
            </w:tcBorders>
            <w:shd w:val="clear" w:color="auto" w:fill="E6E6E6"/>
          </w:tcPr>
          <w:p>
            <w:pPr>
              <w:spacing w:after="0"/>
              <w:rPr>
                <w:sz w:val="15"/>
                <w:szCs w:val="15"/>
                <w:color w:val="auto"/>
              </w:rPr>
            </w:pPr>
          </w:p>
        </w:tc>
        <w:tc>
          <w:tcPr>
            <w:tcW w:w="940" w:type="dxa"/>
            <w:vAlign w:val="bottom"/>
            <w:tcBorders>
              <w:bottom w:val="single" w:sz="8" w:color="E6E6E6"/>
            </w:tcBorders>
            <w:shd w:val="clear" w:color="auto" w:fill="E6E6E6"/>
          </w:tcPr>
          <w:p>
            <w:pPr>
              <w:spacing w:after="0"/>
              <w:rPr>
                <w:sz w:val="15"/>
                <w:szCs w:val="15"/>
                <w:color w:val="auto"/>
              </w:rPr>
            </w:pPr>
          </w:p>
        </w:tc>
        <w:tc>
          <w:tcPr>
            <w:tcW w:w="56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20" w:type="dxa"/>
            <w:vAlign w:val="bottom"/>
            <w:tcBorders>
              <w:bottom w:val="single" w:sz="8" w:color="auto"/>
            </w:tcBorders>
            <w:shd w:val="clear" w:color="auto" w:fill="E6E6E6"/>
          </w:tcPr>
          <w:p>
            <w:pPr>
              <w:spacing w:after="0"/>
              <w:rPr>
                <w:sz w:val="15"/>
                <w:szCs w:val="15"/>
                <w:color w:val="auto"/>
              </w:rPr>
            </w:pPr>
          </w:p>
        </w:tc>
        <w:tc>
          <w:tcPr>
            <w:tcW w:w="660" w:type="dxa"/>
            <w:vAlign w:val="bottom"/>
            <w:tcBorders>
              <w:bottom w:val="single" w:sz="8" w:color="auto"/>
            </w:tcBorders>
            <w:shd w:val="clear" w:color="auto" w:fill="E6E6E6"/>
          </w:tcPr>
          <w:p>
            <w:pPr>
              <w:jc w:val="right"/>
              <w:ind w:right="269"/>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49"/>
              <w:spacing w:after="0"/>
              <w:rPr>
                <w:sz w:val="20"/>
                <w:szCs w:val="20"/>
                <w:color w:val="auto"/>
              </w:rPr>
            </w:pPr>
            <w:r>
              <w:rPr>
                <w:rFonts w:ascii="Arial" w:cs="Arial" w:eastAsia="Arial" w:hAnsi="Arial"/>
                <w:sz w:val="14"/>
                <w:szCs w:val="14"/>
                <w:b w:val="1"/>
                <w:bCs w:val="1"/>
                <w:color w:val="auto"/>
              </w:rPr>
              <w:t>loans</w:t>
            </w:r>
          </w:p>
        </w:tc>
        <w:tc>
          <w:tcPr>
            <w:tcW w:w="10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center"/>
              <w:ind w:right="89"/>
              <w:spacing w:after="0"/>
              <w:rPr>
                <w:sz w:val="20"/>
                <w:szCs w:val="20"/>
                <w:color w:val="auto"/>
              </w:rPr>
            </w:pPr>
            <w:r>
              <w:rPr>
                <w:rFonts w:ascii="Arial" w:cs="Arial" w:eastAsia="Arial" w:hAnsi="Arial"/>
                <w:sz w:val="14"/>
                <w:szCs w:val="14"/>
                <w:b w:val="1"/>
                <w:bCs w:val="1"/>
                <w:color w:val="auto"/>
                <w:w w:val="90"/>
              </w:rPr>
              <w:t>term loans</w:t>
            </w:r>
          </w:p>
        </w:tc>
        <w:tc>
          <w:tcPr>
            <w:tcW w:w="100" w:type="dxa"/>
            <w:vAlign w:val="bottom"/>
            <w:tcBorders>
              <w:bottom w:val="single" w:sz="8" w:color="E6E6E6"/>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right w:val="single" w:sz="8" w:color="E6E6E6"/>
            </w:tcBorders>
            <w:shd w:val="clear" w:color="auto" w:fill="E6E6E6"/>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5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6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5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77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20" w:type="dxa"/>
            <w:vAlign w:val="bottom"/>
            <w:shd w:val="clear" w:color="auto" w:fill="E6E6E6"/>
          </w:tcPr>
          <w:p>
            <w:pPr>
              <w:spacing w:after="0"/>
              <w:rPr>
                <w:sz w:val="14"/>
                <w:szCs w:val="14"/>
                <w:color w:val="auto"/>
              </w:rPr>
            </w:pPr>
          </w:p>
        </w:tc>
        <w:tc>
          <w:tcPr>
            <w:tcW w:w="110" w:type="dxa"/>
            <w:vAlign w:val="bottom"/>
            <w:shd w:val="clear" w:color="auto" w:fill="E6E6E6"/>
          </w:tcPr>
          <w:p>
            <w:pPr>
              <w:spacing w:after="0"/>
              <w:rPr>
                <w:sz w:val="14"/>
                <w:szCs w:val="14"/>
                <w:color w:val="auto"/>
              </w:rPr>
            </w:pPr>
          </w:p>
        </w:tc>
        <w:tc>
          <w:tcPr>
            <w:tcW w:w="1970" w:type="dxa"/>
            <w:vAlign w:val="bottom"/>
            <w:gridSpan w:val="8"/>
            <w:shd w:val="clear" w:color="auto" w:fill="E6E6E6"/>
          </w:tcPr>
          <w:p>
            <w:pPr>
              <w:jc w:val="right"/>
              <w:ind w:right="49"/>
              <w:spacing w:after="0"/>
              <w:rPr>
                <w:sz w:val="20"/>
                <w:szCs w:val="20"/>
                <w:color w:val="auto"/>
              </w:rPr>
            </w:pPr>
            <w:r>
              <w:rPr>
                <w:rFonts w:ascii="Arial" w:cs="Arial" w:eastAsia="Arial" w:hAnsi="Arial"/>
                <w:sz w:val="14"/>
                <w:szCs w:val="14"/>
                <w:i w:val="1"/>
                <w:iCs w:val="1"/>
                <w:color w:val="auto"/>
              </w:rPr>
              <w:t>(Dollars in thousands)</w:t>
            </w:r>
          </w:p>
        </w:tc>
        <w:tc>
          <w:tcPr>
            <w:tcW w:w="76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78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80" w:type="dxa"/>
            <w:vAlign w:val="bottom"/>
            <w:shd w:val="clear" w:color="auto" w:fill="E6E6E6"/>
          </w:tcPr>
          <w:p>
            <w:pPr>
              <w:spacing w:after="0"/>
              <w:rPr>
                <w:sz w:val="14"/>
                <w:szCs w:val="14"/>
                <w:color w:val="auto"/>
              </w:rPr>
            </w:pPr>
          </w:p>
        </w:tc>
        <w:tc>
          <w:tcPr>
            <w:tcW w:w="800" w:type="dxa"/>
            <w:vAlign w:val="bottom"/>
            <w:shd w:val="clear" w:color="auto" w:fill="E6E6E6"/>
          </w:tcPr>
          <w:p>
            <w:pPr>
              <w:spacing w:after="0"/>
              <w:rPr>
                <w:sz w:val="14"/>
                <w:szCs w:val="14"/>
                <w:color w:val="auto"/>
              </w:rPr>
            </w:pPr>
          </w:p>
        </w:tc>
        <w:tc>
          <w:tcPr>
            <w:tcW w:w="100" w:type="dxa"/>
            <w:vAlign w:val="bottom"/>
            <w:shd w:val="clear" w:color="auto" w:fill="E6E6E6"/>
          </w:tcPr>
          <w:p>
            <w:pPr>
              <w:spacing w:after="0"/>
              <w:rPr>
                <w:sz w:val="14"/>
                <w:szCs w:val="14"/>
                <w:color w:val="auto"/>
              </w:rPr>
            </w:pPr>
          </w:p>
        </w:tc>
        <w:tc>
          <w:tcPr>
            <w:tcW w:w="140" w:type="dxa"/>
            <w:vAlign w:val="bottom"/>
            <w:shd w:val="clear" w:color="auto" w:fill="E6E6E6"/>
          </w:tcPr>
          <w:p>
            <w:pPr>
              <w:spacing w:after="0"/>
              <w:rPr>
                <w:sz w:val="14"/>
                <w:szCs w:val="14"/>
                <w:color w:val="auto"/>
              </w:rPr>
            </w:pPr>
          </w:p>
        </w:tc>
        <w:tc>
          <w:tcPr>
            <w:tcW w:w="800" w:type="dxa"/>
            <w:vAlign w:val="bottom"/>
            <w:tcBorders>
              <w:right w:val="single" w:sz="8" w:color="E6E6E6"/>
            </w:tcBorders>
            <w:shd w:val="clear" w:color="auto" w:fill="E6E6E6"/>
          </w:tcPr>
          <w:p>
            <w:pPr>
              <w:spacing w:after="0"/>
              <w:rPr>
                <w:sz w:val="14"/>
                <w:szCs w:val="14"/>
                <w:color w:val="auto"/>
              </w:rPr>
            </w:pP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5"/>
              </w:rPr>
              <w:t>Commercial real estate</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9,662</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E6E6E6"/>
          </w:tcPr>
          <w:p>
            <w:pPr>
              <w:jc w:val="right"/>
              <w:ind w:right="10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9,662</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77</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480" w:type="dxa"/>
            <w:vAlign w:val="bottom"/>
            <w:tcBorders>
              <w:bottom w:val="single" w:sz="8" w:color="E6E6E6"/>
              <w:right w:val="single" w:sz="8" w:color="E6E6E6"/>
            </w:tcBorders>
            <w:shd w:val="clear" w:color="auto" w:fill="E6E6E6"/>
          </w:tcPr>
          <w:p>
            <w:pPr>
              <w:spacing w:after="0"/>
              <w:rPr>
                <w:sz w:val="15"/>
                <w:szCs w:val="15"/>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20" w:type="dxa"/>
            <w:vAlign w:val="bottom"/>
            <w:tcBorders>
              <w:bottom w:val="single" w:sz="8" w:color="auto"/>
            </w:tcBorders>
            <w:shd w:val="clear" w:color="auto" w:fill="E6E6E6"/>
          </w:tcPr>
          <w:p>
            <w:pPr>
              <w:spacing w:after="0"/>
              <w:rPr>
                <w:sz w:val="15"/>
                <w:szCs w:val="15"/>
                <w:color w:val="auto"/>
              </w:rPr>
            </w:pPr>
          </w:p>
        </w:tc>
        <w:tc>
          <w:tcPr>
            <w:tcW w:w="6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2,983</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2,983</w:t>
            </w:r>
          </w:p>
        </w:tc>
        <w:tc>
          <w:tcPr>
            <w:tcW w:w="3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9,662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12,722</w:t>
            </w: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480" w:type="dxa"/>
            <w:vAlign w:val="bottom"/>
            <w:tcBorders>
              <w:bottom w:val="single" w:sz="8" w:color="E6E6E6"/>
              <w:right w:val="single" w:sz="8" w:color="E6E6E6"/>
            </w:tcBorders>
            <w:shd w:val="clear" w:color="auto" w:fill="E6E6E6"/>
          </w:tcPr>
          <w:p>
            <w:pPr>
              <w:spacing w:after="0"/>
              <w:rPr>
                <w:sz w:val="16"/>
                <w:szCs w:val="16"/>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230,626</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296,060</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153,212</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114,809</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220" w:type="dxa"/>
            <w:vAlign w:val="bottom"/>
            <w:tcBorders>
              <w:bottom w:val="single" w:sz="8" w:color="auto"/>
            </w:tcBorders>
            <w:shd w:val="clear" w:color="auto" w:fill="E6E6E6"/>
          </w:tcPr>
          <w:p>
            <w:pPr>
              <w:spacing w:after="0"/>
              <w:rPr>
                <w:sz w:val="16"/>
                <w:szCs w:val="16"/>
                <w:color w:val="auto"/>
              </w:rPr>
            </w:pPr>
          </w:p>
        </w:tc>
        <w:tc>
          <w:tcPr>
            <w:tcW w:w="6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78,523</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84,941</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330,625</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134,375</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1,423,171</w:t>
            </w:r>
          </w:p>
        </w:tc>
        <w:tc>
          <w:tcPr>
            <w:tcW w:w="3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203"/>
        </w:trPr>
        <w:tc>
          <w:tcPr>
            <w:tcW w:w="100" w:type="dxa"/>
            <w:vAlign w:val="bottom"/>
            <w:tcBorders>
              <w:top w:val="single" w:sz="8" w:color="E6E6E6"/>
              <w:right w:val="single" w:sz="8" w:color="C6C6C6"/>
            </w:tcBorders>
            <w:shd w:val="clear" w:color="auto" w:fill="E6E6E6"/>
          </w:tcPr>
          <w:p>
            <w:pPr>
              <w:spacing w:after="0"/>
              <w:rPr>
                <w:sz w:val="17"/>
                <w:szCs w:val="17"/>
                <w:color w:val="auto"/>
              </w:rPr>
            </w:pPr>
          </w:p>
        </w:tc>
        <w:tc>
          <w:tcPr>
            <w:tcW w:w="480" w:type="dxa"/>
            <w:vAlign w:val="bottom"/>
            <w:tcBorders>
              <w:top w:val="single" w:sz="8" w:color="E6E6E6"/>
              <w:right w:val="single" w:sz="8" w:color="E6E6E6"/>
            </w:tcBorders>
            <w:shd w:val="clear" w:color="auto" w:fill="E6E6E6"/>
          </w:tcPr>
          <w:p>
            <w:pPr>
              <w:spacing w:after="0"/>
              <w:rPr>
                <w:sz w:val="17"/>
                <w:szCs w:val="17"/>
                <w:color w:val="auto"/>
              </w:rPr>
            </w:pPr>
          </w:p>
        </w:tc>
        <w:tc>
          <w:tcPr>
            <w:tcW w:w="15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E6E6E6"/>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230,626</w:t>
            </w:r>
          </w:p>
        </w:tc>
        <w:tc>
          <w:tcPr>
            <w:tcW w:w="20" w:type="dxa"/>
            <w:vAlign w:val="bottom"/>
            <w:tcBorders>
              <w:top w:val="single" w:sz="8" w:color="E6E6E6"/>
            </w:tcBorders>
            <w:shd w:val="clear" w:color="auto" w:fill="CCEEFF"/>
          </w:tcPr>
          <w:p>
            <w:pPr>
              <w:spacing w:after="0"/>
              <w:rPr>
                <w:sz w:val="17"/>
                <w:szCs w:val="17"/>
                <w:color w:val="auto"/>
              </w:rPr>
            </w:pPr>
          </w:p>
        </w:tc>
        <w:tc>
          <w:tcPr>
            <w:tcW w:w="210" w:type="dxa"/>
            <w:vAlign w:val="bottom"/>
            <w:tcBorders>
              <w:top w:val="single" w:sz="8" w:color="E6E6E6"/>
            </w:tcBorders>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305,722</w:t>
            </w:r>
          </w:p>
        </w:tc>
        <w:tc>
          <w:tcPr>
            <w:tcW w:w="20" w:type="dxa"/>
            <w:vAlign w:val="bottom"/>
            <w:tcBorders>
              <w:top w:val="single" w:sz="8" w:color="E6E6E6"/>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153,212</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114,809</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E6E6E6"/>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78,600</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E6E6E6"/>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84,941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330,625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137,358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1,435,893</w:t>
            </w:r>
          </w:p>
        </w:tc>
        <w:tc>
          <w:tcPr>
            <w:tcW w:w="300" w:type="dxa"/>
            <w:vAlign w:val="bottom"/>
            <w:tcBorders>
              <w:top w:val="single" w:sz="8" w:color="E6E6E6"/>
            </w:tcBorders>
            <w:shd w:val="clear" w:color="auto" w:fill="E6E6E6"/>
          </w:tcPr>
          <w:p>
            <w:pPr>
              <w:spacing w:after="0"/>
              <w:rPr>
                <w:sz w:val="17"/>
                <w:szCs w:val="17"/>
                <w:color w:val="auto"/>
              </w:rPr>
            </w:pPr>
          </w:p>
        </w:tc>
        <w:tc>
          <w:tcPr>
            <w:tcW w:w="100" w:type="dxa"/>
            <w:vAlign w:val="bottom"/>
            <w:tcBorders>
              <w:right w:val="single" w:sz="8" w:color="C6C6C6"/>
            </w:tcBorders>
          </w:tcPr>
          <w:p>
            <w:pPr>
              <w:spacing w:after="0"/>
              <w:rPr>
                <w:sz w:val="17"/>
                <w:szCs w:val="17"/>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480" w:type="dxa"/>
            <w:vAlign w:val="bottom"/>
            <w:tcBorders>
              <w:top w:val="single" w:sz="8" w:color="E6E6E6"/>
              <w:right w:val="single" w:sz="8" w:color="E6E6E6"/>
            </w:tcBorders>
            <w:shd w:val="clear" w:color="auto" w:fill="E6E6E6"/>
          </w:tcPr>
          <w:p>
            <w:pPr>
              <w:spacing w:after="0"/>
              <w:rPr>
                <w:sz w:val="15"/>
                <w:szCs w:val="15"/>
                <w:color w:val="auto"/>
              </w:rPr>
            </w:pPr>
          </w:p>
        </w:tc>
        <w:tc>
          <w:tcPr>
            <w:tcW w:w="1500" w:type="dxa"/>
            <w:vAlign w:val="bottom"/>
            <w:tcBorders>
              <w:top w:val="single" w:sz="8" w:color="E6E6E6"/>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20" w:type="dxa"/>
            <w:vAlign w:val="bottom"/>
            <w:tcBorders>
              <w:top w:val="single" w:sz="8" w:color="auto"/>
            </w:tcBorders>
            <w:shd w:val="clear" w:color="auto" w:fill="E6E6E6"/>
          </w:tcPr>
          <w:p>
            <w:pPr>
              <w:spacing w:after="0"/>
              <w:rPr>
                <w:sz w:val="15"/>
                <w:szCs w:val="15"/>
                <w:color w:val="auto"/>
              </w:rPr>
            </w:pPr>
          </w:p>
        </w:tc>
        <w:tc>
          <w:tcPr>
            <w:tcW w:w="66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right w:val="single" w:sz="8" w:color="E6E6E6"/>
            </w:tcBorders>
            <w:shd w:val="clear" w:color="auto" w:fill="E6E6E6"/>
          </w:tcPr>
          <w:p>
            <w:pPr>
              <w:spacing w:after="0"/>
              <w:rPr>
                <w:sz w:val="15"/>
                <w:szCs w:val="15"/>
                <w:color w:val="auto"/>
              </w:rPr>
            </w:pPr>
          </w:p>
        </w:tc>
        <w:tc>
          <w:tcPr>
            <w:tcW w:w="30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0"/>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E6E6E6"/>
          </w:tcPr>
          <w:p>
            <w:pPr>
              <w:jc w:val="right"/>
              <w:ind w:right="10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76"/>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2480" w:type="dxa"/>
            <w:vAlign w:val="bottom"/>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Construction and land development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7"/>
        </w:trPr>
        <w:tc>
          <w:tcPr>
            <w:tcW w:w="100" w:type="dxa"/>
            <w:vAlign w:val="bottom"/>
            <w:tcBorders>
              <w:right w:val="single" w:sz="8" w:color="C6C6C6"/>
            </w:tcBorders>
            <w:shd w:val="clear" w:color="auto" w:fill="E6E6E6"/>
          </w:tcPr>
          <w:p>
            <w:pPr>
              <w:spacing w:after="0"/>
              <w:rPr>
                <w:sz w:val="16"/>
                <w:szCs w:val="16"/>
                <w:color w:val="auto"/>
              </w:rPr>
            </w:pPr>
          </w:p>
        </w:tc>
        <w:tc>
          <w:tcPr>
            <w:tcW w:w="480" w:type="dxa"/>
            <w:vAlign w:val="bottom"/>
            <w:tcBorders>
              <w:right w:val="single" w:sz="8" w:color="E6E6E6"/>
            </w:tcBorders>
            <w:shd w:val="clear" w:color="auto" w:fill="E6E6E6"/>
          </w:tcPr>
          <w:p>
            <w:pPr>
              <w:spacing w:after="0"/>
              <w:rPr>
                <w:sz w:val="16"/>
                <w:szCs w:val="16"/>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2,097</w:t>
            </w:r>
          </w:p>
        </w:tc>
        <w:tc>
          <w:tcPr>
            <w:tcW w:w="320" w:type="dxa"/>
            <w:vAlign w:val="bottom"/>
            <w:gridSpan w:val="3"/>
            <w:shd w:val="clear" w:color="auto" w:fill="E6E6E6"/>
          </w:tcPr>
          <w:p>
            <w:pPr>
              <w:jc w:val="right"/>
              <w:ind w:right="10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2,097</w:t>
            </w:r>
          </w:p>
        </w:tc>
        <w:tc>
          <w:tcPr>
            <w:tcW w:w="300" w:type="dxa"/>
            <w:vAlign w:val="bottom"/>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480" w:type="dxa"/>
            <w:vAlign w:val="bottom"/>
            <w:tcBorders>
              <w:bottom w:val="single" w:sz="8" w:color="E6E6E6"/>
              <w:right w:val="single" w:sz="8" w:color="E6E6E6"/>
            </w:tcBorders>
            <w:shd w:val="clear" w:color="auto" w:fill="E6E6E6"/>
          </w:tcPr>
          <w:p>
            <w:pPr>
              <w:spacing w:after="0"/>
              <w:rPr>
                <w:sz w:val="15"/>
                <w:szCs w:val="15"/>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20" w:type="dxa"/>
            <w:vAlign w:val="bottom"/>
            <w:tcBorders>
              <w:bottom w:val="single" w:sz="8" w:color="auto"/>
            </w:tcBorders>
            <w:shd w:val="clear" w:color="auto" w:fill="E6E6E6"/>
          </w:tcPr>
          <w:p>
            <w:pPr>
              <w:spacing w:after="0"/>
              <w:rPr>
                <w:sz w:val="15"/>
                <w:szCs w:val="15"/>
                <w:color w:val="auto"/>
              </w:rPr>
            </w:pPr>
          </w:p>
        </w:tc>
        <w:tc>
          <w:tcPr>
            <w:tcW w:w="6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2"/>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2,097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2,097</w:t>
            </w: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bottom w:val="single" w:sz="8" w:color="E6E6E6"/>
              <w:right w:val="single" w:sz="8" w:color="C6C6C6"/>
            </w:tcBorders>
            <w:shd w:val="clear" w:color="auto" w:fill="E6E6E6"/>
          </w:tcPr>
          <w:p>
            <w:pPr>
              <w:spacing w:after="0"/>
              <w:rPr>
                <w:sz w:val="15"/>
                <w:szCs w:val="15"/>
                <w:color w:val="auto"/>
              </w:rPr>
            </w:pPr>
          </w:p>
        </w:tc>
        <w:tc>
          <w:tcPr>
            <w:tcW w:w="480" w:type="dxa"/>
            <w:vAlign w:val="bottom"/>
            <w:tcBorders>
              <w:bottom w:val="single" w:sz="8" w:color="E6E6E6"/>
              <w:right w:val="single" w:sz="8" w:color="E6E6E6"/>
            </w:tcBorders>
            <w:shd w:val="clear" w:color="auto" w:fill="E6E6E6"/>
          </w:tcPr>
          <w:p>
            <w:pPr>
              <w:spacing w:after="0"/>
              <w:rPr>
                <w:sz w:val="15"/>
                <w:szCs w:val="15"/>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122,363</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E6E6E6"/>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257,586</w:t>
            </w:r>
          </w:p>
        </w:tc>
        <w:tc>
          <w:tcPr>
            <w:tcW w:w="20" w:type="dxa"/>
            <w:vAlign w:val="bottom"/>
            <w:tcBorders>
              <w:bottom w:val="single" w:sz="8" w:color="E6E6E6"/>
            </w:tcBorders>
            <w:shd w:val="clear" w:color="auto" w:fill="E6E6E6"/>
          </w:tcPr>
          <w:p>
            <w:pPr>
              <w:spacing w:after="0"/>
              <w:rPr>
                <w:sz w:val="15"/>
                <w:szCs w:val="15"/>
                <w:color w:val="auto"/>
              </w:rPr>
            </w:pP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131,909</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10" w:type="dxa"/>
            <w:vAlign w:val="bottom"/>
            <w:tcBorders>
              <w:bottom w:val="single" w:sz="8" w:color="auto"/>
            </w:tcBorders>
            <w:shd w:val="clear" w:color="auto" w:fill="E6E6E6"/>
          </w:tcPr>
          <w:p>
            <w:pPr>
              <w:spacing w:after="0"/>
              <w:rPr>
                <w:sz w:val="15"/>
                <w:szCs w:val="15"/>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49,042</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220" w:type="dxa"/>
            <w:vAlign w:val="bottom"/>
            <w:tcBorders>
              <w:bottom w:val="single" w:sz="8" w:color="auto"/>
            </w:tcBorders>
            <w:shd w:val="clear" w:color="auto" w:fill="E6E6E6"/>
          </w:tcPr>
          <w:p>
            <w:pPr>
              <w:spacing w:after="0"/>
              <w:rPr>
                <w:sz w:val="15"/>
                <w:szCs w:val="15"/>
                <w:color w:val="auto"/>
              </w:rPr>
            </w:pPr>
          </w:p>
        </w:tc>
        <w:tc>
          <w:tcPr>
            <w:tcW w:w="66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3,751</w:t>
            </w:r>
          </w:p>
        </w:tc>
        <w:tc>
          <w:tcPr>
            <w:tcW w:w="80" w:type="dxa"/>
            <w:vAlign w:val="bottom"/>
            <w:tcBorders>
              <w:bottom w:val="single" w:sz="8" w:color="CCEEFF"/>
            </w:tcBorders>
            <w:shd w:val="clear" w:color="auto" w:fill="E6E6E6"/>
          </w:tcPr>
          <w:p>
            <w:pPr>
              <w:spacing w:after="0"/>
              <w:rPr>
                <w:sz w:val="15"/>
                <w:szCs w:val="15"/>
                <w:color w:val="auto"/>
              </w:rPr>
            </w:pPr>
          </w:p>
        </w:tc>
        <w:tc>
          <w:tcPr>
            <w:tcW w:w="20" w:type="dxa"/>
            <w:vAlign w:val="bottom"/>
            <w:tcBorders>
              <w:bottom w:val="single" w:sz="8" w:color="auto"/>
            </w:tcBorders>
            <w:shd w:val="clear" w:color="auto" w:fill="E6E6E6"/>
          </w:tcPr>
          <w:p>
            <w:pPr>
              <w:spacing w:after="0"/>
              <w:rPr>
                <w:sz w:val="15"/>
                <w:szCs w:val="15"/>
                <w:color w:val="auto"/>
              </w:rPr>
            </w:pPr>
          </w:p>
        </w:tc>
        <w:tc>
          <w:tcPr>
            <w:tcW w:w="120" w:type="dxa"/>
            <w:vAlign w:val="bottom"/>
            <w:tcBorders>
              <w:bottom w:val="single" w:sz="8" w:color="auto"/>
            </w:tcBorders>
            <w:shd w:val="clear" w:color="auto" w:fill="E6E6E6"/>
          </w:tcPr>
          <w:p>
            <w:pPr>
              <w:spacing w:after="0"/>
              <w:rPr>
                <w:sz w:val="15"/>
                <w:szCs w:val="15"/>
                <w:color w:val="auto"/>
              </w:rPr>
            </w:pPr>
          </w:p>
        </w:tc>
        <w:tc>
          <w:tcPr>
            <w:tcW w:w="76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4,503</w:t>
            </w:r>
          </w:p>
        </w:tc>
        <w:tc>
          <w:tcPr>
            <w:tcW w:w="100" w:type="dxa"/>
            <w:vAlign w:val="bottom"/>
            <w:tcBorders>
              <w:bottom w:val="single" w:sz="8" w:color="CCEEFF"/>
            </w:tcBorders>
            <w:shd w:val="clear" w:color="auto" w:fill="E6E6E6"/>
          </w:tcPr>
          <w:p>
            <w:pPr>
              <w:spacing w:after="0"/>
              <w:rPr>
                <w:sz w:val="15"/>
                <w:szCs w:val="15"/>
                <w:color w:val="auto"/>
              </w:rPr>
            </w:pPr>
          </w:p>
        </w:tc>
        <w:tc>
          <w:tcPr>
            <w:tcW w:w="100" w:type="dxa"/>
            <w:vAlign w:val="bottom"/>
            <w:tcBorders>
              <w:bottom w:val="single" w:sz="8" w:color="auto"/>
            </w:tcBorders>
            <w:shd w:val="clear" w:color="auto" w:fill="E6E6E6"/>
          </w:tcPr>
          <w:p>
            <w:pPr>
              <w:spacing w:after="0"/>
              <w:rPr>
                <w:sz w:val="15"/>
                <w:szCs w:val="15"/>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13,164</w:t>
            </w:r>
          </w:p>
        </w:tc>
        <w:tc>
          <w:tcPr>
            <w:tcW w:w="100" w:type="dxa"/>
            <w:vAlign w:val="bottom"/>
            <w:tcBorders>
              <w:bottom w:val="single" w:sz="8" w:color="CCEEFF"/>
            </w:tcBorders>
            <w:shd w:val="clear" w:color="auto" w:fill="E6E6E6"/>
          </w:tcPr>
          <w:p>
            <w:pPr>
              <w:spacing w:after="0"/>
              <w:rPr>
                <w:sz w:val="15"/>
                <w:szCs w:val="15"/>
                <w:color w:val="auto"/>
              </w:rPr>
            </w:pPr>
          </w:p>
        </w:tc>
        <w:tc>
          <w:tcPr>
            <w:tcW w:w="8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E6E6E6"/>
          </w:tcPr>
          <w:p>
            <w:pPr>
              <w:spacing w:after="0"/>
              <w:rPr>
                <w:sz w:val="15"/>
                <w:szCs w:val="15"/>
                <w:color w:val="auto"/>
              </w:rPr>
            </w:pPr>
          </w:p>
        </w:tc>
        <w:tc>
          <w:tcPr>
            <w:tcW w:w="140" w:type="dxa"/>
            <w:vAlign w:val="bottom"/>
            <w:tcBorders>
              <w:bottom w:val="single" w:sz="8" w:color="auto"/>
            </w:tcBorders>
            <w:shd w:val="clear" w:color="auto" w:fill="E6E6E6"/>
          </w:tcPr>
          <w:p>
            <w:pPr>
              <w:spacing w:after="0"/>
              <w:rPr>
                <w:sz w:val="15"/>
                <w:szCs w:val="15"/>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582,318</w:t>
            </w:r>
          </w:p>
        </w:tc>
        <w:tc>
          <w:tcPr>
            <w:tcW w:w="300" w:type="dxa"/>
            <w:vAlign w:val="bottom"/>
            <w:tcBorders>
              <w:bottom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223"/>
        </w:trPr>
        <w:tc>
          <w:tcPr>
            <w:tcW w:w="100" w:type="dxa"/>
            <w:vAlign w:val="bottom"/>
            <w:tcBorders>
              <w:right w:val="single" w:sz="8" w:color="C6C6C6"/>
            </w:tcBorders>
            <w:shd w:val="clear" w:color="auto" w:fill="E6E6E6"/>
          </w:tcPr>
          <w:p>
            <w:pPr>
              <w:spacing w:after="0"/>
              <w:rPr>
                <w:sz w:val="19"/>
                <w:szCs w:val="19"/>
                <w:color w:val="auto"/>
              </w:rPr>
            </w:pPr>
          </w:p>
        </w:tc>
        <w:tc>
          <w:tcPr>
            <w:tcW w:w="480" w:type="dxa"/>
            <w:vAlign w:val="bottom"/>
            <w:tcBorders>
              <w:right w:val="single" w:sz="8" w:color="E6E6E6"/>
            </w:tcBorders>
            <w:shd w:val="clear" w:color="auto" w:fill="E6E6E6"/>
          </w:tcPr>
          <w:p>
            <w:pPr>
              <w:spacing w:after="0"/>
              <w:rPr>
                <w:sz w:val="19"/>
                <w:szCs w:val="19"/>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122,363</w:t>
            </w:r>
          </w:p>
        </w:tc>
        <w:tc>
          <w:tcPr>
            <w:tcW w:w="20" w:type="dxa"/>
            <w:vAlign w:val="bottom"/>
            <w:shd w:val="clear" w:color="auto" w:fill="CCEEFF"/>
          </w:tcPr>
          <w:p>
            <w:pPr>
              <w:spacing w:after="0"/>
              <w:rPr>
                <w:sz w:val="19"/>
                <w:szCs w:val="19"/>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257,586</w:t>
            </w: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131,909</w:t>
            </w:r>
          </w:p>
        </w:tc>
        <w:tc>
          <w:tcPr>
            <w:tcW w:w="100" w:type="dxa"/>
            <w:vAlign w:val="bottom"/>
            <w:gridSpan w:val="2"/>
            <w:shd w:val="clear" w:color="auto" w:fill="CCEEFF"/>
          </w:tcPr>
          <w:p>
            <w:pPr>
              <w:spacing w:after="0"/>
              <w:rPr>
                <w:sz w:val="19"/>
                <w:szCs w:val="19"/>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51,139</w:t>
            </w:r>
          </w:p>
        </w:tc>
        <w:tc>
          <w:tcPr>
            <w:tcW w:w="100" w:type="dxa"/>
            <w:vAlign w:val="bottom"/>
            <w:gridSpan w:val="2"/>
            <w:shd w:val="clear" w:color="auto" w:fill="CCEEFF"/>
          </w:tcPr>
          <w:p>
            <w:pPr>
              <w:spacing w:after="0"/>
              <w:rPr>
                <w:sz w:val="19"/>
                <w:szCs w:val="19"/>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3,751</w:t>
            </w:r>
          </w:p>
        </w:tc>
        <w:tc>
          <w:tcPr>
            <w:tcW w:w="1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13,164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584,415</w:t>
            </w:r>
          </w:p>
        </w:tc>
        <w:tc>
          <w:tcPr>
            <w:tcW w:w="300" w:type="dxa"/>
            <w:vAlign w:val="bottom"/>
            <w:shd w:val="clear" w:color="auto" w:fill="E6E6E6"/>
          </w:tcPr>
          <w:p>
            <w:pPr>
              <w:spacing w:after="0"/>
              <w:rPr>
                <w:sz w:val="19"/>
                <w:szCs w:val="19"/>
                <w:color w:val="auto"/>
              </w:rPr>
            </w:pPr>
          </w:p>
        </w:tc>
        <w:tc>
          <w:tcPr>
            <w:tcW w:w="100" w:type="dxa"/>
            <w:vAlign w:val="bottom"/>
            <w:tcBorders>
              <w:right w:val="single" w:sz="8" w:color="C6C6C6"/>
            </w:tcBorders>
          </w:tcPr>
          <w:p>
            <w:pPr>
              <w:spacing w:after="0"/>
              <w:rPr>
                <w:sz w:val="19"/>
                <w:szCs w:val="19"/>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480" w:type="dxa"/>
            <w:vAlign w:val="bottom"/>
            <w:tcBorders>
              <w:top w:val="single" w:sz="8" w:color="E6E6E6"/>
              <w:right w:val="single" w:sz="8" w:color="E6E6E6"/>
            </w:tcBorders>
            <w:shd w:val="clear" w:color="auto" w:fill="E6E6E6"/>
          </w:tcPr>
          <w:p>
            <w:pPr>
              <w:spacing w:after="0"/>
              <w:rPr>
                <w:sz w:val="15"/>
                <w:szCs w:val="15"/>
                <w:color w:val="auto"/>
              </w:rPr>
            </w:pPr>
          </w:p>
        </w:tc>
        <w:tc>
          <w:tcPr>
            <w:tcW w:w="1500" w:type="dxa"/>
            <w:vAlign w:val="bottom"/>
            <w:tcBorders>
              <w:top w:val="single" w:sz="8" w:color="E6E6E6"/>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20" w:type="dxa"/>
            <w:vAlign w:val="bottom"/>
            <w:tcBorders>
              <w:top w:val="single" w:sz="8" w:color="auto"/>
            </w:tcBorders>
            <w:shd w:val="clear" w:color="auto" w:fill="E6E6E6"/>
          </w:tcPr>
          <w:p>
            <w:pPr>
              <w:spacing w:after="0"/>
              <w:rPr>
                <w:sz w:val="15"/>
                <w:szCs w:val="15"/>
                <w:color w:val="auto"/>
              </w:rPr>
            </w:pPr>
          </w:p>
        </w:tc>
        <w:tc>
          <w:tcPr>
            <w:tcW w:w="66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right w:val="single" w:sz="8" w:color="E6E6E6"/>
            </w:tcBorders>
            <w:shd w:val="clear" w:color="auto" w:fill="E6E6E6"/>
          </w:tcPr>
          <w:p>
            <w:pPr>
              <w:spacing w:after="0"/>
              <w:rPr>
                <w:sz w:val="15"/>
                <w:szCs w:val="15"/>
                <w:color w:val="auto"/>
              </w:rPr>
            </w:pPr>
          </w:p>
        </w:tc>
        <w:tc>
          <w:tcPr>
            <w:tcW w:w="30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70"/>
        </w:trPr>
        <w:tc>
          <w:tcPr>
            <w:tcW w:w="100" w:type="dxa"/>
            <w:vAlign w:val="bottom"/>
            <w:tcBorders>
              <w:right w:val="single" w:sz="8" w:color="C6C6C6"/>
            </w:tcBorders>
            <w:shd w:val="clear" w:color="auto" w:fill="E6E6E6"/>
          </w:tcPr>
          <w:p>
            <w:pPr>
              <w:spacing w:after="0"/>
              <w:rPr>
                <w:sz w:val="14"/>
                <w:szCs w:val="14"/>
                <w:color w:val="auto"/>
              </w:rPr>
            </w:pPr>
          </w:p>
        </w:tc>
        <w:tc>
          <w:tcPr>
            <w:tcW w:w="480" w:type="dxa"/>
            <w:vAlign w:val="bottom"/>
            <w:tcBorders>
              <w:right w:val="single" w:sz="8" w:color="E6E6E6"/>
            </w:tcBorders>
            <w:shd w:val="clear" w:color="auto" w:fill="E6E6E6"/>
          </w:tcPr>
          <w:p>
            <w:pPr>
              <w:spacing w:after="0"/>
              <w:rPr>
                <w:sz w:val="14"/>
                <w:szCs w:val="14"/>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E6E6E6"/>
          </w:tcPr>
          <w:p>
            <w:pPr>
              <w:jc w:val="right"/>
              <w:ind w:right="10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8"/>
              </w:rPr>
              <w:t>Residential real estate</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121</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E6E6E6"/>
          </w:tcPr>
          <w:p>
            <w:pPr>
              <w:jc w:val="right"/>
              <w:ind w:right="10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121</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1"/>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5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480" w:type="dxa"/>
            <w:vAlign w:val="bottom"/>
            <w:tcBorders>
              <w:bottom w:val="single" w:sz="8" w:color="E6E6E6"/>
              <w:right w:val="single" w:sz="8" w:color="E6E6E6"/>
            </w:tcBorders>
            <w:shd w:val="clear" w:color="auto" w:fill="E6E6E6"/>
          </w:tcPr>
          <w:p>
            <w:pPr>
              <w:spacing w:after="0"/>
              <w:rPr>
                <w:sz w:val="16"/>
                <w:szCs w:val="16"/>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220" w:type="dxa"/>
            <w:vAlign w:val="bottom"/>
            <w:tcBorders>
              <w:bottom w:val="single" w:sz="8" w:color="auto"/>
            </w:tcBorders>
            <w:shd w:val="clear" w:color="auto" w:fill="E6E6E6"/>
          </w:tcPr>
          <w:p>
            <w:pPr>
              <w:spacing w:after="0"/>
              <w:rPr>
                <w:sz w:val="16"/>
                <w:szCs w:val="16"/>
                <w:color w:val="auto"/>
              </w:rPr>
            </w:pPr>
          </w:p>
        </w:tc>
        <w:tc>
          <w:tcPr>
            <w:tcW w:w="6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162"/>
        </w:trPr>
        <w:tc>
          <w:tcPr>
            <w:tcW w:w="100" w:type="dxa"/>
            <w:vAlign w:val="bottom"/>
            <w:tcBorders>
              <w:top w:val="single" w:sz="8" w:color="E6E6E6"/>
              <w:right w:val="single" w:sz="8" w:color="C6C6C6"/>
            </w:tcBorders>
            <w:shd w:val="clear" w:color="auto" w:fill="E6E6E6"/>
          </w:tcPr>
          <w:p>
            <w:pPr>
              <w:spacing w:after="0"/>
              <w:rPr>
                <w:sz w:val="14"/>
                <w:szCs w:val="14"/>
                <w:color w:val="auto"/>
              </w:rPr>
            </w:pPr>
          </w:p>
        </w:tc>
        <w:tc>
          <w:tcPr>
            <w:tcW w:w="480" w:type="dxa"/>
            <w:vAlign w:val="bottom"/>
            <w:tcBorders>
              <w:top w:val="single" w:sz="8" w:color="E6E6E6"/>
              <w:right w:val="single" w:sz="8" w:color="E6E6E6"/>
            </w:tcBorders>
            <w:shd w:val="clear" w:color="auto" w:fill="E6E6E6"/>
          </w:tcPr>
          <w:p>
            <w:pPr>
              <w:spacing w:after="0"/>
              <w:rPr>
                <w:sz w:val="14"/>
                <w:szCs w:val="14"/>
                <w:color w:val="auto"/>
              </w:rPr>
            </w:pPr>
          </w:p>
        </w:tc>
        <w:tc>
          <w:tcPr>
            <w:tcW w:w="15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E6E6E6"/>
            </w:tcBorders>
            <w:shd w:val="clear" w:color="auto" w:fill="CCEEFF"/>
          </w:tcPr>
          <w:p>
            <w:pPr>
              <w:spacing w:after="0"/>
              <w:rPr>
                <w:sz w:val="14"/>
                <w:szCs w:val="14"/>
                <w:color w:val="auto"/>
              </w:rPr>
            </w:pPr>
          </w:p>
        </w:tc>
        <w:tc>
          <w:tcPr>
            <w:tcW w:w="100" w:type="dxa"/>
            <w:vAlign w:val="bottom"/>
            <w:tcBorders>
              <w:top w:val="single" w:sz="8" w:color="E6E6E6"/>
            </w:tcBorders>
            <w:shd w:val="clear" w:color="auto" w:fill="CCEEFF"/>
          </w:tcPr>
          <w:p>
            <w:pPr>
              <w:spacing w:after="0"/>
              <w:rPr>
                <w:sz w:val="14"/>
                <w:szCs w:val="14"/>
                <w:color w:val="auto"/>
              </w:rPr>
            </w:pP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121</w:t>
            </w:r>
          </w:p>
        </w:tc>
        <w:tc>
          <w:tcPr>
            <w:tcW w:w="20" w:type="dxa"/>
            <w:vAlign w:val="bottom"/>
            <w:tcBorders>
              <w:top w:val="single" w:sz="8" w:color="E6E6E6"/>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10" w:type="dxa"/>
            <w:vAlign w:val="bottom"/>
            <w:tcBorders>
              <w:top w:val="single" w:sz="8" w:color="E6E6E6"/>
            </w:tcBorders>
            <w:shd w:val="clear" w:color="auto" w:fill="CCEEFF"/>
          </w:tcPr>
          <w:p>
            <w:pPr>
              <w:spacing w:after="0"/>
              <w:rPr>
                <w:sz w:val="14"/>
                <w:szCs w:val="14"/>
                <w:color w:val="auto"/>
              </w:rPr>
            </w:pP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E6E6E6"/>
            </w:tcBorders>
            <w:shd w:val="clear" w:color="auto" w:fill="CCEEFF"/>
          </w:tcPr>
          <w:p>
            <w:pPr>
              <w:spacing w:after="0"/>
              <w:rPr>
                <w:sz w:val="14"/>
                <w:szCs w:val="14"/>
                <w:color w:val="auto"/>
              </w:rPr>
            </w:pPr>
          </w:p>
        </w:tc>
        <w:tc>
          <w:tcPr>
            <w:tcW w:w="6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E6E6E6"/>
            </w:tcBorders>
            <w:shd w:val="clear" w:color="auto" w:fill="CCEEFF"/>
          </w:tcPr>
          <w:p>
            <w:pPr>
              <w:spacing w:after="0"/>
              <w:rPr>
                <w:sz w:val="14"/>
                <w:szCs w:val="14"/>
                <w:color w:val="auto"/>
              </w:rPr>
            </w:pP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E6E6E6"/>
            </w:tcBorders>
            <w:shd w:val="clear" w:color="auto" w:fill="CCEEFF"/>
          </w:tcPr>
          <w:p>
            <w:pPr>
              <w:spacing w:after="0"/>
              <w:rPr>
                <w:sz w:val="14"/>
                <w:szCs w:val="14"/>
                <w:color w:val="auto"/>
              </w:rPr>
            </w:pPr>
          </w:p>
        </w:tc>
        <w:tc>
          <w:tcPr>
            <w:tcW w:w="78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E6E6E6"/>
            </w:tcBorders>
            <w:shd w:val="clear" w:color="auto" w:fill="CCEEFF"/>
          </w:tcPr>
          <w:p>
            <w:pPr>
              <w:spacing w:after="0"/>
              <w:rPr>
                <w:sz w:val="14"/>
                <w:szCs w:val="14"/>
                <w:color w:val="auto"/>
              </w:rPr>
            </w:pP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E6E6E6"/>
            </w:tcBorders>
            <w:shd w:val="clear" w:color="auto" w:fill="CCEEFF"/>
          </w:tcPr>
          <w:p>
            <w:pPr>
              <w:spacing w:after="0"/>
              <w:rPr>
                <w:sz w:val="14"/>
                <w:szCs w:val="14"/>
                <w:color w:val="auto"/>
              </w:rPr>
            </w:pPr>
          </w:p>
        </w:tc>
        <w:tc>
          <w:tcPr>
            <w:tcW w:w="800" w:type="dxa"/>
            <w:vAlign w:val="bottom"/>
            <w:tcBorders>
              <w:top w:val="single" w:sz="8" w:color="E6E6E6"/>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121</w:t>
            </w:r>
          </w:p>
        </w:tc>
        <w:tc>
          <w:tcPr>
            <w:tcW w:w="300" w:type="dxa"/>
            <w:vAlign w:val="bottom"/>
            <w:tcBorders>
              <w:top w:val="single" w:sz="8" w:color="E6E6E6"/>
            </w:tcBorders>
            <w:shd w:val="clear" w:color="auto" w:fill="E6E6E6"/>
          </w:tcPr>
          <w:p>
            <w:pPr>
              <w:spacing w:after="0"/>
              <w:rPr>
                <w:sz w:val="14"/>
                <w:szCs w:val="14"/>
                <w:color w:val="auto"/>
              </w:rPr>
            </w:pPr>
          </w:p>
        </w:tc>
        <w:tc>
          <w:tcPr>
            <w:tcW w:w="100" w:type="dxa"/>
            <w:vAlign w:val="bottom"/>
            <w:tcBorders>
              <w:right w:val="single" w:sz="8" w:color="C6C6C6"/>
            </w:tcBorders>
          </w:tcPr>
          <w:p>
            <w:pPr>
              <w:spacing w:after="0"/>
              <w:rPr>
                <w:sz w:val="14"/>
                <w:szCs w:val="14"/>
                <w:color w:val="auto"/>
              </w:rPr>
            </w:pPr>
          </w:p>
        </w:tc>
      </w:tr>
      <w:tr>
        <w:trPr>
          <w:trHeight w:val="196"/>
        </w:trPr>
        <w:tc>
          <w:tcPr>
            <w:tcW w:w="100" w:type="dxa"/>
            <w:vAlign w:val="bottom"/>
            <w:tcBorders>
              <w:bottom w:val="single" w:sz="8" w:color="E6E6E6"/>
              <w:right w:val="single" w:sz="8" w:color="C6C6C6"/>
            </w:tcBorders>
            <w:shd w:val="clear" w:color="auto" w:fill="E6E6E6"/>
          </w:tcPr>
          <w:p>
            <w:pPr>
              <w:spacing w:after="0"/>
              <w:rPr>
                <w:sz w:val="16"/>
                <w:szCs w:val="16"/>
                <w:color w:val="auto"/>
              </w:rPr>
            </w:pPr>
          </w:p>
        </w:tc>
        <w:tc>
          <w:tcPr>
            <w:tcW w:w="480" w:type="dxa"/>
            <w:vAlign w:val="bottom"/>
            <w:tcBorders>
              <w:bottom w:val="single" w:sz="8" w:color="E6E6E6"/>
              <w:right w:val="single" w:sz="8" w:color="E6E6E6"/>
            </w:tcBorders>
            <w:shd w:val="clear" w:color="auto" w:fill="E6E6E6"/>
          </w:tcPr>
          <w:p>
            <w:pPr>
              <w:spacing w:after="0"/>
              <w:rPr>
                <w:sz w:val="16"/>
                <w:szCs w:val="16"/>
                <w:color w:val="auto"/>
              </w:rPr>
            </w:pPr>
          </w:p>
        </w:tc>
        <w:tc>
          <w:tcPr>
            <w:tcW w:w="1500" w:type="dxa"/>
            <w:vAlign w:val="bottom"/>
            <w:tcBorders>
              <w:bottom w:val="single" w:sz="8" w:color="CCEEFF"/>
            </w:tcBorders>
            <w:gridSpan w:val="2"/>
            <w:shd w:val="clear" w:color="auto" w:fill="E6E6E6"/>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38,134</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5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82,578</w:t>
            </w:r>
          </w:p>
        </w:tc>
        <w:tc>
          <w:tcPr>
            <w:tcW w:w="2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124,730</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10" w:type="dxa"/>
            <w:vAlign w:val="bottom"/>
            <w:tcBorders>
              <w:bottom w:val="single" w:sz="8" w:color="auto"/>
            </w:tcBorders>
            <w:shd w:val="clear" w:color="auto" w:fill="E6E6E6"/>
          </w:tcPr>
          <w:p>
            <w:pPr>
              <w:spacing w:after="0"/>
              <w:rPr>
                <w:sz w:val="16"/>
                <w:szCs w:val="16"/>
                <w:color w:val="auto"/>
              </w:rPr>
            </w:pPr>
          </w:p>
        </w:tc>
        <w:tc>
          <w:tcPr>
            <w:tcW w:w="77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47,354</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220" w:type="dxa"/>
            <w:vAlign w:val="bottom"/>
            <w:tcBorders>
              <w:bottom w:val="single" w:sz="8" w:color="auto"/>
            </w:tcBorders>
            <w:shd w:val="clear" w:color="auto" w:fill="E6E6E6"/>
          </w:tcPr>
          <w:p>
            <w:pPr>
              <w:spacing w:after="0"/>
              <w:rPr>
                <w:sz w:val="16"/>
                <w:szCs w:val="16"/>
                <w:color w:val="auto"/>
              </w:rPr>
            </w:pPr>
          </w:p>
        </w:tc>
        <w:tc>
          <w:tcPr>
            <w:tcW w:w="6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40,803</w:t>
            </w:r>
          </w:p>
        </w:tc>
        <w:tc>
          <w:tcPr>
            <w:tcW w:w="80" w:type="dxa"/>
            <w:vAlign w:val="bottom"/>
            <w:tcBorders>
              <w:bottom w:val="single" w:sz="8" w:color="E6E6E6"/>
            </w:tcBorders>
            <w:shd w:val="clear" w:color="auto" w:fill="E6E6E6"/>
          </w:tcPr>
          <w:p>
            <w:pPr>
              <w:spacing w:after="0"/>
              <w:rPr>
                <w:sz w:val="16"/>
                <w:szCs w:val="16"/>
                <w:color w:val="auto"/>
              </w:rPr>
            </w:pPr>
          </w:p>
        </w:tc>
        <w:tc>
          <w:tcPr>
            <w:tcW w:w="20" w:type="dxa"/>
            <w:vAlign w:val="bottom"/>
            <w:tcBorders>
              <w:bottom w:val="single" w:sz="8" w:color="auto"/>
            </w:tcBorders>
            <w:shd w:val="clear" w:color="auto" w:fill="E6E6E6"/>
          </w:tcPr>
          <w:p>
            <w:pPr>
              <w:spacing w:after="0"/>
              <w:rPr>
                <w:sz w:val="16"/>
                <w:szCs w:val="16"/>
                <w:color w:val="auto"/>
              </w:rPr>
            </w:pPr>
          </w:p>
        </w:tc>
        <w:tc>
          <w:tcPr>
            <w:tcW w:w="120" w:type="dxa"/>
            <w:vAlign w:val="bottom"/>
            <w:tcBorders>
              <w:bottom w:val="single" w:sz="8" w:color="auto"/>
            </w:tcBorders>
            <w:shd w:val="clear" w:color="auto" w:fill="E6E6E6"/>
          </w:tcPr>
          <w:p>
            <w:pPr>
              <w:spacing w:after="0"/>
              <w:rPr>
                <w:sz w:val="16"/>
                <w:szCs w:val="16"/>
                <w:color w:val="auto"/>
              </w:rPr>
            </w:pPr>
          </w:p>
        </w:tc>
        <w:tc>
          <w:tcPr>
            <w:tcW w:w="76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36,793</w:t>
            </w:r>
          </w:p>
        </w:tc>
        <w:tc>
          <w:tcPr>
            <w:tcW w:w="1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bottom w:val="single" w:sz="8" w:color="auto"/>
            </w:tcBorders>
            <w:shd w:val="clear" w:color="auto" w:fill="E6E6E6"/>
          </w:tcPr>
          <w:p>
            <w:pPr>
              <w:spacing w:after="0"/>
              <w:rPr>
                <w:sz w:val="16"/>
                <w:szCs w:val="16"/>
                <w:color w:val="auto"/>
              </w:rPr>
            </w:pPr>
          </w:p>
        </w:tc>
        <w:tc>
          <w:tcPr>
            <w:tcW w:w="780" w:type="dxa"/>
            <w:vAlign w:val="bottom"/>
            <w:tcBorders>
              <w:bottom w:val="single" w:sz="8" w:color="auto"/>
            </w:tcBorders>
            <w:shd w:val="clear" w:color="auto" w:fill="E6E6E6"/>
          </w:tcPr>
          <w:p>
            <w:pPr>
              <w:jc w:val="right"/>
              <w:ind w:right="49"/>
              <w:spacing w:after="0"/>
              <w:rPr>
                <w:sz w:val="20"/>
                <w:szCs w:val="20"/>
                <w:color w:val="auto"/>
              </w:rPr>
            </w:pPr>
            <w:r>
              <w:rPr>
                <w:rFonts w:ascii="Arial" w:cs="Arial" w:eastAsia="Arial" w:hAnsi="Arial"/>
                <w:sz w:val="14"/>
                <w:szCs w:val="14"/>
                <w:color w:val="auto"/>
              </w:rPr>
              <w:t>626</w:t>
            </w:r>
          </w:p>
        </w:tc>
        <w:tc>
          <w:tcPr>
            <w:tcW w:w="100" w:type="dxa"/>
            <w:vAlign w:val="bottom"/>
            <w:tcBorders>
              <w:bottom w:val="single" w:sz="8" w:color="E6E6E6"/>
            </w:tcBorders>
            <w:shd w:val="clear" w:color="auto" w:fill="E6E6E6"/>
          </w:tcPr>
          <w:p>
            <w:pPr>
              <w:spacing w:after="0"/>
              <w:rPr>
                <w:sz w:val="16"/>
                <w:szCs w:val="16"/>
                <w:color w:val="auto"/>
              </w:rPr>
            </w:pPr>
          </w:p>
        </w:tc>
        <w:tc>
          <w:tcPr>
            <w:tcW w:w="8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tcBorders>
            <w:shd w:val="clear" w:color="auto" w:fill="E6E6E6"/>
          </w:tcPr>
          <w:p>
            <w:pPr>
              <w:jc w:val="right"/>
              <w:ind w:right="29"/>
              <w:spacing w:after="0"/>
              <w:rPr>
                <w:sz w:val="20"/>
                <w:szCs w:val="20"/>
                <w:color w:val="auto"/>
              </w:rPr>
            </w:pPr>
            <w:r>
              <w:rPr>
                <w:rFonts w:ascii="Arial" w:cs="Arial" w:eastAsia="Arial" w:hAnsi="Arial"/>
                <w:sz w:val="14"/>
                <w:szCs w:val="14"/>
                <w:color w:val="auto"/>
              </w:rPr>
              <w:t>198</w:t>
            </w:r>
          </w:p>
        </w:tc>
        <w:tc>
          <w:tcPr>
            <w:tcW w:w="100" w:type="dxa"/>
            <w:vAlign w:val="bottom"/>
            <w:tcBorders>
              <w:bottom w:val="single" w:sz="8" w:color="E6E6E6"/>
            </w:tcBorders>
            <w:shd w:val="clear" w:color="auto" w:fill="E6E6E6"/>
          </w:tcPr>
          <w:p>
            <w:pPr>
              <w:spacing w:after="0"/>
              <w:rPr>
                <w:sz w:val="16"/>
                <w:szCs w:val="16"/>
                <w:color w:val="auto"/>
              </w:rPr>
            </w:pPr>
          </w:p>
        </w:tc>
        <w:tc>
          <w:tcPr>
            <w:tcW w:w="140" w:type="dxa"/>
            <w:vAlign w:val="bottom"/>
            <w:tcBorders>
              <w:bottom w:val="single" w:sz="8" w:color="auto"/>
            </w:tcBorders>
            <w:shd w:val="clear" w:color="auto" w:fill="E6E6E6"/>
          </w:tcPr>
          <w:p>
            <w:pPr>
              <w:spacing w:after="0"/>
              <w:rPr>
                <w:sz w:val="16"/>
                <w:szCs w:val="16"/>
                <w:color w:val="auto"/>
              </w:rPr>
            </w:pPr>
          </w:p>
        </w:tc>
        <w:tc>
          <w:tcPr>
            <w:tcW w:w="800" w:type="dxa"/>
            <w:vAlign w:val="bottom"/>
            <w:tcBorders>
              <w:bottom w:val="single" w:sz="8" w:color="auto"/>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371,216</w:t>
            </w:r>
          </w:p>
        </w:tc>
        <w:tc>
          <w:tcPr>
            <w:tcW w:w="300" w:type="dxa"/>
            <w:vAlign w:val="bottom"/>
            <w:tcBorders>
              <w:bottom w:val="single" w:sz="8" w:color="E6E6E6"/>
            </w:tcBorders>
            <w:shd w:val="clear" w:color="auto" w:fill="E6E6E6"/>
          </w:tcPr>
          <w:p>
            <w:pPr>
              <w:spacing w:after="0"/>
              <w:rPr>
                <w:sz w:val="16"/>
                <w:szCs w:val="16"/>
                <w:color w:val="auto"/>
              </w:rPr>
            </w:pPr>
          </w:p>
        </w:tc>
        <w:tc>
          <w:tcPr>
            <w:tcW w:w="100" w:type="dxa"/>
            <w:vAlign w:val="bottom"/>
            <w:tcBorders>
              <w:right w:val="single" w:sz="8" w:color="C6C6C6"/>
            </w:tcBorders>
          </w:tcPr>
          <w:p>
            <w:pPr>
              <w:spacing w:after="0"/>
              <w:rPr>
                <w:sz w:val="16"/>
                <w:szCs w:val="16"/>
                <w:color w:val="auto"/>
              </w:rPr>
            </w:pPr>
          </w:p>
        </w:tc>
      </w:tr>
      <w:tr>
        <w:trPr>
          <w:trHeight w:val="203"/>
        </w:trPr>
        <w:tc>
          <w:tcPr>
            <w:tcW w:w="100" w:type="dxa"/>
            <w:vAlign w:val="bottom"/>
            <w:tcBorders>
              <w:top w:val="single" w:sz="8" w:color="E6E6E6"/>
              <w:right w:val="single" w:sz="8" w:color="C6C6C6"/>
            </w:tcBorders>
            <w:shd w:val="clear" w:color="auto" w:fill="E6E6E6"/>
          </w:tcPr>
          <w:p>
            <w:pPr>
              <w:spacing w:after="0"/>
              <w:rPr>
                <w:sz w:val="17"/>
                <w:szCs w:val="17"/>
                <w:color w:val="auto"/>
              </w:rPr>
            </w:pPr>
          </w:p>
        </w:tc>
        <w:tc>
          <w:tcPr>
            <w:tcW w:w="480" w:type="dxa"/>
            <w:vAlign w:val="bottom"/>
            <w:tcBorders>
              <w:top w:val="single" w:sz="8" w:color="E6E6E6"/>
              <w:right w:val="single" w:sz="8" w:color="E6E6E6"/>
            </w:tcBorders>
            <w:shd w:val="clear" w:color="auto" w:fill="E6E6E6"/>
          </w:tcPr>
          <w:p>
            <w:pPr>
              <w:spacing w:after="0"/>
              <w:rPr>
                <w:sz w:val="17"/>
                <w:szCs w:val="17"/>
                <w:color w:val="auto"/>
              </w:rPr>
            </w:pPr>
          </w:p>
        </w:tc>
        <w:tc>
          <w:tcPr>
            <w:tcW w:w="15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E6E6E6"/>
            </w:tcBorders>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38,134</w:t>
            </w:r>
          </w:p>
        </w:tc>
        <w:tc>
          <w:tcPr>
            <w:tcW w:w="20" w:type="dxa"/>
            <w:vAlign w:val="bottom"/>
            <w:tcBorders>
              <w:top w:val="single" w:sz="8" w:color="E6E6E6"/>
            </w:tcBorders>
            <w:shd w:val="clear" w:color="auto" w:fill="CCEEFF"/>
          </w:tcPr>
          <w:p>
            <w:pPr>
              <w:spacing w:after="0"/>
              <w:rPr>
                <w:sz w:val="17"/>
                <w:szCs w:val="17"/>
                <w:color w:val="auto"/>
              </w:rPr>
            </w:pPr>
          </w:p>
        </w:tc>
        <w:tc>
          <w:tcPr>
            <w:tcW w:w="210" w:type="dxa"/>
            <w:vAlign w:val="bottom"/>
            <w:tcBorders>
              <w:top w:val="single" w:sz="8" w:color="E6E6E6"/>
            </w:tcBorders>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82,699</w:t>
            </w:r>
          </w:p>
        </w:tc>
        <w:tc>
          <w:tcPr>
            <w:tcW w:w="20" w:type="dxa"/>
            <w:vAlign w:val="bottom"/>
            <w:tcBorders>
              <w:top w:val="single" w:sz="8" w:color="E6E6E6"/>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124,730</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1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7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47,354</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220" w:type="dxa"/>
            <w:vAlign w:val="bottom"/>
            <w:tcBorders>
              <w:top w:val="single" w:sz="8" w:color="E6E6E6"/>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40,803</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E6E6E6"/>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36,793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E6E6E6"/>
            </w:tcBorders>
            <w:shd w:val="clear" w:color="auto" w:fill="CCEEFF"/>
          </w:tcPr>
          <w:p>
            <w:pPr>
              <w:jc w:val="right"/>
              <w:ind w:right="49"/>
              <w:spacing w:after="0"/>
              <w:rPr>
                <w:sz w:val="20"/>
                <w:szCs w:val="20"/>
                <w:color w:val="auto"/>
              </w:rPr>
            </w:pPr>
            <w:r>
              <w:rPr>
                <w:rFonts w:ascii="Arial" w:cs="Arial" w:eastAsia="Arial" w:hAnsi="Arial"/>
                <w:sz w:val="14"/>
                <w:szCs w:val="14"/>
                <w:color w:val="auto"/>
              </w:rPr>
              <w:t>626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E6E6E6"/>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4"/>
                <w:szCs w:val="14"/>
                <w:color w:val="auto"/>
              </w:rPr>
              <w:t>198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E6E6E6"/>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E6E6E6"/>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371,337</w:t>
            </w:r>
          </w:p>
        </w:tc>
        <w:tc>
          <w:tcPr>
            <w:tcW w:w="300" w:type="dxa"/>
            <w:vAlign w:val="bottom"/>
            <w:tcBorders>
              <w:top w:val="single" w:sz="8" w:color="E6E6E6"/>
            </w:tcBorders>
            <w:shd w:val="clear" w:color="auto" w:fill="E6E6E6"/>
          </w:tcPr>
          <w:p>
            <w:pPr>
              <w:spacing w:after="0"/>
              <w:rPr>
                <w:sz w:val="17"/>
                <w:szCs w:val="17"/>
                <w:color w:val="auto"/>
              </w:rPr>
            </w:pPr>
          </w:p>
        </w:tc>
        <w:tc>
          <w:tcPr>
            <w:tcW w:w="100" w:type="dxa"/>
            <w:vAlign w:val="bottom"/>
            <w:tcBorders>
              <w:right w:val="single" w:sz="8" w:color="C6C6C6"/>
            </w:tcBorders>
          </w:tcPr>
          <w:p>
            <w:pPr>
              <w:spacing w:after="0"/>
              <w:rPr>
                <w:sz w:val="17"/>
                <w:szCs w:val="17"/>
                <w:color w:val="auto"/>
              </w:rPr>
            </w:pPr>
          </w:p>
        </w:tc>
      </w:tr>
      <w:tr>
        <w:trPr>
          <w:trHeight w:val="175"/>
        </w:trPr>
        <w:tc>
          <w:tcPr>
            <w:tcW w:w="100" w:type="dxa"/>
            <w:vAlign w:val="bottom"/>
            <w:tcBorders>
              <w:top w:val="single" w:sz="8" w:color="E6E6E6"/>
              <w:right w:val="single" w:sz="8" w:color="C6C6C6"/>
            </w:tcBorders>
            <w:shd w:val="clear" w:color="auto" w:fill="E6E6E6"/>
          </w:tcPr>
          <w:p>
            <w:pPr>
              <w:spacing w:after="0"/>
              <w:rPr>
                <w:sz w:val="15"/>
                <w:szCs w:val="15"/>
                <w:color w:val="auto"/>
              </w:rPr>
            </w:pPr>
          </w:p>
        </w:tc>
        <w:tc>
          <w:tcPr>
            <w:tcW w:w="480" w:type="dxa"/>
            <w:vAlign w:val="bottom"/>
            <w:tcBorders>
              <w:top w:val="single" w:sz="8" w:color="E6E6E6"/>
              <w:right w:val="single" w:sz="8" w:color="E6E6E6"/>
            </w:tcBorders>
            <w:shd w:val="clear" w:color="auto" w:fill="E6E6E6"/>
          </w:tcPr>
          <w:p>
            <w:pPr>
              <w:spacing w:after="0"/>
              <w:rPr>
                <w:sz w:val="15"/>
                <w:szCs w:val="15"/>
                <w:color w:val="auto"/>
              </w:rPr>
            </w:pPr>
          </w:p>
        </w:tc>
        <w:tc>
          <w:tcPr>
            <w:tcW w:w="1500" w:type="dxa"/>
            <w:vAlign w:val="bottom"/>
            <w:tcBorders>
              <w:top w:val="single" w:sz="8" w:color="E6E6E6"/>
            </w:tcBorders>
            <w:gridSpan w:val="2"/>
            <w:shd w:val="clear" w:color="auto" w:fill="E6E6E6"/>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50" w:type="dxa"/>
            <w:vAlign w:val="bottom"/>
            <w:tcBorders>
              <w:top w:val="single" w:sz="8" w:color="auto"/>
            </w:tcBorders>
            <w:shd w:val="clear" w:color="auto" w:fill="E6E6E6"/>
          </w:tcPr>
          <w:p>
            <w:pPr>
              <w:spacing w:after="0"/>
              <w:rPr>
                <w:sz w:val="15"/>
                <w:szCs w:val="15"/>
                <w:color w:val="auto"/>
              </w:rPr>
            </w:pPr>
          </w:p>
        </w:tc>
        <w:tc>
          <w:tcPr>
            <w:tcW w:w="2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10" w:type="dxa"/>
            <w:vAlign w:val="bottom"/>
            <w:tcBorders>
              <w:top w:val="single" w:sz="8" w:color="auto"/>
            </w:tcBorders>
            <w:shd w:val="clear" w:color="auto" w:fill="E6E6E6"/>
          </w:tcPr>
          <w:p>
            <w:pPr>
              <w:spacing w:after="0"/>
              <w:rPr>
                <w:sz w:val="15"/>
                <w:szCs w:val="15"/>
                <w:color w:val="auto"/>
              </w:rPr>
            </w:pPr>
          </w:p>
        </w:tc>
        <w:tc>
          <w:tcPr>
            <w:tcW w:w="77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220" w:type="dxa"/>
            <w:vAlign w:val="bottom"/>
            <w:tcBorders>
              <w:top w:val="single" w:sz="8" w:color="auto"/>
            </w:tcBorders>
            <w:shd w:val="clear" w:color="auto" w:fill="E6E6E6"/>
          </w:tcPr>
          <w:p>
            <w:pPr>
              <w:spacing w:after="0"/>
              <w:rPr>
                <w:sz w:val="15"/>
                <w:szCs w:val="15"/>
                <w:color w:val="auto"/>
              </w:rPr>
            </w:pPr>
          </w:p>
        </w:tc>
        <w:tc>
          <w:tcPr>
            <w:tcW w:w="660" w:type="dxa"/>
            <w:vAlign w:val="bottom"/>
            <w:tcBorders>
              <w:top w:val="single" w:sz="8" w:color="auto"/>
            </w:tcBorders>
            <w:shd w:val="clear" w:color="auto" w:fill="E6E6E6"/>
          </w:tcPr>
          <w:p>
            <w:pPr>
              <w:spacing w:after="0"/>
              <w:rPr>
                <w:sz w:val="15"/>
                <w:szCs w:val="15"/>
                <w:color w:val="auto"/>
              </w:rPr>
            </w:pPr>
          </w:p>
        </w:tc>
        <w:tc>
          <w:tcPr>
            <w:tcW w:w="80" w:type="dxa"/>
            <w:vAlign w:val="bottom"/>
            <w:tcBorders>
              <w:top w:val="single" w:sz="8" w:color="E6E6E6"/>
            </w:tcBorders>
            <w:shd w:val="clear" w:color="auto" w:fill="E6E6E6"/>
          </w:tcPr>
          <w:p>
            <w:pPr>
              <w:spacing w:after="0"/>
              <w:rPr>
                <w:sz w:val="15"/>
                <w:szCs w:val="15"/>
                <w:color w:val="auto"/>
              </w:rPr>
            </w:pPr>
          </w:p>
        </w:tc>
        <w:tc>
          <w:tcPr>
            <w:tcW w:w="20" w:type="dxa"/>
            <w:vAlign w:val="bottom"/>
            <w:tcBorders>
              <w:top w:val="single" w:sz="8" w:color="E6E6E6"/>
            </w:tcBorders>
            <w:shd w:val="clear" w:color="auto" w:fill="E6E6E6"/>
          </w:tcPr>
          <w:p>
            <w:pPr>
              <w:spacing w:after="0"/>
              <w:rPr>
                <w:sz w:val="15"/>
                <w:szCs w:val="15"/>
                <w:color w:val="auto"/>
              </w:rPr>
            </w:pPr>
          </w:p>
        </w:tc>
        <w:tc>
          <w:tcPr>
            <w:tcW w:w="120" w:type="dxa"/>
            <w:vAlign w:val="bottom"/>
            <w:tcBorders>
              <w:top w:val="single" w:sz="8" w:color="auto"/>
            </w:tcBorders>
            <w:shd w:val="clear" w:color="auto" w:fill="E6E6E6"/>
          </w:tcPr>
          <w:p>
            <w:pPr>
              <w:spacing w:after="0"/>
              <w:rPr>
                <w:sz w:val="15"/>
                <w:szCs w:val="15"/>
                <w:color w:val="auto"/>
              </w:rPr>
            </w:pPr>
          </w:p>
        </w:tc>
        <w:tc>
          <w:tcPr>
            <w:tcW w:w="76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00" w:type="dxa"/>
            <w:vAlign w:val="bottom"/>
            <w:tcBorders>
              <w:top w:val="single" w:sz="8" w:color="auto"/>
            </w:tcBorders>
            <w:shd w:val="clear" w:color="auto" w:fill="E6E6E6"/>
          </w:tcPr>
          <w:p>
            <w:pPr>
              <w:spacing w:after="0"/>
              <w:rPr>
                <w:sz w:val="15"/>
                <w:szCs w:val="15"/>
                <w:color w:val="auto"/>
              </w:rPr>
            </w:pPr>
          </w:p>
        </w:tc>
        <w:tc>
          <w:tcPr>
            <w:tcW w:w="78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8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tcBorders>
            <w:shd w:val="clear" w:color="auto" w:fill="E6E6E6"/>
          </w:tcPr>
          <w:p>
            <w:pPr>
              <w:spacing w:after="0"/>
              <w:rPr>
                <w:sz w:val="15"/>
                <w:szCs w:val="15"/>
                <w:color w:val="auto"/>
              </w:rPr>
            </w:pPr>
          </w:p>
        </w:tc>
        <w:tc>
          <w:tcPr>
            <w:tcW w:w="100" w:type="dxa"/>
            <w:vAlign w:val="bottom"/>
            <w:tcBorders>
              <w:top w:val="single" w:sz="8" w:color="E6E6E6"/>
            </w:tcBorders>
            <w:shd w:val="clear" w:color="auto" w:fill="E6E6E6"/>
          </w:tcPr>
          <w:p>
            <w:pPr>
              <w:spacing w:after="0"/>
              <w:rPr>
                <w:sz w:val="15"/>
                <w:szCs w:val="15"/>
                <w:color w:val="auto"/>
              </w:rPr>
            </w:pPr>
          </w:p>
        </w:tc>
        <w:tc>
          <w:tcPr>
            <w:tcW w:w="140" w:type="dxa"/>
            <w:vAlign w:val="bottom"/>
            <w:tcBorders>
              <w:top w:val="single" w:sz="8" w:color="auto"/>
            </w:tcBorders>
            <w:shd w:val="clear" w:color="auto" w:fill="E6E6E6"/>
          </w:tcPr>
          <w:p>
            <w:pPr>
              <w:spacing w:after="0"/>
              <w:rPr>
                <w:sz w:val="15"/>
                <w:szCs w:val="15"/>
                <w:color w:val="auto"/>
              </w:rPr>
            </w:pPr>
          </w:p>
        </w:tc>
        <w:tc>
          <w:tcPr>
            <w:tcW w:w="800" w:type="dxa"/>
            <w:vAlign w:val="bottom"/>
            <w:tcBorders>
              <w:top w:val="single" w:sz="8" w:color="auto"/>
              <w:right w:val="single" w:sz="8" w:color="E6E6E6"/>
            </w:tcBorders>
            <w:shd w:val="clear" w:color="auto" w:fill="E6E6E6"/>
          </w:tcPr>
          <w:p>
            <w:pPr>
              <w:spacing w:after="0"/>
              <w:rPr>
                <w:sz w:val="15"/>
                <w:szCs w:val="15"/>
                <w:color w:val="auto"/>
              </w:rPr>
            </w:pPr>
          </w:p>
        </w:tc>
        <w:tc>
          <w:tcPr>
            <w:tcW w:w="300" w:type="dxa"/>
            <w:vAlign w:val="bottom"/>
            <w:tcBorders>
              <w:top w:val="single" w:sz="8" w:color="E6E6E6"/>
            </w:tcBorders>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80"/>
        </w:trPr>
        <w:tc>
          <w:tcPr>
            <w:tcW w:w="100" w:type="dxa"/>
            <w:vAlign w:val="bottom"/>
            <w:tcBorders>
              <w:right w:val="single" w:sz="8" w:color="C6C6C6"/>
            </w:tcBorders>
            <w:shd w:val="clear" w:color="auto" w:fill="E6E6E6"/>
          </w:tcPr>
          <w:p>
            <w:pPr>
              <w:spacing w:after="0"/>
              <w:rPr>
                <w:sz w:val="15"/>
                <w:szCs w:val="15"/>
                <w:color w:val="auto"/>
              </w:rPr>
            </w:pPr>
          </w:p>
        </w:tc>
        <w:tc>
          <w:tcPr>
            <w:tcW w:w="480" w:type="dxa"/>
            <w:vAlign w:val="bottom"/>
            <w:tcBorders>
              <w:right w:val="single" w:sz="8" w:color="E6E6E6"/>
            </w:tcBorders>
            <w:shd w:val="clear" w:color="auto" w:fill="E6E6E6"/>
          </w:tcPr>
          <w:p>
            <w:pPr>
              <w:spacing w:after="0"/>
              <w:rPr>
                <w:sz w:val="15"/>
                <w:szCs w:val="15"/>
                <w:color w:val="auto"/>
              </w:rPr>
            </w:pPr>
          </w:p>
        </w:tc>
        <w:tc>
          <w:tcPr>
            <w:tcW w:w="1500" w:type="dxa"/>
            <w:vAlign w:val="bottom"/>
            <w:gridSpan w:val="2"/>
            <w:shd w:val="clear" w:color="auto" w:fill="E6E6E6"/>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shd w:val="clear" w:color="auto" w:fill="E6E6E6"/>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ind w:right="70"/>
              <w:spacing w:after="0"/>
              <w:rPr>
                <w:sz w:val="20"/>
                <w:szCs w:val="20"/>
                <w:color w:val="auto"/>
              </w:rPr>
            </w:pPr>
            <w:r>
              <w:rPr>
                <w:rFonts w:ascii="Arial" w:cs="Arial" w:eastAsia="Arial" w:hAnsi="Arial"/>
                <w:sz w:val="14"/>
                <w:szCs w:val="14"/>
                <w:color w:val="auto"/>
              </w:rPr>
              <w:t>$</w:t>
            </w:r>
          </w:p>
        </w:tc>
        <w:tc>
          <w:tcPr>
            <w:tcW w:w="75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20" w:type="dxa"/>
            <w:vAlign w:val="bottom"/>
            <w:gridSpan w:val="3"/>
            <w:shd w:val="clear" w:color="auto" w:fill="E6E6E6"/>
          </w:tcPr>
          <w:p>
            <w:pPr>
              <w:jc w:val="right"/>
              <w:ind w:right="109"/>
              <w:spacing w:after="0"/>
              <w:rPr>
                <w:sz w:val="20"/>
                <w:szCs w:val="20"/>
                <w:color w:val="auto"/>
              </w:rPr>
            </w:pPr>
            <w:r>
              <w:rPr>
                <w:rFonts w:ascii="Arial" w:cs="Arial" w:eastAsia="Arial" w:hAnsi="Arial"/>
                <w:sz w:val="14"/>
                <w:szCs w:val="14"/>
                <w:color w:val="auto"/>
              </w:rPr>
              <w:t>$</w:t>
            </w:r>
          </w:p>
        </w:tc>
        <w:tc>
          <w:tcPr>
            <w:tcW w:w="6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E6E6E6"/>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E6E6E6"/>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E6E6E6"/>
          </w:tcPr>
          <w:p>
            <w:pPr>
              <w:jc w:val="right"/>
              <w:ind w:right="29"/>
              <w:spacing w:after="0"/>
              <w:rPr>
                <w:sz w:val="20"/>
                <w:szCs w:val="20"/>
                <w:color w:val="auto"/>
              </w:rPr>
            </w:pPr>
            <w:r>
              <w:rPr>
                <w:rFonts w:ascii="Arial" w:cs="Arial" w:eastAsia="Arial" w:hAnsi="Arial"/>
                <w:sz w:val="14"/>
                <w:szCs w:val="14"/>
                <w:color w:val="auto"/>
              </w:rPr>
              <w:t>$</w:t>
            </w:r>
          </w:p>
        </w:tc>
        <w:tc>
          <w:tcPr>
            <w:tcW w:w="800" w:type="dxa"/>
            <w:vAlign w:val="bottom"/>
            <w:tcBorders>
              <w:right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300" w:type="dxa"/>
            <w:vAlign w:val="bottom"/>
            <w:shd w:val="clear" w:color="auto" w:fill="E6E6E6"/>
          </w:tcPr>
          <w:p>
            <w:pPr>
              <w:spacing w:after="0"/>
              <w:rPr>
                <w:sz w:val="15"/>
                <w:szCs w:val="15"/>
                <w:color w:val="auto"/>
              </w:rPr>
            </w:pPr>
          </w:p>
        </w:tc>
        <w:tc>
          <w:tcPr>
            <w:tcW w:w="100" w:type="dxa"/>
            <w:vAlign w:val="bottom"/>
            <w:tcBorders>
              <w:right w:val="single" w:sz="8" w:color="C6C6C6"/>
            </w:tcBorders>
          </w:tcPr>
          <w:p>
            <w:pPr>
              <w:spacing w:after="0"/>
              <w:rPr>
                <w:sz w:val="15"/>
                <w:szCs w:val="15"/>
                <w:color w:val="auto"/>
              </w:rPr>
            </w:pPr>
          </w:p>
        </w:tc>
      </w:tr>
      <w:tr>
        <w:trPr>
          <w:trHeight w:val="1056"/>
        </w:trPr>
        <w:tc>
          <w:tcPr>
            <w:tcW w:w="100" w:type="dxa"/>
            <w:vAlign w:val="bottom"/>
            <w:tcBorders>
              <w:right w:val="single" w:sz="8" w:color="C6C6C6"/>
            </w:tcBorders>
            <w:shd w:val="clear" w:color="auto" w:fill="E6E6E6"/>
          </w:tcPr>
          <w:p>
            <w:pPr>
              <w:spacing w:after="0"/>
              <w:rPr>
                <w:sz w:val="24"/>
                <w:szCs w:val="24"/>
                <w:color w:val="auto"/>
              </w:rPr>
            </w:pPr>
          </w:p>
        </w:tc>
        <w:tc>
          <w:tcPr>
            <w:tcW w:w="480" w:type="dxa"/>
            <w:vAlign w:val="bottom"/>
            <w:tcBorders>
              <w:right w:val="single" w:sz="8" w:color="E6E6E6"/>
            </w:tcBorders>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jc w:val="right"/>
              <w:ind w:right="149"/>
              <w:spacing w:after="0"/>
              <w:rPr>
                <w:sz w:val="20"/>
                <w:szCs w:val="20"/>
                <w:color w:val="auto"/>
              </w:rPr>
            </w:pPr>
            <w:r>
              <w:rPr>
                <w:rFonts w:ascii="Arial" w:cs="Arial" w:eastAsia="Arial" w:hAnsi="Arial"/>
                <w:sz w:val="14"/>
                <w:szCs w:val="14"/>
                <w:color w:val="auto"/>
              </w:rPr>
              <w:t>27</w:t>
            </w: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tcBorders>
              <w:right w:val="single" w:sz="8" w:color="E6E6E6"/>
            </w:tcBorders>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 w:type="dxa"/>
            <w:vAlign w:val="bottom"/>
            <w:tcBorders>
              <w:right w:val="single" w:sz="8" w:color="C6C6C6"/>
            </w:tcBorders>
          </w:tcPr>
          <w:p>
            <w:pPr>
              <w:spacing w:after="0"/>
              <w:rPr>
                <w:sz w:val="24"/>
                <w:szCs w:val="24"/>
                <w:color w:val="auto"/>
              </w:rPr>
            </w:pPr>
          </w:p>
        </w:tc>
      </w:tr>
      <w:tr>
        <w:trPr>
          <w:trHeight w:val="209"/>
        </w:trPr>
        <w:tc>
          <w:tcPr>
            <w:tcW w:w="100" w:type="dxa"/>
            <w:vAlign w:val="bottom"/>
            <w:tcBorders>
              <w:bottom w:val="single" w:sz="8" w:color="E6E6E6"/>
              <w:right w:val="single" w:sz="8" w:color="C6C6C6"/>
            </w:tcBorders>
            <w:shd w:val="clear" w:color="auto" w:fill="E6E6E6"/>
          </w:tcPr>
          <w:p>
            <w:pPr>
              <w:spacing w:after="0"/>
              <w:rPr>
                <w:sz w:val="18"/>
                <w:szCs w:val="18"/>
                <w:color w:val="auto"/>
              </w:rPr>
            </w:pPr>
          </w:p>
        </w:tc>
        <w:tc>
          <w:tcPr>
            <w:tcW w:w="480" w:type="dxa"/>
            <w:vAlign w:val="bottom"/>
            <w:tcBorders>
              <w:bottom w:val="single" w:sz="8" w:color="C6C6C6"/>
              <w:right w:val="single" w:sz="8" w:color="E6E6E6"/>
            </w:tcBorders>
            <w:shd w:val="clear" w:color="auto" w:fill="E6E6E6"/>
          </w:tcPr>
          <w:p>
            <w:pPr>
              <w:spacing w:after="0"/>
              <w:rPr>
                <w:sz w:val="18"/>
                <w:szCs w:val="18"/>
                <w:color w:val="auto"/>
              </w:rPr>
            </w:pPr>
          </w:p>
        </w:tc>
        <w:tc>
          <w:tcPr>
            <w:tcW w:w="940" w:type="dxa"/>
            <w:vAlign w:val="bottom"/>
            <w:tcBorders>
              <w:bottom w:val="single" w:sz="8" w:color="C6C6C6"/>
            </w:tcBorders>
            <w:shd w:val="clear" w:color="auto" w:fill="E6E6E6"/>
          </w:tcPr>
          <w:p>
            <w:pPr>
              <w:spacing w:after="0"/>
              <w:rPr>
                <w:sz w:val="18"/>
                <w:szCs w:val="18"/>
                <w:color w:val="auto"/>
              </w:rPr>
            </w:pPr>
          </w:p>
        </w:tc>
        <w:tc>
          <w:tcPr>
            <w:tcW w:w="56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76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5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7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10" w:type="dxa"/>
            <w:vAlign w:val="bottom"/>
            <w:tcBorders>
              <w:bottom w:val="single" w:sz="8" w:color="C6C6C6"/>
            </w:tcBorders>
            <w:shd w:val="clear" w:color="auto" w:fill="E6E6E6"/>
          </w:tcPr>
          <w:p>
            <w:pPr>
              <w:spacing w:after="0"/>
              <w:rPr>
                <w:sz w:val="18"/>
                <w:szCs w:val="18"/>
                <w:color w:val="auto"/>
              </w:rPr>
            </w:pPr>
          </w:p>
        </w:tc>
        <w:tc>
          <w:tcPr>
            <w:tcW w:w="77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220" w:type="dxa"/>
            <w:vAlign w:val="bottom"/>
            <w:tcBorders>
              <w:bottom w:val="single" w:sz="8" w:color="C6C6C6"/>
            </w:tcBorders>
            <w:shd w:val="clear" w:color="auto" w:fill="E6E6E6"/>
          </w:tcPr>
          <w:p>
            <w:pPr>
              <w:spacing w:after="0"/>
              <w:rPr>
                <w:sz w:val="18"/>
                <w:szCs w:val="18"/>
                <w:color w:val="auto"/>
              </w:rPr>
            </w:pPr>
          </w:p>
        </w:tc>
        <w:tc>
          <w:tcPr>
            <w:tcW w:w="66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20" w:type="dxa"/>
            <w:vAlign w:val="bottom"/>
            <w:tcBorders>
              <w:bottom w:val="single" w:sz="8" w:color="C6C6C6"/>
            </w:tcBorders>
            <w:shd w:val="clear" w:color="auto" w:fill="E6E6E6"/>
          </w:tcPr>
          <w:p>
            <w:pPr>
              <w:spacing w:after="0"/>
              <w:rPr>
                <w:sz w:val="18"/>
                <w:szCs w:val="18"/>
                <w:color w:val="auto"/>
              </w:rPr>
            </w:pPr>
          </w:p>
        </w:tc>
        <w:tc>
          <w:tcPr>
            <w:tcW w:w="120" w:type="dxa"/>
            <w:vAlign w:val="bottom"/>
            <w:tcBorders>
              <w:bottom w:val="single" w:sz="8" w:color="C6C6C6"/>
            </w:tcBorders>
            <w:shd w:val="clear" w:color="auto" w:fill="E6E6E6"/>
          </w:tcPr>
          <w:p>
            <w:pPr>
              <w:spacing w:after="0"/>
              <w:rPr>
                <w:sz w:val="18"/>
                <w:szCs w:val="18"/>
                <w:color w:val="auto"/>
              </w:rPr>
            </w:pPr>
          </w:p>
        </w:tc>
        <w:tc>
          <w:tcPr>
            <w:tcW w:w="76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78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80" w:type="dxa"/>
            <w:vAlign w:val="bottom"/>
            <w:tcBorders>
              <w:bottom w:val="single" w:sz="8" w:color="C6C6C6"/>
            </w:tcBorders>
            <w:shd w:val="clear" w:color="auto" w:fill="E6E6E6"/>
          </w:tcPr>
          <w:p>
            <w:pPr>
              <w:spacing w:after="0"/>
              <w:rPr>
                <w:sz w:val="18"/>
                <w:szCs w:val="18"/>
                <w:color w:val="auto"/>
              </w:rPr>
            </w:pPr>
          </w:p>
        </w:tc>
        <w:tc>
          <w:tcPr>
            <w:tcW w:w="8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tcBorders>
            <w:shd w:val="clear" w:color="auto" w:fill="E6E6E6"/>
          </w:tcPr>
          <w:p>
            <w:pPr>
              <w:spacing w:after="0"/>
              <w:rPr>
                <w:sz w:val="18"/>
                <w:szCs w:val="18"/>
                <w:color w:val="auto"/>
              </w:rPr>
            </w:pPr>
          </w:p>
        </w:tc>
        <w:tc>
          <w:tcPr>
            <w:tcW w:w="140" w:type="dxa"/>
            <w:vAlign w:val="bottom"/>
            <w:tcBorders>
              <w:bottom w:val="single" w:sz="8" w:color="C6C6C6"/>
            </w:tcBorders>
            <w:shd w:val="clear" w:color="auto" w:fill="E6E6E6"/>
          </w:tcPr>
          <w:p>
            <w:pPr>
              <w:spacing w:after="0"/>
              <w:rPr>
                <w:sz w:val="18"/>
                <w:szCs w:val="18"/>
                <w:color w:val="auto"/>
              </w:rPr>
            </w:pPr>
          </w:p>
        </w:tc>
        <w:tc>
          <w:tcPr>
            <w:tcW w:w="800" w:type="dxa"/>
            <w:vAlign w:val="bottom"/>
            <w:tcBorders>
              <w:bottom w:val="single" w:sz="8" w:color="C6C6C6"/>
              <w:right w:val="single" w:sz="8" w:color="E6E6E6"/>
            </w:tcBorders>
            <w:shd w:val="clear" w:color="auto" w:fill="E6E6E6"/>
          </w:tcPr>
          <w:p>
            <w:pPr>
              <w:spacing w:after="0"/>
              <w:rPr>
                <w:sz w:val="18"/>
                <w:szCs w:val="18"/>
                <w:color w:val="auto"/>
              </w:rPr>
            </w:pPr>
          </w:p>
        </w:tc>
        <w:tc>
          <w:tcPr>
            <w:tcW w:w="300" w:type="dxa"/>
            <w:vAlign w:val="bottom"/>
            <w:tcBorders>
              <w:bottom w:val="single" w:sz="8" w:color="C6C6C6"/>
            </w:tcBorders>
            <w:shd w:val="clear" w:color="auto" w:fill="E6E6E6"/>
          </w:tcPr>
          <w:p>
            <w:pPr>
              <w:spacing w:after="0"/>
              <w:rPr>
                <w:sz w:val="18"/>
                <w:szCs w:val="18"/>
                <w:color w:val="auto"/>
              </w:rPr>
            </w:pPr>
          </w:p>
        </w:tc>
        <w:tc>
          <w:tcPr>
            <w:tcW w:w="100" w:type="dxa"/>
            <w:vAlign w:val="bottom"/>
            <w:tcBorders>
              <w:bottom w:val="single" w:sz="8" w:color="C6C6C6"/>
              <w:right w:val="single" w:sz="8" w:color="C6C6C6"/>
            </w:tcBorders>
          </w:tcPr>
          <w:p>
            <w:pPr>
              <w:spacing w:after="0"/>
              <w:rPr>
                <w:sz w:val="18"/>
                <w:szCs w:val="18"/>
                <w:color w:val="auto"/>
              </w:rPr>
            </w:pPr>
          </w:p>
        </w:tc>
      </w:tr>
      <w:tr>
        <w:trPr>
          <w:trHeight w:val="7753"/>
        </w:trPr>
        <w:tc>
          <w:tcPr>
            <w:tcW w:w="100" w:type="dxa"/>
            <w:vAlign w:val="bottom"/>
            <w:tcBorders>
              <w:right w:val="single" w:sz="8" w:color="E6E6E6"/>
            </w:tcBorders>
            <w:shd w:val="clear" w:color="auto" w:fill="E6E6E6"/>
          </w:tcPr>
          <w:p>
            <w:pPr>
              <w:spacing w:after="0"/>
              <w:rPr>
                <w:sz w:val="24"/>
                <w:szCs w:val="24"/>
                <w:color w:val="auto"/>
              </w:rPr>
            </w:pPr>
          </w:p>
        </w:tc>
        <w:tc>
          <w:tcPr>
            <w:tcW w:w="480" w:type="dxa"/>
            <w:vAlign w:val="bottom"/>
            <w:tcBorders>
              <w:right w:val="single" w:sz="8" w:color="E6E6E6"/>
            </w:tcBorders>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5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5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10" w:type="dxa"/>
            <w:vAlign w:val="bottom"/>
            <w:shd w:val="clear" w:color="auto" w:fill="E6E6E6"/>
          </w:tcPr>
          <w:p>
            <w:pPr>
              <w:spacing w:after="0"/>
              <w:rPr>
                <w:sz w:val="24"/>
                <w:szCs w:val="24"/>
                <w:color w:val="auto"/>
              </w:rPr>
            </w:pPr>
          </w:p>
        </w:tc>
        <w:tc>
          <w:tcPr>
            <w:tcW w:w="77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220" w:type="dxa"/>
            <w:vAlign w:val="bottom"/>
            <w:shd w:val="clear" w:color="auto" w:fill="E6E6E6"/>
          </w:tcPr>
          <w:p>
            <w:pPr>
              <w:spacing w:after="0"/>
              <w:rPr>
                <w:sz w:val="24"/>
                <w:szCs w:val="24"/>
                <w:color w:val="auto"/>
              </w:rPr>
            </w:pPr>
          </w:p>
        </w:tc>
        <w:tc>
          <w:tcPr>
            <w:tcW w:w="66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76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78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80" w:type="dxa"/>
            <w:vAlign w:val="bottom"/>
            <w:shd w:val="clear" w:color="auto" w:fill="E6E6E6"/>
          </w:tcPr>
          <w:p>
            <w:pPr>
              <w:spacing w:after="0"/>
              <w:rPr>
                <w:sz w:val="24"/>
                <w:szCs w:val="24"/>
                <w:color w:val="auto"/>
              </w:rPr>
            </w:pPr>
          </w:p>
        </w:tc>
        <w:tc>
          <w:tcPr>
            <w:tcW w:w="800" w:type="dxa"/>
            <w:vAlign w:val="bottom"/>
            <w:shd w:val="clear" w:color="auto" w:fill="E6E6E6"/>
          </w:tcPr>
          <w:p>
            <w:pPr>
              <w:spacing w:after="0"/>
              <w:rPr>
                <w:sz w:val="24"/>
                <w:szCs w:val="24"/>
                <w:color w:val="auto"/>
              </w:rPr>
            </w:pPr>
          </w:p>
        </w:tc>
        <w:tc>
          <w:tcPr>
            <w:tcW w:w="100" w:type="dxa"/>
            <w:vAlign w:val="bottom"/>
            <w:shd w:val="clear" w:color="auto" w:fill="E6E6E6"/>
          </w:tcPr>
          <w:p>
            <w:pPr>
              <w:spacing w:after="0"/>
              <w:rPr>
                <w:sz w:val="24"/>
                <w:szCs w:val="24"/>
                <w:color w:val="auto"/>
              </w:rPr>
            </w:pPr>
          </w:p>
        </w:tc>
        <w:tc>
          <w:tcPr>
            <w:tcW w:w="140" w:type="dxa"/>
            <w:vAlign w:val="bottom"/>
            <w:shd w:val="clear" w:color="auto" w:fill="E6E6E6"/>
          </w:tcPr>
          <w:p>
            <w:pPr>
              <w:spacing w:after="0"/>
              <w:rPr>
                <w:sz w:val="24"/>
                <w:szCs w:val="24"/>
                <w:color w:val="auto"/>
              </w:rPr>
            </w:pPr>
          </w:p>
        </w:tc>
        <w:tc>
          <w:tcPr>
            <w:tcW w:w="800" w:type="dxa"/>
            <w:vAlign w:val="bottom"/>
            <w:tcBorders>
              <w:right w:val="single" w:sz="8" w:color="E6E6E6"/>
            </w:tcBorders>
            <w:shd w:val="clear" w:color="auto" w:fill="E6E6E6"/>
          </w:tcPr>
          <w:p>
            <w:pPr>
              <w:spacing w:after="0"/>
              <w:rPr>
                <w:sz w:val="24"/>
                <w:szCs w:val="24"/>
                <w:color w:val="auto"/>
              </w:rPr>
            </w:pPr>
          </w:p>
        </w:tc>
        <w:tc>
          <w:tcPr>
            <w:tcW w:w="300" w:type="dxa"/>
            <w:vAlign w:val="bottom"/>
            <w:shd w:val="clear" w:color="auto" w:fill="E6E6E6"/>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-10467340</wp:posOffset>
            </wp:positionV>
            <wp:extent cx="7162800" cy="55416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5541645"/>
                    </a:xfrm>
                    <a:prstGeom prst="rect">
                      <a:avLst/>
                    </a:prstGeom>
                    <a:noFill/>
                  </pic:spPr>
                </pic:pic>
              </a:graphicData>
            </a:graphic>
          </wp:anchor>
        </w:drawing>
      </w:r>
    </w:p>
    <w:p>
      <w:pPr>
        <w:sectPr>
          <w:pgSz w:w="11900" w:h="16900" w:orient="portrait"/>
          <w:cols w:equalWidth="0" w:num="1">
            <w:col w:w="11360"/>
          </w:cols>
          <w:pgMar w:left="300" w:top="140" w:right="23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56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4750" w:type="dxa"/>
            <w:vAlign w:val="bottom"/>
            <w:gridSpan w:val="14"/>
          </w:tcPr>
          <w:p>
            <w:pPr>
              <w:jc w:val="right"/>
              <w:ind w:right="349"/>
              <w:spacing w:after="0"/>
              <w:rPr>
                <w:sz w:val="20"/>
                <w:szCs w:val="20"/>
                <w:color w:val="auto"/>
              </w:rPr>
            </w:pPr>
            <w:r>
              <w:rPr>
                <w:rFonts w:ascii="Arial" w:cs="Arial" w:eastAsia="Arial" w:hAnsi="Arial"/>
                <w:sz w:val="14"/>
                <w:szCs w:val="14"/>
                <w:color w:val="auto"/>
              </w:rPr>
              <w:t>Notes to Condensed Consolidated Financial Statements (unaudited)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6"/>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83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77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0"/>
              </w:rPr>
              <w:t>As of June 30, 2022</w:t>
            </w: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14"/>
          </w:tcPr>
          <w:p>
            <w:pPr>
              <w:jc w:val="right"/>
              <w:ind w:right="69"/>
              <w:spacing w:after="0"/>
              <w:rPr>
                <w:sz w:val="20"/>
                <w:szCs w:val="20"/>
                <w:color w:val="auto"/>
              </w:rPr>
            </w:pPr>
            <w:r>
              <w:rPr>
                <w:rFonts w:ascii="Arial" w:cs="Arial" w:eastAsia="Arial" w:hAnsi="Arial"/>
                <w:sz w:val="14"/>
                <w:szCs w:val="14"/>
                <w:b w:val="1"/>
                <w:bCs w:val="1"/>
                <w:color w:val="auto"/>
                <w:w w:val="91"/>
              </w:rPr>
              <w:t>Amortized Cost Basis by Origination Year and Past Due Status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10"/>
          </w:tcPr>
          <w:p>
            <w:pPr>
              <w:jc w:val="center"/>
              <w:ind w:left="549"/>
              <w:spacing w:after="0"/>
              <w:rPr>
                <w:sz w:val="20"/>
                <w:szCs w:val="20"/>
                <w:color w:val="auto"/>
              </w:rPr>
            </w:pPr>
            <w:r>
              <w:rPr>
                <w:rFonts w:ascii="Arial" w:cs="Arial" w:eastAsia="Arial" w:hAnsi="Arial"/>
                <w:sz w:val="14"/>
                <w:szCs w:val="14"/>
                <w:b w:val="1"/>
                <w:bCs w:val="1"/>
                <w:color w:val="auto"/>
                <w:w w:val="89"/>
              </w:rPr>
              <w:t>Amortized Cost Basis</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83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 w:type="dxa"/>
            <w:vAlign w:val="bottom"/>
          </w:tcPr>
          <w:p>
            <w:pPr>
              <w:spacing w:after="0"/>
              <w:rPr>
                <w:sz w:val="23"/>
                <w:szCs w:val="23"/>
                <w:color w:val="auto"/>
              </w:rPr>
            </w:pPr>
          </w:p>
        </w:tc>
        <w:tc>
          <w:tcPr>
            <w:tcW w:w="77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jc w:val="center"/>
              <w:ind w:right="69"/>
              <w:spacing w:after="0"/>
              <w:rPr>
                <w:sz w:val="20"/>
                <w:szCs w:val="20"/>
                <w:color w:val="auto"/>
              </w:rPr>
            </w:pPr>
            <w:r>
              <w:rPr>
                <w:rFonts w:ascii="Arial" w:cs="Arial" w:eastAsia="Arial" w:hAnsi="Arial"/>
                <w:sz w:val="14"/>
                <w:szCs w:val="14"/>
                <w:b w:val="1"/>
                <w:bCs w:val="1"/>
                <w:color w:val="auto"/>
                <w:w w:val="92"/>
              </w:rPr>
              <w:t>Revolving</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49"/>
              <w:spacing w:after="0"/>
              <w:rPr>
                <w:sz w:val="20"/>
                <w:szCs w:val="20"/>
                <w:color w:val="auto"/>
              </w:rPr>
            </w:pPr>
            <w:r>
              <w:rPr>
                <w:rFonts w:ascii="Arial" w:cs="Arial" w:eastAsia="Arial" w:hAnsi="Arial"/>
                <w:sz w:val="14"/>
                <w:szCs w:val="14"/>
                <w:b w:val="1"/>
                <w:bCs w:val="1"/>
                <w:color w:val="auto"/>
                <w:w w:val="87"/>
              </w:rPr>
              <w:t>loans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83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77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49"/>
              <w:spacing w:after="0"/>
              <w:rPr>
                <w:sz w:val="20"/>
                <w:szCs w:val="20"/>
                <w:color w:val="auto"/>
              </w:rPr>
            </w:pPr>
            <w:r>
              <w:rPr>
                <w:rFonts w:ascii="Arial" w:cs="Arial" w:eastAsia="Arial" w:hAnsi="Arial"/>
                <w:sz w:val="14"/>
                <w:szCs w:val="14"/>
                <w:b w:val="1"/>
                <w:bCs w:val="1"/>
                <w:color w:val="auto"/>
                <w:w w:val="90"/>
              </w:rPr>
              <w:t>2017 and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29"/>
              <w:spacing w:after="0"/>
              <w:rPr>
                <w:sz w:val="20"/>
                <w:szCs w:val="20"/>
                <w:color w:val="auto"/>
              </w:rPr>
            </w:pPr>
            <w:r>
              <w:rPr>
                <w:rFonts w:ascii="Arial" w:cs="Arial" w:eastAsia="Arial" w:hAnsi="Arial"/>
                <w:sz w:val="14"/>
                <w:szCs w:val="14"/>
                <w:b w:val="1"/>
                <w:bCs w:val="1"/>
                <w:color w:val="auto"/>
                <w:w w:val="89"/>
              </w:rPr>
              <w:t>Revolving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8"/>
              </w:rPr>
              <w:t>converted to</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0"/>
              </w:rPr>
              <w:t>term 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83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77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1950" w:type="dxa"/>
            <w:vAlign w:val="bottom"/>
            <w:gridSpan w:val="6"/>
          </w:tcPr>
          <w:p>
            <w:pPr>
              <w:jc w:val="right"/>
              <w:ind w:right="60"/>
              <w:spacing w:after="0"/>
              <w:rPr>
                <w:sz w:val="20"/>
                <w:szCs w:val="20"/>
                <w:color w:val="auto"/>
              </w:rPr>
            </w:pPr>
            <w:r>
              <w:rPr>
                <w:rFonts w:ascii="Arial" w:cs="Arial" w:eastAsia="Arial" w:hAnsi="Arial"/>
                <w:sz w:val="14"/>
                <w:szCs w:val="14"/>
                <w:i w:val="1"/>
                <w:iCs w:val="1"/>
                <w:color w:val="auto"/>
              </w:rPr>
              <w:t>(Dollars in thousands)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9"/>
              </w:rPr>
              <w:t>Multifamily real estate</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83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10" w:type="dxa"/>
            <w:vAlign w:val="bottom"/>
            <w:tcBorders>
              <w:bottom w:val="single" w:sz="8" w:color="auto"/>
            </w:tcBorders>
          </w:tcPr>
          <w:p>
            <w:pPr>
              <w:spacing w:after="0"/>
              <w:rPr>
                <w:sz w:val="14"/>
                <w:szCs w:val="14"/>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83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77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1500" w:type="dxa"/>
            <w:vAlign w:val="bottom"/>
            <w:gridSpan w:val="2"/>
            <w:shd w:val="clear" w:color="auto" w:fill="CCEEFF"/>
          </w:tcPr>
          <w:p>
            <w:pPr>
              <w:ind w:left="220"/>
              <w:spacing w:after="0" w:line="152" w:lineRule="exact"/>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83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77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58,346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28,407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5,424</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12,070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3,115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1,901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123,802</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16,576</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249,641</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58,346</w:t>
            </w:r>
          </w:p>
        </w:tc>
        <w:tc>
          <w:tcPr>
            <w:tcW w:w="20" w:type="dxa"/>
            <w:vAlign w:val="bottom"/>
            <w:shd w:val="clear" w:color="auto" w:fill="CCEEFF"/>
          </w:tcPr>
          <w:p>
            <w:pPr>
              <w:spacing w:after="0"/>
              <w:rPr>
                <w:sz w:val="15"/>
                <w:szCs w:val="15"/>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28,407</w:t>
            </w: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5,424</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12,070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3,115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1,901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123,802</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16,576</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249,641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83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3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Consumer</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3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83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2,647</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1,975</w:t>
            </w:r>
          </w:p>
        </w:tc>
        <w:tc>
          <w:tcPr>
            <w:tcW w:w="100" w:type="dxa"/>
            <w:vAlign w:val="bottom"/>
            <w:tcBorders>
              <w:bottom w:val="single" w:sz="8" w:color="CCEEFF"/>
            </w:tcBorders>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47,039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53,829</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15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1,811</w:t>
            </w:r>
          </w:p>
        </w:tc>
        <w:tc>
          <w:tcPr>
            <w:tcW w:w="20" w:type="dxa"/>
            <w:vAlign w:val="bottom"/>
            <w:shd w:val="clear" w:color="auto" w:fill="CCEEFF"/>
          </w:tcPr>
          <w:p>
            <w:pPr>
              <w:spacing w:after="0"/>
              <w:rPr>
                <w:sz w:val="14"/>
                <w:szCs w:val="14"/>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2,691</w:t>
            </w: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1,975</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47,039</w:t>
            </w:r>
          </w:p>
        </w:tc>
        <w:tc>
          <w:tcPr>
            <w:tcW w:w="20" w:type="dxa"/>
            <w:vAlign w:val="bottom"/>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53,873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83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83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7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77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50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and accruing</w:t>
            </w:r>
          </w:p>
        </w:tc>
        <w:tc>
          <w:tcPr>
            <w:tcW w:w="2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line="159" w:lineRule="exact"/>
              <w:rPr>
                <w:sz w:val="20"/>
                <w:szCs w:val="20"/>
                <w:color w:val="auto"/>
              </w:rPr>
            </w:pPr>
            <w:r>
              <w:rPr>
                <w:rFonts w:ascii="Arial" w:cs="Arial" w:eastAsia="Arial" w:hAnsi="Arial"/>
                <w:sz w:val="14"/>
                <w:szCs w:val="14"/>
                <w:color w:val="auto"/>
              </w:rPr>
              <w:t>$</w:t>
            </w:r>
          </w:p>
        </w:tc>
        <w:tc>
          <w:tcPr>
            <w:tcW w:w="83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line="159" w:lineRule="exact"/>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1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18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line="159" w:lineRule="exact"/>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line="15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30-59 days</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49"/>
              <w:spacing w:after="0"/>
              <w:rPr>
                <w:sz w:val="20"/>
                <w:szCs w:val="20"/>
                <w:color w:val="auto"/>
              </w:rPr>
            </w:pPr>
            <w:r>
              <w:rPr>
                <w:rFonts w:ascii="Arial" w:cs="Arial" w:eastAsia="Arial" w:hAnsi="Arial"/>
                <w:sz w:val="14"/>
                <w:szCs w:val="14"/>
                <w:color w:val="auto"/>
              </w:rPr>
              <w:t>11,296</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2,185</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2,086</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126</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15,700</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60-89 days</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8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1,383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17,659</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2,983</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22,797</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past due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83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11,400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2,195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20,529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3,109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39,432</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5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Current</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656,897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83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999,898</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508,602</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7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285,473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186,530</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150,995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1,505,049</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195,358</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4,488,802</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656,897</w:t>
            </w:r>
          </w:p>
        </w:tc>
        <w:tc>
          <w:tcPr>
            <w:tcW w:w="20" w:type="dxa"/>
            <w:vAlign w:val="bottom"/>
            <w:shd w:val="clear" w:color="auto" w:fill="CCEEFF"/>
          </w:tcPr>
          <w:p>
            <w:pPr>
              <w:spacing w:after="0"/>
              <w:rPr>
                <w:sz w:val="15"/>
                <w:szCs w:val="15"/>
                <w:color w:val="auto"/>
              </w:rPr>
            </w:pP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1,011,298</w:t>
            </w: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508,612</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7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287,668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187,990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151,724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1,525,578</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198,467</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4,528,234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color w:val="auto"/>
              </w:rPr>
              <w:t>Greater than 90 days</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83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7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83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7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and accruing</w:t>
            </w:r>
          </w:p>
        </w:tc>
        <w:tc>
          <w:tcPr>
            <w:tcW w:w="2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30" w:type="dxa"/>
            <w:vAlign w:val="bottom"/>
            <w:gridSpan w:val="4"/>
          </w:tcPr>
          <w:p>
            <w:pPr>
              <w:jc w:val="right"/>
              <w:ind w:right="70"/>
              <w:spacing w:after="0"/>
              <w:rPr>
                <w:sz w:val="20"/>
                <w:szCs w:val="20"/>
                <w:color w:val="auto"/>
              </w:rPr>
            </w:pPr>
            <w:r>
              <w:rPr>
                <w:rFonts w:ascii="Arial" w:cs="Arial" w:eastAsia="Arial" w:hAnsi="Arial"/>
                <w:sz w:val="14"/>
                <w:szCs w:val="14"/>
                <w:color w:val="auto"/>
              </w:rPr>
              <w:t>$</w:t>
            </w:r>
          </w:p>
        </w:tc>
        <w:tc>
          <w:tcPr>
            <w:tcW w:w="83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7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2,160</w:t>
            </w:r>
          </w:p>
        </w:tc>
        <w:tc>
          <w:tcPr>
            <w:tcW w:w="1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4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2,163</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600"/>
          </w:cols>
          <w:pgMar w:left="820" w:top="448" w:right="479" w:bottom="1440" w:gutter="0" w:footer="0" w:header="0"/>
        </w:sectPr>
      </w:pPr>
    </w:p>
    <w:bookmarkStart w:id="28" w:name="page29"/>
    <w:bookmarkEnd w:id="28"/>
    <w:p>
      <w:pPr>
        <w:spacing w:after="0"/>
        <w:tabs>
          <w:tab w:leader="none" w:pos="326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Condensed Consolidated Financial Statements (unaudited)</w:t>
      </w:r>
    </w:p>
    <w:p>
      <w:pPr>
        <w:spacing w:after="0" w:line="383" w:lineRule="exact"/>
        <w:rPr>
          <w:sz w:val="20"/>
          <w:szCs w:val="20"/>
          <w:color w:val="auto"/>
        </w:rPr>
      </w:pPr>
    </w:p>
    <w:p>
      <w:pPr>
        <w:ind w:left="80"/>
        <w:spacing w:after="0"/>
        <w:rPr>
          <w:sz w:val="20"/>
          <w:szCs w:val="20"/>
          <w:color w:val="auto"/>
        </w:rPr>
      </w:pPr>
      <w:r>
        <w:rPr>
          <w:rFonts w:ascii="Arial" w:cs="Arial" w:eastAsia="Arial" w:hAnsi="Arial"/>
          <w:sz w:val="14"/>
          <w:szCs w:val="14"/>
          <w:i w:val="1"/>
          <w:iCs w:val="1"/>
          <w:u w:val="single" w:color="auto"/>
          <w:color w:val="auto"/>
        </w:rPr>
        <w:t>Non-accrual Loan Analysis</w:t>
      </w:r>
    </w:p>
    <w:p>
      <w:pPr>
        <w:spacing w:after="0" w:line="234" w:lineRule="exact"/>
        <w:rPr>
          <w:sz w:val="20"/>
          <w:szCs w:val="20"/>
          <w:color w:val="auto"/>
        </w:rPr>
      </w:pPr>
    </w:p>
    <w:p>
      <w:pPr>
        <w:ind w:left="80" w:right="180" w:firstLine="395"/>
        <w:spacing w:after="0" w:line="330" w:lineRule="auto"/>
        <w:rPr>
          <w:sz w:val="20"/>
          <w:szCs w:val="20"/>
          <w:color w:val="auto"/>
        </w:rPr>
      </w:pPr>
      <w:r>
        <w:rPr>
          <w:rFonts w:ascii="Arial" w:cs="Arial" w:eastAsia="Arial" w:hAnsi="Arial"/>
          <w:sz w:val="13"/>
          <w:szCs w:val="13"/>
          <w:color w:val="auto"/>
        </w:rPr>
        <w:t>Non-accrual loans are loans for which the Company does not record interest income. The accrual of interest on loans is discontinued at the time the loan is 90 days past due unless the credit is well secured and in process of collection. Past due status is based on contractual terms of the loan. In all cases, loans are placed on non-accrual or charged off at an earlier date, if collection of principal or interest is considered doubtful. Loans are returned to accrual status when all the principal and interest amounts contractually due are brought current and future payments are reasonably assured. The following table presents the Company’s non-accrual loans by loan segments:</w:t>
      </w:r>
    </w:p>
    <w:p>
      <w:pPr>
        <w:spacing w:after="0" w:line="102"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As of June 30, 2022</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5" w:type="dxa"/>
            <w:vAlign w:val="bottom"/>
            <w:tcBorders>
              <w:bottom w:val="single" w:sz="8" w:color="auto"/>
            </w:tcBorders>
          </w:tcPr>
          <w:p>
            <w:pPr>
              <w:spacing w:after="0"/>
              <w:rPr>
                <w:sz w:val="15"/>
                <w:szCs w:val="15"/>
                <w:color w:val="auto"/>
              </w:rPr>
            </w:pPr>
          </w:p>
        </w:tc>
        <w:tc>
          <w:tcPr>
            <w:tcW w:w="4085" w:type="dxa"/>
            <w:vAlign w:val="bottom"/>
            <w:tcBorders>
              <w:bottom w:val="single" w:sz="8" w:color="auto"/>
            </w:tcBorders>
            <w:gridSpan w:val="16"/>
          </w:tcPr>
          <w:p>
            <w:pPr>
              <w:jc w:val="right"/>
              <w:spacing w:after="0"/>
              <w:rPr>
                <w:sz w:val="20"/>
                <w:szCs w:val="20"/>
                <w:color w:val="auto"/>
              </w:rPr>
            </w:pPr>
            <w:r>
              <w:rPr>
                <w:rFonts w:ascii="Arial" w:cs="Arial" w:eastAsia="Arial" w:hAnsi="Arial"/>
                <w:sz w:val="14"/>
                <w:szCs w:val="14"/>
                <w:b w:val="1"/>
                <w:bCs w:val="1"/>
                <w:color w:val="auto"/>
                <w:w w:val="97"/>
              </w:rPr>
              <w:t>Amortized Cost Basis by Origination Year and On Non-accrual</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Amortized Cost Basis</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36"/>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5" w:type="dxa"/>
            <w:vAlign w:val="bottom"/>
          </w:tcPr>
          <w:p>
            <w:pPr>
              <w:spacing w:after="0"/>
              <w:rPr>
                <w:sz w:val="11"/>
                <w:szCs w:val="11"/>
                <w:color w:val="auto"/>
              </w:rPr>
            </w:pPr>
          </w:p>
        </w:tc>
        <w:tc>
          <w:tcPr>
            <w:tcW w:w="385"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9"/>
              <w:spacing w:after="0" w:line="137" w:lineRule="exact"/>
              <w:rPr>
                <w:sz w:val="20"/>
                <w:szCs w:val="20"/>
                <w:color w:val="auto"/>
              </w:rPr>
            </w:pPr>
            <w:r>
              <w:rPr>
                <w:rFonts w:ascii="Arial" w:cs="Arial" w:eastAsia="Arial" w:hAnsi="Arial"/>
                <w:sz w:val="14"/>
                <w:szCs w:val="14"/>
                <w:b w:val="1"/>
                <w:bCs w:val="1"/>
                <w:color w:val="auto"/>
                <w:w w:val="89"/>
              </w:rPr>
              <w:t>Revolving</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5" w:type="dxa"/>
            <w:vAlign w:val="bottom"/>
          </w:tcPr>
          <w:p>
            <w:pPr>
              <w:spacing w:after="0"/>
              <w:rPr>
                <w:sz w:val="13"/>
                <w:szCs w:val="13"/>
                <w:color w:val="auto"/>
              </w:rPr>
            </w:pPr>
          </w:p>
        </w:tc>
        <w:tc>
          <w:tcPr>
            <w:tcW w:w="385"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09"/>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Non-accrual</w:t>
            </w:r>
          </w:p>
        </w:tc>
      </w:t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385"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9"/>
              </w:rPr>
              <w:t>converted</w:t>
            </w:r>
          </w:p>
        </w:tc>
        <w:tc>
          <w:tcPr>
            <w:tcW w:w="140" w:type="dxa"/>
            <w:vAlign w:val="bottom"/>
          </w:tcPr>
          <w:p>
            <w:pPr>
              <w:spacing w:after="0"/>
              <w:rPr>
                <w:sz w:val="14"/>
                <w:szCs w:val="14"/>
                <w:color w:val="auto"/>
              </w:rPr>
            </w:pPr>
          </w:p>
        </w:tc>
        <w:tc>
          <w:tcPr>
            <w:tcW w:w="800" w:type="dxa"/>
            <w:vAlign w:val="bottom"/>
          </w:tcPr>
          <w:p>
            <w:pPr>
              <w:jc w:val="center"/>
              <w:ind w:right="49"/>
              <w:spacing w:after="0"/>
              <w:rPr>
                <w:sz w:val="20"/>
                <w:szCs w:val="20"/>
                <w:color w:val="auto"/>
              </w:rPr>
            </w:pPr>
            <w:r>
              <w:rPr>
                <w:rFonts w:ascii="Arial" w:cs="Arial" w:eastAsia="Arial" w:hAnsi="Arial"/>
                <w:sz w:val="14"/>
                <w:szCs w:val="14"/>
                <w:b w:val="1"/>
                <w:bCs w:val="1"/>
                <w:color w:val="auto"/>
                <w:w w:val="92"/>
              </w:rPr>
              <w:t>Total Non-</w:t>
            </w:r>
          </w:p>
        </w:tc>
        <w:tc>
          <w:tcPr>
            <w:tcW w:w="8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Loans with no</w:t>
            </w:r>
          </w:p>
        </w:tc>
      </w:tr>
      <w:tr>
        <w:trPr>
          <w:trHeight w:val="160"/>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5" w:type="dxa"/>
            <w:vAlign w:val="bottom"/>
          </w:tcPr>
          <w:p>
            <w:pPr>
              <w:spacing w:after="0"/>
              <w:rPr>
                <w:sz w:val="13"/>
                <w:szCs w:val="13"/>
                <w:color w:val="auto"/>
              </w:rPr>
            </w:pPr>
          </w:p>
        </w:tc>
        <w:tc>
          <w:tcPr>
            <w:tcW w:w="385"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69"/>
              <w:spacing w:after="0"/>
              <w:rPr>
                <w:sz w:val="20"/>
                <w:szCs w:val="20"/>
                <w:color w:val="auto"/>
              </w:rPr>
            </w:pPr>
            <w:r>
              <w:rPr>
                <w:rFonts w:ascii="Arial" w:cs="Arial" w:eastAsia="Arial" w:hAnsi="Arial"/>
                <w:sz w:val="14"/>
                <w:szCs w:val="14"/>
                <w:b w:val="1"/>
                <w:bCs w:val="1"/>
                <w:color w:val="auto"/>
                <w:w w:val="93"/>
              </w:rPr>
              <w:t>2017 and</w:t>
            </w:r>
          </w:p>
        </w:tc>
        <w:tc>
          <w:tcPr>
            <w:tcW w:w="80" w:type="dxa"/>
            <w:vAlign w:val="bottom"/>
          </w:tcPr>
          <w:p>
            <w:pPr>
              <w:spacing w:after="0"/>
              <w:rPr>
                <w:sz w:val="13"/>
                <w:szCs w:val="13"/>
                <w:color w:val="auto"/>
              </w:rPr>
            </w:pPr>
          </w:p>
        </w:tc>
        <w:tc>
          <w:tcPr>
            <w:tcW w:w="7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5"/>
              </w:rPr>
              <w:t>Revolving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to term</w:t>
            </w:r>
          </w:p>
        </w:tc>
        <w:tc>
          <w:tcPr>
            <w:tcW w:w="140" w:type="dxa"/>
            <w:vAlign w:val="bottom"/>
          </w:tcPr>
          <w:p>
            <w:pPr>
              <w:spacing w:after="0"/>
              <w:rPr>
                <w:sz w:val="13"/>
                <w:szCs w:val="13"/>
                <w:color w:val="auto"/>
              </w:rPr>
            </w:pPr>
          </w:p>
        </w:tc>
        <w:tc>
          <w:tcPr>
            <w:tcW w:w="800" w:type="dxa"/>
            <w:vAlign w:val="bottom"/>
          </w:tcPr>
          <w:p>
            <w:pPr>
              <w:jc w:val="center"/>
              <w:ind w:right="69"/>
              <w:spacing w:after="0"/>
              <w:rPr>
                <w:sz w:val="20"/>
                <w:szCs w:val="20"/>
                <w:color w:val="auto"/>
              </w:rPr>
            </w:pPr>
            <w:r>
              <w:rPr>
                <w:rFonts w:ascii="Arial" w:cs="Arial" w:eastAsia="Arial" w:hAnsi="Arial"/>
                <w:sz w:val="14"/>
                <w:szCs w:val="14"/>
                <w:b w:val="1"/>
                <w:bCs w:val="1"/>
                <w:color w:val="auto"/>
                <w:w w:val="93"/>
              </w:rPr>
              <w:t>accrual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related</w:t>
            </w:r>
          </w:p>
        </w:tc>
      </w:tr>
      <w:tr>
        <w:trPr>
          <w:trHeight w:val="174"/>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1"/>
              </w:rPr>
              <w:t>Prior</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loans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5"/>
                <w:szCs w:val="15"/>
                <w:color w:val="auto"/>
              </w:rPr>
            </w:pPr>
          </w:p>
        </w:tc>
        <w:tc>
          <w:tcPr>
            <w:tcW w:w="80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87"/>
              </w:rPr>
              <w:t>Loans</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Allowance</w:t>
            </w:r>
          </w:p>
        </w:tc>
      </w:tr>
      <w:tr>
        <w:trPr>
          <w:trHeight w:val="172"/>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385"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7"/>
          </w:tcPr>
          <w:p>
            <w:pPr>
              <w:jc w:val="right"/>
              <w:ind w:right="409"/>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35" w:type="dxa"/>
            <w:vAlign w:val="bottom"/>
            <w:gridSpan w:val="2"/>
            <w:shd w:val="clear" w:color="auto" w:fill="CCEEFF"/>
          </w:tcPr>
          <w:p>
            <w:pPr>
              <w:jc w:val="right"/>
              <w:ind w:right="4"/>
              <w:spacing w:after="0"/>
              <w:rPr>
                <w:sz w:val="20"/>
                <w:szCs w:val="20"/>
                <w:color w:val="auto"/>
              </w:rPr>
            </w:pPr>
            <w:r>
              <w:rPr>
                <w:rFonts w:ascii="Arial" w:cs="Arial" w:eastAsia="Arial" w:hAnsi="Arial"/>
                <w:sz w:val="14"/>
                <w:szCs w:val="14"/>
                <w:b w:val="1"/>
                <w:bCs w:val="1"/>
                <w:color w:val="auto"/>
              </w:rPr>
              <w:t>$</w:t>
            </w:r>
          </w:p>
        </w:tc>
        <w:tc>
          <w:tcPr>
            <w:tcW w:w="385"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994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1,397</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1,868</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4,906</w:t>
            </w:r>
          </w:p>
        </w:tc>
      </w:tr>
      <w:tr>
        <w:trPr>
          <w:trHeight w:val="193"/>
        </w:trPr>
        <w:tc>
          <w:tcPr>
            <w:tcW w:w="168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100" w:type="dxa"/>
            <w:vAlign w:val="bottom"/>
          </w:tcPr>
          <w:p>
            <w:pPr>
              <w:spacing w:after="0"/>
              <w:rPr>
                <w:sz w:val="16"/>
                <w:szCs w:val="16"/>
                <w:color w:val="auto"/>
              </w:rPr>
            </w:pPr>
          </w:p>
        </w:tc>
        <w:tc>
          <w:tcPr>
            <w:tcW w:w="135" w:type="dxa"/>
            <w:vAlign w:val="bottom"/>
          </w:tcPr>
          <w:p>
            <w:pPr>
              <w:spacing w:after="0"/>
              <w:rPr>
                <w:sz w:val="16"/>
                <w:szCs w:val="16"/>
                <w:color w:val="auto"/>
              </w:rPr>
            </w:pPr>
          </w:p>
        </w:tc>
        <w:tc>
          <w:tcPr>
            <w:tcW w:w="385"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70"/>
        </w:trPr>
        <w:tc>
          <w:tcPr>
            <w:tcW w:w="1680" w:type="dxa"/>
            <w:vAlign w:val="bottom"/>
            <w:gridSpan w:val="2"/>
          </w:tcPr>
          <w:p>
            <w:pPr>
              <w:spacing w:after="0"/>
              <w:rPr>
                <w:sz w:val="20"/>
                <w:szCs w:val="20"/>
                <w:color w:val="auto"/>
              </w:rPr>
            </w:pPr>
            <w:r>
              <w:rPr>
                <w:rFonts w:ascii="Arial" w:cs="Arial" w:eastAsia="Arial" w:hAnsi="Arial"/>
                <w:sz w:val="14"/>
                <w:szCs w:val="14"/>
                <w:color w:val="auto"/>
              </w:rPr>
              <w:t>lines of credit</w:t>
            </w:r>
          </w:p>
        </w:tc>
        <w:tc>
          <w:tcPr>
            <w:tcW w:w="100" w:type="dxa"/>
            <w:vAlign w:val="bottom"/>
          </w:tcPr>
          <w:p>
            <w:pPr>
              <w:spacing w:after="0"/>
              <w:rPr>
                <w:sz w:val="14"/>
                <w:szCs w:val="14"/>
                <w:color w:val="auto"/>
              </w:rPr>
            </w:pPr>
          </w:p>
        </w:tc>
        <w:tc>
          <w:tcPr>
            <w:tcW w:w="135" w:type="dxa"/>
            <w:vAlign w:val="bottom"/>
          </w:tcPr>
          <w:p>
            <w:pPr>
              <w:spacing w:after="0"/>
              <w:rPr>
                <w:sz w:val="14"/>
                <w:szCs w:val="14"/>
                <w:color w:val="auto"/>
              </w:rPr>
            </w:pPr>
          </w:p>
        </w:tc>
        <w:tc>
          <w:tcPr>
            <w:tcW w:w="385" w:type="dxa"/>
            <w:vAlign w:val="bottom"/>
          </w:tcPr>
          <w:p>
            <w:pPr>
              <w:spacing w:after="0"/>
              <w:rPr>
                <w:sz w:val="14"/>
                <w:szCs w:val="14"/>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9,605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9,605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9,605</w:t>
            </w: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5"/>
                <w:szCs w:val="15"/>
                <w:color w:val="auto"/>
              </w:rPr>
            </w:pPr>
          </w:p>
        </w:tc>
        <w:tc>
          <w:tcPr>
            <w:tcW w:w="135" w:type="dxa"/>
            <w:vAlign w:val="bottom"/>
            <w:shd w:val="clear" w:color="auto" w:fill="CCEEFF"/>
          </w:tcPr>
          <w:p>
            <w:pPr>
              <w:spacing w:after="0"/>
              <w:rPr>
                <w:sz w:val="15"/>
                <w:szCs w:val="15"/>
                <w:color w:val="auto"/>
              </w:rPr>
            </w:pPr>
          </w:p>
        </w:tc>
        <w:tc>
          <w:tcPr>
            <w:tcW w:w="385"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5,894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698</w:t>
            </w:r>
          </w:p>
        </w:tc>
      </w:tr>
      <w:tr>
        <w:trPr>
          <w:trHeight w:val="181"/>
        </w:trPr>
        <w:tc>
          <w:tcPr>
            <w:tcW w:w="1680" w:type="dxa"/>
            <w:vAlign w:val="bottom"/>
            <w:gridSpan w:val="2"/>
          </w:tcPr>
          <w:p>
            <w:pPr>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5"/>
                <w:szCs w:val="15"/>
                <w:color w:val="auto"/>
              </w:rPr>
            </w:pPr>
          </w:p>
        </w:tc>
        <w:tc>
          <w:tcPr>
            <w:tcW w:w="135" w:type="dxa"/>
            <w:vAlign w:val="bottom"/>
          </w:tcPr>
          <w:p>
            <w:pPr>
              <w:spacing w:after="0"/>
              <w:rPr>
                <w:sz w:val="15"/>
                <w:szCs w:val="15"/>
                <w:color w:val="auto"/>
              </w:rPr>
            </w:pPr>
          </w:p>
        </w:tc>
        <w:tc>
          <w:tcPr>
            <w:tcW w:w="385"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2,498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1,109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2,983</w:t>
            </w:r>
          </w:p>
        </w:tc>
        <w:tc>
          <w:tcPr>
            <w:tcW w:w="14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6,959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6,882</w:t>
            </w:r>
          </w:p>
        </w:tc>
      </w:tr>
      <w:tr>
        <w:trPr>
          <w:trHeight w:val="202"/>
        </w:trPr>
        <w:tc>
          <w:tcPr>
            <w:tcW w:w="20" w:type="dxa"/>
            <w:vAlign w:val="bottom"/>
          </w:tcPr>
          <w:p>
            <w:pPr>
              <w:spacing w:after="0"/>
              <w:rPr>
                <w:sz w:val="17"/>
                <w:szCs w:val="17"/>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w:t>
            </w:r>
          </w:p>
        </w:tc>
        <w:tc>
          <w:tcPr>
            <w:tcW w:w="100" w:type="dxa"/>
            <w:vAlign w:val="bottom"/>
            <w:shd w:val="clear" w:color="auto" w:fill="CCEEFF"/>
          </w:tcPr>
          <w:p>
            <w:pPr>
              <w:spacing w:after="0"/>
              <w:rPr>
                <w:sz w:val="17"/>
                <w:szCs w:val="17"/>
                <w:color w:val="auto"/>
              </w:rPr>
            </w:pPr>
          </w:p>
        </w:tc>
        <w:tc>
          <w:tcPr>
            <w:tcW w:w="135" w:type="dxa"/>
            <w:vAlign w:val="bottom"/>
            <w:shd w:val="clear" w:color="auto" w:fill="CCEEFF"/>
          </w:tcPr>
          <w:p>
            <w:pPr>
              <w:spacing w:after="0"/>
              <w:rPr>
                <w:sz w:val="17"/>
                <w:szCs w:val="17"/>
                <w:color w:val="auto"/>
              </w:rPr>
            </w:pPr>
          </w:p>
        </w:tc>
        <w:tc>
          <w:tcPr>
            <w:tcW w:w="385"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61"/>
        </w:trPr>
        <w:tc>
          <w:tcPr>
            <w:tcW w:w="20" w:type="dxa"/>
            <w:vAlign w:val="bottom"/>
          </w:tcPr>
          <w:p>
            <w:pPr>
              <w:spacing w:after="0"/>
              <w:rPr>
                <w:sz w:val="13"/>
                <w:szCs w:val="13"/>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100" w:type="dxa"/>
            <w:vAlign w:val="bottom"/>
            <w:shd w:val="clear" w:color="auto" w:fill="CCEEFF"/>
          </w:tcPr>
          <w:p>
            <w:pPr>
              <w:spacing w:after="0"/>
              <w:rPr>
                <w:sz w:val="13"/>
                <w:szCs w:val="13"/>
                <w:color w:val="auto"/>
              </w:rPr>
            </w:pPr>
          </w:p>
        </w:tc>
        <w:tc>
          <w:tcPr>
            <w:tcW w:w="135" w:type="dxa"/>
            <w:vAlign w:val="bottom"/>
            <w:shd w:val="clear" w:color="auto" w:fill="CCEEFF"/>
          </w:tcPr>
          <w:p>
            <w:pPr>
              <w:spacing w:after="0"/>
              <w:rPr>
                <w:sz w:val="13"/>
                <w:szCs w:val="13"/>
                <w:color w:val="auto"/>
              </w:rPr>
            </w:pPr>
          </w:p>
        </w:tc>
        <w:tc>
          <w:tcPr>
            <w:tcW w:w="385"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181"/>
        </w:trPr>
        <w:tc>
          <w:tcPr>
            <w:tcW w:w="1680" w:type="dxa"/>
            <w:vAlign w:val="bottom"/>
            <w:gridSpan w:val="2"/>
          </w:tcPr>
          <w:p>
            <w:pPr>
              <w:spacing w:after="0"/>
              <w:rPr>
                <w:sz w:val="20"/>
                <w:szCs w:val="20"/>
                <w:color w:val="auto"/>
              </w:rPr>
            </w:pPr>
            <w:r>
              <w:rPr>
                <w:rFonts w:ascii="Arial" w:cs="Arial" w:eastAsia="Arial" w:hAnsi="Arial"/>
                <w:sz w:val="14"/>
                <w:szCs w:val="14"/>
                <w:color w:val="auto"/>
              </w:rPr>
              <w:t>Residential real estate</w:t>
            </w:r>
          </w:p>
        </w:tc>
        <w:tc>
          <w:tcPr>
            <w:tcW w:w="100" w:type="dxa"/>
            <w:vAlign w:val="bottom"/>
          </w:tcPr>
          <w:p>
            <w:pPr>
              <w:spacing w:after="0"/>
              <w:rPr>
                <w:sz w:val="15"/>
                <w:szCs w:val="15"/>
                <w:color w:val="auto"/>
              </w:rPr>
            </w:pPr>
          </w:p>
        </w:tc>
        <w:tc>
          <w:tcPr>
            <w:tcW w:w="135" w:type="dxa"/>
            <w:vAlign w:val="bottom"/>
          </w:tcPr>
          <w:p>
            <w:pPr>
              <w:spacing w:after="0"/>
              <w:rPr>
                <w:sz w:val="15"/>
                <w:szCs w:val="15"/>
                <w:color w:val="auto"/>
              </w:rPr>
            </w:pPr>
          </w:p>
        </w:tc>
        <w:tc>
          <w:tcPr>
            <w:tcW w:w="385"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198</w:t>
            </w:r>
          </w:p>
        </w:tc>
        <w:tc>
          <w:tcPr>
            <w:tcW w:w="14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198</w:t>
            </w:r>
          </w:p>
        </w:tc>
      </w:tr>
      <w:tr>
        <w:trPr>
          <w:trHeight w:val="181"/>
        </w:trPr>
        <w:tc>
          <w:tcPr>
            <w:tcW w:w="20" w:type="dxa"/>
            <w:vAlign w:val="bottom"/>
          </w:tcPr>
          <w:p>
            <w:pPr>
              <w:spacing w:after="0"/>
              <w:rPr>
                <w:sz w:val="15"/>
                <w:szCs w:val="15"/>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100" w:type="dxa"/>
            <w:vAlign w:val="bottom"/>
            <w:shd w:val="clear" w:color="auto" w:fill="CCEEFF"/>
          </w:tcPr>
          <w:p>
            <w:pPr>
              <w:spacing w:after="0"/>
              <w:rPr>
                <w:sz w:val="15"/>
                <w:szCs w:val="15"/>
                <w:color w:val="auto"/>
              </w:rPr>
            </w:pPr>
          </w:p>
        </w:tc>
        <w:tc>
          <w:tcPr>
            <w:tcW w:w="135" w:type="dxa"/>
            <w:vAlign w:val="bottom"/>
            <w:shd w:val="clear" w:color="auto" w:fill="CCEEFF"/>
          </w:tcPr>
          <w:p>
            <w:pPr>
              <w:spacing w:after="0"/>
              <w:rPr>
                <w:sz w:val="15"/>
                <w:szCs w:val="15"/>
                <w:color w:val="auto"/>
              </w:rPr>
            </w:pPr>
          </w:p>
        </w:tc>
        <w:tc>
          <w:tcPr>
            <w:tcW w:w="385"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181"/>
        </w:trPr>
        <w:tc>
          <w:tcPr>
            <w:tcW w:w="168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5"/>
                <w:szCs w:val="15"/>
                <w:color w:val="auto"/>
              </w:rPr>
            </w:pPr>
          </w:p>
        </w:tc>
        <w:tc>
          <w:tcPr>
            <w:tcW w:w="135" w:type="dxa"/>
            <w:vAlign w:val="bottom"/>
          </w:tcPr>
          <w:p>
            <w:pPr>
              <w:spacing w:after="0"/>
              <w:rPr>
                <w:sz w:val="15"/>
                <w:szCs w:val="15"/>
                <w:color w:val="auto"/>
              </w:rPr>
            </w:pPr>
          </w:p>
        </w:tc>
        <w:tc>
          <w:tcPr>
            <w:tcW w:w="385"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5" w:type="dxa"/>
            <w:vAlign w:val="bottom"/>
            <w:shd w:val="clear" w:color="auto" w:fill="000000"/>
          </w:tcPr>
          <w:p>
            <w:pPr>
              <w:spacing w:after="0" w:line="20" w:lineRule="exact"/>
              <w:rPr>
                <w:sz w:val="1"/>
                <w:szCs w:val="1"/>
                <w:color w:val="auto"/>
              </w:rPr>
            </w:pPr>
          </w:p>
        </w:tc>
        <w:tc>
          <w:tcPr>
            <w:tcW w:w="385"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35" w:type="dxa"/>
            <w:vAlign w:val="bottom"/>
            <w:gridSpan w:val="2"/>
            <w:shd w:val="clear" w:color="auto" w:fill="CCEEFF"/>
          </w:tcPr>
          <w:p>
            <w:pPr>
              <w:jc w:val="right"/>
              <w:ind w:right="4"/>
              <w:spacing w:after="0"/>
              <w:rPr>
                <w:sz w:val="20"/>
                <w:szCs w:val="20"/>
                <w:color w:val="auto"/>
              </w:rPr>
            </w:pPr>
            <w:r>
              <w:rPr>
                <w:rFonts w:ascii="Arial" w:cs="Arial" w:eastAsia="Arial" w:hAnsi="Arial"/>
                <w:sz w:val="14"/>
                <w:szCs w:val="14"/>
                <w:b w:val="1"/>
                <w:bCs w:val="1"/>
                <w:color w:val="auto"/>
              </w:rPr>
              <w:t>$</w:t>
            </w:r>
          </w:p>
        </w:tc>
        <w:tc>
          <w:tcPr>
            <w:tcW w:w="385"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3,492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1,474</w:t>
            </w:r>
          </w:p>
        </w:tc>
        <w:tc>
          <w:tcPr>
            <w:tcW w:w="24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15,499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5,049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27,674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22,289</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5" w:type="dxa"/>
            <w:vAlign w:val="bottom"/>
            <w:tcBorders>
              <w:top w:val="single" w:sz="8" w:color="auto"/>
              <w:bottom w:val="single" w:sz="8" w:color="auto"/>
            </w:tcBorders>
          </w:tcPr>
          <w:p>
            <w:pPr>
              <w:spacing w:after="0" w:line="20" w:lineRule="exact"/>
              <w:rPr>
                <w:sz w:val="1"/>
                <w:szCs w:val="1"/>
                <w:color w:val="auto"/>
              </w:rPr>
            </w:pPr>
          </w:p>
        </w:tc>
        <w:tc>
          <w:tcPr>
            <w:tcW w:w="385"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Interest income recognized on non-accrual loans was $ 259 thousand and $418 thousand for the three- and six-month periods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440"/>
          </w:cols>
          <w:pgMar w:left="820" w:top="460" w:right="639" w:bottom="1440" w:gutter="0" w:footer="0" w:header="0"/>
        </w:sectPr>
      </w:pPr>
    </w:p>
    <w:bookmarkStart w:id="29" w:name="page30"/>
    <w:bookmarkEnd w:id="29"/>
    <w:p>
      <w:pPr>
        <w:spacing w:after="0"/>
        <w:tabs>
          <w:tab w:leader="none" w:pos="3260" w:val="left"/>
        </w:tabs>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Notes to Condensed Consolidated Financial Statements (unaudited)</w:t>
      </w:r>
    </w:p>
    <w:p>
      <w:pPr>
        <w:spacing w:after="0" w:line="37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Allowance for Credit Losses</w:t>
      </w:r>
    </w:p>
    <w:p>
      <w:pPr>
        <w:spacing w:after="0" w:line="206" w:lineRule="exact"/>
        <w:rPr>
          <w:sz w:val="20"/>
          <w:szCs w:val="20"/>
          <w:color w:val="auto"/>
        </w:rPr>
      </w:pPr>
    </w:p>
    <w:p>
      <w:pPr>
        <w:ind w:left="80" w:right="160" w:firstLine="384"/>
        <w:spacing w:after="0" w:line="314" w:lineRule="auto"/>
        <w:rPr>
          <w:sz w:val="20"/>
          <w:szCs w:val="20"/>
          <w:color w:val="auto"/>
        </w:rPr>
      </w:pPr>
      <w:r>
        <w:rPr>
          <w:rFonts w:ascii="Arial" w:cs="Arial" w:eastAsia="Arial" w:hAnsi="Arial"/>
          <w:sz w:val="14"/>
          <w:szCs w:val="14"/>
          <w:color w:val="auto"/>
        </w:rPr>
        <w:t>The following table presents the activity in the allowance for credit losses and allowance for credit losses on off-balance sheet credit exposures by portfolio segment for the three-month period ended June 30, 2022:</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12"/>
          </w:tcPr>
          <w:p>
            <w:pPr>
              <w:jc w:val="right"/>
              <w:ind w:right="209"/>
              <w:spacing w:after="0"/>
              <w:rPr>
                <w:sz w:val="20"/>
                <w:szCs w:val="20"/>
                <w:color w:val="auto"/>
              </w:rPr>
            </w:pPr>
            <w:r>
              <w:rPr>
                <w:rFonts w:ascii="Arial" w:cs="Arial" w:eastAsia="Arial" w:hAnsi="Arial"/>
                <w:sz w:val="14"/>
                <w:szCs w:val="14"/>
                <w:b w:val="1"/>
                <w:bCs w:val="1"/>
                <w:color w:val="auto"/>
                <w:w w:val="90"/>
              </w:rPr>
              <w:t>For the Three Months Ended June 30, 2022</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and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Industrial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6"/>
              </w:rPr>
              <w:t>Construction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right"/>
              <w:ind w:right="89"/>
              <w:spacing w:after="0"/>
              <w:rPr>
                <w:sz w:val="20"/>
                <w:szCs w:val="20"/>
                <w:color w:val="auto"/>
              </w:rPr>
            </w:pPr>
            <w:r>
              <w:rPr>
                <w:rFonts w:ascii="Arial" w:cs="Arial" w:eastAsia="Arial" w:hAnsi="Arial"/>
                <w:sz w:val="14"/>
                <w:szCs w:val="14"/>
                <w:b w:val="1"/>
                <w:bCs w:val="1"/>
                <w:color w:val="auto"/>
                <w:w w:val="92"/>
              </w:rPr>
              <w:t>Commercial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jc w:val="center"/>
              <w:ind w:right="109"/>
              <w:spacing w:after="0"/>
              <w:rPr>
                <w:sz w:val="20"/>
                <w:szCs w:val="20"/>
                <w:color w:val="auto"/>
              </w:rPr>
            </w:pPr>
            <w:r>
              <w:rPr>
                <w:rFonts w:ascii="Arial" w:cs="Arial" w:eastAsia="Arial" w:hAnsi="Arial"/>
                <w:sz w:val="14"/>
                <w:szCs w:val="14"/>
                <w:b w:val="1"/>
                <w:bCs w:val="1"/>
                <w:color w:val="auto"/>
                <w:w w:val="89"/>
              </w:rPr>
              <w:t>Lines of</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2"/>
              </w:rPr>
              <w:t>Commercial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129"/>
              <w:spacing w:after="0"/>
              <w:rPr>
                <w:sz w:val="20"/>
                <w:szCs w:val="20"/>
                <w:color w:val="auto"/>
              </w:rPr>
            </w:pPr>
            <w:r>
              <w:rPr>
                <w:rFonts w:ascii="Arial" w:cs="Arial" w:eastAsia="Arial" w:hAnsi="Arial"/>
                <w:sz w:val="14"/>
                <w:szCs w:val="14"/>
                <w:b w:val="1"/>
                <w:bCs w:val="1"/>
                <w:color w:val="auto"/>
                <w:w w:val="93"/>
              </w:rPr>
              <w:t>and Land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w w:val="90"/>
              </w:rPr>
              <w:t>Residential</w:t>
            </w:r>
          </w:p>
        </w:tc>
        <w:tc>
          <w:tcPr>
            <w:tcW w:w="80" w:type="dxa"/>
            <w:vAlign w:val="bottom"/>
          </w:tcPr>
          <w:p>
            <w:pPr>
              <w:spacing w:after="0"/>
              <w:rPr>
                <w:sz w:val="14"/>
                <w:szCs w:val="14"/>
                <w:color w:val="auto"/>
              </w:rPr>
            </w:pPr>
          </w:p>
        </w:tc>
        <w:tc>
          <w:tcPr>
            <w:tcW w:w="840" w:type="dxa"/>
            <w:vAlign w:val="bottom"/>
            <w:gridSpan w:val="3"/>
          </w:tcPr>
          <w:p>
            <w:pPr>
              <w:jc w:val="right"/>
              <w:ind w:right="29"/>
              <w:spacing w:after="0"/>
              <w:rPr>
                <w:sz w:val="20"/>
                <w:szCs w:val="20"/>
                <w:color w:val="auto"/>
              </w:rPr>
            </w:pPr>
            <w:r>
              <w:rPr>
                <w:rFonts w:ascii="Arial" w:cs="Arial" w:eastAsia="Arial" w:hAnsi="Arial"/>
                <w:sz w:val="14"/>
                <w:szCs w:val="14"/>
                <w:b w:val="1"/>
                <w:bCs w:val="1"/>
                <w:color w:val="auto"/>
                <w:w w:val="98"/>
              </w:rPr>
              <w:t>Multifamily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w w:val="93"/>
              </w:rPr>
              <w:t>and Industrial</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3"/>
              </w:rPr>
              <w:t>Credit</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88"/>
              </w:rPr>
              <w:t>Energy</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87"/>
              </w:rPr>
              <w:t>Real Estate</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Development</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90"/>
              </w:rPr>
              <w:t>Real Estate</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w w:val="90"/>
              </w:rPr>
              <w:t>Real Estate</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89"/>
              </w:rPr>
              <w:t>Consumer</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20" w:type="dxa"/>
            <w:vAlign w:val="bottom"/>
            <w:gridSpan w:val="5"/>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0"/>
              </w:rPr>
              <w:t>Allowance for Credit Losses: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00" w:type="dxa"/>
            <w:vAlign w:val="bottom"/>
            <w:gridSpan w:val="2"/>
          </w:tcPr>
          <w:p>
            <w:pPr>
              <w:spacing w:after="0"/>
              <w:rPr>
                <w:sz w:val="20"/>
                <w:szCs w:val="20"/>
                <w:color w:val="auto"/>
              </w:rPr>
            </w:pPr>
            <w:r>
              <w:rPr>
                <w:rFonts w:ascii="Arial" w:cs="Arial" w:eastAsia="Arial" w:hAnsi="Arial"/>
                <w:sz w:val="14"/>
                <w:szCs w:val="14"/>
                <w:color w:val="auto"/>
              </w:rPr>
              <w:t>Beginning balance</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9,981</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9,361</w:t>
            </w: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7,507</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18,628</w:t>
            </w:r>
          </w:p>
        </w:tc>
        <w:tc>
          <w:tcPr>
            <w:tcW w:w="1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3,678</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3,089</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2,342</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645</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55,231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Charge-offs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(581)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(2,900)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(217)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(4,448)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80" w:type="dxa"/>
            <w:vAlign w:val="bottom"/>
          </w:tcPr>
          <w:p>
            <w:pPr>
              <w:ind w:left="80"/>
              <w:spacing w:after="0"/>
              <w:rPr>
                <w:sz w:val="20"/>
                <w:szCs w:val="20"/>
                <w:color w:val="auto"/>
              </w:rPr>
            </w:pPr>
            <w:r>
              <w:rPr>
                <w:rFonts w:ascii="Arial" w:cs="Arial" w:eastAsia="Arial" w:hAnsi="Arial"/>
                <w:sz w:val="14"/>
                <w:szCs w:val="14"/>
                <w:color w:val="auto"/>
              </w:rPr>
              <w:t>Recoveries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1,758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1,585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3,344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(credit)</w:t>
            </w:r>
          </w:p>
        </w:tc>
        <w:tc>
          <w:tcPr>
            <w:tcW w:w="1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1,520</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898</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1,821</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(3,171)</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240</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262</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right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1,690</w:t>
            </w:r>
          </w:p>
        </w:tc>
        <w:tc>
          <w:tcPr>
            <w:tcW w:w="0" w:type="dxa"/>
            <w:vAlign w:val="bottom"/>
          </w:tcPr>
          <w:p>
            <w:pPr>
              <w:spacing w:after="0"/>
              <w:rPr>
                <w:sz w:val="1"/>
                <w:szCs w:val="1"/>
                <w:color w:val="auto"/>
              </w:rPr>
            </w:pPr>
          </w:p>
        </w:tc>
      </w:tr>
      <w:tr>
        <w:trPr>
          <w:trHeight w:val="202"/>
        </w:trPr>
        <w:tc>
          <w:tcPr>
            <w:tcW w:w="1800" w:type="dxa"/>
            <w:vAlign w:val="bottom"/>
            <w:gridSpan w:val="2"/>
          </w:tcPr>
          <w:p>
            <w:pPr>
              <w:spacing w:after="0"/>
              <w:rPr>
                <w:sz w:val="20"/>
                <w:szCs w:val="20"/>
                <w:color w:val="auto"/>
              </w:rPr>
            </w:pPr>
            <w:r>
              <w:rPr>
                <w:rFonts w:ascii="Arial" w:cs="Arial" w:eastAsia="Arial" w:hAnsi="Arial"/>
                <w:sz w:val="14"/>
                <w:szCs w:val="14"/>
                <w:color w:val="auto"/>
              </w:rPr>
              <w:t>Ending balance</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10,920</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11,267</w:t>
            </w: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6,428</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17,042</w:t>
            </w:r>
          </w:p>
        </w:tc>
        <w:tc>
          <w:tcPr>
            <w:tcW w:w="1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3,918</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3,134</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2,427</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681</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55,817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4780" w:type="dxa"/>
            <w:vAlign w:val="bottom"/>
            <w:tcBorders>
              <w:right w:val="single" w:sz="8" w:color="CCEEFF"/>
            </w:tcBorders>
            <w:gridSpan w:val="13"/>
            <w:shd w:val="clear" w:color="auto" w:fill="CCEEFF"/>
          </w:tcPr>
          <w:p>
            <w:pPr>
              <w:jc w:val="right"/>
              <w:ind w:right="569"/>
              <w:spacing w:after="0" w:line="133" w:lineRule="exact"/>
              <w:rPr>
                <w:sz w:val="20"/>
                <w:szCs w:val="20"/>
                <w:color w:val="auto"/>
              </w:rPr>
            </w:pPr>
            <w:r>
              <w:rPr>
                <w:rFonts w:ascii="Arial" w:cs="Arial" w:eastAsia="Arial" w:hAnsi="Arial"/>
                <w:sz w:val="14"/>
                <w:szCs w:val="14"/>
                <w:b w:val="1"/>
                <w:bCs w:val="1"/>
                <w:color w:val="auto"/>
                <w:w w:val="89"/>
              </w:rPr>
              <w:t>Allowance for Credit Losses on Off-Balance Sheet Credit Exposures:</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tcBorders>
              <w:righ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800" w:type="dxa"/>
            <w:vAlign w:val="bottom"/>
            <w:gridSpan w:val="2"/>
          </w:tcPr>
          <w:p>
            <w:pPr>
              <w:spacing w:after="0"/>
              <w:rPr>
                <w:sz w:val="20"/>
                <w:szCs w:val="20"/>
                <w:color w:val="auto"/>
              </w:rPr>
            </w:pPr>
            <w:r>
              <w:rPr>
                <w:rFonts w:ascii="Arial" w:cs="Arial" w:eastAsia="Arial" w:hAnsi="Arial"/>
                <w:sz w:val="14"/>
                <w:szCs w:val="14"/>
                <w:color w:val="auto"/>
              </w:rPr>
              <w:t>Beginning balance</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66</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153</w:t>
            </w: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258</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753</w:t>
            </w:r>
          </w:p>
        </w:tc>
        <w:tc>
          <w:tcPr>
            <w:tcW w:w="1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3,514</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116</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11</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4,875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Provision (credit)</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(153)</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212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(96)</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502</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(10)</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93"/>
        </w:trPr>
        <w:tc>
          <w:tcPr>
            <w:tcW w:w="1800" w:type="dxa"/>
            <w:vAlign w:val="bottom"/>
            <w:gridSpan w:val="2"/>
          </w:tcPr>
          <w:p>
            <w:pPr>
              <w:spacing w:after="0"/>
              <w:rPr>
                <w:sz w:val="20"/>
                <w:szCs w:val="20"/>
                <w:color w:val="auto"/>
              </w:rPr>
            </w:pPr>
            <w:r>
              <w:rPr>
                <w:rFonts w:ascii="Arial" w:cs="Arial" w:eastAsia="Arial" w:hAnsi="Arial"/>
                <w:sz w:val="14"/>
                <w:szCs w:val="14"/>
                <w:color w:val="auto"/>
              </w:rPr>
              <w:t>Ending balance</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63</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470</w:t>
            </w: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657</w:t>
            </w:r>
          </w:p>
        </w:tc>
        <w:tc>
          <w:tcPr>
            <w:tcW w:w="18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4,016</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109</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5,320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380"/>
          </w:cols>
          <w:pgMar w:left="820" w:top="460" w:right="69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84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520" w:type="dxa"/>
            <w:vAlign w:val="bottom"/>
            <w:gridSpan w:val="21"/>
          </w:tcPr>
          <w:p>
            <w:pPr>
              <w:jc w:val="right"/>
              <w:ind w:right="609"/>
              <w:spacing w:after="0"/>
              <w:rPr>
                <w:sz w:val="20"/>
                <w:szCs w:val="20"/>
                <w:color w:val="auto"/>
              </w:rPr>
            </w:pPr>
            <w:r>
              <w:rPr>
                <w:rFonts w:ascii="Arial" w:cs="Arial" w:eastAsia="Arial" w:hAnsi="Arial"/>
                <w:sz w:val="14"/>
                <w:szCs w:val="14"/>
                <w:color w:val="auto"/>
                <w:w w:val="90"/>
              </w:rPr>
              <w:t>Notes to Condensed Consolidated Financial Statements (unaudited)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6"/>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63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6"/>
          </w:tcPr>
          <w:p>
            <w:pPr>
              <w:jc w:val="right"/>
              <w:ind w:right="369"/>
              <w:spacing w:after="0"/>
              <w:rPr>
                <w:sz w:val="20"/>
                <w:szCs w:val="20"/>
                <w:color w:val="auto"/>
              </w:rPr>
            </w:pPr>
            <w:r>
              <w:rPr>
                <w:rFonts w:ascii="Arial" w:cs="Arial" w:eastAsia="Arial" w:hAnsi="Arial"/>
                <w:sz w:val="14"/>
                <w:szCs w:val="14"/>
                <w:b w:val="1"/>
                <w:bCs w:val="1"/>
                <w:color w:val="auto"/>
                <w:w w:val="91"/>
              </w:rPr>
              <w:t>For the Six Months Ended June 30, 2022</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63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ind w:right="29"/>
              <w:spacing w:after="0"/>
              <w:rPr>
                <w:sz w:val="20"/>
                <w:szCs w:val="20"/>
                <w:color w:val="auto"/>
              </w:rPr>
            </w:pPr>
            <w:r>
              <w:rPr>
                <w:rFonts w:ascii="Arial" w:cs="Arial" w:eastAsia="Arial" w:hAnsi="Arial"/>
                <w:sz w:val="14"/>
                <w:szCs w:val="14"/>
                <w:b w:val="1"/>
                <w:bCs w:val="1"/>
                <w:color w:val="auto"/>
                <w:w w:val="92"/>
              </w:rPr>
              <w:t>Commercial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63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129"/>
              <w:spacing w:after="0"/>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09"/>
              <w:spacing w:after="0"/>
              <w:rPr>
                <w:sz w:val="20"/>
                <w:szCs w:val="20"/>
                <w:color w:val="auto"/>
              </w:rPr>
            </w:pPr>
            <w:r>
              <w:rPr>
                <w:rFonts w:ascii="Arial" w:cs="Arial" w:eastAsia="Arial" w:hAnsi="Arial"/>
                <w:sz w:val="14"/>
                <w:szCs w:val="14"/>
                <w:b w:val="1"/>
                <w:bCs w:val="1"/>
                <w:color w:val="auto"/>
                <w:w w:val="95"/>
              </w:rPr>
              <w:t>Industrial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9"/>
              </w:rPr>
              <w:t>Construction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0"/>
              </w:rPr>
              <w:t>Residential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Multifamily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3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right"/>
              <w:ind w:right="9"/>
              <w:spacing w:after="0"/>
              <w:rPr>
                <w:sz w:val="20"/>
                <w:szCs w:val="20"/>
                <w:color w:val="auto"/>
              </w:rPr>
            </w:pPr>
            <w:r>
              <w:rPr>
                <w:rFonts w:ascii="Arial" w:cs="Arial" w:eastAsia="Arial" w:hAnsi="Arial"/>
                <w:sz w:val="14"/>
                <w:szCs w:val="14"/>
                <w:b w:val="1"/>
                <w:bCs w:val="1"/>
                <w:color w:val="auto"/>
                <w:w w:val="89"/>
              </w:rPr>
              <w:t>Commercial 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149"/>
              <w:spacing w:after="0"/>
              <w:rPr>
                <w:sz w:val="20"/>
                <w:szCs w:val="20"/>
                <w:color w:val="auto"/>
              </w:rPr>
            </w:pPr>
            <w:r>
              <w:rPr>
                <w:rFonts w:ascii="Arial" w:cs="Arial" w:eastAsia="Arial" w:hAnsi="Arial"/>
                <w:sz w:val="14"/>
                <w:szCs w:val="14"/>
                <w:b w:val="1"/>
                <w:bCs w:val="1"/>
                <w:color w:val="auto"/>
                <w:w w:val="89"/>
              </w:rPr>
              <w:t>Lines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3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2"/>
              </w:rPr>
              <w:t>Commercial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and Land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09"/>
              <w:spacing w:after="0"/>
              <w:rPr>
                <w:sz w:val="20"/>
                <w:szCs w:val="20"/>
                <w:color w:val="auto"/>
              </w:rPr>
            </w:pPr>
            <w:r>
              <w:rPr>
                <w:rFonts w:ascii="Arial" w:cs="Arial" w:eastAsia="Arial" w:hAnsi="Arial"/>
                <w:sz w:val="14"/>
                <w:szCs w:val="14"/>
                <w:b w:val="1"/>
                <w:bCs w:val="1"/>
                <w:color w:val="auto"/>
                <w:w w:val="94"/>
              </w:rPr>
              <w:t>Real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89"/>
              <w:spacing w:after="0"/>
              <w:rPr>
                <w:sz w:val="20"/>
                <w:szCs w:val="20"/>
                <w:color w:val="auto"/>
              </w:rPr>
            </w:pPr>
            <w:r>
              <w:rPr>
                <w:rFonts w:ascii="Arial" w:cs="Arial" w:eastAsia="Arial" w:hAnsi="Arial"/>
                <w:sz w:val="14"/>
                <w:szCs w:val="14"/>
                <w:b w:val="1"/>
                <w:bCs w:val="1"/>
                <w:color w:val="auto"/>
                <w:w w:val="94"/>
              </w:rPr>
              <w:t>Real</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63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29"/>
              <w:spacing w:after="0" w:line="175" w:lineRule="exact"/>
              <w:rPr>
                <w:sz w:val="20"/>
                <w:szCs w:val="20"/>
                <w:color w:val="auto"/>
              </w:rPr>
            </w:pPr>
            <w:r>
              <w:rPr>
                <w:rFonts w:ascii="Arial" w:cs="Arial" w:eastAsia="Arial" w:hAnsi="Arial"/>
                <w:sz w:val="14"/>
                <w:szCs w:val="14"/>
                <w:b w:val="1"/>
                <w:bCs w:val="1"/>
                <w:color w:val="auto"/>
                <w:w w:val="93"/>
              </w:rPr>
              <w:t xml:space="preserve">Industrial </w:t>
            </w:r>
            <w:r>
              <w:rPr>
                <w:rFonts w:ascii="Arial" w:cs="Arial" w:eastAsia="Arial" w:hAnsi="Arial"/>
                <w:sz w:val="18"/>
                <w:szCs w:val="18"/>
                <w:b w:val="1"/>
                <w:bCs w:val="1"/>
                <w:color w:val="auto"/>
                <w:w w:val="93"/>
                <w:vertAlign w:val="superscript"/>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29"/>
              <w:spacing w:after="0" w:line="175" w:lineRule="exact"/>
              <w:rPr>
                <w:sz w:val="20"/>
                <w:szCs w:val="20"/>
                <w:color w:val="auto"/>
              </w:rPr>
            </w:pPr>
            <w:r>
              <w:rPr>
                <w:rFonts w:ascii="Arial" w:cs="Arial" w:eastAsia="Arial" w:hAnsi="Arial"/>
                <w:sz w:val="14"/>
                <w:szCs w:val="14"/>
                <w:b w:val="1"/>
                <w:bCs w:val="1"/>
                <w:color w:val="auto"/>
                <w:w w:val="90"/>
              </w:rPr>
              <w:t>Credit</w:t>
            </w:r>
            <w:r>
              <w:rPr>
                <w:rFonts w:ascii="Arial" w:cs="Arial" w:eastAsia="Arial" w:hAnsi="Arial"/>
                <w:sz w:val="18"/>
                <w:szCs w:val="18"/>
                <w:b w:val="1"/>
                <w:bCs w:val="1"/>
                <w:color w:val="auto"/>
                <w:w w:val="90"/>
                <w:vertAlign w:val="superscript"/>
              </w:rPr>
              <w:t>(1)</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3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88"/>
              </w:rPr>
              <w:t>Energy</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0"/>
              </w:rPr>
              <w:t>Real Estate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88"/>
              </w:rPr>
              <w:t>Development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09"/>
              <w:spacing w:after="0" w:line="175" w:lineRule="exact"/>
              <w:rPr>
                <w:sz w:val="20"/>
                <w:szCs w:val="20"/>
                <w:color w:val="auto"/>
              </w:rPr>
            </w:pPr>
            <w:r>
              <w:rPr>
                <w:rFonts w:ascii="Arial" w:cs="Arial" w:eastAsia="Arial" w:hAnsi="Arial"/>
                <w:sz w:val="14"/>
                <w:szCs w:val="14"/>
                <w:b w:val="1"/>
                <w:bCs w:val="1"/>
                <w:color w:val="auto"/>
                <w:w w:val="84"/>
              </w:rPr>
              <w:t>Estate</w:t>
            </w:r>
            <w:r>
              <w:rPr>
                <w:rFonts w:ascii="Arial" w:cs="Arial" w:eastAsia="Arial" w:hAnsi="Arial"/>
                <w:sz w:val="18"/>
                <w:szCs w:val="18"/>
                <w:b w:val="1"/>
                <w:bCs w:val="1"/>
                <w:color w:val="auto"/>
                <w:w w:val="84"/>
                <w:vertAlign w:val="superscript"/>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9"/>
              <w:spacing w:after="0" w:line="175" w:lineRule="exact"/>
              <w:rPr>
                <w:sz w:val="20"/>
                <w:szCs w:val="20"/>
                <w:color w:val="auto"/>
              </w:rPr>
            </w:pPr>
            <w:r>
              <w:rPr>
                <w:rFonts w:ascii="Arial" w:cs="Arial" w:eastAsia="Arial" w:hAnsi="Arial"/>
                <w:sz w:val="14"/>
                <w:szCs w:val="14"/>
                <w:b w:val="1"/>
                <w:bCs w:val="1"/>
                <w:color w:val="auto"/>
                <w:w w:val="84"/>
              </w:rPr>
              <w:t>Estate</w:t>
            </w:r>
            <w:r>
              <w:rPr>
                <w:rFonts w:ascii="Arial" w:cs="Arial" w:eastAsia="Arial" w:hAnsi="Arial"/>
                <w:sz w:val="18"/>
                <w:szCs w:val="18"/>
                <w:b w:val="1"/>
                <w:bCs w:val="1"/>
                <w:color w:val="auto"/>
                <w:w w:val="84"/>
                <w:vertAlign w:val="superscript"/>
              </w:rPr>
              <w:t>(2)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86"/>
              </w:rPr>
              <w:t>Consumer</w:t>
            </w:r>
          </w:p>
        </w:tc>
        <w:tc>
          <w:tcPr>
            <w:tcW w:w="10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3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6"/>
          </w:tcPr>
          <w:p>
            <w:pPr>
              <w:jc w:val="right"/>
              <w:ind w:right="29"/>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w w:val="90"/>
              </w:rPr>
              <w:t>Allowance for Credit Losses: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3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3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40" w:type="dxa"/>
            <w:vAlign w:val="bottom"/>
            <w:gridSpan w:val="3"/>
          </w:tcPr>
          <w:p>
            <w:pPr>
              <w:ind w:left="40"/>
              <w:spacing w:after="0"/>
              <w:rPr>
                <w:sz w:val="20"/>
                <w:szCs w:val="20"/>
                <w:color w:val="auto"/>
              </w:rPr>
            </w:pPr>
            <w:r>
              <w:rPr>
                <w:rFonts w:ascii="Arial" w:cs="Arial" w:eastAsia="Arial" w:hAnsi="Arial"/>
                <w:sz w:val="14"/>
                <w:szCs w:val="14"/>
                <w:color w:val="auto"/>
              </w:rPr>
              <w:t>Beginning balance, prior to</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63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gridSpan w:val="3"/>
          </w:tcPr>
          <w:p>
            <w:pPr>
              <w:ind w:left="40"/>
              <w:spacing w:after="0"/>
              <w:rPr>
                <w:sz w:val="20"/>
                <w:szCs w:val="20"/>
                <w:color w:val="auto"/>
              </w:rPr>
            </w:pPr>
            <w:r>
              <w:rPr>
                <w:rFonts w:ascii="Arial" w:cs="Arial" w:eastAsia="Arial" w:hAnsi="Arial"/>
                <w:sz w:val="14"/>
                <w:szCs w:val="14"/>
                <w:color w:val="auto"/>
              </w:rPr>
              <w:t>adoption of ASU 2016-13</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20,352</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630" w:type="dxa"/>
            <w:vAlign w:val="bottom"/>
          </w:tcPr>
          <w:p>
            <w:pPr>
              <w:jc w:val="right"/>
              <w:ind w:right="9"/>
              <w:spacing w:after="0"/>
              <w:rPr>
                <w:sz w:val="20"/>
                <w:szCs w:val="20"/>
                <w:color w:val="auto"/>
              </w:rPr>
            </w:pPr>
            <w:r>
              <w:rPr>
                <w:rFonts w:ascii="Arial" w:cs="Arial" w:eastAsia="Arial" w:hAnsi="Arial"/>
                <w:sz w:val="14"/>
                <w:szCs w:val="14"/>
                <w:color w:val="auto"/>
              </w:rPr>
              <w:t>9,229</w:t>
            </w:r>
          </w:p>
        </w:tc>
        <w:tc>
          <w:tcPr>
            <w:tcW w:w="1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19,119</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3,749</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5,598</w:t>
            </w:r>
          </w:p>
        </w:tc>
        <w:tc>
          <w:tcPr>
            <w:tcW w:w="20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328</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30" w:type="dxa"/>
            <w:vAlign w:val="bottom"/>
          </w:tcPr>
          <w:p>
            <w:pPr>
              <w:jc w:val="right"/>
              <w:ind w:right="29"/>
              <w:spacing w:after="0"/>
              <w:rPr>
                <w:sz w:val="20"/>
                <w:szCs w:val="20"/>
                <w:color w:val="auto"/>
              </w:rPr>
            </w:pPr>
            <w:r>
              <w:rPr>
                <w:rFonts w:ascii="Arial" w:cs="Arial" w:eastAsia="Arial" w:hAnsi="Arial"/>
                <w:sz w:val="14"/>
                <w:szCs w:val="14"/>
                <w:color w:val="auto"/>
              </w:rPr>
              <w:t>58,375</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Impact of ASU 2016-13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63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63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adoption</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8,866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2,465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6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(1,747)</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color w:val="auto"/>
              </w:rPr>
              <w:t>Charge-offs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(1,971)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(3,967)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630" w:type="dxa"/>
            <w:vAlign w:val="bottom"/>
          </w:tcPr>
          <w:p>
            <w:pPr>
              <w:jc w:val="right"/>
              <w:ind w:right="9"/>
              <w:spacing w:after="0"/>
              <w:rPr>
                <w:sz w:val="20"/>
                <w:szCs w:val="20"/>
                <w:color w:val="auto"/>
              </w:rPr>
            </w:pPr>
            <w:r>
              <w:rPr>
                <w:rFonts w:ascii="Arial" w:cs="Arial" w:eastAsia="Arial" w:hAnsi="Arial"/>
                <w:sz w:val="14"/>
                <w:szCs w:val="14"/>
                <w:color w:val="auto"/>
              </w:rPr>
              <w:t>(8,060)</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7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Recoveries</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1,779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1,754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spacing w:after="0"/>
              <w:rPr>
                <w:sz w:val="15"/>
                <w:szCs w:val="15"/>
                <w:color w:val="auto"/>
              </w:rPr>
            </w:pPr>
          </w:p>
        </w:tc>
        <w:tc>
          <w:tcPr>
            <w:tcW w:w="63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5,875</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178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Provision (credit)</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816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2,593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3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(2,374)</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252</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305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369</w:t>
            </w:r>
          </w:p>
        </w:tc>
        <w:tc>
          <w:tcPr>
            <w:tcW w:w="100" w:type="dxa"/>
            <w:vAlign w:val="bottom"/>
            <w:tcBorders>
              <w:bottom w:val="single" w:sz="8" w:color="CCEEFF"/>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63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1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10,920</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11,267</w:t>
            </w: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6,428</w:t>
            </w:r>
          </w:p>
        </w:tc>
        <w:tc>
          <w:tcPr>
            <w:tcW w:w="40" w:type="dxa"/>
            <w:vAlign w:val="bottom"/>
            <w:gridSpan w:val="2"/>
            <w:shd w:val="clear" w:color="auto" w:fill="CCEEFF"/>
          </w:tcPr>
          <w:p>
            <w:pPr>
              <w:spacing w:after="0"/>
              <w:rPr>
                <w:sz w:val="15"/>
                <w:szCs w:val="15"/>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17,042</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3,918</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3,134</w:t>
            </w:r>
          </w:p>
        </w:tc>
        <w:tc>
          <w:tcPr>
            <w:tcW w:w="2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2,427</w:t>
            </w:r>
          </w:p>
        </w:tc>
        <w:tc>
          <w:tcPr>
            <w:tcW w:w="20" w:type="dxa"/>
            <w:vAlign w:val="bottom"/>
            <w:shd w:val="clear" w:color="auto" w:fill="CCEEFF"/>
          </w:tcPr>
          <w:p>
            <w:pPr>
              <w:spacing w:after="0"/>
              <w:rPr>
                <w:sz w:val="15"/>
                <w:szCs w:val="15"/>
                <w:color w:val="auto"/>
              </w:rPr>
            </w:pPr>
          </w:p>
        </w:tc>
        <w:tc>
          <w:tcPr>
            <w:tcW w:w="1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681</w:t>
            </w:r>
          </w:p>
        </w:tc>
        <w:tc>
          <w:tcPr>
            <w:tcW w:w="100" w:type="dxa"/>
            <w:vAlign w:val="bottom"/>
            <w:shd w:val="clear" w:color="auto" w:fill="CCEEFF"/>
          </w:tcPr>
          <w:p>
            <w:pPr>
              <w:spacing w:after="0"/>
              <w:rPr>
                <w:sz w:val="15"/>
                <w:szCs w:val="15"/>
                <w:color w:val="auto"/>
              </w:rPr>
            </w:pPr>
          </w:p>
        </w:tc>
        <w:tc>
          <w:tcPr>
            <w:tcW w:w="11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55,817</w:t>
            </w:r>
          </w:p>
        </w:tc>
        <w:tc>
          <w:tcPr>
            <w:tcW w:w="0" w:type="dxa"/>
            <w:vAlign w:val="bottom"/>
          </w:tcPr>
          <w:p>
            <w:pPr>
              <w:spacing w:after="0"/>
              <w:rPr>
                <w:sz w:val="1"/>
                <w:szCs w:val="1"/>
                <w:color w:val="auto"/>
              </w:rPr>
            </w:pPr>
          </w:p>
        </w:tc>
      </w:tr>
      <w:tr>
        <w:trPr>
          <w:trHeight w:val="20"/>
        </w:trPr>
        <w:tc>
          <w:tcPr>
            <w:tcW w:w="19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w w:val="91"/>
              </w:rPr>
              <w:t>Allowance for Credit Losses on</w:t>
            </w: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6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63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980" w:type="dxa"/>
            <w:vAlign w:val="bottom"/>
            <w:gridSpan w:val="5"/>
            <w:vMerge w:val="continue"/>
          </w:tcPr>
          <w:p>
            <w:pPr>
              <w:spacing w:after="0"/>
              <w:rPr>
                <w:sz w:val="11"/>
                <w:szCs w:val="11"/>
                <w:color w:val="auto"/>
              </w:rPr>
            </w:pPr>
          </w:p>
        </w:tc>
        <w:tc>
          <w:tcPr>
            <w:tcW w:w="1080" w:type="dxa"/>
            <w:vAlign w:val="bottom"/>
            <w:gridSpan w:val="3"/>
          </w:tcPr>
          <w:p>
            <w:pPr>
              <w:spacing w:after="0" w:line="132" w:lineRule="exact"/>
              <w:rPr>
                <w:sz w:val="20"/>
                <w:szCs w:val="20"/>
                <w:color w:val="auto"/>
              </w:rPr>
            </w:pPr>
            <w:r>
              <w:rPr>
                <w:rFonts w:ascii="Arial" w:cs="Arial" w:eastAsia="Arial" w:hAnsi="Arial"/>
                <w:sz w:val="14"/>
                <w:szCs w:val="14"/>
                <w:b w:val="1"/>
                <w:bCs w:val="1"/>
                <w:color w:val="auto"/>
                <w:w w:val="87"/>
              </w:rPr>
              <w:t>Off-Balance Sheet</w:t>
            </w:r>
          </w:p>
        </w:tc>
        <w:tc>
          <w:tcPr>
            <w:tcW w:w="100" w:type="dxa"/>
            <w:vAlign w:val="bottom"/>
            <w:gridSpan w:val="2"/>
            <w:vMerge w:val="continue"/>
          </w:tcPr>
          <w:p>
            <w:pPr>
              <w:spacing w:after="0"/>
              <w:rPr>
                <w:sz w:val="11"/>
                <w:szCs w:val="11"/>
                <w:color w:val="auto"/>
              </w:rPr>
            </w:pPr>
          </w:p>
        </w:tc>
        <w:tc>
          <w:tcPr>
            <w:tcW w:w="880" w:type="dxa"/>
            <w:vAlign w:val="bottom"/>
            <w:gridSpan w:val="2"/>
          </w:tcPr>
          <w:p>
            <w:pPr>
              <w:jc w:val="right"/>
              <w:spacing w:after="0" w:line="132" w:lineRule="exact"/>
              <w:rPr>
                <w:sz w:val="20"/>
                <w:szCs w:val="20"/>
                <w:color w:val="auto"/>
              </w:rPr>
            </w:pPr>
            <w:r>
              <w:rPr>
                <w:rFonts w:ascii="Arial" w:cs="Arial" w:eastAsia="Arial" w:hAnsi="Arial"/>
                <w:sz w:val="14"/>
                <w:szCs w:val="14"/>
                <w:b w:val="1"/>
                <w:bCs w:val="1"/>
                <w:color w:val="auto"/>
                <w:w w:val="71"/>
              </w:rPr>
              <w:t>Credit Exposures:</w:t>
            </w:r>
          </w:p>
        </w:tc>
        <w:tc>
          <w:tcPr>
            <w:tcW w:w="100" w:type="dxa"/>
            <w:vAlign w:val="bottom"/>
            <w:gridSpan w:val="2"/>
            <w:vMerge w:val="continue"/>
          </w:tcPr>
          <w:p>
            <w:pPr>
              <w:spacing w:after="0"/>
              <w:rPr>
                <w:sz w:val="11"/>
                <w:szCs w:val="11"/>
                <w:color w:val="auto"/>
              </w:rPr>
            </w:pPr>
          </w:p>
        </w:tc>
        <w:tc>
          <w:tcPr>
            <w:tcW w:w="110" w:type="dxa"/>
            <w:vAlign w:val="bottom"/>
          </w:tcPr>
          <w:p>
            <w:pPr>
              <w:spacing w:after="0"/>
              <w:rPr>
                <w:sz w:val="11"/>
                <w:szCs w:val="11"/>
                <w:color w:val="auto"/>
              </w:rPr>
            </w:pPr>
          </w:p>
        </w:tc>
        <w:tc>
          <w:tcPr>
            <w:tcW w:w="63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63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Beginning balance, prior to</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63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63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adoption of ASU 2016-13</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3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color w:val="auto"/>
              </w:rPr>
              <w:t>Impact of ASU 2016-13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63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780" w:type="dxa"/>
            <w:vAlign w:val="bottom"/>
            <w:gridSpan w:val="2"/>
          </w:tcPr>
          <w:p>
            <w:pPr>
              <w:ind w:left="80"/>
              <w:spacing w:after="0"/>
              <w:rPr>
                <w:sz w:val="20"/>
                <w:szCs w:val="20"/>
                <w:color w:val="auto"/>
              </w:rPr>
            </w:pPr>
            <w:r>
              <w:rPr>
                <w:rFonts w:ascii="Arial" w:cs="Arial" w:eastAsia="Arial" w:hAnsi="Arial"/>
                <w:sz w:val="14"/>
                <w:szCs w:val="14"/>
                <w:color w:val="auto"/>
              </w:rPr>
              <w:t>adoption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jc w:val="right"/>
              <w:ind w:right="9"/>
              <w:spacing w:after="0"/>
              <w:rPr>
                <w:sz w:val="20"/>
                <w:szCs w:val="20"/>
                <w:color w:val="auto"/>
              </w:rPr>
            </w:pPr>
            <w:r>
              <w:rPr>
                <w:rFonts w:ascii="Arial" w:cs="Arial" w:eastAsia="Arial" w:hAnsi="Arial"/>
                <w:sz w:val="14"/>
                <w:szCs w:val="14"/>
                <w:color w:val="auto"/>
              </w:rPr>
              <w:t>265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711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3,914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630" w:type="dxa"/>
            <w:vAlign w:val="bottom"/>
          </w:tcPr>
          <w:p>
            <w:pPr>
              <w:jc w:val="right"/>
              <w:ind w:right="49"/>
              <w:spacing w:after="0"/>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Provision (credit)</w:t>
            </w: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3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205</w:t>
            </w:r>
          </w:p>
        </w:tc>
        <w:tc>
          <w:tcPr>
            <w:tcW w:w="2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auto"/>
            </w:tcBorders>
            <w:shd w:val="clear" w:color="auto" w:fill="CCEEFF"/>
          </w:tcPr>
          <w:p>
            <w:pPr>
              <w:spacing w:after="0"/>
              <w:rPr>
                <w:sz w:val="14"/>
                <w:szCs w:val="14"/>
                <w:color w:val="auto"/>
              </w:rPr>
            </w:pPr>
          </w:p>
        </w:tc>
        <w:tc>
          <w:tcPr>
            <w:tcW w:w="63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83"/>
        </w:trPr>
        <w:tc>
          <w:tcPr>
            <w:tcW w:w="1840" w:type="dxa"/>
            <w:vAlign w:val="bottom"/>
            <w:gridSpan w:val="3"/>
          </w:tcPr>
          <w:p>
            <w:pPr>
              <w:ind w:left="40"/>
              <w:spacing w:after="0"/>
              <w:rPr>
                <w:sz w:val="20"/>
                <w:szCs w:val="20"/>
                <w:color w:val="auto"/>
              </w:rPr>
            </w:pPr>
            <w:r>
              <w:rPr>
                <w:rFonts w:ascii="Arial" w:cs="Arial" w:eastAsia="Arial" w:hAnsi="Arial"/>
                <w:sz w:val="14"/>
                <w:szCs w:val="14"/>
                <w:color w:val="auto"/>
              </w:rPr>
              <w:t>Ending balance</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63</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10" w:type="dxa"/>
            <w:vAlign w:val="bottom"/>
            <w:gridSpan w:val="3"/>
          </w:tcPr>
          <w:p>
            <w:pPr>
              <w:jc w:val="right"/>
              <w:ind w:right="70"/>
              <w:spacing w:after="0"/>
              <w:rPr>
                <w:sz w:val="20"/>
                <w:szCs w:val="20"/>
                <w:color w:val="auto"/>
              </w:rPr>
            </w:pPr>
            <w:r>
              <w:rPr>
                <w:rFonts w:ascii="Arial" w:cs="Arial" w:eastAsia="Arial" w:hAnsi="Arial"/>
                <w:sz w:val="14"/>
                <w:szCs w:val="14"/>
                <w:color w:val="auto"/>
              </w:rPr>
              <w:t>$</w:t>
            </w:r>
          </w:p>
        </w:tc>
        <w:tc>
          <w:tcPr>
            <w:tcW w:w="630" w:type="dxa"/>
            <w:vAlign w:val="bottom"/>
          </w:tcPr>
          <w:p>
            <w:pPr>
              <w:jc w:val="right"/>
              <w:ind w:right="9"/>
              <w:spacing w:after="0"/>
              <w:rPr>
                <w:sz w:val="20"/>
                <w:szCs w:val="20"/>
                <w:color w:val="auto"/>
              </w:rPr>
            </w:pPr>
            <w:r>
              <w:rPr>
                <w:rFonts w:ascii="Arial" w:cs="Arial" w:eastAsia="Arial" w:hAnsi="Arial"/>
                <w:sz w:val="14"/>
                <w:szCs w:val="14"/>
                <w:color w:val="auto"/>
              </w:rPr>
              <w:t>470</w:t>
            </w:r>
          </w:p>
        </w:tc>
        <w:tc>
          <w:tcPr>
            <w:tcW w:w="1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657</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4,016</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w:t>
            </w:r>
          </w:p>
        </w:tc>
        <w:tc>
          <w:tcPr>
            <w:tcW w:w="20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109</w:t>
            </w:r>
          </w:p>
        </w:tc>
        <w:tc>
          <w:tcPr>
            <w:tcW w:w="22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2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30" w:type="dxa"/>
            <w:vAlign w:val="bottom"/>
          </w:tcPr>
          <w:p>
            <w:pPr>
              <w:jc w:val="right"/>
              <w:ind w:right="49"/>
              <w:spacing w:after="0"/>
              <w:rPr>
                <w:sz w:val="20"/>
                <w:szCs w:val="20"/>
                <w:color w:val="auto"/>
              </w:rPr>
            </w:pPr>
            <w:r>
              <w:rPr>
                <w:rFonts w:ascii="Arial" w:cs="Arial" w:eastAsia="Arial" w:hAnsi="Arial"/>
                <w:sz w:val="14"/>
                <w:szCs w:val="14"/>
                <w:color w:val="auto"/>
              </w:rPr>
              <w:t>5,320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6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63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40" w:right="440"/>
        <w:spacing w:after="0" w:line="228" w:lineRule="auto"/>
        <w:tabs>
          <w:tab w:leader="none" w:pos="189"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Prior to the adoption of ASU 2016-13, the Commercial and industrial and Commercial and industrial lines of credit were consolidated under the Commercial and industrial segment.</w:t>
      </w:r>
    </w:p>
    <w:p>
      <w:pPr>
        <w:spacing w:after="0" w:line="23" w:lineRule="exact"/>
        <w:rPr>
          <w:rFonts w:ascii="Arial" w:cs="Arial" w:eastAsia="Arial" w:hAnsi="Arial"/>
          <w:sz w:val="18"/>
          <w:szCs w:val="18"/>
          <w:color w:val="auto"/>
          <w:vertAlign w:val="superscript"/>
        </w:rPr>
      </w:pPr>
    </w:p>
    <w:p>
      <w:pPr>
        <w:ind w:left="40" w:right="420"/>
        <w:spacing w:after="0" w:line="228" w:lineRule="auto"/>
        <w:tabs>
          <w:tab w:leader="none" w:pos="189"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Prior to the adoption of ASU 2016-13, the Residential real estate and Multifamily real estate segments were consolidated under the Residential and Multifamily Real Estate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360"/>
          </w:cols>
          <w:pgMar w:left="820" w:top="448" w:right="719" w:bottom="1440" w:gutter="0" w:footer="0" w:header="0"/>
        </w:sectPr>
      </w:pPr>
    </w:p>
    <w:bookmarkStart w:id="31" w:name="page32"/>
    <w:bookmarkEnd w:id="31"/>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u w:val="single" w:color="auto"/>
          <w:color w:val="auto"/>
        </w:rPr>
        <w:t>Collateral Dependent Loans:</w:t>
      </w:r>
    </w:p>
    <w:p>
      <w:pPr>
        <w:spacing w:after="0" w:line="162" w:lineRule="exact"/>
        <w:rPr>
          <w:sz w:val="20"/>
          <w:szCs w:val="20"/>
          <w:color w:val="auto"/>
        </w:rPr>
      </w:pPr>
    </w:p>
    <w:p>
      <w:pPr>
        <w:jc w:val="both"/>
        <w:ind w:left="660" w:right="819" w:firstLine="384"/>
        <w:spacing w:after="0" w:line="341" w:lineRule="auto"/>
        <w:rPr>
          <w:sz w:val="20"/>
          <w:szCs w:val="20"/>
          <w:color w:val="auto"/>
        </w:rPr>
      </w:pPr>
      <w:r>
        <w:rPr>
          <w:rFonts w:ascii="Arial" w:cs="Arial" w:eastAsia="Arial" w:hAnsi="Arial"/>
          <w:sz w:val="13"/>
          <w:szCs w:val="13"/>
          <w:color w:val="auto"/>
        </w:rPr>
        <w:t>Collateral dependent loans are loans for which the repayment is expected to be provided substantially through the operation or sale of the collateral and the borrower is experiencing financial difficulty. The following table presents the amortized cost balance of loans considered collateral dependent by loan segment and collateral type as of June 30, 2022:</w:t>
      </w:r>
    </w:p>
    <w:p>
      <w:pPr>
        <w:spacing w:after="0" w:line="52"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As of June 30, 2022</w:t>
      </w:r>
    </w:p>
    <w:p>
      <w:pPr>
        <w:spacing w:after="0" w:line="3" w:lineRule="exact"/>
        <w:rPr>
          <w:sz w:val="20"/>
          <w:szCs w:val="20"/>
          <w:color w:val="auto"/>
        </w:rPr>
      </w:pPr>
    </w:p>
    <w:tbl>
      <w:tblPr>
        <w:tblLayout w:type="fixed"/>
        <w:tblInd w:w="62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center"/>
              <w:ind w:right="109"/>
              <w:spacing w:after="0" w:line="147" w:lineRule="exact"/>
              <w:rPr>
                <w:sz w:val="20"/>
                <w:szCs w:val="20"/>
                <w:color w:val="auto"/>
              </w:rPr>
            </w:pPr>
            <w:r>
              <w:rPr>
                <w:rFonts w:ascii="Arial" w:cs="Arial" w:eastAsia="Arial" w:hAnsi="Arial"/>
                <w:sz w:val="14"/>
                <w:szCs w:val="14"/>
                <w:b w:val="1"/>
                <w:bCs w:val="1"/>
                <w:color w:val="auto"/>
                <w:w w:val="92"/>
              </w:rPr>
              <w:t>Amortized Cost of</w:t>
            </w:r>
          </w:p>
        </w:tc>
      </w:t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91"/>
              </w:rPr>
              <w:t>Amortized Cost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Collateral Dependent</w:t>
            </w:r>
          </w:p>
        </w:tc>
      </w:tr>
      <w:tr>
        <w:trPr>
          <w:trHeight w:val="160"/>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ind w:right="109"/>
              <w:spacing w:after="0"/>
              <w:rPr>
                <w:sz w:val="20"/>
                <w:szCs w:val="20"/>
                <w:color w:val="auto"/>
              </w:rPr>
            </w:pPr>
            <w:r>
              <w:rPr>
                <w:rFonts w:ascii="Arial" w:cs="Arial" w:eastAsia="Arial" w:hAnsi="Arial"/>
                <w:sz w:val="14"/>
                <w:szCs w:val="14"/>
                <w:b w:val="1"/>
                <w:bCs w:val="1"/>
                <w:color w:val="auto"/>
                <w:w w:val="91"/>
              </w:rPr>
              <w:t>Collateral Dependent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Related Allowance for</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Loans with no related</w:t>
            </w:r>
          </w:p>
        </w:tc>
      </w:tr>
      <w:tr>
        <w:trPr>
          <w:trHeight w:val="16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w w:val="99"/>
              </w:rPr>
              <w:t>Loan Segment and Collateral Description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92"/>
              </w:rPr>
              <w:t>Loans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right="129"/>
              <w:spacing w:after="0"/>
              <w:rPr>
                <w:sz w:val="20"/>
                <w:szCs w:val="20"/>
                <w:color w:val="auto"/>
              </w:rPr>
            </w:pPr>
            <w:r>
              <w:rPr>
                <w:rFonts w:ascii="Arial" w:cs="Arial" w:eastAsia="Arial" w:hAnsi="Arial"/>
                <w:sz w:val="14"/>
                <w:szCs w:val="14"/>
                <w:b w:val="1"/>
                <w:bCs w:val="1"/>
                <w:color w:val="auto"/>
                <w:w w:val="88"/>
              </w:rPr>
              <w:t>Credit 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Allowance</w:t>
            </w:r>
          </w:p>
        </w:tc>
      </w:tr>
      <w:tr>
        <w:trPr>
          <w:trHeight w:val="172"/>
        </w:trPr>
        <w:tc>
          <w:tcPr>
            <w:tcW w:w="20" w:type="dxa"/>
            <w:vAlign w:val="bottom"/>
          </w:tcPr>
          <w:p>
            <w:pPr>
              <w:spacing w:after="0"/>
              <w:rPr>
                <w:sz w:val="14"/>
                <w:szCs w:val="14"/>
                <w:color w:val="auto"/>
              </w:rPr>
            </w:pPr>
          </w:p>
        </w:tc>
        <w:tc>
          <w:tcPr>
            <w:tcW w:w="2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center"/>
              <w:ind w:right="109"/>
              <w:spacing w:after="0"/>
              <w:rPr>
                <w:sz w:val="20"/>
                <w:szCs w:val="20"/>
                <w:color w:val="auto"/>
              </w:rPr>
            </w:pPr>
            <w:r>
              <w:rPr>
                <w:rFonts w:ascii="Arial" w:cs="Arial" w:eastAsia="Arial" w:hAnsi="Arial"/>
                <w:sz w:val="14"/>
                <w:szCs w:val="14"/>
                <w:i w:val="1"/>
                <w:iCs w:val="1"/>
                <w:color w:val="auto"/>
                <w:w w:val="93"/>
              </w:rPr>
              <w:t>(Dollars 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All business assets</w:t>
            </w:r>
          </w:p>
        </w:tc>
        <w:tc>
          <w:tcPr>
            <w:tcW w:w="180" w:type="dxa"/>
            <w:vAlign w:val="bottom"/>
            <w:gridSpan w:val="3"/>
          </w:tcPr>
          <w:p>
            <w:pPr>
              <w:jc w:val="right"/>
              <w:ind w:right="15"/>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5,010</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103</w:t>
            </w:r>
          </w:p>
        </w:tc>
        <w:tc>
          <w:tcPr>
            <w:tcW w:w="1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4,906</w:t>
            </w: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6"/>
              </w:rPr>
              <w:t>Commercial and Industrial Lines of Credit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All business assets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9,626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9,626</w:t>
            </w: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Energy</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720" w:type="dxa"/>
            <w:vAlign w:val="bottom"/>
          </w:tcPr>
          <w:p>
            <w:pPr>
              <w:ind w:left="80"/>
              <w:spacing w:after="0"/>
              <w:rPr>
                <w:sz w:val="20"/>
                <w:szCs w:val="20"/>
                <w:color w:val="auto"/>
              </w:rPr>
            </w:pPr>
            <w:r>
              <w:rPr>
                <w:rFonts w:ascii="Arial" w:cs="Arial" w:eastAsia="Arial" w:hAnsi="Arial"/>
                <w:sz w:val="14"/>
                <w:szCs w:val="14"/>
                <w:color w:val="auto"/>
              </w:rPr>
              <w:t>Oil and natural gas properties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29"/>
              <w:spacing w:after="0"/>
              <w:rPr>
                <w:sz w:val="20"/>
                <w:szCs w:val="20"/>
                <w:color w:val="auto"/>
              </w:rPr>
            </w:pPr>
            <w:r>
              <w:rPr>
                <w:rFonts w:ascii="Arial" w:cs="Arial" w:eastAsia="Arial" w:hAnsi="Arial"/>
                <w:sz w:val="14"/>
                <w:szCs w:val="14"/>
                <w:color w:val="auto"/>
              </w:rPr>
              <w:t>5,894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jc w:val="right"/>
              <w:ind w:right="49"/>
              <w:spacing w:after="0"/>
              <w:rPr>
                <w:sz w:val="20"/>
                <w:szCs w:val="20"/>
                <w:color w:val="auto"/>
              </w:rPr>
            </w:pPr>
            <w:r>
              <w:rPr>
                <w:rFonts w:ascii="Arial" w:cs="Arial" w:eastAsia="Arial" w:hAnsi="Arial"/>
                <w:sz w:val="14"/>
                <w:szCs w:val="14"/>
                <w:color w:val="auto"/>
              </w:rPr>
              <w:t>5,894</w:t>
            </w:r>
          </w:p>
        </w:tc>
      </w:tr>
      <w:tr>
        <w:trPr>
          <w:trHeight w:val="181"/>
        </w:trPr>
        <w:tc>
          <w:tcPr>
            <w:tcW w:w="20" w:type="dxa"/>
            <w:vAlign w:val="bottom"/>
          </w:tcPr>
          <w:p>
            <w:pPr>
              <w:spacing w:after="0"/>
              <w:rPr>
                <w:sz w:val="15"/>
                <w:szCs w:val="15"/>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272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Commercial real estate properties</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3,978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3,901</w:t>
            </w:r>
          </w:p>
        </w:tc>
      </w:tr>
      <w:tr>
        <w:trPr>
          <w:trHeight w:val="163"/>
        </w:trPr>
        <w:tc>
          <w:tcPr>
            <w:tcW w:w="20" w:type="dxa"/>
            <w:vAlign w:val="bottom"/>
          </w:tcPr>
          <w:p>
            <w:pPr>
              <w:spacing w:after="0"/>
              <w:rPr>
                <w:sz w:val="14"/>
                <w:szCs w:val="14"/>
                <w:color w:val="auto"/>
              </w:rPr>
            </w:pPr>
          </w:p>
        </w:tc>
        <w:tc>
          <w:tcPr>
            <w:tcW w:w="2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15"/>
              <w:spacing w:after="0"/>
              <w:rPr>
                <w:sz w:val="20"/>
                <w:szCs w:val="20"/>
                <w:color w:val="auto"/>
              </w:rPr>
            </w:pPr>
            <w:r>
              <w:rPr>
                <w:rFonts w:ascii="Arial" w:cs="Arial" w:eastAsia="Arial" w:hAnsi="Arial"/>
                <w:sz w:val="5"/>
                <w:szCs w:val="5"/>
                <w:color w:val="auto"/>
                <w:w w:val="70"/>
              </w:rPr>
              <w:t>$</w:t>
            </w:r>
          </w:p>
        </w:tc>
        <w:tc>
          <w:tcPr>
            <w:tcW w:w="1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24,508</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24,327</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Troubled Debt Restructurings</w:t>
      </w:r>
    </w:p>
    <w:p>
      <w:pPr>
        <w:spacing w:after="0" w:line="162" w:lineRule="exact"/>
        <w:rPr>
          <w:sz w:val="20"/>
          <w:szCs w:val="20"/>
          <w:color w:val="auto"/>
        </w:rPr>
      </w:pPr>
    </w:p>
    <w:p>
      <w:pPr>
        <w:ind w:left="660" w:right="939" w:firstLine="384"/>
        <w:spacing w:after="0" w:line="308" w:lineRule="auto"/>
        <w:rPr>
          <w:sz w:val="20"/>
          <w:szCs w:val="20"/>
          <w:color w:val="auto"/>
        </w:rPr>
      </w:pPr>
      <w:r>
        <w:rPr>
          <w:rFonts w:ascii="Arial" w:cs="Arial" w:eastAsia="Arial" w:hAnsi="Arial"/>
          <w:sz w:val="14"/>
          <w:szCs w:val="14"/>
          <w:color w:val="auto"/>
        </w:rPr>
        <w:t>TDRs are those extended to borrowers who are experiencing financial difficulty and who have been granted a concession, excluding loan modifications as a result of the COVID-19 pandemic. The modification of terms typically includes the extension of maturity, reduction or deferment of monthly payment, or reduction of the stated interest rate.</w:t>
      </w:r>
    </w:p>
    <w:p>
      <w:pPr>
        <w:spacing w:after="0" w:line="95" w:lineRule="exact"/>
        <w:rPr>
          <w:sz w:val="20"/>
          <w:szCs w:val="20"/>
          <w:color w:val="auto"/>
        </w:rPr>
      </w:pPr>
    </w:p>
    <w:p>
      <w:pPr>
        <w:ind w:left="660" w:right="819" w:firstLine="384"/>
        <w:spacing w:after="0" w:line="330" w:lineRule="auto"/>
        <w:rPr>
          <w:sz w:val="20"/>
          <w:szCs w:val="20"/>
          <w:color w:val="auto"/>
        </w:rPr>
      </w:pPr>
      <w:r>
        <w:rPr>
          <w:rFonts w:ascii="Arial" w:cs="Arial" w:eastAsia="Arial" w:hAnsi="Arial"/>
          <w:sz w:val="14"/>
          <w:szCs w:val="14"/>
          <w:color w:val="auto"/>
        </w:rPr>
        <w:t>For the six-month period ended June 30, 2022 and 2021, no loans were restructured under the TDR guidance. The outstanding balance of TDRs was $35 million and $40 million as of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9019"/>
          </w:cols>
          <w:pgMar w:left="1440" w:top="460" w:right="1440" w:bottom="1440" w:gutter="0" w:footer="0" w:header="0"/>
        </w:sectPr>
      </w:pPr>
    </w:p>
    <w:bookmarkStart w:id="32" w:name="page33"/>
    <w:bookmarkEnd w:id="32"/>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6"/>
          <w:szCs w:val="16"/>
          <w:u w:val="single" w:color="auto"/>
          <w:color w:val="auto"/>
        </w:rPr>
        <w:t>Disclosures under Previously Applicable GAAP</w:t>
      </w:r>
    </w:p>
    <w:p>
      <w:pPr>
        <w:spacing w:after="0" w:line="162" w:lineRule="exact"/>
        <w:rPr>
          <w:sz w:val="20"/>
          <w:szCs w:val="20"/>
          <w:color w:val="auto"/>
        </w:rPr>
      </w:pPr>
    </w:p>
    <w:p>
      <w:pPr>
        <w:ind w:left="660" w:right="599" w:firstLine="384"/>
        <w:spacing w:after="0" w:line="308" w:lineRule="auto"/>
        <w:rPr>
          <w:sz w:val="20"/>
          <w:szCs w:val="20"/>
          <w:color w:val="auto"/>
        </w:rPr>
      </w:pPr>
      <w:r>
        <w:rPr>
          <w:rFonts w:ascii="Arial" w:cs="Arial" w:eastAsia="Arial" w:hAnsi="Arial"/>
          <w:sz w:val="14"/>
          <w:szCs w:val="14"/>
          <w:color w:val="auto"/>
        </w:rPr>
        <w:t>The following disclosures are presented under previously applicable GAAP. The description of the general characteristics of the loan rating categories is as described above. The following table presents the credit risk profile of the Company’s loan portfolio based on an internal rating category and portfolio segment as of December 31, 2021:</w:t>
      </w:r>
    </w:p>
    <w:p>
      <w:pPr>
        <w:spacing w:after="0" w:line="112"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As of December 31, 2021</w:t>
      </w:r>
    </w:p>
    <w:p>
      <w:pPr>
        <w:spacing w:after="0" w:line="8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1"/>
              </w:rPr>
              <w:t>Substandard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6"/>
          </w:tcPr>
          <w:p>
            <w:pPr>
              <w:jc w:val="right"/>
              <w:ind w:right="129"/>
              <w:spacing w:after="0"/>
              <w:rPr>
                <w:sz w:val="20"/>
                <w:szCs w:val="20"/>
                <w:color w:val="auto"/>
              </w:rPr>
            </w:pPr>
            <w:r>
              <w:rPr>
                <w:rFonts w:ascii="Arial" w:cs="Arial" w:eastAsia="Arial" w:hAnsi="Arial"/>
                <w:sz w:val="14"/>
                <w:szCs w:val="14"/>
                <w:b w:val="1"/>
                <w:bCs w:val="1"/>
                <w:color w:val="auto"/>
              </w:rPr>
              <w:t>Special</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6"/>
          </w:tcPr>
          <w:p>
            <w:pPr>
              <w:jc w:val="right"/>
              <w:ind w:right="69"/>
              <w:spacing w:after="0"/>
              <w:rPr>
                <w:sz w:val="20"/>
                <w:szCs w:val="20"/>
                <w:color w:val="auto"/>
              </w:rPr>
            </w:pPr>
            <w:r>
              <w:rPr>
                <w:rFonts w:ascii="Arial" w:cs="Arial" w:eastAsia="Arial" w:hAnsi="Arial"/>
                <w:sz w:val="14"/>
                <w:szCs w:val="14"/>
                <w:b w:val="1"/>
                <w:bCs w:val="1"/>
                <w:color w:val="auto"/>
                <w:w w:val="95"/>
              </w:rPr>
              <w:t>Substandard</w:t>
            </w:r>
          </w:p>
        </w:tc>
        <w:tc>
          <w:tcPr>
            <w:tcW w:w="220" w:type="dxa"/>
            <w:vAlign w:val="bottom"/>
          </w:tcPr>
          <w:p>
            <w:pPr>
              <w:spacing w:after="0"/>
              <w:rPr>
                <w:sz w:val="13"/>
                <w:szCs w:val="13"/>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Non-</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51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50" w:type="dxa"/>
            <w:vAlign w:val="bottom"/>
          </w:tcPr>
          <w:p>
            <w:pPr>
              <w:spacing w:after="0"/>
              <w:rPr>
                <w:sz w:val="13"/>
                <w:szCs w:val="13"/>
                <w:color w:val="auto"/>
              </w:rPr>
            </w:pP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Pass</w:t>
            </w: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4"/>
                <w:szCs w:val="14"/>
                <w:b w:val="1"/>
                <w:bCs w:val="1"/>
                <w:color w:val="auto"/>
              </w:rPr>
              <w:t>Mention</w:t>
            </w: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5"/>
          </w:tcPr>
          <w:p>
            <w:pPr>
              <w:jc w:val="right"/>
              <w:ind w:right="109"/>
              <w:spacing w:after="0"/>
              <w:rPr>
                <w:sz w:val="20"/>
                <w:szCs w:val="20"/>
                <w:color w:val="auto"/>
              </w:rPr>
            </w:pPr>
            <w:r>
              <w:rPr>
                <w:rFonts w:ascii="Arial" w:cs="Arial" w:eastAsia="Arial" w:hAnsi="Arial"/>
                <w:sz w:val="14"/>
                <w:szCs w:val="14"/>
                <w:b w:val="1"/>
                <w:bCs w:val="1"/>
                <w:color w:val="auto"/>
                <w:w w:val="90"/>
              </w:rPr>
              <w:t>Performing</w:t>
            </w:r>
          </w:p>
        </w:tc>
        <w:tc>
          <w:tcPr>
            <w:tcW w:w="220" w:type="dxa"/>
            <w:vAlign w:val="bottom"/>
          </w:tcPr>
          <w:p>
            <w:pPr>
              <w:spacing w:after="0"/>
              <w:rPr>
                <w:sz w:val="15"/>
                <w:szCs w:val="15"/>
                <w:color w:val="auto"/>
              </w:rPr>
            </w:pPr>
          </w:p>
        </w:tc>
        <w:tc>
          <w:tcPr>
            <w:tcW w:w="7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89"/>
              </w:rPr>
              <w:t>performing</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 w:type="dxa"/>
            <w:vAlign w:val="bottom"/>
            <w:tcBorders>
              <w:bottom w:val="single" w:sz="8" w:color="auto"/>
            </w:tcBorders>
          </w:tcPr>
          <w:p>
            <w:pPr>
              <w:spacing w:after="0"/>
              <w:rPr>
                <w:sz w:val="15"/>
                <w:szCs w:val="15"/>
                <w:color w:val="auto"/>
              </w:rPr>
            </w:pPr>
          </w:p>
        </w:tc>
        <w:tc>
          <w:tcPr>
            <w:tcW w:w="7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Doubtful</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51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Loss</w:t>
            </w: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9"/>
          </w:tcPr>
          <w:p>
            <w:pPr>
              <w:jc w:val="center"/>
              <w:ind w:left="289"/>
              <w:spacing w:after="0"/>
              <w:rPr>
                <w:sz w:val="20"/>
                <w:szCs w:val="20"/>
                <w:color w:val="auto"/>
              </w:rPr>
            </w:pPr>
            <w:r>
              <w:rPr>
                <w:rFonts w:ascii="Arial" w:cs="Arial" w:eastAsia="Arial" w:hAnsi="Arial"/>
                <w:sz w:val="14"/>
                <w:szCs w:val="14"/>
                <w:i w:val="1"/>
                <w:iCs w:val="1"/>
                <w:color w:val="auto"/>
                <w:w w:val="93"/>
              </w:rPr>
              <w:t>(Dollars in thousands)</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51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5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0" w:type="dxa"/>
            <w:vAlign w:val="bottom"/>
            <w:tcBorders>
              <w:right w:val="single" w:sz="8" w:color="CCEEFF"/>
            </w:tcBorders>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Commercial and</w:t>
            </w:r>
          </w:p>
        </w:tc>
        <w:tc>
          <w:tcPr>
            <w:tcW w:w="1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1,356,883</w:t>
            </w:r>
          </w:p>
        </w:tc>
        <w:tc>
          <w:tcPr>
            <w:tcW w:w="2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5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16,201</w:t>
            </w: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23,739</w:t>
            </w:r>
          </w:p>
        </w:tc>
        <w:tc>
          <w:tcPr>
            <w:tcW w:w="220" w:type="dxa"/>
            <w:vAlign w:val="bottom"/>
            <w:tcBorders>
              <w:right w:val="single" w:sz="8" w:color="CCEEFF"/>
            </w:tcBorders>
            <w:vMerge w:val="restart"/>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810" w:type="dxa"/>
            <w:vAlign w:val="bottom"/>
            <w:gridSpan w:val="5"/>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4,858</w:t>
            </w:r>
          </w:p>
        </w:tc>
        <w:tc>
          <w:tcPr>
            <w:tcW w:w="70" w:type="dxa"/>
            <w:vAlign w:val="bottom"/>
            <w:shd w:val="clear" w:color="auto" w:fill="CCEEFF"/>
          </w:tcPr>
          <w:p>
            <w:pPr>
              <w:spacing w:after="0"/>
              <w:rPr>
                <w:sz w:val="14"/>
                <w:szCs w:val="14"/>
                <w:color w:val="auto"/>
              </w:rPr>
            </w:pPr>
          </w:p>
        </w:tc>
        <w:tc>
          <w:tcPr>
            <w:tcW w:w="1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50" w:type="dxa"/>
            <w:vAlign w:val="bottom"/>
            <w:gridSpan w:val="4"/>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10" w:type="dxa"/>
            <w:vAlign w:val="bottom"/>
            <w:shd w:val="clear" w:color="auto" w:fill="CCEEFF"/>
          </w:tcPr>
          <w:p>
            <w:pPr>
              <w:spacing w:after="0"/>
              <w:rPr>
                <w:sz w:val="14"/>
                <w:szCs w:val="14"/>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4"/>
                <w:szCs w:val="14"/>
                <w:color w:val="auto"/>
              </w:rPr>
            </w:pPr>
          </w:p>
        </w:tc>
        <w:tc>
          <w:tcPr>
            <w:tcW w:w="75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1,401,681</w:t>
            </w:r>
          </w:p>
        </w:tc>
        <w:tc>
          <w:tcPr>
            <w:tcW w:w="7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80" w:type="dxa"/>
            <w:vAlign w:val="bottom"/>
            <w:tcBorders>
              <w:right w:val="single" w:sz="8" w:color="CCEEFF"/>
            </w:tcBorders>
          </w:tcPr>
          <w:p>
            <w:pPr>
              <w:spacing w:after="0"/>
              <w:rPr>
                <w:sz w:val="9"/>
                <w:szCs w:val="9"/>
                <w:color w:val="auto"/>
              </w:rPr>
            </w:pPr>
          </w:p>
        </w:tc>
        <w:tc>
          <w:tcPr>
            <w:tcW w:w="10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industrial</w:t>
            </w:r>
          </w:p>
        </w:tc>
        <w:tc>
          <w:tcPr>
            <w:tcW w:w="12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vMerge w:val="continue"/>
            <w:shd w:val="clear" w:color="auto" w:fill="CCEEFF"/>
          </w:tcPr>
          <w:p>
            <w:pPr>
              <w:spacing w:after="0"/>
              <w:rPr>
                <w:sz w:val="9"/>
                <w:szCs w:val="9"/>
                <w:color w:val="auto"/>
              </w:rPr>
            </w:pPr>
          </w:p>
        </w:tc>
        <w:tc>
          <w:tcPr>
            <w:tcW w:w="220" w:type="dxa"/>
            <w:vAlign w:val="bottom"/>
            <w:gridSpan w:val="3"/>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gridSpan w:val="5"/>
            <w:vMerge w:val="continue"/>
            <w:shd w:val="clear" w:color="auto" w:fill="CCEEFF"/>
          </w:tcPr>
          <w:p>
            <w:pPr>
              <w:spacing w:after="0"/>
              <w:rPr>
                <w:sz w:val="9"/>
                <w:szCs w:val="9"/>
                <w:color w:val="auto"/>
              </w:rPr>
            </w:pPr>
          </w:p>
        </w:tc>
        <w:tc>
          <w:tcPr>
            <w:tcW w:w="220" w:type="dxa"/>
            <w:vAlign w:val="bottom"/>
            <w:gridSpan w:val="3"/>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right w:val="single" w:sz="8" w:color="CCEEFF"/>
            </w:tcBorders>
            <w:vMerge w:val="continue"/>
            <w:shd w:val="clear" w:color="auto" w:fill="CCEEFF"/>
          </w:tcPr>
          <w:p>
            <w:pPr>
              <w:spacing w:after="0"/>
              <w:rPr>
                <w:sz w:val="9"/>
                <w:szCs w:val="9"/>
                <w:color w:val="auto"/>
              </w:rPr>
            </w:pPr>
          </w:p>
        </w:tc>
        <w:tc>
          <w:tcPr>
            <w:tcW w:w="220" w:type="dxa"/>
            <w:vAlign w:val="bottom"/>
            <w:tcBorders>
              <w:right w:val="single" w:sz="8" w:color="CCEEFF"/>
            </w:tcBorders>
            <w:vMerge w:val="continue"/>
            <w:shd w:val="clear" w:color="auto" w:fill="CCEEFF"/>
          </w:tcPr>
          <w:p>
            <w:pPr>
              <w:spacing w:after="0"/>
              <w:rPr>
                <w:sz w:val="9"/>
                <w:szCs w:val="9"/>
                <w:color w:val="auto"/>
              </w:rPr>
            </w:pPr>
          </w:p>
        </w:tc>
        <w:tc>
          <w:tcPr>
            <w:tcW w:w="810" w:type="dxa"/>
            <w:vAlign w:val="bottom"/>
            <w:gridSpan w:val="5"/>
            <w:vMerge w:val="continue"/>
            <w:shd w:val="clear" w:color="auto" w:fill="CCEEFF"/>
          </w:tcPr>
          <w:p>
            <w:pPr>
              <w:spacing w:after="0"/>
              <w:rPr>
                <w:sz w:val="9"/>
                <w:szCs w:val="9"/>
                <w:color w:val="auto"/>
              </w:rPr>
            </w:pPr>
          </w:p>
        </w:tc>
        <w:tc>
          <w:tcPr>
            <w:tcW w:w="70" w:type="dxa"/>
            <w:vAlign w:val="bottom"/>
            <w:shd w:val="clear" w:color="auto" w:fill="CCEEFF"/>
          </w:tcPr>
          <w:p>
            <w:pPr>
              <w:spacing w:after="0"/>
              <w:rPr>
                <w:sz w:val="9"/>
                <w:szCs w:val="9"/>
                <w:color w:val="auto"/>
              </w:rPr>
            </w:pPr>
          </w:p>
        </w:tc>
        <w:tc>
          <w:tcPr>
            <w:tcW w:w="120" w:type="dxa"/>
            <w:vAlign w:val="bottom"/>
            <w:tcBorders>
              <w:right w:val="single" w:sz="8" w:color="CCEEFF"/>
            </w:tcBorders>
            <w:vMerge w:val="continue"/>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250" w:type="dxa"/>
            <w:vAlign w:val="bottom"/>
            <w:gridSpan w:val="4"/>
            <w:vMerge w:val="continue"/>
            <w:shd w:val="clear" w:color="auto" w:fill="CCEEFF"/>
          </w:tcPr>
          <w:p>
            <w:pPr>
              <w:spacing w:after="0"/>
              <w:rPr>
                <w:sz w:val="9"/>
                <w:szCs w:val="9"/>
                <w:color w:val="auto"/>
              </w:rPr>
            </w:pPr>
          </w:p>
        </w:tc>
        <w:tc>
          <w:tcPr>
            <w:tcW w:w="510" w:type="dxa"/>
            <w:vAlign w:val="bottom"/>
            <w:shd w:val="clear" w:color="auto" w:fill="CCEEFF"/>
          </w:tcPr>
          <w:p>
            <w:pPr>
              <w:spacing w:after="0"/>
              <w:rPr>
                <w:sz w:val="9"/>
                <w:szCs w:val="9"/>
                <w:color w:val="auto"/>
              </w:rPr>
            </w:pPr>
          </w:p>
        </w:tc>
        <w:tc>
          <w:tcPr>
            <w:tcW w:w="120" w:type="dxa"/>
            <w:vAlign w:val="bottom"/>
            <w:gridSpan w:val="2"/>
            <w:vMerge w:val="continue"/>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50" w:type="dxa"/>
            <w:vAlign w:val="bottom"/>
            <w:vMerge w:val="continue"/>
            <w:shd w:val="clear" w:color="auto" w:fill="CCEEFF"/>
          </w:tcPr>
          <w:p>
            <w:pPr>
              <w:spacing w:after="0"/>
              <w:rPr>
                <w:sz w:val="9"/>
                <w:szCs w:val="9"/>
                <w:color w:val="auto"/>
              </w:rPr>
            </w:pPr>
          </w:p>
        </w:tc>
        <w:tc>
          <w:tcPr>
            <w:tcW w:w="7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80" w:type="dxa"/>
            <w:vAlign w:val="bottom"/>
            <w:tcBorders>
              <w:right w:val="single" w:sz="8" w:color="CCEEFF"/>
            </w:tcBorders>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right w:val="single" w:sz="8" w:color="CCEEFF"/>
            </w:tcBorders>
            <w:shd w:val="clear" w:color="auto" w:fill="CCEEFF"/>
          </w:tcPr>
          <w:p>
            <w:pPr>
              <w:spacing w:after="0"/>
              <w:rPr>
                <w:sz w:val="6"/>
                <w:szCs w:val="6"/>
                <w:color w:val="auto"/>
              </w:rPr>
            </w:pPr>
          </w:p>
        </w:tc>
        <w:tc>
          <w:tcPr>
            <w:tcW w:w="220" w:type="dxa"/>
            <w:vAlign w:val="bottom"/>
            <w:tcBorders>
              <w:bottom w:val="single" w:sz="8" w:color="CCEEFF"/>
              <w:right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0" w:type="dxa"/>
            <w:vAlign w:val="bottom"/>
            <w:tcBorders>
              <w:bottom w:val="single" w:sz="8" w:color="CCEEFF"/>
            </w:tcBorders>
            <w:shd w:val="clear" w:color="auto" w:fill="CCEEFF"/>
          </w:tcPr>
          <w:p>
            <w:pPr>
              <w:spacing w:after="0"/>
              <w:rPr>
                <w:sz w:val="6"/>
                <w:szCs w:val="6"/>
                <w:color w:val="auto"/>
              </w:rPr>
            </w:pPr>
          </w:p>
        </w:tc>
        <w:tc>
          <w:tcPr>
            <w:tcW w:w="7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right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10" w:type="dxa"/>
            <w:vAlign w:val="bottom"/>
            <w:tcBorders>
              <w:bottom w:val="single" w:sz="8" w:color="CCEEFF"/>
            </w:tcBorders>
            <w:shd w:val="clear" w:color="auto" w:fill="CCEEFF"/>
          </w:tcPr>
          <w:p>
            <w:pPr>
              <w:spacing w:after="0"/>
              <w:rPr>
                <w:sz w:val="6"/>
                <w:szCs w:val="6"/>
                <w:color w:val="auto"/>
              </w:rPr>
            </w:pPr>
          </w:p>
        </w:tc>
        <w:tc>
          <w:tcPr>
            <w:tcW w:w="51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right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50" w:type="dxa"/>
            <w:vAlign w:val="bottom"/>
            <w:tcBorders>
              <w:bottom w:val="single" w:sz="8" w:color="CCEEFF"/>
            </w:tcBorders>
            <w:shd w:val="clear" w:color="auto" w:fill="CCEEFF"/>
          </w:tcPr>
          <w:p>
            <w:pPr>
              <w:spacing w:after="0"/>
              <w:rPr>
                <w:sz w:val="6"/>
                <w:szCs w:val="6"/>
                <w:color w:val="auto"/>
              </w:rPr>
            </w:pPr>
          </w:p>
        </w:tc>
        <w:tc>
          <w:tcPr>
            <w:tcW w:w="7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160" w:type="dxa"/>
            <w:vAlign w:val="bottom"/>
            <w:gridSpan w:val="2"/>
          </w:tcPr>
          <w:p>
            <w:pPr>
              <w:spacing w:after="0"/>
              <w:rPr>
                <w:sz w:val="20"/>
                <w:szCs w:val="20"/>
                <w:color w:val="auto"/>
              </w:rPr>
            </w:pPr>
            <w:r>
              <w:rPr>
                <w:rFonts w:ascii="Arial" w:cs="Arial" w:eastAsia="Arial" w:hAnsi="Arial"/>
                <w:sz w:val="14"/>
                <w:szCs w:val="14"/>
                <w:color w:val="auto"/>
              </w:rPr>
              <w:t>Energy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184,269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rPr>
              <w:t>73,196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5,246</w:t>
            </w:r>
          </w:p>
        </w:tc>
        <w:tc>
          <w:tcPr>
            <w:tcW w:w="220" w:type="dxa"/>
            <w:vAlign w:val="bottom"/>
          </w:tcPr>
          <w:p>
            <w:pPr>
              <w:spacing w:after="0"/>
              <w:rPr>
                <w:sz w:val="15"/>
                <w:szCs w:val="15"/>
                <w:color w:val="auto"/>
              </w:rPr>
            </w:pPr>
          </w:p>
        </w:tc>
        <w:tc>
          <w:tcPr>
            <w:tcW w:w="810" w:type="dxa"/>
            <w:vAlign w:val="bottom"/>
            <w:gridSpan w:val="5"/>
          </w:tcPr>
          <w:p>
            <w:pPr>
              <w:jc w:val="right"/>
              <w:ind w:right="30"/>
              <w:spacing w:after="0"/>
              <w:rPr>
                <w:sz w:val="20"/>
                <w:szCs w:val="20"/>
                <w:color w:val="auto"/>
              </w:rPr>
            </w:pPr>
            <w:r>
              <w:rPr>
                <w:rFonts w:ascii="Arial" w:cs="Arial" w:eastAsia="Arial" w:hAnsi="Arial"/>
                <w:sz w:val="14"/>
                <w:szCs w:val="14"/>
                <w:color w:val="auto"/>
              </w:rPr>
              <w:t>13,595</w:t>
            </w: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2,554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1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278,860</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 w:type="dxa"/>
            <w:vAlign w:val="bottom"/>
            <w:tcBorders>
              <w:right w:val="single" w:sz="8" w:color="CCEEFF"/>
            </w:tcBorders>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Commercial real</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1,172,323</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5"/>
            <w:vMerge w:val="restart"/>
            <w:shd w:val="clear" w:color="auto" w:fill="CCEEFF"/>
          </w:tcPr>
          <w:p>
            <w:pPr>
              <w:jc w:val="right"/>
              <w:spacing w:after="0"/>
              <w:rPr>
                <w:sz w:val="20"/>
                <w:szCs w:val="20"/>
                <w:color w:val="auto"/>
              </w:rPr>
            </w:pPr>
            <w:r>
              <w:rPr>
                <w:rFonts w:ascii="Arial" w:cs="Arial" w:eastAsia="Arial" w:hAnsi="Arial"/>
                <w:sz w:val="14"/>
                <w:szCs w:val="14"/>
                <w:color w:val="auto"/>
              </w:rPr>
              <w:t>86,768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11,782</w:t>
            </w:r>
          </w:p>
        </w:tc>
        <w:tc>
          <w:tcPr>
            <w:tcW w:w="220" w:type="dxa"/>
            <w:vAlign w:val="bottom"/>
            <w:tcBorders>
              <w:right w:val="single" w:sz="8" w:color="CCEEFF"/>
            </w:tcBorders>
            <w:shd w:val="clear" w:color="auto" w:fill="CCEEFF"/>
          </w:tcPr>
          <w:p>
            <w:pPr>
              <w:spacing w:after="0"/>
              <w:rPr>
                <w:sz w:val="13"/>
                <w:szCs w:val="13"/>
                <w:color w:val="auto"/>
              </w:rPr>
            </w:pPr>
          </w:p>
        </w:tc>
        <w:tc>
          <w:tcPr>
            <w:tcW w:w="810" w:type="dxa"/>
            <w:vAlign w:val="bottom"/>
            <w:gridSpan w:val="5"/>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10,222</w:t>
            </w:r>
          </w:p>
        </w:tc>
        <w:tc>
          <w:tcPr>
            <w:tcW w:w="7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510" w:type="dxa"/>
            <w:vAlign w:val="bottom"/>
            <w:shd w:val="clear" w:color="auto" w:fill="CCEEFF"/>
          </w:tcPr>
          <w:p>
            <w:pPr>
              <w:spacing w:after="0"/>
              <w:rPr>
                <w:sz w:val="13"/>
                <w:szCs w:val="13"/>
                <w:color w:val="auto"/>
              </w:rPr>
            </w:pPr>
          </w:p>
        </w:tc>
        <w:tc>
          <w:tcPr>
            <w:tcW w:w="1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5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1,281,095</w:t>
            </w:r>
          </w:p>
        </w:tc>
        <w:tc>
          <w:tcPr>
            <w:tcW w:w="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0" w:type="dxa"/>
            <w:vAlign w:val="bottom"/>
            <w:tcBorders>
              <w:right w:val="single" w:sz="8" w:color="CCEEFF"/>
            </w:tcBorders>
          </w:tcPr>
          <w:p>
            <w:pPr>
              <w:spacing w:after="0"/>
              <w:rPr>
                <w:sz w:val="9"/>
                <w:szCs w:val="9"/>
                <w:color w:val="auto"/>
              </w:rPr>
            </w:pPr>
          </w:p>
        </w:tc>
        <w:tc>
          <w:tcPr>
            <w:tcW w:w="10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estate</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gridSpan w:val="5"/>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tcBorders>
              <w:right w:val="single" w:sz="8" w:color="CCEEFF"/>
            </w:tcBorders>
            <w:vMerge w:val="continue"/>
            <w:shd w:val="clear" w:color="auto" w:fill="CCEEFF"/>
          </w:tcPr>
          <w:p>
            <w:pPr>
              <w:spacing w:after="0"/>
              <w:rPr>
                <w:sz w:val="9"/>
                <w:szCs w:val="9"/>
                <w:color w:val="auto"/>
              </w:rPr>
            </w:pPr>
          </w:p>
        </w:tc>
        <w:tc>
          <w:tcPr>
            <w:tcW w:w="220" w:type="dxa"/>
            <w:vAlign w:val="bottom"/>
            <w:tcBorders>
              <w:right w:val="single" w:sz="8" w:color="CCEEFF"/>
            </w:tcBorders>
            <w:shd w:val="clear" w:color="auto" w:fill="CCEEFF"/>
          </w:tcPr>
          <w:p>
            <w:pPr>
              <w:spacing w:after="0"/>
              <w:rPr>
                <w:sz w:val="9"/>
                <w:szCs w:val="9"/>
                <w:color w:val="auto"/>
              </w:rPr>
            </w:pPr>
          </w:p>
        </w:tc>
        <w:tc>
          <w:tcPr>
            <w:tcW w:w="810" w:type="dxa"/>
            <w:vAlign w:val="bottom"/>
            <w:gridSpan w:val="5"/>
            <w:vMerge w:val="continue"/>
            <w:shd w:val="clear" w:color="auto" w:fill="CCEEFF"/>
          </w:tcPr>
          <w:p>
            <w:pPr>
              <w:spacing w:after="0"/>
              <w:rPr>
                <w:sz w:val="9"/>
                <w:szCs w:val="9"/>
                <w:color w:val="auto"/>
              </w:rPr>
            </w:pPr>
          </w:p>
        </w:tc>
        <w:tc>
          <w:tcPr>
            <w:tcW w:w="7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10" w:type="dxa"/>
            <w:vAlign w:val="bottom"/>
            <w:shd w:val="clear" w:color="auto" w:fill="CCEEFF"/>
          </w:tcPr>
          <w:p>
            <w:pPr>
              <w:spacing w:after="0"/>
              <w:rPr>
                <w:sz w:val="9"/>
                <w:szCs w:val="9"/>
                <w:color w:val="auto"/>
              </w:rPr>
            </w:pPr>
          </w:p>
        </w:tc>
        <w:tc>
          <w:tcPr>
            <w:tcW w:w="510" w:type="dxa"/>
            <w:vAlign w:val="bottom"/>
            <w:shd w:val="clear" w:color="auto" w:fill="CCEEFF"/>
          </w:tcPr>
          <w:p>
            <w:pPr>
              <w:spacing w:after="0"/>
              <w:rPr>
                <w:sz w:val="9"/>
                <w:szCs w:val="9"/>
                <w:color w:val="auto"/>
              </w:rPr>
            </w:pPr>
          </w:p>
        </w:tc>
        <w:tc>
          <w:tcPr>
            <w:tcW w:w="120" w:type="dxa"/>
            <w:vAlign w:val="bottom"/>
            <w:gridSpan w:val="2"/>
            <w:vMerge w:val="continue"/>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50" w:type="dxa"/>
            <w:vAlign w:val="bottom"/>
            <w:vMerge w:val="continue"/>
            <w:shd w:val="clear" w:color="auto" w:fill="CCEEFF"/>
          </w:tcPr>
          <w:p>
            <w:pPr>
              <w:spacing w:after="0"/>
              <w:rPr>
                <w:sz w:val="9"/>
                <w:szCs w:val="9"/>
                <w:color w:val="auto"/>
              </w:rPr>
            </w:pPr>
          </w:p>
        </w:tc>
        <w:tc>
          <w:tcPr>
            <w:tcW w:w="7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80" w:type="dxa"/>
            <w:vAlign w:val="bottom"/>
            <w:tcBorders>
              <w:right w:val="single" w:sz="8" w:color="CCEEFF"/>
            </w:tcBorders>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32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right w:val="single" w:sz="8" w:color="CCEEFF"/>
            </w:tcBorders>
            <w:shd w:val="clear" w:color="auto" w:fill="CCEEFF"/>
          </w:tcPr>
          <w:p>
            <w:pPr>
              <w:spacing w:after="0"/>
              <w:rPr>
                <w:sz w:val="6"/>
                <w:szCs w:val="6"/>
                <w:color w:val="auto"/>
              </w:rPr>
            </w:pPr>
          </w:p>
        </w:tc>
        <w:tc>
          <w:tcPr>
            <w:tcW w:w="220" w:type="dxa"/>
            <w:vAlign w:val="bottom"/>
            <w:tcBorders>
              <w:bottom w:val="single" w:sz="8" w:color="CCEEFF"/>
              <w:right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0" w:type="dxa"/>
            <w:vAlign w:val="bottom"/>
            <w:tcBorders>
              <w:bottom w:val="single" w:sz="8" w:color="CCEEFF"/>
            </w:tcBorders>
            <w:shd w:val="clear" w:color="auto" w:fill="CCEEFF"/>
          </w:tcPr>
          <w:p>
            <w:pPr>
              <w:spacing w:after="0"/>
              <w:rPr>
                <w:sz w:val="6"/>
                <w:szCs w:val="6"/>
                <w:color w:val="auto"/>
              </w:rPr>
            </w:pPr>
          </w:p>
        </w:tc>
        <w:tc>
          <w:tcPr>
            <w:tcW w:w="7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right w:val="single" w:sz="8" w:color="CCEEFF"/>
            </w:tcBorders>
            <w:shd w:val="clear" w:color="auto" w:fill="CCEEFF"/>
          </w:tcPr>
          <w:p>
            <w:pPr>
              <w:spacing w:after="0"/>
              <w:rPr>
                <w:sz w:val="6"/>
                <w:szCs w:val="6"/>
                <w:color w:val="auto"/>
              </w:rPr>
            </w:pPr>
          </w:p>
        </w:tc>
        <w:tc>
          <w:tcPr>
            <w:tcW w:w="5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110" w:type="dxa"/>
            <w:vAlign w:val="bottom"/>
            <w:tcBorders>
              <w:bottom w:val="single" w:sz="8" w:color="CCEEFF"/>
            </w:tcBorders>
            <w:shd w:val="clear" w:color="auto" w:fill="CCEEFF"/>
          </w:tcPr>
          <w:p>
            <w:pPr>
              <w:spacing w:after="0"/>
              <w:rPr>
                <w:sz w:val="6"/>
                <w:szCs w:val="6"/>
                <w:color w:val="auto"/>
              </w:rPr>
            </w:pPr>
          </w:p>
        </w:tc>
        <w:tc>
          <w:tcPr>
            <w:tcW w:w="51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right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750" w:type="dxa"/>
            <w:vAlign w:val="bottom"/>
            <w:tcBorders>
              <w:bottom w:val="single" w:sz="8" w:color="CCEEFF"/>
            </w:tcBorders>
            <w:shd w:val="clear" w:color="auto" w:fill="CCEEFF"/>
          </w:tcPr>
          <w:p>
            <w:pPr>
              <w:spacing w:after="0"/>
              <w:rPr>
                <w:sz w:val="6"/>
                <w:szCs w:val="6"/>
                <w:color w:val="auto"/>
              </w:rPr>
            </w:pPr>
          </w:p>
        </w:tc>
        <w:tc>
          <w:tcPr>
            <w:tcW w:w="7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1160" w:type="dxa"/>
            <w:vAlign w:val="bottom"/>
            <w:gridSpan w:val="2"/>
          </w:tcPr>
          <w:p>
            <w:pPr>
              <w:spacing w:after="0"/>
              <w:rPr>
                <w:sz w:val="20"/>
                <w:szCs w:val="20"/>
                <w:color w:val="auto"/>
              </w:rPr>
            </w:pPr>
            <w:r>
              <w:rPr>
                <w:rFonts w:ascii="Arial" w:cs="Arial" w:eastAsia="Arial" w:hAnsi="Arial"/>
                <w:sz w:val="14"/>
                <w:szCs w:val="14"/>
                <w:color w:val="auto"/>
              </w:rPr>
              <w:t>Construction and</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vMerge w:val="restart"/>
          </w:tcPr>
          <w:p>
            <w:pPr>
              <w:jc w:val="right"/>
              <w:spacing w:after="0"/>
              <w:rPr>
                <w:sz w:val="20"/>
                <w:szCs w:val="20"/>
                <w:color w:val="auto"/>
              </w:rPr>
            </w:pPr>
            <w:r>
              <w:rPr>
                <w:rFonts w:ascii="Arial" w:cs="Arial" w:eastAsia="Arial" w:hAnsi="Arial"/>
                <w:sz w:val="14"/>
                <w:szCs w:val="14"/>
                <w:color w:val="auto"/>
              </w:rPr>
              <w:t>578,758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w w:val="84"/>
              </w:rPr>
              <w:t>-</w:t>
            </w:r>
          </w:p>
        </w:tc>
        <w:tc>
          <w:tcPr>
            <w:tcW w:w="7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510" w:type="dxa"/>
            <w:vAlign w:val="bottom"/>
          </w:tcPr>
          <w:p>
            <w:pPr>
              <w:spacing w:after="0"/>
              <w:rPr>
                <w:sz w:val="13"/>
                <w:szCs w:val="13"/>
                <w:color w:val="auto"/>
              </w:rPr>
            </w:pPr>
          </w:p>
        </w:tc>
        <w:tc>
          <w:tcPr>
            <w:tcW w:w="1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10" w:type="dxa"/>
            <w:vAlign w:val="bottom"/>
            <w:gridSpan w:val="2"/>
            <w:vMerge w:val="restart"/>
          </w:tcPr>
          <w:p>
            <w:pPr>
              <w:jc w:val="right"/>
              <w:spacing w:after="0"/>
              <w:rPr>
                <w:sz w:val="20"/>
                <w:szCs w:val="20"/>
                <w:color w:val="auto"/>
              </w:rPr>
            </w:pPr>
            <w:r>
              <w:rPr>
                <w:rFonts w:ascii="Arial" w:cs="Arial" w:eastAsia="Arial" w:hAnsi="Arial"/>
                <w:sz w:val="14"/>
                <w:szCs w:val="14"/>
                <w:color w:val="auto"/>
              </w:rPr>
              <w:t>578,758</w:t>
            </w:r>
          </w:p>
        </w:tc>
        <w:tc>
          <w:tcPr>
            <w:tcW w:w="7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rPr>
              <w:t>land development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 w:type="dxa"/>
            <w:vAlign w:val="bottom"/>
            <w:gridSpan w:val="3"/>
            <w:vMerge w:val="continue"/>
          </w:tcPr>
          <w:p>
            <w:pPr>
              <w:spacing w:after="0"/>
              <w:rPr>
                <w:sz w:val="10"/>
                <w:szCs w:val="10"/>
                <w:color w:val="auto"/>
              </w:rPr>
            </w:pPr>
          </w:p>
        </w:tc>
        <w:tc>
          <w:tcPr>
            <w:tcW w:w="7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 w:type="dxa"/>
            <w:vAlign w:val="bottom"/>
          </w:tcPr>
          <w:p>
            <w:pPr>
              <w:spacing w:after="0"/>
              <w:rPr>
                <w:sz w:val="10"/>
                <w:szCs w:val="10"/>
                <w:color w:val="auto"/>
              </w:rPr>
            </w:pPr>
          </w:p>
        </w:tc>
        <w:tc>
          <w:tcPr>
            <w:tcW w:w="510" w:type="dxa"/>
            <w:vAlign w:val="bottom"/>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10" w:type="dxa"/>
            <w:vAlign w:val="bottom"/>
            <w:gridSpan w:val="2"/>
            <w:vMerge w:val="continue"/>
          </w:tcPr>
          <w:p>
            <w:pPr>
              <w:spacing w:after="0"/>
              <w:rPr>
                <w:sz w:val="10"/>
                <w:szCs w:val="10"/>
                <w:color w:val="auto"/>
              </w:rPr>
            </w:pPr>
          </w:p>
        </w:tc>
        <w:tc>
          <w:tcPr>
            <w:tcW w:w="7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1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0" w:type="dxa"/>
            <w:vAlign w:val="bottom"/>
          </w:tcPr>
          <w:p>
            <w:pPr>
              <w:spacing w:after="0"/>
              <w:rPr>
                <w:sz w:val="5"/>
                <w:szCs w:val="5"/>
                <w:color w:val="auto"/>
              </w:rPr>
            </w:pPr>
          </w:p>
        </w:tc>
        <w:tc>
          <w:tcPr>
            <w:tcW w:w="7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 w:type="dxa"/>
            <w:vAlign w:val="bottom"/>
          </w:tcPr>
          <w:p>
            <w:pPr>
              <w:spacing w:after="0"/>
              <w:rPr>
                <w:sz w:val="5"/>
                <w:szCs w:val="5"/>
                <w:color w:val="auto"/>
              </w:rPr>
            </w:pPr>
          </w:p>
        </w:tc>
        <w:tc>
          <w:tcPr>
            <w:tcW w:w="51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50" w:type="dxa"/>
            <w:vAlign w:val="bottom"/>
          </w:tcPr>
          <w:p>
            <w:pPr>
              <w:spacing w:after="0"/>
              <w:rPr>
                <w:sz w:val="5"/>
                <w:szCs w:val="5"/>
                <w:color w:val="auto"/>
              </w:rPr>
            </w:pPr>
          </w:p>
        </w:tc>
        <w:tc>
          <w:tcPr>
            <w:tcW w:w="7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51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5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Borders>
              <w:right w:val="single" w:sz="8" w:color="CCEEFF"/>
            </w:tcBorders>
          </w:tcPr>
          <w:p>
            <w:pPr>
              <w:spacing w:after="0"/>
              <w:rPr>
                <w:sz w:val="13"/>
                <w:szCs w:val="13"/>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Residential and</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tcBorders>
              <w:right w:val="single" w:sz="8" w:color="CCEEFF"/>
            </w:tcBorders>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 w:type="dxa"/>
            <w:vAlign w:val="bottom"/>
            <w:shd w:val="clear" w:color="auto" w:fill="CCEEFF"/>
          </w:tcPr>
          <w:p>
            <w:pPr>
              <w:spacing w:after="0"/>
              <w:rPr>
                <w:sz w:val="13"/>
                <w:szCs w:val="13"/>
                <w:color w:val="auto"/>
              </w:rPr>
            </w:pPr>
          </w:p>
        </w:tc>
        <w:tc>
          <w:tcPr>
            <w:tcW w:w="7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0" w:type="dxa"/>
            <w:vAlign w:val="bottom"/>
            <w:shd w:val="clear" w:color="auto" w:fill="CCEEFF"/>
          </w:tcPr>
          <w:p>
            <w:pPr>
              <w:spacing w:after="0"/>
              <w:rPr>
                <w:sz w:val="13"/>
                <w:szCs w:val="13"/>
                <w:color w:val="auto"/>
              </w:rPr>
            </w:pPr>
          </w:p>
        </w:tc>
        <w:tc>
          <w:tcPr>
            <w:tcW w:w="51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50" w:type="dxa"/>
            <w:vAlign w:val="bottom"/>
            <w:shd w:val="clear" w:color="auto" w:fill="CCEEFF"/>
          </w:tcPr>
          <w:p>
            <w:pPr>
              <w:spacing w:after="0"/>
              <w:rPr>
                <w:sz w:val="13"/>
                <w:szCs w:val="13"/>
                <w:color w:val="auto"/>
              </w:rPr>
            </w:pPr>
          </w:p>
        </w:tc>
        <w:tc>
          <w:tcPr>
            <w:tcW w:w="7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0" w:type="dxa"/>
            <w:vAlign w:val="bottom"/>
            <w:tcBorders>
              <w:right w:val="single" w:sz="8" w:color="CCEEFF"/>
            </w:tcBorders>
          </w:tcPr>
          <w:p>
            <w:pPr>
              <w:spacing w:after="0"/>
              <w:rPr>
                <w:sz w:val="14"/>
                <w:szCs w:val="14"/>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multifamily real</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593,847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6,508</w:t>
            </w:r>
          </w:p>
        </w:tc>
        <w:tc>
          <w:tcPr>
            <w:tcW w:w="220" w:type="dxa"/>
            <w:vAlign w:val="bottom"/>
            <w:tcBorders>
              <w:right w:val="single" w:sz="8" w:color="CCEEFF"/>
            </w:tcBorders>
            <w:shd w:val="clear" w:color="auto" w:fill="CCEEFF"/>
          </w:tcPr>
          <w:p>
            <w:pPr>
              <w:spacing w:after="0"/>
              <w:rPr>
                <w:sz w:val="14"/>
                <w:szCs w:val="14"/>
                <w:color w:val="auto"/>
              </w:rPr>
            </w:pPr>
          </w:p>
        </w:tc>
        <w:tc>
          <w:tcPr>
            <w:tcW w:w="810" w:type="dxa"/>
            <w:vAlign w:val="bottom"/>
            <w:gridSpan w:val="5"/>
            <w:shd w:val="clear" w:color="auto" w:fill="CCEEFF"/>
          </w:tcPr>
          <w:p>
            <w:pPr>
              <w:jc w:val="right"/>
              <w:ind w:right="30"/>
              <w:spacing w:after="0"/>
              <w:rPr>
                <w:sz w:val="20"/>
                <w:szCs w:val="20"/>
                <w:color w:val="auto"/>
              </w:rPr>
            </w:pPr>
            <w:r>
              <w:rPr>
                <w:rFonts w:ascii="Arial" w:cs="Arial" w:eastAsia="Arial" w:hAnsi="Arial"/>
                <w:sz w:val="14"/>
                <w:szCs w:val="14"/>
                <w:color w:val="auto"/>
              </w:rPr>
              <w:t>204</w:t>
            </w:r>
          </w:p>
        </w:tc>
        <w:tc>
          <w:tcPr>
            <w:tcW w:w="7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10" w:type="dxa"/>
            <w:vAlign w:val="bottom"/>
            <w:shd w:val="clear" w:color="auto" w:fill="CCEEFF"/>
          </w:tcPr>
          <w:p>
            <w:pPr>
              <w:spacing w:after="0"/>
              <w:rPr>
                <w:sz w:val="14"/>
                <w:szCs w:val="14"/>
                <w:color w:val="auto"/>
              </w:rPr>
            </w:pPr>
          </w:p>
        </w:tc>
        <w:tc>
          <w:tcPr>
            <w:tcW w:w="51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600,816</w:t>
            </w:r>
          </w:p>
        </w:tc>
        <w:tc>
          <w:tcPr>
            <w:tcW w:w="7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0" w:type="dxa"/>
            <w:vAlign w:val="bottom"/>
            <w:tcBorders>
              <w:right w:val="single" w:sz="8" w:color="CCEEFF"/>
            </w:tcBorders>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estate</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spacing w:after="0"/>
              <w:rPr>
                <w:sz w:val="16"/>
                <w:szCs w:val="16"/>
                <w:color w:val="auto"/>
              </w:rPr>
            </w:pP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 w:type="dxa"/>
            <w:vAlign w:val="bottom"/>
            <w:tcBorders>
              <w:bottom w:val="single" w:sz="8" w:color="CCEEFF"/>
            </w:tcBorders>
            <w:shd w:val="clear" w:color="auto" w:fill="CCEEFF"/>
          </w:tcPr>
          <w:p>
            <w:pPr>
              <w:spacing w:after="0"/>
              <w:rPr>
                <w:sz w:val="16"/>
                <w:szCs w:val="16"/>
                <w:color w:val="auto"/>
              </w:rPr>
            </w:pPr>
          </w:p>
        </w:tc>
        <w:tc>
          <w:tcPr>
            <w:tcW w:w="7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10" w:type="dxa"/>
            <w:vAlign w:val="bottom"/>
            <w:tcBorders>
              <w:bottom w:val="single" w:sz="8" w:color="CCEEFF"/>
            </w:tcBorders>
            <w:shd w:val="clear" w:color="auto" w:fill="CCEEFF"/>
          </w:tcPr>
          <w:p>
            <w:pPr>
              <w:spacing w:after="0"/>
              <w:rPr>
                <w:sz w:val="16"/>
                <w:szCs w:val="16"/>
                <w:color w:val="auto"/>
              </w:rPr>
            </w:pPr>
          </w:p>
        </w:tc>
        <w:tc>
          <w:tcPr>
            <w:tcW w:w="51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50" w:type="dxa"/>
            <w:vAlign w:val="bottom"/>
            <w:tcBorders>
              <w:bottom w:val="single" w:sz="8" w:color="CCEEFF"/>
            </w:tcBorders>
            <w:shd w:val="clear" w:color="auto" w:fill="CCEEFF"/>
          </w:tcPr>
          <w:p>
            <w:pPr>
              <w:spacing w:after="0"/>
              <w:rPr>
                <w:sz w:val="16"/>
                <w:szCs w:val="16"/>
                <w:color w:val="auto"/>
              </w:rPr>
            </w:pPr>
          </w:p>
        </w:tc>
        <w:tc>
          <w:tcPr>
            <w:tcW w:w="7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60" w:type="dxa"/>
            <w:vAlign w:val="bottom"/>
            <w:gridSpan w:val="2"/>
          </w:tcPr>
          <w:p>
            <w:pPr>
              <w:spacing w:after="0"/>
              <w:rPr>
                <w:sz w:val="20"/>
                <w:szCs w:val="20"/>
                <w:color w:val="auto"/>
              </w:rPr>
            </w:pPr>
            <w:r>
              <w:rPr>
                <w:rFonts w:ascii="Arial" w:cs="Arial" w:eastAsia="Arial" w:hAnsi="Arial"/>
                <w:sz w:val="14"/>
                <w:szCs w:val="14"/>
                <w:color w:val="auto"/>
              </w:rPr>
              <w:t>PPP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64,805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 w:type="dxa"/>
            <w:vAlign w:val="bottom"/>
            <w:gridSpan w:val="3"/>
          </w:tcPr>
          <w:p>
            <w:pPr>
              <w:jc w:val="right"/>
              <w:ind w:right="30"/>
              <w:spacing w:after="0"/>
              <w:rPr>
                <w:sz w:val="20"/>
                <w:szCs w:val="20"/>
                <w:color w:val="auto"/>
              </w:rPr>
            </w:pPr>
            <w:r>
              <w:rPr>
                <w:rFonts w:ascii="Arial" w:cs="Arial" w:eastAsia="Arial" w:hAnsi="Arial"/>
                <w:sz w:val="14"/>
                <w:szCs w:val="14"/>
                <w:color w:val="auto"/>
                <w:w w:val="84"/>
              </w:rPr>
              <w:t>-</w:t>
            </w: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1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64,805</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 w:type="dxa"/>
            <w:vAlign w:val="bottom"/>
            <w:tcBorders>
              <w:right w:val="single" w:sz="8" w:color="CCEEFF"/>
            </w:tcBorders>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Consumer</w:t>
            </w: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63,605</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right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4"/>
                <w:szCs w:val="14"/>
                <w:color w:val="auto"/>
                <w:w w:val="84"/>
              </w:rPr>
              <w:t>-</w:t>
            </w:r>
          </w:p>
        </w:tc>
        <w:tc>
          <w:tcPr>
            <w:tcW w:w="7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right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10" w:type="dxa"/>
            <w:vAlign w:val="bottom"/>
            <w:tcBorders>
              <w:bottom w:val="single" w:sz="8" w:color="CCEEFF"/>
            </w:tcBorders>
            <w:shd w:val="clear" w:color="auto" w:fill="CCEEFF"/>
          </w:tcPr>
          <w:p>
            <w:pPr>
              <w:spacing w:after="0"/>
              <w:rPr>
                <w:sz w:val="14"/>
                <w:szCs w:val="14"/>
                <w:color w:val="auto"/>
              </w:rPr>
            </w:pPr>
          </w:p>
        </w:tc>
        <w:tc>
          <w:tcPr>
            <w:tcW w:w="51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5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63,605</w:t>
            </w:r>
          </w:p>
        </w:tc>
        <w:tc>
          <w:tcPr>
            <w:tcW w:w="7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 w:type="dxa"/>
            <w:vAlign w:val="bottom"/>
            <w:shd w:val="clear" w:color="auto" w:fill="000000"/>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shd w:val="clear" w:color="auto" w:fill="000000"/>
          </w:tcPr>
          <w:p>
            <w:pPr>
              <w:spacing w:after="0" w:line="20" w:lineRule="exact"/>
              <w:rPr>
                <w:sz w:val="1"/>
                <w:szCs w:val="1"/>
                <w:color w:val="auto"/>
              </w:rPr>
            </w:pPr>
          </w:p>
        </w:tc>
        <w:tc>
          <w:tcPr>
            <w:tcW w:w="51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10" w:type="dxa"/>
            <w:vAlign w:val="bottom"/>
            <w:gridSpan w:val="2"/>
            <w:shd w:val="clear" w:color="auto" w:fill="000000"/>
          </w:tcPr>
          <w:p>
            <w:pPr>
              <w:spacing w:after="0" w:line="20" w:lineRule="exact"/>
              <w:rPr>
                <w:sz w:val="1"/>
                <w:szCs w:val="1"/>
                <w:color w:val="auto"/>
              </w:rPr>
            </w:pPr>
          </w:p>
        </w:tc>
        <w:tc>
          <w:tcPr>
            <w:tcW w:w="7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gridSpan w:val="3"/>
          </w:tcPr>
          <w:p>
            <w:pPr>
              <w:jc w:val="right"/>
              <w:ind w:right="40"/>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w w:val="93"/>
              </w:rPr>
              <w:t>4,014,490</w:t>
            </w:r>
          </w:p>
        </w:tc>
        <w:tc>
          <w:tcPr>
            <w:tcW w:w="2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40" w:type="dxa"/>
            <w:vAlign w:val="bottom"/>
            <w:gridSpan w:val="5"/>
          </w:tcPr>
          <w:p>
            <w:pPr>
              <w:jc w:val="right"/>
              <w:spacing w:after="0"/>
              <w:rPr>
                <w:sz w:val="20"/>
                <w:szCs w:val="20"/>
                <w:color w:val="auto"/>
              </w:rPr>
            </w:pPr>
            <w:r>
              <w:rPr>
                <w:rFonts w:ascii="Arial" w:cs="Arial" w:eastAsia="Arial" w:hAnsi="Arial"/>
                <w:sz w:val="14"/>
                <w:szCs w:val="14"/>
                <w:color w:val="auto"/>
                <w:w w:val="94"/>
              </w:rPr>
              <w:t>176,422</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47,275</w:t>
            </w:r>
          </w:p>
        </w:tc>
        <w:tc>
          <w:tcPr>
            <w:tcW w:w="220" w:type="dxa"/>
            <w:vAlign w:val="bottom"/>
          </w:tcPr>
          <w:p>
            <w:pPr>
              <w:jc w:val="right"/>
              <w:ind w:right="39"/>
              <w:spacing w:after="0"/>
              <w:rPr>
                <w:sz w:val="20"/>
                <w:szCs w:val="20"/>
                <w:color w:val="auto"/>
              </w:rPr>
            </w:pPr>
            <w:r>
              <w:rPr>
                <w:rFonts w:ascii="Arial" w:cs="Arial" w:eastAsia="Arial" w:hAnsi="Arial"/>
                <w:sz w:val="14"/>
                <w:szCs w:val="14"/>
                <w:color w:val="auto"/>
              </w:rPr>
              <w:t>$</w:t>
            </w:r>
          </w:p>
        </w:tc>
        <w:tc>
          <w:tcPr>
            <w:tcW w:w="810" w:type="dxa"/>
            <w:vAlign w:val="bottom"/>
            <w:gridSpan w:val="5"/>
          </w:tcPr>
          <w:p>
            <w:pPr>
              <w:jc w:val="right"/>
              <w:ind w:right="30"/>
              <w:spacing w:after="0"/>
              <w:rPr>
                <w:sz w:val="20"/>
                <w:szCs w:val="20"/>
                <w:color w:val="auto"/>
              </w:rPr>
            </w:pPr>
            <w:r>
              <w:rPr>
                <w:rFonts w:ascii="Arial" w:cs="Arial" w:eastAsia="Arial" w:hAnsi="Arial"/>
                <w:sz w:val="14"/>
                <w:szCs w:val="14"/>
                <w:color w:val="auto"/>
              </w:rPr>
              <w:t>28,879</w:t>
            </w:r>
          </w:p>
        </w:tc>
        <w:tc>
          <w:tcPr>
            <w:tcW w:w="7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2,554</w:t>
            </w:r>
          </w:p>
        </w:tc>
        <w:tc>
          <w:tcPr>
            <w:tcW w:w="250" w:type="dxa"/>
            <w:vAlign w:val="bottom"/>
            <w:gridSpan w:val="4"/>
          </w:tcPr>
          <w:p>
            <w:pPr>
              <w:jc w:val="right"/>
              <w:ind w:right="50"/>
              <w:spacing w:after="0"/>
              <w:rPr>
                <w:sz w:val="20"/>
                <w:szCs w:val="20"/>
                <w:color w:val="auto"/>
              </w:rPr>
            </w:pPr>
            <w:r>
              <w:rPr>
                <w:rFonts w:ascii="Arial" w:cs="Arial" w:eastAsia="Arial" w:hAnsi="Arial"/>
                <w:sz w:val="14"/>
                <w:szCs w:val="14"/>
                <w:color w:val="auto"/>
              </w:rPr>
              <w:t>$</w:t>
            </w:r>
          </w:p>
        </w:tc>
        <w:tc>
          <w:tcPr>
            <w:tcW w:w="510" w:type="dxa"/>
            <w:vAlign w:val="bottom"/>
          </w:tcPr>
          <w:p>
            <w:pPr>
              <w:spacing w:after="0"/>
              <w:rPr>
                <w:sz w:val="15"/>
                <w:szCs w:val="15"/>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4,269,620</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51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 w:type="dxa"/>
            <w:vAlign w:val="bottom"/>
          </w:tcPr>
          <w:p>
            <w:pPr>
              <w:spacing w:after="0"/>
              <w:rPr>
                <w:sz w:val="24"/>
                <w:szCs w:val="24"/>
                <w:color w:val="auto"/>
              </w:rPr>
            </w:pPr>
          </w:p>
        </w:tc>
        <w:tc>
          <w:tcPr>
            <w:tcW w:w="7920" w:type="dxa"/>
            <w:vAlign w:val="bottom"/>
            <w:gridSpan w:val="51"/>
          </w:tcPr>
          <w:p>
            <w:pPr>
              <w:ind w:left="340"/>
              <w:spacing w:after="0"/>
              <w:rPr>
                <w:sz w:val="20"/>
                <w:szCs w:val="20"/>
                <w:color w:val="auto"/>
              </w:rPr>
            </w:pPr>
            <w:r>
              <w:rPr>
                <w:rFonts w:ascii="Arial" w:cs="Arial" w:eastAsia="Arial" w:hAnsi="Arial"/>
                <w:sz w:val="14"/>
                <w:szCs w:val="14"/>
                <w:color w:val="auto"/>
                <w:w w:val="94"/>
              </w:rPr>
              <w:t>The following table presents the Company’s loan portfolio aging analysis of the recorded investment in loans as of December 31,</w:t>
            </w:r>
          </w:p>
        </w:tc>
        <w:tc>
          <w:tcPr>
            <w:tcW w:w="0" w:type="dxa"/>
            <w:vAlign w:val="bottom"/>
          </w:tcPr>
          <w:p>
            <w:pPr>
              <w:spacing w:after="0"/>
              <w:rPr>
                <w:sz w:val="1"/>
                <w:szCs w:val="1"/>
                <w:color w:val="auto"/>
              </w:rPr>
            </w:pPr>
          </w:p>
        </w:tc>
      </w:tr>
      <w:tr>
        <w:trPr>
          <w:trHeight w:val="1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51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50" w:type="dxa"/>
            <w:vAlign w:val="bottom"/>
          </w:tcPr>
          <w:p>
            <w:pPr>
              <w:spacing w:after="0"/>
              <w:rPr>
                <w:sz w:val="16"/>
                <w:szCs w:val="16"/>
                <w:color w:val="auto"/>
              </w:rPr>
            </w:pPr>
          </w:p>
        </w:tc>
        <w:tc>
          <w:tcPr>
            <w:tcW w:w="7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2021</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 w:type="dxa"/>
            <w:vAlign w:val="bottom"/>
            <w:tcBorders>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51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50" w:type="dxa"/>
            <w:vAlign w:val="bottom"/>
            <w:tcBorders>
              <w:bottom w:val="single" w:sz="8" w:color="auto"/>
            </w:tcBorders>
          </w:tcPr>
          <w:p>
            <w:pPr>
              <w:spacing w:after="0"/>
              <w:rPr>
                <w:sz w:val="24"/>
                <w:szCs w:val="24"/>
                <w:color w:val="auto"/>
              </w:rPr>
            </w:pPr>
          </w:p>
        </w:tc>
        <w:tc>
          <w:tcPr>
            <w:tcW w:w="7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 w:type="dxa"/>
            <w:vAlign w:val="bottom"/>
          </w:tcPr>
          <w:p>
            <w:pPr>
              <w:spacing w:after="0"/>
              <w:rPr>
                <w:sz w:val="11"/>
                <w:szCs w:val="11"/>
                <w:color w:val="auto"/>
              </w:rPr>
            </w:pPr>
          </w:p>
        </w:tc>
        <w:tc>
          <w:tcPr>
            <w:tcW w:w="51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gridSpan w:val="4"/>
          </w:tcPr>
          <w:p>
            <w:pPr>
              <w:jc w:val="center"/>
              <w:ind w:right="200"/>
              <w:spacing w:after="0" w:line="137" w:lineRule="exact"/>
              <w:rPr>
                <w:sz w:val="20"/>
                <w:szCs w:val="20"/>
                <w:color w:val="auto"/>
              </w:rPr>
            </w:pPr>
            <w:r>
              <w:rPr>
                <w:rFonts w:ascii="Arial" w:cs="Arial" w:eastAsia="Arial" w:hAnsi="Arial"/>
                <w:sz w:val="14"/>
                <w:szCs w:val="14"/>
                <w:b w:val="1"/>
                <w:bCs w:val="1"/>
                <w:color w:val="auto"/>
                <w:w w:val="91"/>
              </w:rPr>
              <w:t>Loans &gt;= 90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5"/>
          </w:tcPr>
          <w:p>
            <w:pPr>
              <w:jc w:val="right"/>
              <w:spacing w:after="0"/>
              <w:rPr>
                <w:sz w:val="20"/>
                <w:szCs w:val="20"/>
                <w:color w:val="auto"/>
              </w:rPr>
            </w:pPr>
            <w:r>
              <w:rPr>
                <w:rFonts w:ascii="Arial" w:cs="Arial" w:eastAsia="Arial" w:hAnsi="Arial"/>
                <w:sz w:val="14"/>
                <w:szCs w:val="14"/>
                <w:b w:val="1"/>
                <w:bCs w:val="1"/>
                <w:color w:val="auto"/>
                <w:w w:val="90"/>
              </w:rPr>
              <w:t>30-59 Days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6"/>
          </w:tcPr>
          <w:p>
            <w:pPr>
              <w:jc w:val="right"/>
              <w:spacing w:after="0"/>
              <w:rPr>
                <w:sz w:val="20"/>
                <w:szCs w:val="20"/>
                <w:color w:val="auto"/>
              </w:rPr>
            </w:pPr>
            <w:r>
              <w:rPr>
                <w:rFonts w:ascii="Arial" w:cs="Arial" w:eastAsia="Arial" w:hAnsi="Arial"/>
                <w:sz w:val="14"/>
                <w:szCs w:val="14"/>
                <w:b w:val="1"/>
                <w:bCs w:val="1"/>
                <w:color w:val="auto"/>
                <w:w w:val="90"/>
              </w:rPr>
              <w:t>60-89 Days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90 Days or</w:t>
            </w:r>
          </w:p>
        </w:tc>
        <w:tc>
          <w:tcPr>
            <w:tcW w:w="2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 Past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6"/>
          </w:tcPr>
          <w:p>
            <w:pPr>
              <w:jc w:val="right"/>
              <w:ind w:right="9"/>
              <w:spacing w:after="0"/>
              <w:rPr>
                <w:sz w:val="20"/>
                <w:szCs w:val="20"/>
                <w:color w:val="auto"/>
              </w:rPr>
            </w:pPr>
            <w:r>
              <w:rPr>
                <w:rFonts w:ascii="Arial" w:cs="Arial" w:eastAsia="Arial" w:hAnsi="Arial"/>
                <w:sz w:val="14"/>
                <w:szCs w:val="14"/>
                <w:b w:val="1"/>
                <w:bCs w:val="1"/>
                <w:color w:val="auto"/>
                <w:w w:val="96"/>
              </w:rPr>
              <w:t>Total Loans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Days and</w:t>
            </w:r>
          </w:p>
        </w:tc>
        <w:tc>
          <w:tcPr>
            <w:tcW w:w="0" w:type="dxa"/>
            <w:vAlign w:val="bottom"/>
          </w:tcPr>
          <w:p>
            <w:pPr>
              <w:spacing w:after="0"/>
              <w:rPr>
                <w:sz w:val="1"/>
                <w:szCs w:val="1"/>
                <w:color w:val="auto"/>
              </w:rPr>
            </w:pPr>
          </w:p>
        </w:tc>
      </w:tr>
      <w:tr>
        <w:trPr>
          <w:trHeight w:val="164"/>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auto"/>
              </w:rPr>
              <w:t>Past Due</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Past Due</w:t>
            </w: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More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8"/>
              </w:rPr>
              <w:t>Due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 w:type="dxa"/>
            <w:vAlign w:val="bottom"/>
            <w:tcBorders>
              <w:bottom w:val="single" w:sz="8" w:color="auto"/>
            </w:tcBorders>
          </w:tcPr>
          <w:p>
            <w:pPr>
              <w:spacing w:after="0"/>
              <w:rPr>
                <w:sz w:val="14"/>
                <w:szCs w:val="14"/>
                <w:color w:val="auto"/>
              </w:rPr>
            </w:pPr>
          </w:p>
        </w:tc>
        <w:tc>
          <w:tcPr>
            <w:tcW w:w="7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Current</w:t>
            </w: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4"/>
                <w:szCs w:val="14"/>
                <w:b w:val="1"/>
                <w:bCs w:val="1"/>
                <w:color w:val="auto"/>
                <w:w w:val="87"/>
              </w:rPr>
              <w:t>Receivable</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2"/>
              </w:rPr>
              <w:t>Accruing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10"/>
          </w:tcPr>
          <w:p>
            <w:pPr>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 w:type="dxa"/>
            <w:vAlign w:val="bottom"/>
          </w:tcPr>
          <w:p>
            <w:pPr>
              <w:spacing w:after="0"/>
              <w:rPr>
                <w:sz w:val="14"/>
                <w:szCs w:val="14"/>
                <w:color w:val="auto"/>
              </w:rPr>
            </w:pPr>
          </w:p>
        </w:tc>
        <w:tc>
          <w:tcPr>
            <w:tcW w:w="5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5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0" w:type="dxa"/>
            <w:vAlign w:val="bottom"/>
            <w:tcBorders>
              <w:right w:val="single" w:sz="8" w:color="CCEEFF"/>
            </w:tcBorders>
          </w:tcPr>
          <w:p>
            <w:pPr>
              <w:spacing w:after="0"/>
              <w:rPr>
                <w:sz w:val="15"/>
                <w:szCs w:val="15"/>
                <w:color w:val="auto"/>
              </w:rPr>
            </w:pPr>
          </w:p>
        </w:tc>
        <w:tc>
          <w:tcPr>
            <w:tcW w:w="160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7"/>
              </w:rPr>
              <w:t>Commercial and industrial</w:t>
            </w:r>
          </w:p>
        </w:tc>
        <w:tc>
          <w:tcPr>
            <w:tcW w:w="320" w:type="dxa"/>
            <w:vAlign w:val="bottom"/>
            <w:gridSpan w:val="2"/>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w:t>
            </w:r>
          </w:p>
        </w:tc>
        <w:tc>
          <w:tcPr>
            <w:tcW w:w="2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1,719</w:t>
            </w:r>
          </w:p>
        </w:tc>
        <w:tc>
          <w:tcPr>
            <w:tcW w:w="80" w:type="dxa"/>
            <w:vAlign w:val="bottom"/>
            <w:shd w:val="clear" w:color="auto" w:fill="CCEEFF"/>
          </w:tcPr>
          <w:p>
            <w:pPr>
              <w:spacing w:after="0"/>
              <w:rPr>
                <w:sz w:val="15"/>
                <w:szCs w:val="15"/>
                <w:color w:val="auto"/>
              </w:rPr>
            </w:pPr>
          </w:p>
        </w:tc>
        <w:tc>
          <w:tcPr>
            <w:tcW w:w="1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3"/>
                <w:shd w:val="clear" w:color="auto" w:fill="CCEEFF"/>
              </w:rPr>
              <w:t>1,399,962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1,401,681</w:t>
            </w:r>
          </w:p>
        </w:tc>
        <w:tc>
          <w:tcPr>
            <w:tcW w:w="2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7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Energy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4,644</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4,644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274,216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278,860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Borders>
              <w:right w:val="single" w:sz="8" w:color="CCEEFF"/>
            </w:tcBorders>
          </w:tcPr>
          <w:p>
            <w:pPr>
              <w:spacing w:after="0"/>
              <w:rPr>
                <w:sz w:val="15"/>
                <w:szCs w:val="15"/>
                <w:color w:val="auto"/>
              </w:rPr>
            </w:pPr>
          </w:p>
        </w:tc>
        <w:tc>
          <w:tcPr>
            <w:tcW w:w="1280" w:type="dxa"/>
            <w:vAlign w:val="bottom"/>
            <w:gridSpan w:val="5"/>
            <w:shd w:val="clear" w:color="auto" w:fill="CCEEFF"/>
          </w:tcPr>
          <w:p>
            <w:pPr>
              <w:spacing w:after="0"/>
              <w:rPr>
                <w:sz w:val="20"/>
                <w:szCs w:val="20"/>
                <w:color w:val="auto"/>
              </w:rPr>
            </w:pPr>
            <w:r>
              <w:rPr>
                <w:rFonts w:ascii="Arial" w:cs="Arial" w:eastAsia="Arial" w:hAnsi="Arial"/>
                <w:sz w:val="14"/>
                <w:szCs w:val="14"/>
                <w:color w:val="auto"/>
                <w:w w:val="87"/>
              </w:rPr>
              <w:t>Commercial real estate</w:t>
            </w: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 w:type="dxa"/>
            <w:vAlign w:val="bottom"/>
            <w:shd w:val="clear" w:color="auto" w:fill="CCEEFF"/>
          </w:tcPr>
          <w:p>
            <w:pPr>
              <w:spacing w:after="0"/>
              <w:rPr>
                <w:sz w:val="15"/>
                <w:szCs w:val="15"/>
                <w:color w:val="auto"/>
              </w:rPr>
            </w:pPr>
          </w:p>
        </w:tc>
        <w:tc>
          <w:tcPr>
            <w:tcW w:w="7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3"/>
                <w:shd w:val="clear" w:color="auto" w:fill="CCEEFF"/>
              </w:rPr>
              <w:t>1,280,018</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1,281,095</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1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 w:type="dxa"/>
            <w:vAlign w:val="bottom"/>
          </w:tcPr>
          <w:p>
            <w:pPr>
              <w:spacing w:after="0"/>
              <w:rPr>
                <w:sz w:val="15"/>
                <w:szCs w:val="15"/>
                <w:color w:val="auto"/>
              </w:rPr>
            </w:pPr>
          </w:p>
        </w:tc>
        <w:tc>
          <w:tcPr>
            <w:tcW w:w="1280" w:type="dxa"/>
            <w:vAlign w:val="bottom"/>
            <w:gridSpan w:val="5"/>
          </w:tcPr>
          <w:p>
            <w:pPr>
              <w:spacing w:after="0"/>
              <w:rPr>
                <w:sz w:val="20"/>
                <w:szCs w:val="20"/>
                <w:color w:val="auto"/>
              </w:rPr>
            </w:pPr>
            <w:r>
              <w:rPr>
                <w:rFonts w:ascii="Arial" w:cs="Arial" w:eastAsia="Arial" w:hAnsi="Arial"/>
                <w:sz w:val="14"/>
                <w:szCs w:val="14"/>
                <w:color w:val="auto"/>
                <w:w w:val="92"/>
              </w:rPr>
              <w:t>Construction and land</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1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5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development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966</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0"/>
              </w:rPr>
              <w:t>577,675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578,758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0" w:type="dxa"/>
            <w:vAlign w:val="bottom"/>
            <w:tcBorders>
              <w:right w:val="single" w:sz="8" w:color="CCEEFF"/>
            </w:tcBorders>
          </w:tcPr>
          <w:p>
            <w:pPr>
              <w:spacing w:after="0"/>
              <w:rPr>
                <w:sz w:val="18"/>
                <w:szCs w:val="18"/>
                <w:color w:val="auto"/>
              </w:rPr>
            </w:pPr>
          </w:p>
        </w:tc>
        <w:tc>
          <w:tcPr>
            <w:tcW w:w="1600" w:type="dxa"/>
            <w:vAlign w:val="bottom"/>
            <w:gridSpan w:val="6"/>
            <w:shd w:val="clear" w:color="auto" w:fill="CCEEFF"/>
          </w:tcPr>
          <w:p>
            <w:pPr>
              <w:spacing w:after="0"/>
              <w:rPr>
                <w:sz w:val="20"/>
                <w:szCs w:val="20"/>
                <w:color w:val="auto"/>
              </w:rPr>
            </w:pPr>
            <w:r>
              <w:rPr>
                <w:rFonts w:ascii="Arial" w:cs="Arial" w:eastAsia="Arial" w:hAnsi="Arial"/>
                <w:sz w:val="14"/>
                <w:szCs w:val="14"/>
                <w:color w:val="auto"/>
                <w:w w:val="94"/>
              </w:rPr>
              <w:t>Residential and multifamily</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1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7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0" w:type="dxa"/>
            <w:vAlign w:val="bottom"/>
            <w:tcBorders>
              <w:right w:val="single" w:sz="8" w:color="CCEEFF"/>
            </w:tcBorders>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real estate</w:t>
            </w: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right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588</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 w:type="dxa"/>
            <w:vAlign w:val="bottom"/>
            <w:tcBorders>
              <w:bottom w:val="single" w:sz="8" w:color="CCEEFF"/>
            </w:tcBorders>
            <w:shd w:val="clear" w:color="auto" w:fill="CCEEFF"/>
          </w:tcPr>
          <w:p>
            <w:pPr>
              <w:spacing w:after="0"/>
              <w:rPr>
                <w:sz w:val="16"/>
                <w:szCs w:val="16"/>
                <w:color w:val="auto"/>
              </w:rPr>
            </w:pPr>
          </w:p>
        </w:tc>
        <w:tc>
          <w:tcPr>
            <w:tcW w:w="7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600,228</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rPr>
              <w:t>600,816</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right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1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PPP</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64,805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64,805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0" w:type="dxa"/>
            <w:vAlign w:val="bottom"/>
            <w:tcBorders>
              <w:right w:val="single" w:sz="8" w:color="CCEEFF"/>
            </w:tcBorders>
          </w:tcPr>
          <w:p>
            <w:pPr>
              <w:spacing w:after="0"/>
              <w:rPr>
                <w:sz w:val="15"/>
                <w:szCs w:val="15"/>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right w:val="single" w:sz="8" w:color="CCEEFF"/>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 w:type="dxa"/>
            <w:vAlign w:val="bottom"/>
            <w:tcBorders>
              <w:bottom w:val="single" w:sz="8" w:color="auto"/>
            </w:tcBorders>
            <w:shd w:val="clear" w:color="auto" w:fill="CCEEFF"/>
          </w:tcPr>
          <w:p>
            <w:pPr>
              <w:spacing w:after="0"/>
              <w:rPr>
                <w:sz w:val="15"/>
                <w:szCs w:val="15"/>
                <w:color w:val="auto"/>
              </w:rPr>
            </w:pPr>
          </w:p>
        </w:tc>
        <w:tc>
          <w:tcPr>
            <w:tcW w:w="7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right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63,506</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4"/>
                <w:szCs w:val="14"/>
                <w:color w:val="auto"/>
              </w:rPr>
              <w:t>63,605</w:t>
            </w:r>
          </w:p>
        </w:tc>
        <w:tc>
          <w:tcPr>
            <w:tcW w:w="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1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jc w:val="right"/>
              <w:ind w:right="169"/>
              <w:spacing w:after="0"/>
              <w:rPr>
                <w:sz w:val="20"/>
                <w:szCs w:val="20"/>
                <w:color w:val="auto"/>
              </w:rPr>
            </w:pPr>
            <w:r>
              <w:rPr>
                <w:rFonts w:ascii="Arial" w:cs="Arial" w:eastAsia="Arial" w:hAnsi="Arial"/>
                <w:sz w:val="14"/>
                <w:szCs w:val="14"/>
                <w:color w:val="auto"/>
              </w:rPr>
              <w:t>$</w:t>
            </w:r>
          </w:p>
        </w:tc>
        <w:tc>
          <w:tcPr>
            <w:tcW w:w="400" w:type="dxa"/>
            <w:vAlign w:val="bottom"/>
            <w:gridSpan w:val="4"/>
          </w:tcPr>
          <w:p>
            <w:pPr>
              <w:jc w:val="right"/>
              <w:spacing w:after="0"/>
              <w:rPr>
                <w:sz w:val="20"/>
                <w:szCs w:val="20"/>
                <w:color w:val="auto"/>
              </w:rPr>
            </w:pPr>
            <w:r>
              <w:rPr>
                <w:rFonts w:ascii="Arial" w:cs="Arial" w:eastAsia="Arial" w:hAnsi="Arial"/>
                <w:sz w:val="14"/>
                <w:szCs w:val="14"/>
                <w:color w:val="auto"/>
                <w:w w:val="96"/>
              </w:rPr>
              <w:t>1,671</w:t>
            </w:r>
          </w:p>
        </w:tc>
        <w:tc>
          <w:tcPr>
            <w:tcW w:w="20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5"/>
          </w:tcPr>
          <w:p>
            <w:pPr>
              <w:jc w:val="right"/>
              <w:spacing w:after="0"/>
              <w:rPr>
                <w:sz w:val="20"/>
                <w:szCs w:val="20"/>
                <w:color w:val="auto"/>
              </w:rPr>
            </w:pPr>
            <w:r>
              <w:rPr>
                <w:rFonts w:ascii="Arial" w:cs="Arial" w:eastAsia="Arial" w:hAnsi="Arial"/>
                <w:sz w:val="14"/>
                <w:szCs w:val="14"/>
                <w:color w:val="auto"/>
              </w:rPr>
              <w:t>1,858</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5,681</w:t>
            </w:r>
          </w:p>
        </w:tc>
        <w:tc>
          <w:tcPr>
            <w:tcW w:w="220" w:type="dxa"/>
            <w:vAlign w:val="bottom"/>
          </w:tcPr>
          <w:p>
            <w:pPr>
              <w:ind w:left="1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9,210</w:t>
            </w:r>
          </w:p>
        </w:tc>
        <w:tc>
          <w:tcPr>
            <w:tcW w:w="80" w:type="dxa"/>
            <w:vAlign w:val="bottom"/>
          </w:tcPr>
          <w:p>
            <w:pPr>
              <w:spacing w:after="0"/>
              <w:rPr>
                <w:sz w:val="15"/>
                <w:szCs w:val="15"/>
                <w:color w:val="auto"/>
              </w:rPr>
            </w:pPr>
          </w:p>
        </w:tc>
        <w:tc>
          <w:tcPr>
            <w:tcW w:w="160" w:type="dxa"/>
            <w:vAlign w:val="bottom"/>
            <w:gridSpan w:val="4"/>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w w:val="93"/>
              </w:rPr>
              <w:t>4,260,410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5"/>
          </w:tcPr>
          <w:p>
            <w:pPr>
              <w:jc w:val="right"/>
              <w:spacing w:after="0"/>
              <w:rPr>
                <w:sz w:val="20"/>
                <w:szCs w:val="20"/>
                <w:color w:val="auto"/>
              </w:rPr>
            </w:pPr>
            <w:r>
              <w:rPr>
                <w:rFonts w:ascii="Arial" w:cs="Arial" w:eastAsia="Arial" w:hAnsi="Arial"/>
                <w:sz w:val="14"/>
                <w:szCs w:val="14"/>
                <w:color w:val="auto"/>
              </w:rPr>
              <w:t>4,269,620</w:t>
            </w:r>
          </w:p>
        </w:tc>
        <w:tc>
          <w:tcPr>
            <w:tcW w:w="24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1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7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51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50" w:type="dxa"/>
            <w:vAlign w:val="bottom"/>
            <w:tcBorders>
              <w:top w:val="single" w:sz="8" w:color="auto"/>
              <w:bottom w:val="single" w:sz="8" w:color="auto"/>
            </w:tcBorders>
          </w:tcPr>
          <w:p>
            <w:pPr>
              <w:spacing w:after="0" w:line="20" w:lineRule="exact"/>
              <w:rPr>
                <w:sz w:val="1"/>
                <w:szCs w:val="1"/>
                <w:color w:val="auto"/>
              </w:rPr>
            </w:pPr>
          </w:p>
        </w:tc>
        <w:tc>
          <w:tcPr>
            <w:tcW w:w="7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9019"/>
          </w:cols>
          <w:pgMar w:left="1440" w:top="460" w:right="1440" w:bottom="1440" w:gutter="0" w:footer="0" w:header="0"/>
        </w:sectPr>
      </w:pPr>
    </w:p>
    <w:bookmarkStart w:id="33" w:name="page34"/>
    <w:bookmarkEnd w:id="33"/>
    <w:tbl>
      <w:tblPr>
        <w:tblLayout w:type="fixed"/>
        <w:tblInd w:w="580" w:type="dxa"/>
        <w:tblCellMar>
          <w:top w:w="0" w:type="dxa"/>
          <w:left w:w="0" w:type="dxa"/>
          <w:bottom w:w="0" w:type="dxa"/>
          <w:right w:w="0" w:type="dxa"/>
        </w:tblCellMar>
      </w:tblPr>
      <w:tr>
        <w:trPr>
          <w:trHeight w:val="180"/>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80" w:type="dxa"/>
            <w:vAlign w:val="bottom"/>
            <w:gridSpan w:val="3"/>
          </w:tcPr>
          <w:p>
            <w:pPr>
              <w:jc w:val="right"/>
              <w:ind w:right="500"/>
              <w:spacing w:after="0"/>
              <w:rPr>
                <w:sz w:val="20"/>
                <w:szCs w:val="20"/>
                <w:color w:val="auto"/>
              </w:rPr>
            </w:pPr>
            <w:r>
              <w:rPr>
                <w:rFonts w:ascii="Arial" w:cs="Arial" w:eastAsia="Arial" w:hAnsi="Arial"/>
                <w:sz w:val="14"/>
                <w:szCs w:val="14"/>
                <w:color w:val="auto"/>
                <w:w w:val="90"/>
              </w:rPr>
              <w:t>Notes to Condensed Consolidated Financial Statements</w:t>
            </w:r>
          </w:p>
        </w:tc>
        <w:tc>
          <w:tcPr>
            <w:tcW w:w="1920" w:type="dxa"/>
            <w:vAlign w:val="bottom"/>
          </w:tcPr>
          <w:p>
            <w:pPr>
              <w:spacing w:after="0"/>
              <w:rPr>
                <w:sz w:val="15"/>
                <w:szCs w:val="15"/>
                <w:color w:val="auto"/>
              </w:rPr>
            </w:pPr>
          </w:p>
        </w:tc>
      </w:tr>
      <w:tr>
        <w:trPr>
          <w:trHeight w:val="171"/>
        </w:trPr>
        <w:tc>
          <w:tcPr>
            <w:tcW w:w="230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3680" w:type="dxa"/>
            <w:vAlign w:val="bottom"/>
            <w:gridSpan w:val="3"/>
          </w:tcPr>
          <w:p>
            <w:pPr>
              <w:jc w:val="right"/>
              <w:ind w:right="1740"/>
              <w:spacing w:after="0"/>
              <w:rPr>
                <w:sz w:val="20"/>
                <w:szCs w:val="20"/>
                <w:color w:val="auto"/>
              </w:rPr>
            </w:pPr>
            <w:r>
              <w:rPr>
                <w:rFonts w:ascii="Arial" w:cs="Arial" w:eastAsia="Arial" w:hAnsi="Arial"/>
                <w:sz w:val="14"/>
                <w:szCs w:val="14"/>
                <w:color w:val="auto"/>
              </w:rPr>
              <w:t>(unaudited)</w:t>
            </w:r>
          </w:p>
        </w:tc>
        <w:tc>
          <w:tcPr>
            <w:tcW w:w="1920" w:type="dxa"/>
            <w:vAlign w:val="bottom"/>
          </w:tcPr>
          <w:p>
            <w:pPr>
              <w:spacing w:after="0"/>
              <w:rPr>
                <w:sz w:val="14"/>
                <w:szCs w:val="14"/>
                <w:color w:val="auto"/>
              </w:rPr>
            </w:pPr>
          </w:p>
        </w:tc>
      </w:tr>
      <w:tr>
        <w:trPr>
          <w:trHeight w:val="20"/>
        </w:trPr>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555"/>
        </w:trPr>
        <w:tc>
          <w:tcPr>
            <w:tcW w:w="80" w:type="dxa"/>
            <w:vAlign w:val="bottom"/>
          </w:tcPr>
          <w:p>
            <w:pPr>
              <w:spacing w:after="0"/>
              <w:rPr>
                <w:sz w:val="24"/>
                <w:szCs w:val="24"/>
                <w:color w:val="auto"/>
              </w:rPr>
            </w:pPr>
          </w:p>
        </w:tc>
        <w:tc>
          <w:tcPr>
            <w:tcW w:w="5900" w:type="dxa"/>
            <w:vAlign w:val="bottom"/>
            <w:gridSpan w:val="5"/>
          </w:tcPr>
          <w:p>
            <w:pPr>
              <w:ind w:left="400"/>
              <w:spacing w:after="0"/>
              <w:rPr>
                <w:sz w:val="20"/>
                <w:szCs w:val="20"/>
                <w:color w:val="auto"/>
              </w:rPr>
            </w:pPr>
            <w:r>
              <w:rPr>
                <w:rFonts w:ascii="Arial" w:cs="Arial" w:eastAsia="Arial" w:hAnsi="Arial"/>
                <w:sz w:val="14"/>
                <w:szCs w:val="14"/>
                <w:color w:val="auto"/>
                <w:w w:val="96"/>
              </w:rPr>
              <w:t>The following table presents the Company’s loans on non-accrual as of December 31, 2021:</w:t>
            </w:r>
          </w:p>
        </w:tc>
        <w:tc>
          <w:tcPr>
            <w:tcW w:w="1920" w:type="dxa"/>
            <w:vAlign w:val="bottom"/>
          </w:tcPr>
          <w:p>
            <w:pPr>
              <w:spacing w:after="0"/>
              <w:rPr>
                <w:sz w:val="24"/>
                <w:szCs w:val="24"/>
                <w:color w:val="auto"/>
              </w:rPr>
            </w:pPr>
          </w:p>
        </w:tc>
      </w:tr>
      <w:tr>
        <w:trPr>
          <w:trHeight w:val="347"/>
        </w:trPr>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b w:val="1"/>
                <w:bCs w:val="1"/>
                <w:color w:val="auto"/>
              </w:rPr>
              <w:t>December 31, 2021</w:t>
            </w:r>
          </w:p>
        </w:tc>
      </w:tr>
      <w:tr>
        <w:trPr>
          <w:trHeight w:val="184"/>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jc w:val="right"/>
              <w:ind w:right="390"/>
              <w:spacing w:after="0"/>
              <w:rPr>
                <w:sz w:val="20"/>
                <w:szCs w:val="20"/>
                <w:color w:val="auto"/>
              </w:rPr>
            </w:pPr>
            <w:r>
              <w:rPr>
                <w:rFonts w:ascii="Arial" w:cs="Arial" w:eastAsia="Arial" w:hAnsi="Arial"/>
                <w:sz w:val="13"/>
                <w:szCs w:val="13"/>
                <w:i w:val="1"/>
                <w:iCs w:val="1"/>
                <w:color w:val="auto"/>
              </w:rPr>
              <w:t>(Dollars in thousands)</w:t>
            </w:r>
          </w:p>
        </w:tc>
      </w:tr>
      <w:tr>
        <w:trPr>
          <w:trHeight w:val="26"/>
        </w:trPr>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920" w:type="dxa"/>
            <w:vAlign w:val="bottom"/>
          </w:tcPr>
          <w:p>
            <w:pPr>
              <w:spacing w:after="0"/>
              <w:rPr>
                <w:sz w:val="2"/>
                <w:szCs w:val="2"/>
                <w:color w:val="auto"/>
              </w:rPr>
            </w:pPr>
          </w:p>
        </w:tc>
      </w:tr>
      <w:tr>
        <w:trPr>
          <w:trHeight w:val="193"/>
        </w:trPr>
        <w:tc>
          <w:tcPr>
            <w:tcW w:w="80" w:type="dxa"/>
            <w:vAlign w:val="bottom"/>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Commercial and industrial</w:t>
            </w:r>
          </w:p>
        </w:tc>
        <w:tc>
          <w:tcPr>
            <w:tcW w:w="3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4,858</w:t>
            </w:r>
          </w:p>
        </w:tc>
      </w:tr>
      <w:tr>
        <w:trPr>
          <w:trHeight w:val="213"/>
        </w:trPr>
        <w:tc>
          <w:tcPr>
            <w:tcW w:w="2300" w:type="dxa"/>
            <w:vAlign w:val="bottom"/>
            <w:gridSpan w:val="3"/>
          </w:tcPr>
          <w:p>
            <w:pPr>
              <w:ind w:left="80"/>
              <w:spacing w:after="0"/>
              <w:rPr>
                <w:sz w:val="20"/>
                <w:szCs w:val="20"/>
                <w:color w:val="auto"/>
              </w:rPr>
            </w:pPr>
            <w:r>
              <w:rPr>
                <w:rFonts w:ascii="Arial" w:cs="Arial" w:eastAsia="Arial" w:hAnsi="Arial"/>
                <w:sz w:val="14"/>
                <w:szCs w:val="14"/>
                <w:color w:val="auto"/>
              </w:rPr>
              <w:t>Energy</w:t>
            </w: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4"/>
                <w:szCs w:val="14"/>
                <w:color w:val="auto"/>
              </w:rPr>
              <w:t>16,148</w:t>
            </w:r>
          </w:p>
        </w:tc>
      </w:tr>
      <w:tr>
        <w:trPr>
          <w:trHeight w:val="193"/>
        </w:trPr>
        <w:tc>
          <w:tcPr>
            <w:tcW w:w="80" w:type="dxa"/>
            <w:vAlign w:val="bottom"/>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Commercial real estate</w:t>
            </w:r>
          </w:p>
        </w:tc>
        <w:tc>
          <w:tcPr>
            <w:tcW w:w="3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10,222</w:t>
            </w:r>
          </w:p>
        </w:tc>
      </w:tr>
      <w:tr>
        <w:trPr>
          <w:trHeight w:val="213"/>
        </w:trPr>
        <w:tc>
          <w:tcPr>
            <w:tcW w:w="2300" w:type="dxa"/>
            <w:vAlign w:val="bottom"/>
            <w:gridSpan w:val="3"/>
          </w:tcPr>
          <w:p>
            <w:pPr>
              <w:ind w:left="80"/>
              <w:spacing w:after="0"/>
              <w:rPr>
                <w:sz w:val="20"/>
                <w:szCs w:val="20"/>
                <w:color w:val="auto"/>
              </w:rPr>
            </w:pPr>
            <w:r>
              <w:rPr>
                <w:rFonts w:ascii="Arial" w:cs="Arial" w:eastAsia="Arial" w:hAnsi="Arial"/>
                <w:sz w:val="14"/>
                <w:szCs w:val="14"/>
                <w:color w:val="auto"/>
                <w:w w:val="99"/>
              </w:rPr>
              <w:t>Construction and land development</w:t>
            </w: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193"/>
        </w:trPr>
        <w:tc>
          <w:tcPr>
            <w:tcW w:w="80" w:type="dxa"/>
            <w:vAlign w:val="bottom"/>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w w:val="91"/>
              </w:rPr>
              <w:t>Residential and multifamily real estate</w:t>
            </w:r>
          </w:p>
        </w:tc>
        <w:tc>
          <w:tcPr>
            <w:tcW w:w="3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204</w:t>
            </w:r>
          </w:p>
        </w:tc>
      </w:tr>
      <w:tr>
        <w:trPr>
          <w:trHeight w:val="213"/>
        </w:trPr>
        <w:tc>
          <w:tcPr>
            <w:tcW w:w="2300" w:type="dxa"/>
            <w:vAlign w:val="bottom"/>
            <w:gridSpan w:val="3"/>
          </w:tcPr>
          <w:p>
            <w:pPr>
              <w:ind w:left="80"/>
              <w:spacing w:after="0"/>
              <w:rPr>
                <w:sz w:val="20"/>
                <w:szCs w:val="20"/>
                <w:color w:val="auto"/>
              </w:rPr>
            </w:pPr>
            <w:r>
              <w:rPr>
                <w:rFonts w:ascii="Arial" w:cs="Arial" w:eastAsia="Arial" w:hAnsi="Arial"/>
                <w:sz w:val="14"/>
                <w:szCs w:val="14"/>
                <w:color w:val="auto"/>
              </w:rPr>
              <w:t>PPP</w:t>
            </w: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tcPr>
          <w:p>
            <w:pPr>
              <w:jc w:val="right"/>
              <w:ind w:right="30"/>
              <w:spacing w:after="0"/>
              <w:rPr>
                <w:sz w:val="20"/>
                <w:szCs w:val="20"/>
                <w:color w:val="auto"/>
              </w:rPr>
            </w:pPr>
            <w:r>
              <w:rPr>
                <w:rFonts w:ascii="Arial" w:cs="Arial" w:eastAsia="Arial" w:hAnsi="Arial"/>
                <w:sz w:val="14"/>
                <w:szCs w:val="14"/>
                <w:color w:val="auto"/>
              </w:rPr>
              <w:t>-</w:t>
            </w:r>
          </w:p>
        </w:tc>
      </w:tr>
      <w:tr>
        <w:trPr>
          <w:trHeight w:val="193"/>
        </w:trPr>
        <w:tc>
          <w:tcPr>
            <w:tcW w:w="80" w:type="dxa"/>
            <w:vAlign w:val="bottom"/>
          </w:tcPr>
          <w:p>
            <w:pPr>
              <w:spacing w:after="0"/>
              <w:rPr>
                <w:sz w:val="16"/>
                <w:szCs w:val="16"/>
                <w:color w:val="auto"/>
              </w:rPr>
            </w:pPr>
          </w:p>
        </w:tc>
        <w:tc>
          <w:tcPr>
            <w:tcW w:w="2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5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r>
      <w:tr>
        <w:trPr>
          <w:trHeight w:val="20"/>
        </w:trPr>
        <w:tc>
          <w:tcPr>
            <w:tcW w:w="10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215"/>
        </w:trPr>
        <w:tc>
          <w:tcPr>
            <w:tcW w:w="2300" w:type="dxa"/>
            <w:vAlign w:val="bottom"/>
            <w:gridSpan w:val="3"/>
          </w:tcPr>
          <w:p>
            <w:pPr>
              <w:ind w:left="80"/>
              <w:spacing w:after="0"/>
              <w:rPr>
                <w:sz w:val="20"/>
                <w:szCs w:val="20"/>
                <w:color w:val="auto"/>
              </w:rPr>
            </w:pPr>
            <w:r>
              <w:rPr>
                <w:rFonts w:ascii="Arial" w:cs="Arial" w:eastAsia="Arial" w:hAnsi="Arial"/>
                <w:sz w:val="14"/>
                <w:szCs w:val="14"/>
                <w:color w:val="auto"/>
              </w:rPr>
              <w:t>Total non-accrual loans</w:t>
            </w:r>
          </w:p>
        </w:tc>
        <w:tc>
          <w:tcPr>
            <w:tcW w:w="36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920" w:type="dxa"/>
            <w:vAlign w:val="bottom"/>
          </w:tcPr>
          <w:p>
            <w:pPr>
              <w:jc w:val="right"/>
              <w:ind w:right="30"/>
              <w:spacing w:after="0"/>
              <w:rPr>
                <w:sz w:val="20"/>
                <w:szCs w:val="20"/>
                <w:color w:val="auto"/>
              </w:rPr>
            </w:pPr>
            <w:r>
              <w:rPr>
                <w:rFonts w:ascii="Arial" w:cs="Arial" w:eastAsia="Arial" w:hAnsi="Arial"/>
                <w:sz w:val="14"/>
                <w:szCs w:val="14"/>
                <w:color w:val="auto"/>
              </w:rPr>
              <w:t>31,432</w:t>
            </w:r>
          </w:p>
        </w:tc>
      </w:tr>
      <w:tr>
        <w:trPr>
          <w:trHeight w:val="20"/>
        </w:trPr>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right="979" w:firstLine="395"/>
        <w:spacing w:after="0" w:line="314" w:lineRule="auto"/>
        <w:rPr>
          <w:sz w:val="20"/>
          <w:szCs w:val="20"/>
          <w:color w:val="auto"/>
        </w:rPr>
      </w:pPr>
      <w:r>
        <w:rPr>
          <w:rFonts w:ascii="Arial" w:cs="Arial" w:eastAsia="Arial" w:hAnsi="Arial"/>
          <w:sz w:val="14"/>
          <w:szCs w:val="14"/>
          <w:color w:val="auto"/>
        </w:rPr>
        <w:t>The following table presents the allowance for loan losses by portfolio segment and disaggregated based on the Company’s impairment methodology:</w:t>
      </w:r>
    </w:p>
    <w:p>
      <w:pPr>
        <w:spacing w:after="0" w:line="108" w:lineRule="exact"/>
        <w:rPr>
          <w:sz w:val="20"/>
          <w:szCs w:val="20"/>
          <w:color w:val="auto"/>
        </w:rPr>
      </w:pPr>
    </w:p>
    <w:tbl>
      <w:tblPr>
        <w:tblLayout w:type="fixed"/>
        <w:tblInd w:w="5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0"/>
              </w:rPr>
              <w:t>As of December 31, 2021</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line="137" w:lineRule="exact"/>
              <w:rPr>
                <w:sz w:val="20"/>
                <w:szCs w:val="20"/>
                <w:color w:val="auto"/>
              </w:rPr>
            </w:pPr>
            <w:r>
              <w:rPr>
                <w:rFonts w:ascii="Arial" w:cs="Arial" w:eastAsia="Arial" w:hAnsi="Arial"/>
                <w:sz w:val="14"/>
                <w:szCs w:val="14"/>
                <w:b w:val="1"/>
                <w:bCs w:val="1"/>
                <w:color w:val="auto"/>
                <w:w w:val="90"/>
              </w:rPr>
              <w:t>Residential</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Commercial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Construction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and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b w:val="1"/>
                <w:bCs w:val="1"/>
                <w:color w:val="auto"/>
                <w:w w:val="84"/>
              </w:rPr>
              <w:t>Commercial</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and Land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Multifamily</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Industrial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49"/>
              <w:spacing w:after="0"/>
              <w:rPr>
                <w:sz w:val="20"/>
                <w:szCs w:val="20"/>
                <w:color w:val="auto"/>
              </w:rPr>
            </w:pPr>
            <w:r>
              <w:rPr>
                <w:rFonts w:ascii="Arial" w:cs="Arial" w:eastAsia="Arial" w:hAnsi="Arial"/>
                <w:sz w:val="14"/>
                <w:szCs w:val="14"/>
                <w:b w:val="1"/>
                <w:bCs w:val="1"/>
                <w:color w:val="auto"/>
                <w:w w:val="92"/>
              </w:rPr>
              <w:t>Energy</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ind w:right="69"/>
              <w:spacing w:after="0"/>
              <w:rPr>
                <w:sz w:val="20"/>
                <w:szCs w:val="20"/>
                <w:color w:val="auto"/>
              </w:rPr>
            </w:pPr>
            <w:r>
              <w:rPr>
                <w:rFonts w:ascii="Arial" w:cs="Arial" w:eastAsia="Arial" w:hAnsi="Arial"/>
                <w:sz w:val="14"/>
                <w:szCs w:val="14"/>
                <w:b w:val="1"/>
                <w:bCs w:val="1"/>
                <w:color w:val="auto"/>
                <w:w w:val="87"/>
              </w:rPr>
              <w:t>Real Estate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Development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Real Estate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ind w:left="60"/>
              <w:spacing w:after="0"/>
              <w:rPr>
                <w:sz w:val="20"/>
                <w:szCs w:val="20"/>
                <w:color w:val="auto"/>
              </w:rPr>
            </w:pPr>
            <w:r>
              <w:rPr>
                <w:rFonts w:ascii="Arial" w:cs="Arial" w:eastAsia="Arial" w:hAnsi="Arial"/>
                <w:sz w:val="14"/>
                <w:szCs w:val="14"/>
                <w:b w:val="1"/>
                <w:bCs w:val="1"/>
                <w:color w:val="auto"/>
              </w:rPr>
              <w:t>PPP</w:t>
            </w:r>
          </w:p>
        </w:tc>
        <w:tc>
          <w:tcPr>
            <w:tcW w:w="40" w:type="dxa"/>
            <w:vAlign w:val="bottom"/>
          </w:tcPr>
          <w:p>
            <w:pPr>
              <w:spacing w:after="0"/>
              <w:rPr>
                <w:sz w:val="15"/>
                <w:szCs w:val="15"/>
                <w:color w:val="auto"/>
              </w:rPr>
            </w:pPr>
          </w:p>
        </w:tc>
        <w:tc>
          <w:tcPr>
            <w:tcW w:w="740" w:type="dxa"/>
            <w:vAlign w:val="bottom"/>
            <w:gridSpan w:val="4"/>
          </w:tcPr>
          <w:p>
            <w:pPr>
              <w:ind w:left="20"/>
              <w:spacing w:after="0"/>
              <w:rPr>
                <w:sz w:val="20"/>
                <w:szCs w:val="20"/>
                <w:color w:val="auto"/>
              </w:rPr>
            </w:pPr>
            <w:r>
              <w:rPr>
                <w:rFonts w:ascii="Arial" w:cs="Arial" w:eastAsia="Arial" w:hAnsi="Arial"/>
                <w:sz w:val="14"/>
                <w:szCs w:val="14"/>
                <w:b w:val="1"/>
                <w:bCs w:val="1"/>
                <w:color w:val="auto"/>
              </w:rPr>
              <w:t>Consumer</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center"/>
              <w:ind w:right="400"/>
              <w:spacing w:after="0"/>
              <w:rPr>
                <w:sz w:val="20"/>
                <w:szCs w:val="20"/>
                <w:color w:val="auto"/>
              </w:rPr>
            </w:pPr>
            <w:r>
              <w:rPr>
                <w:rFonts w:ascii="Arial" w:cs="Arial" w:eastAsia="Arial" w:hAnsi="Arial"/>
                <w:sz w:val="14"/>
                <w:szCs w:val="14"/>
                <w:i w:val="1"/>
                <w:iCs w:val="1"/>
                <w:color w:val="auto"/>
                <w:w w:val="93"/>
              </w:rPr>
              <w:t>(Dollars in thousands)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Borders>
              <w:bottom w:val="single" w:sz="8" w:color="CCEEFF"/>
              <w:right w:val="single" w:sz="8" w:color="CCEEFF"/>
            </w:tcBorders>
            <w:gridSpan w:val="10"/>
            <w:shd w:val="clear" w:color="auto" w:fill="CCEEFF"/>
          </w:tcPr>
          <w:p>
            <w:pPr>
              <w:ind w:left="20"/>
              <w:spacing w:after="0"/>
              <w:rPr>
                <w:sz w:val="20"/>
                <w:szCs w:val="20"/>
                <w:color w:val="auto"/>
              </w:rPr>
            </w:pPr>
            <w:r>
              <w:rPr>
                <w:rFonts w:ascii="Arial" w:cs="Arial" w:eastAsia="Arial" w:hAnsi="Arial"/>
                <w:sz w:val="14"/>
                <w:szCs w:val="14"/>
                <w:b w:val="1"/>
                <w:bCs w:val="1"/>
                <w:color w:val="auto"/>
              </w:rPr>
              <w:t>Period end allowance for loan losses allocated to:</w:t>
            </w: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80" w:type="dxa"/>
            <w:vAlign w:val="bottom"/>
            <w:gridSpan w:val="2"/>
          </w:tcPr>
          <w:p>
            <w:pPr>
              <w:spacing w:after="0"/>
              <w:rPr>
                <w:sz w:val="20"/>
                <w:szCs w:val="20"/>
                <w:color w:val="auto"/>
              </w:rPr>
            </w:pPr>
            <w:r>
              <w:rPr>
                <w:rFonts w:ascii="Arial" w:cs="Arial" w:eastAsia="Arial" w:hAnsi="Arial"/>
                <w:sz w:val="14"/>
                <w:szCs w:val="14"/>
                <w:color w:val="auto"/>
              </w:rPr>
              <w:t>Individually</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color w:val="auto"/>
              </w:rPr>
              <w:t>evaluated for</w:t>
            </w:r>
          </w:p>
        </w:tc>
        <w:tc>
          <w:tcPr>
            <w:tcW w:w="8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2,100</w:t>
            </w:r>
          </w:p>
        </w:tc>
        <w:tc>
          <w:tcPr>
            <w:tcW w:w="120" w:type="dxa"/>
            <w:vAlign w:val="bottom"/>
            <w:gridSpan w:val="2"/>
            <w:vMerge w:val="continue"/>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3,164</w:t>
            </w:r>
          </w:p>
        </w:tc>
        <w:tc>
          <w:tcPr>
            <w:tcW w:w="140" w:type="dxa"/>
            <w:vAlign w:val="bottom"/>
            <w:gridSpan w:val="3"/>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5,597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gridSpan w:val="2"/>
          </w:tcPr>
          <w:p>
            <w:pPr>
              <w:spacing w:after="0"/>
              <w:rPr>
                <w:sz w:val="20"/>
                <w:szCs w:val="20"/>
                <w:color w:val="auto"/>
              </w:rPr>
            </w:pPr>
            <w:r>
              <w:rPr>
                <w:rFonts w:ascii="Arial" w:cs="Arial" w:eastAsia="Arial" w:hAnsi="Arial"/>
                <w:sz w:val="14"/>
                <w:szCs w:val="14"/>
                <w:color w:val="auto"/>
              </w:rPr>
              <w:t>impairment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Collectively</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evaluated for</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7,129</w:t>
            </w: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15,955</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3,749</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52,778</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2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Ending</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80" w:type="dxa"/>
            <w:vAlign w:val="bottom"/>
            <w:gridSpan w:val="2"/>
            <w:vMerge w:val="continue"/>
          </w:tcPr>
          <w:p>
            <w:pPr>
              <w:spacing w:after="0"/>
              <w:rPr>
                <w:sz w:val="13"/>
                <w:szCs w:val="13"/>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20,352</w:t>
            </w:r>
          </w:p>
        </w:tc>
        <w:tc>
          <w:tcPr>
            <w:tcW w:w="80" w:type="dxa"/>
            <w:vAlign w:val="bottom"/>
          </w:tcPr>
          <w:p>
            <w:pPr>
              <w:spacing w:after="0"/>
              <w:rPr>
                <w:sz w:val="13"/>
                <w:szCs w:val="13"/>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9,229</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19,119</w:t>
            </w: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3,749</w:t>
            </w:r>
          </w:p>
        </w:tc>
        <w:tc>
          <w:tcPr>
            <w:tcW w:w="80" w:type="dxa"/>
            <w:vAlign w:val="bottom"/>
          </w:tcPr>
          <w:p>
            <w:pPr>
              <w:spacing w:after="0"/>
              <w:rPr>
                <w:sz w:val="13"/>
                <w:szCs w:val="13"/>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5,598</w:t>
            </w:r>
          </w:p>
        </w:tc>
        <w:tc>
          <w:tcPr>
            <w:tcW w:w="80" w:type="dxa"/>
            <w:vAlign w:val="bottom"/>
          </w:tcPr>
          <w:p>
            <w:pPr>
              <w:spacing w:after="0"/>
              <w:rPr>
                <w:sz w:val="13"/>
                <w:szCs w:val="13"/>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3"/>
                <w:szCs w:val="13"/>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58,375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balance</w:t>
            </w:r>
          </w:p>
        </w:tc>
        <w:tc>
          <w:tcPr>
            <w:tcW w:w="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3"/>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76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Allocated to loans: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80" w:type="dxa"/>
            <w:vAlign w:val="bottom"/>
            <w:gridSpan w:val="2"/>
          </w:tcPr>
          <w:p>
            <w:pPr>
              <w:spacing w:after="0"/>
              <w:rPr>
                <w:sz w:val="20"/>
                <w:szCs w:val="20"/>
                <w:color w:val="auto"/>
              </w:rPr>
            </w:pPr>
            <w:r>
              <w:rPr>
                <w:rFonts w:ascii="Arial" w:cs="Arial" w:eastAsia="Arial" w:hAnsi="Arial"/>
                <w:sz w:val="14"/>
                <w:szCs w:val="14"/>
                <w:color w:val="auto"/>
              </w:rPr>
              <w:t>Individually</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5"/>
                <w:szCs w:val="15"/>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80" w:type="dxa"/>
            <w:vAlign w:val="bottom"/>
            <w:gridSpan w:val="2"/>
          </w:tcPr>
          <w:p>
            <w:pPr>
              <w:spacing w:after="0"/>
              <w:rPr>
                <w:sz w:val="20"/>
                <w:szCs w:val="20"/>
                <w:color w:val="auto"/>
              </w:rPr>
            </w:pPr>
            <w:r>
              <w:rPr>
                <w:rFonts w:ascii="Arial" w:cs="Arial" w:eastAsia="Arial" w:hAnsi="Arial"/>
                <w:sz w:val="14"/>
                <w:szCs w:val="14"/>
                <w:color w:val="auto"/>
              </w:rPr>
              <w:t>evaluated for</w:t>
            </w:r>
          </w:p>
        </w:tc>
        <w:tc>
          <w:tcPr>
            <w:tcW w:w="80" w:type="dxa"/>
            <w:vAlign w:val="bottom"/>
            <w:vMerge w:val="continue"/>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5,739</w:t>
            </w: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16,204</w:t>
            </w:r>
          </w:p>
        </w:tc>
        <w:tc>
          <w:tcPr>
            <w:tcW w:w="120" w:type="dxa"/>
            <w:vAlign w:val="bottom"/>
            <w:gridSpan w:val="2"/>
            <w:vMerge w:val="continue"/>
          </w:tcPr>
          <w:p>
            <w:pPr>
              <w:spacing w:after="0"/>
              <w:rPr>
                <w:sz w:val="14"/>
                <w:szCs w:val="14"/>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31,597</w:t>
            </w:r>
          </w:p>
        </w:tc>
        <w:tc>
          <w:tcPr>
            <w:tcW w:w="140" w:type="dxa"/>
            <w:vAlign w:val="bottom"/>
            <w:gridSpan w:val="3"/>
            <w:vMerge w:val="continue"/>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3"/>
            <w:vMerge w:val="continue"/>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56,927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gridSpan w:val="2"/>
          </w:tcPr>
          <w:p>
            <w:pPr>
              <w:spacing w:after="0"/>
              <w:rPr>
                <w:sz w:val="20"/>
                <w:szCs w:val="20"/>
                <w:color w:val="auto"/>
              </w:rPr>
            </w:pPr>
            <w:r>
              <w:rPr>
                <w:rFonts w:ascii="Arial" w:cs="Arial" w:eastAsia="Arial" w:hAnsi="Arial"/>
                <w:sz w:val="14"/>
                <w:szCs w:val="14"/>
                <w:color w:val="auto"/>
              </w:rPr>
              <w:t>impairment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Collectively</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8"/>
              </w:rPr>
              <w:t>evaluated for</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1,395,942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shd w:val="clear" w:color="auto" w:fill="CCEEFF"/>
              </w:rPr>
              <w:t>262,656</w:t>
            </w: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shd w:val="clear" w:color="auto" w:fill="CCEEFF"/>
              </w:rPr>
              <w:t>1,249,498</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578,758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597,429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64,805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63,605</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shd w:val="clear" w:color="auto" w:fill="CCEEFF"/>
              </w:rPr>
              <w:t>4,212,693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6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impairment</w:t>
            </w: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20" w:type="dxa"/>
            <w:vAlign w:val="bottom"/>
            <w:tcBorders>
              <w:bottom w:val="single" w:sz="8" w:color="CCEEFF"/>
              <w:right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Ending</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80" w:type="dxa"/>
            <w:vAlign w:val="bottom"/>
            <w:gridSpan w:val="2"/>
            <w:vMerge w:val="continue"/>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1,401,681</w:t>
            </w:r>
          </w:p>
        </w:tc>
        <w:tc>
          <w:tcPr>
            <w:tcW w:w="80" w:type="dxa"/>
            <w:vAlign w:val="bottom"/>
          </w:tcPr>
          <w:p>
            <w:pPr>
              <w:spacing w:after="0"/>
              <w:rPr>
                <w:sz w:val="15"/>
                <w:szCs w:val="15"/>
                <w:color w:val="auto"/>
              </w:rPr>
            </w:pPr>
          </w:p>
        </w:tc>
        <w:tc>
          <w:tcPr>
            <w:tcW w:w="1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278,860</w:t>
            </w:r>
          </w:p>
        </w:tc>
        <w:tc>
          <w:tcPr>
            <w:tcW w:w="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1,281,095</w:t>
            </w: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578,758</w:t>
            </w:r>
          </w:p>
        </w:tc>
        <w:tc>
          <w:tcPr>
            <w:tcW w:w="80" w:type="dxa"/>
            <w:vAlign w:val="bottom"/>
          </w:tcPr>
          <w:p>
            <w:pPr>
              <w:spacing w:after="0"/>
              <w:rPr>
                <w:sz w:val="15"/>
                <w:szCs w:val="15"/>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600,816</w:t>
            </w: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64,805</w:t>
            </w:r>
          </w:p>
        </w:tc>
        <w:tc>
          <w:tcPr>
            <w:tcW w:w="80" w:type="dxa"/>
            <w:vAlign w:val="bottom"/>
          </w:tcPr>
          <w:p>
            <w:pPr>
              <w:spacing w:after="0"/>
              <w:rPr>
                <w:sz w:val="15"/>
                <w:szCs w:val="15"/>
                <w:color w:val="auto"/>
              </w:rPr>
            </w:pPr>
          </w:p>
        </w:tc>
        <w:tc>
          <w:tcPr>
            <w:tcW w:w="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63,605</w:t>
            </w:r>
          </w:p>
        </w:tc>
        <w:tc>
          <w:tcPr>
            <w:tcW w:w="80" w:type="dxa"/>
            <w:vAlign w:val="bottom"/>
          </w:tcPr>
          <w:p>
            <w:pPr>
              <w:spacing w:after="0"/>
              <w:rPr>
                <w:sz w:val="15"/>
                <w:szCs w:val="15"/>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9"/>
              </w:rPr>
              <w:t>4,269,620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80" w:type="dxa"/>
            <w:vAlign w:val="bottom"/>
            <w:gridSpan w:val="2"/>
            <w:vMerge w:val="restart"/>
          </w:tcPr>
          <w:p>
            <w:pPr>
              <w:spacing w:after="0"/>
              <w:rPr>
                <w:sz w:val="20"/>
                <w:szCs w:val="20"/>
                <w:color w:val="auto"/>
              </w:rPr>
            </w:pPr>
            <w:r>
              <w:rPr>
                <w:rFonts w:ascii="Arial" w:cs="Arial" w:eastAsia="Arial" w:hAnsi="Arial"/>
                <w:sz w:val="14"/>
                <w:szCs w:val="14"/>
                <w:color w:val="auto"/>
              </w:rPr>
              <w:t>balance</w:t>
            </w:r>
          </w:p>
        </w:tc>
        <w:tc>
          <w:tcPr>
            <w:tcW w:w="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3"/>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880" w:type="dxa"/>
            <w:vAlign w:val="bottom"/>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9019"/>
          </w:cols>
          <w:pgMar w:left="1440" w:top="460" w:right="1440" w:bottom="1440" w:gutter="0" w:footer="0" w:header="0"/>
        </w:sectPr>
      </w:pPr>
    </w:p>
    <w:bookmarkStart w:id="34" w:name="page35"/>
    <w:bookmarkEnd w:id="34"/>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right="599" w:firstLine="395"/>
        <w:spacing w:after="0" w:line="330" w:lineRule="auto"/>
        <w:rPr>
          <w:sz w:val="20"/>
          <w:szCs w:val="20"/>
          <w:color w:val="auto"/>
        </w:rPr>
      </w:pPr>
      <w:r>
        <w:rPr>
          <w:rFonts w:ascii="Arial" w:cs="Arial" w:eastAsia="Arial" w:hAnsi="Arial"/>
          <w:sz w:val="13"/>
          <w:szCs w:val="13"/>
          <w:color w:val="auto"/>
        </w:rPr>
        <w:t>A loan is considered impaired when based on current information and events, it is probable the Company will be unable to collect all amounts due from the borrower in accordance with the contractual terms of the loan. Impaired loans include non-performing loans but also include loans modified in TDRs where concessions have been granted to borrowers experiencing financial difficulties. The intent of concessions is to maximize collection. The following table presents loans individually evaluated for impairment: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As of December 31, 2021</w:t>
      </w:r>
    </w:p>
    <w:p>
      <w:pPr>
        <w:spacing w:after="0" w:line="42" w:lineRule="exact"/>
        <w:rPr>
          <w:sz w:val="20"/>
          <w:szCs w:val="20"/>
          <w:color w:val="auto"/>
        </w:rPr>
      </w:pPr>
    </w:p>
    <w:tbl>
      <w:tblPr>
        <w:tblLayout w:type="fixed"/>
        <w:tblInd w:w="64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161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w w:val="99"/>
              </w:rPr>
              <w:t>Recorded Balance</w:t>
            </w:r>
          </w:p>
        </w:tc>
        <w:tc>
          <w:tcPr>
            <w:tcW w:w="80" w:type="dxa"/>
            <w:vAlign w:val="bottom"/>
          </w:tcPr>
          <w:p>
            <w:pPr>
              <w:spacing w:after="0"/>
              <w:rPr>
                <w:sz w:val="15"/>
                <w:szCs w:val="15"/>
                <w:color w:val="auto"/>
              </w:rPr>
            </w:pPr>
          </w:p>
        </w:tc>
        <w:tc>
          <w:tcPr>
            <w:tcW w:w="17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93"/>
              </w:rPr>
              <w:t>Unpaid Principal Balance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w w:val="99"/>
              </w:rPr>
              <w:t>Specific Allowance</w:t>
            </w:r>
          </w:p>
        </w:tc>
      </w:tr>
      <w:tr>
        <w:trPr>
          <w:trHeight w:val="172"/>
        </w:trPr>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161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ind w:right="209"/>
              <w:spacing w:after="0"/>
              <w:rPr>
                <w:sz w:val="20"/>
                <w:szCs w:val="20"/>
                <w:color w:val="auto"/>
              </w:rPr>
            </w:pPr>
            <w:r>
              <w:rPr>
                <w:rFonts w:ascii="Arial" w:cs="Arial" w:eastAsia="Arial" w:hAnsi="Arial"/>
                <w:sz w:val="14"/>
                <w:szCs w:val="14"/>
                <w:i w:val="1"/>
                <w:iCs w:val="1"/>
                <w:color w:val="auto"/>
                <w:w w:val="96"/>
              </w:rPr>
              <w:t>(Dollars in thousands)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Loans without a specific valuation</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and industrial</w:t>
            </w:r>
          </w:p>
        </w:tc>
        <w:tc>
          <w:tcPr>
            <w:tcW w:w="150" w:type="dxa"/>
            <w:vAlign w:val="bottom"/>
            <w:gridSpan w:val="2"/>
          </w:tcPr>
          <w:p>
            <w:pPr>
              <w:jc w:val="right"/>
              <w:ind w:right="19"/>
              <w:spacing w:after="0"/>
              <w:rPr>
                <w:sz w:val="20"/>
                <w:szCs w:val="20"/>
                <w:color w:val="auto"/>
              </w:rPr>
            </w:pPr>
            <w:r>
              <w:rPr>
                <w:rFonts w:ascii="Arial" w:cs="Arial" w:eastAsia="Arial" w:hAnsi="Arial"/>
                <w:sz w:val="14"/>
                <w:szCs w:val="14"/>
                <w:color w:val="auto"/>
                <w:w w:val="76"/>
              </w:rPr>
              <w:t>$</w:t>
            </w: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4,659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4,740</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Energy</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7,322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1,729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1,729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 and land development</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Residential and multifamily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PPP</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Loans with a specific valuation</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and industrial</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1,080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333</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Energy</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12,695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17,977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2,100</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29,868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30,854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3,164</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 and land development</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Residential and multifamily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PPP</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Consumer</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and industrial</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5,739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5,820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333</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Energy</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16,204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25,299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2,100</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Commercial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31,597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32,583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3,164</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Construction and land development</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Pr>
          <w:p>
            <w:pPr>
              <w:ind w:left="80"/>
              <w:spacing w:after="0"/>
              <w:rPr>
                <w:sz w:val="20"/>
                <w:szCs w:val="20"/>
                <w:color w:val="auto"/>
              </w:rPr>
            </w:pPr>
            <w:r>
              <w:rPr>
                <w:rFonts w:ascii="Arial" w:cs="Arial" w:eastAsia="Arial" w:hAnsi="Arial"/>
                <w:sz w:val="14"/>
                <w:szCs w:val="14"/>
                <w:color w:val="auto"/>
              </w:rPr>
              <w:t>Residential and multifamily real estate</w:t>
            </w:r>
          </w:p>
        </w:tc>
        <w:tc>
          <w:tcPr>
            <w:tcW w:w="20" w:type="dxa"/>
            <w:vAlign w:val="bottom"/>
          </w:tcPr>
          <w:p>
            <w:pPr>
              <w:spacing w:after="0"/>
              <w:rPr>
                <w:sz w:val="15"/>
                <w:szCs w:val="15"/>
                <w:color w:val="auto"/>
              </w:rPr>
            </w:pPr>
          </w:p>
        </w:tc>
        <w:tc>
          <w:tcPr>
            <w:tcW w:w="130" w:type="dxa"/>
            <w:vAlign w:val="bottom"/>
          </w:tcPr>
          <w:p>
            <w:pPr>
              <w:spacing w:after="0"/>
              <w:rPr>
                <w:sz w:val="15"/>
                <w:szCs w:val="15"/>
                <w:color w:val="auto"/>
              </w:rPr>
            </w:pPr>
          </w:p>
        </w:tc>
        <w:tc>
          <w:tcPr>
            <w:tcW w:w="1610" w:type="dxa"/>
            <w:vAlign w:val="bottom"/>
          </w:tcPr>
          <w:p>
            <w:pPr>
              <w:jc w:val="right"/>
              <w:ind w:right="49"/>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9"/>
              <w:spacing w:after="0"/>
              <w:rPr>
                <w:sz w:val="20"/>
                <w:szCs w:val="20"/>
                <w:color w:val="auto"/>
              </w:rPr>
            </w:pPr>
            <w:r>
              <w:rPr>
                <w:rFonts w:ascii="Arial" w:cs="Arial" w:eastAsia="Arial" w:hAnsi="Arial"/>
                <w:sz w:val="14"/>
                <w:szCs w:val="14"/>
                <w:color w:val="auto"/>
              </w:rPr>
              <w:t>3,387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PPP</w:t>
            </w:r>
          </w:p>
        </w:tc>
        <w:tc>
          <w:tcPr>
            <w:tcW w:w="20" w:type="dxa"/>
            <w:vAlign w:val="bottom"/>
            <w:shd w:val="clear" w:color="auto" w:fill="CCEEFF"/>
          </w:tcPr>
          <w:p>
            <w:pPr>
              <w:spacing w:after="0"/>
              <w:rPr>
                <w:sz w:val="15"/>
                <w:szCs w:val="15"/>
                <w:color w:val="auto"/>
              </w:rPr>
            </w:pPr>
          </w:p>
        </w:tc>
        <w:tc>
          <w:tcPr>
            <w:tcW w:w="130" w:type="dxa"/>
            <w:vAlign w:val="bottom"/>
            <w:shd w:val="clear" w:color="auto" w:fill="CCEEFF"/>
          </w:tcPr>
          <w:p>
            <w:pPr>
              <w:spacing w:after="0"/>
              <w:rPr>
                <w:sz w:val="15"/>
                <w:szCs w:val="15"/>
                <w:color w:val="auto"/>
              </w:rPr>
            </w:pPr>
          </w:p>
        </w:tc>
        <w:tc>
          <w:tcPr>
            <w:tcW w:w="161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81"/>
        </w:trPr>
        <w:tc>
          <w:tcPr>
            <w:tcW w:w="246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Consumer</w:t>
            </w:r>
          </w:p>
        </w:tc>
        <w:tc>
          <w:tcPr>
            <w:tcW w:w="20" w:type="dxa"/>
            <w:vAlign w:val="bottom"/>
            <w:tcBorders>
              <w:bottom w:val="single" w:sz="8" w:color="CCEEFF"/>
            </w:tcBorders>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161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172"/>
        </w:trPr>
        <w:tc>
          <w:tcPr>
            <w:tcW w:w="24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3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161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56,927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67,089</w:t>
            </w: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5,597</w:t>
            </w:r>
          </w:p>
        </w:tc>
      </w:tr>
      <w:tr>
        <w:trPr>
          <w:trHeight w:val="20"/>
        </w:trPr>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161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60" w:right="739" w:firstLine="395"/>
        <w:spacing w:after="0" w:line="308" w:lineRule="auto"/>
        <w:rPr>
          <w:sz w:val="20"/>
          <w:szCs w:val="20"/>
          <w:color w:val="auto"/>
        </w:rPr>
      </w:pPr>
      <w:r>
        <w:rPr>
          <w:rFonts w:ascii="Arial" w:cs="Arial" w:eastAsia="Arial" w:hAnsi="Arial"/>
          <w:sz w:val="14"/>
          <w:szCs w:val="14"/>
          <w:color w:val="auto"/>
        </w:rPr>
        <w:t>Total interest income recognized during the three and six-month periods ended June 30, 2021 for impaired loans was $ 615 thousand and $1 million, respectively. The three- and six-month average balance of impaired loans for the period ended June 30, 2021 was $108 million and $109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9019"/>
          </w:cols>
          <w:pgMar w:left="1440" w:top="460" w:right="1440" w:bottom="1440" w:gutter="0" w:footer="0" w:header="0"/>
        </w:sectPr>
      </w:pPr>
    </w:p>
    <w:bookmarkStart w:id="35" w:name="page36"/>
    <w:bookmarkEnd w:id="35"/>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right="1019" w:firstLine="395"/>
        <w:spacing w:after="0" w:line="314" w:lineRule="auto"/>
        <w:rPr>
          <w:sz w:val="20"/>
          <w:szCs w:val="20"/>
          <w:color w:val="auto"/>
        </w:rPr>
      </w:pPr>
      <w:r>
        <w:rPr>
          <w:rFonts w:ascii="Arial" w:cs="Arial" w:eastAsia="Arial" w:hAnsi="Arial"/>
          <w:sz w:val="14"/>
          <w:szCs w:val="14"/>
          <w:color w:val="auto"/>
        </w:rPr>
        <w:t>The following table presents the activity in the allowance for loan losses by portfolio segment for the three- and six-month periods ended June 30, 2021:</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12"/>
          </w:tcPr>
          <w:p>
            <w:pPr>
              <w:jc w:val="center"/>
              <w:ind w:left="389"/>
              <w:spacing w:after="0"/>
              <w:rPr>
                <w:sz w:val="20"/>
                <w:szCs w:val="20"/>
                <w:color w:val="auto"/>
              </w:rPr>
            </w:pPr>
            <w:r>
              <w:rPr>
                <w:rFonts w:ascii="Arial" w:cs="Arial" w:eastAsia="Arial" w:hAnsi="Arial"/>
                <w:sz w:val="14"/>
                <w:szCs w:val="14"/>
                <w:b w:val="1"/>
                <w:bCs w:val="1"/>
                <w:color w:val="auto"/>
                <w:w w:val="91"/>
              </w:rPr>
              <w:t>Three Months Ended June 30, 2021</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Residential</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9"/>
              <w:spacing w:after="0"/>
              <w:rPr>
                <w:sz w:val="20"/>
                <w:szCs w:val="20"/>
                <w:color w:val="auto"/>
              </w:rPr>
            </w:pPr>
            <w:r>
              <w:rPr>
                <w:rFonts w:ascii="Arial" w:cs="Arial" w:eastAsia="Arial" w:hAnsi="Arial"/>
                <w:sz w:val="14"/>
                <w:szCs w:val="14"/>
                <w:b w:val="1"/>
                <w:bCs w:val="1"/>
                <w:color w:val="auto"/>
                <w:w w:val="84"/>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Construction</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and Land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Multifamily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5"/>
              </w:rPr>
              <w:t>Industrial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Energy</w:t>
            </w:r>
          </w:p>
        </w:tc>
        <w:tc>
          <w:tcPr>
            <w:tcW w:w="60" w:type="dxa"/>
            <w:vAlign w:val="bottom"/>
          </w:tcPr>
          <w:p>
            <w:pPr>
              <w:spacing w:after="0"/>
              <w:rPr>
                <w:sz w:val="15"/>
                <w:szCs w:val="15"/>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Real Estate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Development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Real Estate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9"/>
              </w:rPr>
              <w:t>PPP</w:t>
            </w:r>
          </w:p>
        </w:tc>
        <w:tc>
          <w:tcPr>
            <w:tcW w:w="80" w:type="dxa"/>
            <w:vAlign w:val="bottom"/>
          </w:tcPr>
          <w:p>
            <w:pPr>
              <w:spacing w:after="0"/>
              <w:rPr>
                <w:sz w:val="15"/>
                <w:szCs w:val="15"/>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Consumer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tcPr>
          <w:p>
            <w:pPr>
              <w:jc w:val="center"/>
              <w:ind w:right="440"/>
              <w:spacing w:after="0"/>
              <w:rPr>
                <w:sz w:val="20"/>
                <w:szCs w:val="20"/>
                <w:color w:val="auto"/>
              </w:rPr>
            </w:pPr>
            <w:r>
              <w:rPr>
                <w:rFonts w:ascii="Arial" w:cs="Arial" w:eastAsia="Arial" w:hAnsi="Arial"/>
                <w:sz w:val="14"/>
                <w:szCs w:val="14"/>
                <w:i w:val="1"/>
                <w:iCs w:val="1"/>
                <w:color w:val="auto"/>
                <w:w w:val="93"/>
              </w:rPr>
              <w:t>(Dollars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8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Allowance for loan losses: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Beginning</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23,464</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20,292</w:t>
            </w:r>
          </w:p>
        </w:tc>
        <w:tc>
          <w:tcPr>
            <w:tcW w:w="80" w:type="dxa"/>
            <w:vAlign w:val="bottom"/>
          </w:tcPr>
          <w:p>
            <w:pPr>
              <w:spacing w:after="0"/>
              <w:rPr>
                <w:sz w:val="15"/>
                <w:szCs w:val="15"/>
                <w:color w:val="auto"/>
              </w:rPr>
            </w:pPr>
          </w:p>
        </w:tc>
        <w:tc>
          <w:tcPr>
            <w:tcW w:w="2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20,609</w:t>
            </w:r>
          </w:p>
        </w:tc>
        <w:tc>
          <w:tcPr>
            <w:tcW w:w="80" w:type="dxa"/>
            <w:vAlign w:val="bottom"/>
          </w:tcPr>
          <w:p>
            <w:pPr>
              <w:spacing w:after="0"/>
              <w:rPr>
                <w:sz w:val="15"/>
                <w:szCs w:val="15"/>
                <w:color w:val="auto"/>
              </w:rPr>
            </w:pP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3,837</w:t>
            </w:r>
          </w:p>
        </w:tc>
        <w:tc>
          <w:tcPr>
            <w:tcW w:w="80" w:type="dxa"/>
            <w:vAlign w:val="bottom"/>
          </w:tcPr>
          <w:p>
            <w:pPr>
              <w:spacing w:after="0"/>
              <w:rPr>
                <w:sz w:val="15"/>
                <w:szCs w:val="15"/>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6,056</w:t>
            </w:r>
          </w:p>
        </w:tc>
        <w:tc>
          <w:tcPr>
            <w:tcW w:w="80" w:type="dxa"/>
            <w:vAlign w:val="bottom"/>
          </w:tcPr>
          <w:p>
            <w:pPr>
              <w:spacing w:after="0"/>
              <w:rPr>
                <w:sz w:val="15"/>
                <w:szCs w:val="15"/>
                <w:color w:val="auto"/>
              </w:rPr>
            </w:pPr>
          </w:p>
        </w:tc>
        <w:tc>
          <w:tcPr>
            <w:tcW w:w="2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5"/>
                <w:szCs w:val="15"/>
                <w:color w:val="auto"/>
              </w:rPr>
            </w:pPr>
          </w:p>
        </w:tc>
        <w:tc>
          <w:tcPr>
            <w:tcW w:w="2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74,551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960" w:type="dxa"/>
            <w:vAlign w:val="bottom"/>
            <w:vMerge w:val="restart"/>
          </w:tcPr>
          <w:p>
            <w:pPr>
              <w:ind w:left="40"/>
              <w:spacing w:after="0"/>
              <w:rPr>
                <w:sz w:val="20"/>
                <w:szCs w:val="20"/>
                <w:color w:val="auto"/>
              </w:rPr>
            </w:pPr>
            <w:r>
              <w:rPr>
                <w:rFonts w:ascii="Arial" w:cs="Arial" w:eastAsia="Arial" w:hAnsi="Arial"/>
                <w:sz w:val="14"/>
                <w:szCs w:val="14"/>
                <w:color w:val="auto"/>
              </w:rPr>
              <w:t>balance</w:t>
            </w:r>
          </w:p>
        </w:tc>
        <w:tc>
          <w:tcPr>
            <w:tcW w:w="1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60" w:type="dxa"/>
            <w:vAlign w:val="bottom"/>
            <w:gridSpan w:val="3"/>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gridSpan w:val="3"/>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3"/>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gridSpan w:val="3"/>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Provision</w:t>
            </w: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7,532</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(2,443)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(1,428)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Charge-offs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(2,566)</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(2,566)</w:t>
            </w:r>
          </w:p>
        </w:tc>
        <w:tc>
          <w:tcPr>
            <w:tcW w:w="0" w:type="dxa"/>
            <w:vAlign w:val="bottom"/>
          </w:tcPr>
          <w:p>
            <w:pPr>
              <w:spacing w:after="0"/>
              <w:rPr>
                <w:sz w:val="1"/>
                <w:szCs w:val="1"/>
                <w:color w:val="auto"/>
              </w:rPr>
            </w:pPr>
          </w:p>
        </w:tc>
      </w:tr>
      <w:tr>
        <w:trPr>
          <w:trHeight w:val="171"/>
        </w:trPr>
        <w:tc>
          <w:tcPr>
            <w:tcW w:w="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Recoveries</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760" w:type="dxa"/>
            <w:vAlign w:val="bottom"/>
            <w:tcBorders>
              <w:bottom w:val="single" w:sz="8" w:color="auto"/>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spacing w:after="0"/>
              <w:rPr>
                <w:sz w:val="20"/>
                <w:szCs w:val="20"/>
                <w:color w:val="auto"/>
              </w:rPr>
            </w:pPr>
            <w:r>
              <w:rPr>
                <w:rFonts w:ascii="Arial" w:cs="Arial" w:eastAsia="Arial" w:hAnsi="Arial"/>
                <w:sz w:val="14"/>
                <w:szCs w:val="14"/>
                <w:color w:val="auto"/>
              </w:rPr>
              <w:t>Ending balance</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28,433</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17,849</w:t>
            </w:r>
          </w:p>
        </w:tc>
        <w:tc>
          <w:tcPr>
            <w:tcW w:w="80" w:type="dxa"/>
            <w:vAlign w:val="bottom"/>
          </w:tcPr>
          <w:p>
            <w:pPr>
              <w:spacing w:after="0"/>
              <w:rPr>
                <w:sz w:val="16"/>
                <w:szCs w:val="16"/>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19,181</w:t>
            </w:r>
          </w:p>
        </w:tc>
        <w:tc>
          <w:tcPr>
            <w:tcW w:w="80" w:type="dxa"/>
            <w:vAlign w:val="bottom"/>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3,885</w:t>
            </w:r>
          </w:p>
        </w:tc>
        <w:tc>
          <w:tcPr>
            <w:tcW w:w="80" w:type="dxa"/>
            <w:vAlign w:val="bottom"/>
          </w:tcPr>
          <w:p>
            <w:pPr>
              <w:spacing w:after="0"/>
              <w:rPr>
                <w:sz w:val="16"/>
                <w:szCs w:val="16"/>
                <w:color w:val="auto"/>
              </w:rPr>
            </w:pP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5,826</w:t>
            </w:r>
          </w:p>
        </w:tc>
        <w:tc>
          <w:tcPr>
            <w:tcW w:w="80" w:type="dxa"/>
            <w:vAlign w:val="bottom"/>
          </w:tcPr>
          <w:p>
            <w:pPr>
              <w:spacing w:after="0"/>
              <w:rPr>
                <w:sz w:val="16"/>
                <w:szCs w:val="16"/>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6"/>
                <w:szCs w:val="16"/>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75,493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2"/>
          </w:tcPr>
          <w:p>
            <w:pPr>
              <w:jc w:val="center"/>
              <w:ind w:left="389"/>
              <w:spacing w:after="0"/>
              <w:rPr>
                <w:sz w:val="20"/>
                <w:szCs w:val="20"/>
                <w:color w:val="auto"/>
              </w:rPr>
            </w:pPr>
            <w:r>
              <w:rPr>
                <w:rFonts w:ascii="Arial" w:cs="Arial" w:eastAsia="Arial" w:hAnsi="Arial"/>
                <w:sz w:val="14"/>
                <w:szCs w:val="14"/>
                <w:b w:val="1"/>
                <w:bCs w:val="1"/>
                <w:color w:val="auto"/>
                <w:w w:val="91"/>
              </w:rPr>
              <w:t>Six Months Ended June 30, 2021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40"/>
              <w:spacing w:after="0" w:line="137" w:lineRule="exact"/>
              <w:rPr>
                <w:sz w:val="20"/>
                <w:szCs w:val="20"/>
                <w:color w:val="auto"/>
              </w:rPr>
            </w:pPr>
            <w:r>
              <w:rPr>
                <w:rFonts w:ascii="Arial" w:cs="Arial" w:eastAsia="Arial" w:hAnsi="Arial"/>
                <w:sz w:val="14"/>
                <w:szCs w:val="14"/>
                <w:b w:val="1"/>
                <w:bCs w:val="1"/>
                <w:color w:val="auto"/>
                <w:w w:val="90"/>
              </w:rPr>
              <w:t>Residential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9"/>
              <w:spacing w:after="0"/>
              <w:rPr>
                <w:sz w:val="20"/>
                <w:szCs w:val="20"/>
                <w:color w:val="auto"/>
              </w:rPr>
            </w:pPr>
            <w:r>
              <w:rPr>
                <w:rFonts w:ascii="Arial" w:cs="Arial" w:eastAsia="Arial" w:hAnsi="Arial"/>
                <w:sz w:val="14"/>
                <w:szCs w:val="14"/>
                <w:b w:val="1"/>
                <w:bCs w:val="1"/>
                <w:color w:val="auto"/>
                <w:w w:val="84"/>
              </w:rPr>
              <w:t>Commercial</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Construction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center"/>
              <w:ind w:right="69"/>
              <w:spacing w:after="0"/>
              <w:rPr>
                <w:sz w:val="20"/>
                <w:szCs w:val="20"/>
                <w:color w:val="auto"/>
              </w:rPr>
            </w:pPr>
            <w:r>
              <w:rPr>
                <w:rFonts w:ascii="Arial" w:cs="Arial" w:eastAsia="Arial" w:hAnsi="Arial"/>
                <w:sz w:val="14"/>
                <w:szCs w:val="14"/>
                <w:b w:val="1"/>
                <w:bCs w:val="1"/>
                <w:color w:val="auto"/>
                <w:w w:val="88"/>
              </w:rPr>
              <w:t>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Commercial</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and Land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Multifamily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5"/>
              </w:rPr>
              <w:t>Industrial</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Energy</w:t>
            </w:r>
          </w:p>
        </w:tc>
        <w:tc>
          <w:tcPr>
            <w:tcW w:w="60" w:type="dxa"/>
            <w:vAlign w:val="bottom"/>
          </w:tcPr>
          <w:p>
            <w:pPr>
              <w:spacing w:after="0"/>
              <w:rPr>
                <w:sz w:val="15"/>
                <w:szCs w:val="15"/>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Real Estate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Development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Real Estate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9"/>
              </w:rPr>
              <w:t>PPP</w:t>
            </w:r>
          </w:p>
        </w:tc>
        <w:tc>
          <w:tcPr>
            <w:tcW w:w="80" w:type="dxa"/>
            <w:vAlign w:val="bottom"/>
          </w:tcPr>
          <w:p>
            <w:pPr>
              <w:spacing w:after="0"/>
              <w:rPr>
                <w:sz w:val="15"/>
                <w:szCs w:val="15"/>
                <w:color w:val="auto"/>
              </w:rPr>
            </w:pPr>
          </w:p>
        </w:tc>
        <w:tc>
          <w:tcPr>
            <w:tcW w:w="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8"/>
              </w:rPr>
              <w:t>Consumer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7"/>
          </w:tcPr>
          <w:p>
            <w:pPr>
              <w:jc w:val="center"/>
              <w:ind w:right="440"/>
              <w:spacing w:after="0"/>
              <w:rPr>
                <w:sz w:val="20"/>
                <w:szCs w:val="20"/>
                <w:color w:val="auto"/>
              </w:rPr>
            </w:pPr>
            <w:r>
              <w:rPr>
                <w:rFonts w:ascii="Arial" w:cs="Arial" w:eastAsia="Arial" w:hAnsi="Arial"/>
                <w:sz w:val="14"/>
                <w:szCs w:val="14"/>
                <w:i w:val="1"/>
                <w:iCs w:val="1"/>
                <w:color w:val="auto"/>
                <w:w w:val="93"/>
              </w:rPr>
              <w:t>(Dollars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8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4"/>
                <w:szCs w:val="14"/>
                <w:b w:val="1"/>
                <w:bCs w:val="1"/>
                <w:color w:val="auto"/>
              </w:rPr>
              <w:t>Allowance for loan losses:</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Beginning</w:t>
            </w:r>
          </w:p>
        </w:tc>
        <w:tc>
          <w:tcPr>
            <w:tcW w:w="1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24,693</w:t>
            </w:r>
          </w:p>
        </w:tc>
        <w:tc>
          <w:tcPr>
            <w:tcW w:w="160" w:type="dxa"/>
            <w:vAlign w:val="bottom"/>
            <w:gridSpan w:val="3"/>
            <w:vMerge w:val="restart"/>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18,341</w:t>
            </w:r>
          </w:p>
        </w:tc>
        <w:tc>
          <w:tcPr>
            <w:tcW w:w="80" w:type="dxa"/>
            <w:vAlign w:val="bottom"/>
          </w:tcPr>
          <w:p>
            <w:pPr>
              <w:spacing w:after="0"/>
              <w:rPr>
                <w:sz w:val="14"/>
                <w:szCs w:val="14"/>
                <w:color w:val="auto"/>
              </w:rPr>
            </w:pPr>
          </w:p>
        </w:tc>
        <w:tc>
          <w:tcPr>
            <w:tcW w:w="2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22,354</w:t>
            </w:r>
          </w:p>
        </w:tc>
        <w:tc>
          <w:tcPr>
            <w:tcW w:w="80" w:type="dxa"/>
            <w:vAlign w:val="bottom"/>
          </w:tcPr>
          <w:p>
            <w:pPr>
              <w:spacing w:after="0"/>
              <w:rPr>
                <w:sz w:val="14"/>
                <w:szCs w:val="14"/>
                <w:color w:val="auto"/>
              </w:rPr>
            </w:pP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3,612</w:t>
            </w:r>
          </w:p>
        </w:tc>
        <w:tc>
          <w:tcPr>
            <w:tcW w:w="80" w:type="dxa"/>
            <w:vAlign w:val="bottom"/>
          </w:tcPr>
          <w:p>
            <w:pPr>
              <w:spacing w:after="0"/>
              <w:rPr>
                <w:sz w:val="14"/>
                <w:szCs w:val="14"/>
                <w:color w:val="auto"/>
              </w:rPr>
            </w:pPr>
          </w:p>
        </w:tc>
        <w:tc>
          <w:tcPr>
            <w:tcW w:w="14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5,842</w:t>
            </w:r>
          </w:p>
        </w:tc>
        <w:tc>
          <w:tcPr>
            <w:tcW w:w="80" w:type="dxa"/>
            <w:vAlign w:val="bottom"/>
          </w:tcPr>
          <w:p>
            <w:pPr>
              <w:spacing w:after="0"/>
              <w:rPr>
                <w:sz w:val="14"/>
                <w:szCs w:val="14"/>
                <w:color w:val="auto"/>
              </w:rPr>
            </w:pPr>
          </w:p>
        </w:tc>
        <w:tc>
          <w:tcPr>
            <w:tcW w:w="2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453</w:t>
            </w:r>
          </w:p>
        </w:tc>
        <w:tc>
          <w:tcPr>
            <w:tcW w:w="80" w:type="dxa"/>
            <w:vAlign w:val="bottom"/>
          </w:tcPr>
          <w:p>
            <w:pPr>
              <w:spacing w:after="0"/>
              <w:rPr>
                <w:sz w:val="14"/>
                <w:szCs w:val="14"/>
                <w:color w:val="auto"/>
              </w:rPr>
            </w:pPr>
          </w:p>
        </w:tc>
        <w:tc>
          <w:tcPr>
            <w:tcW w:w="200" w:type="dxa"/>
            <w:vAlign w:val="bottom"/>
            <w:gridSpan w:val="3"/>
            <w:vMerge w:val="restart"/>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75,295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960" w:type="dxa"/>
            <w:vAlign w:val="bottom"/>
            <w:vMerge w:val="restart"/>
          </w:tcPr>
          <w:p>
            <w:pPr>
              <w:ind w:left="40"/>
              <w:spacing w:after="0"/>
              <w:rPr>
                <w:sz w:val="20"/>
                <w:szCs w:val="20"/>
                <w:color w:val="auto"/>
              </w:rPr>
            </w:pPr>
            <w:r>
              <w:rPr>
                <w:rFonts w:ascii="Arial" w:cs="Arial" w:eastAsia="Arial" w:hAnsi="Arial"/>
                <w:sz w:val="14"/>
                <w:szCs w:val="14"/>
                <w:color w:val="auto"/>
              </w:rPr>
              <w:t>balance</w:t>
            </w:r>
          </w:p>
        </w:tc>
        <w:tc>
          <w:tcPr>
            <w:tcW w:w="10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6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gridSpan w:val="3"/>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3"/>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Provision</w:t>
            </w: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14,547</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(3,173)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Arial" w:cs="Arial" w:eastAsia="Arial" w:hAnsi="Arial"/>
                <w:sz w:val="14"/>
                <w:szCs w:val="14"/>
                <w:color w:val="auto"/>
              </w:rPr>
              <w:t>Charge-offs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(10,832)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(10,832)</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Recoveries</w:t>
            </w: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76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00" w:type="dxa"/>
            <w:vAlign w:val="bottom"/>
            <w:gridSpan w:val="2"/>
          </w:tcPr>
          <w:p>
            <w:pPr>
              <w:spacing w:after="0"/>
              <w:rPr>
                <w:sz w:val="20"/>
                <w:szCs w:val="20"/>
                <w:color w:val="auto"/>
              </w:rPr>
            </w:pPr>
            <w:r>
              <w:rPr>
                <w:rFonts w:ascii="Arial" w:cs="Arial" w:eastAsia="Arial" w:hAnsi="Arial"/>
                <w:sz w:val="14"/>
                <w:szCs w:val="14"/>
                <w:color w:val="auto"/>
              </w:rPr>
              <w:t>Ending balance</w:t>
            </w: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28,433</w:t>
            </w:r>
          </w:p>
        </w:tc>
        <w:tc>
          <w:tcPr>
            <w:tcW w:w="1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17,849</w:t>
            </w:r>
          </w:p>
        </w:tc>
        <w:tc>
          <w:tcPr>
            <w:tcW w:w="80" w:type="dxa"/>
            <w:vAlign w:val="bottom"/>
          </w:tcPr>
          <w:p>
            <w:pPr>
              <w:spacing w:after="0"/>
              <w:rPr>
                <w:sz w:val="15"/>
                <w:szCs w:val="15"/>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19,181</w:t>
            </w:r>
          </w:p>
        </w:tc>
        <w:tc>
          <w:tcPr>
            <w:tcW w:w="80" w:type="dxa"/>
            <w:vAlign w:val="bottom"/>
          </w:tcPr>
          <w:p>
            <w:pPr>
              <w:spacing w:after="0"/>
              <w:rPr>
                <w:sz w:val="15"/>
                <w:szCs w:val="15"/>
                <w:color w:val="auto"/>
              </w:rPr>
            </w:pP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3,885</w:t>
            </w:r>
          </w:p>
        </w:tc>
        <w:tc>
          <w:tcPr>
            <w:tcW w:w="80" w:type="dxa"/>
            <w:vAlign w:val="bottom"/>
          </w:tcPr>
          <w:p>
            <w:pPr>
              <w:spacing w:after="0"/>
              <w:rPr>
                <w:sz w:val="15"/>
                <w:szCs w:val="15"/>
                <w:color w:val="auto"/>
              </w:rPr>
            </w:pPr>
          </w:p>
        </w:tc>
        <w:tc>
          <w:tcPr>
            <w:tcW w:w="1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5,826</w:t>
            </w:r>
          </w:p>
        </w:tc>
        <w:tc>
          <w:tcPr>
            <w:tcW w:w="80" w:type="dxa"/>
            <w:vAlign w:val="bottom"/>
          </w:tcPr>
          <w:p>
            <w:pPr>
              <w:spacing w:after="0"/>
              <w:rPr>
                <w:sz w:val="15"/>
                <w:szCs w:val="15"/>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75,493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Allowance for Credit Losses on Off-Balance Sheet Credit Exposures</w:t>
      </w:r>
    </w:p>
    <w:p>
      <w:pPr>
        <w:spacing w:after="0" w:line="258" w:lineRule="exact"/>
        <w:rPr>
          <w:sz w:val="20"/>
          <w:szCs w:val="20"/>
          <w:color w:val="auto"/>
        </w:rPr>
      </w:pPr>
    </w:p>
    <w:p>
      <w:pPr>
        <w:ind w:left="660" w:right="679" w:firstLine="395"/>
        <w:spacing w:after="0" w:line="356" w:lineRule="auto"/>
        <w:rPr>
          <w:sz w:val="20"/>
          <w:szCs w:val="20"/>
          <w:color w:val="auto"/>
        </w:rPr>
      </w:pPr>
      <w:r>
        <w:rPr>
          <w:rFonts w:ascii="Arial" w:cs="Arial" w:eastAsia="Arial" w:hAnsi="Arial"/>
          <w:sz w:val="12"/>
          <w:szCs w:val="12"/>
          <w:color w:val="auto"/>
        </w:rPr>
        <w:t>The Company estimates expected credit losses for off-balance sheet credit exposures unless the obligation is unconditionally cancellable by the Company. The ACL on off-balance sheet credit exposures is adjusted as a provision for credit loss expense. The estimate is calculated for each loan segment and includes consideration of the likelihood that funding will occur and an estimate of the expected credit losses on commitments expected to be funded over its estimated life. For each pool of contractual obligations expected to be funded, the Company uses the reserve rate established for the related loan pools. The $ 5 million allowance for credit losses on off balance sheet credit exposures at June 30, 2022 is included in “interest payable and other liabilities” on the balance sheet.</w:t>
      </w:r>
    </w:p>
    <w:p>
      <w:pPr>
        <w:spacing w:after="0" w:line="13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categories of off-balance sheet credit exposures have been identified:</w:t>
      </w:r>
    </w:p>
    <w:p>
      <w:pPr>
        <w:spacing w:after="0" w:line="234" w:lineRule="exact"/>
        <w:rPr>
          <w:sz w:val="20"/>
          <w:szCs w:val="20"/>
          <w:color w:val="auto"/>
        </w:rPr>
      </w:pPr>
    </w:p>
    <w:p>
      <w:pPr>
        <w:ind w:left="1040" w:right="719"/>
        <w:spacing w:after="0" w:line="301" w:lineRule="auto"/>
        <w:rPr>
          <w:sz w:val="20"/>
          <w:szCs w:val="20"/>
          <w:color w:val="auto"/>
        </w:rPr>
      </w:pPr>
      <w:r>
        <w:rPr>
          <w:rFonts w:ascii="Arial" w:cs="Arial" w:eastAsia="Arial" w:hAnsi="Arial"/>
          <w:sz w:val="14"/>
          <w:szCs w:val="14"/>
          <w:u w:val="single" w:color="auto"/>
          <w:color w:val="auto"/>
        </w:rPr>
        <w:t>Loan commitments</w:t>
      </w:r>
      <w:r>
        <w:rPr>
          <w:rFonts w:ascii="Arial" w:cs="Arial" w:eastAsia="Arial" w:hAnsi="Arial"/>
          <w:sz w:val="14"/>
          <w:szCs w:val="14"/>
          <w:color w:val="auto"/>
        </w:rPr>
        <w:t xml:space="preserve"> – include revolving lines of credit, non-revolving lines of credit, and loans approved that are not yet funded. Risks inherent to revolving lines of credit often are related to the susceptibility of an individual or business experiencing unpredictable cash flow or financial troubles, thus leading to payment default. The primary risk associated with non-revolving lines of credit is the diversion of funds for other expenditures.</w:t>
      </w:r>
    </w:p>
    <w:p>
      <w:pPr>
        <w:spacing w:after="0" w:line="174" w:lineRule="exact"/>
        <w:rPr>
          <w:sz w:val="20"/>
          <w:szCs w:val="20"/>
          <w:color w:val="auto"/>
        </w:rPr>
      </w:pPr>
    </w:p>
    <w:p>
      <w:pPr>
        <w:ind w:left="1040" w:right="839"/>
        <w:spacing w:after="0" w:line="308" w:lineRule="auto"/>
        <w:rPr>
          <w:sz w:val="20"/>
          <w:szCs w:val="20"/>
          <w:color w:val="auto"/>
        </w:rPr>
      </w:pPr>
      <w:r>
        <w:rPr>
          <w:rFonts w:ascii="Arial" w:cs="Arial" w:eastAsia="Arial" w:hAnsi="Arial"/>
          <w:sz w:val="14"/>
          <w:szCs w:val="14"/>
          <w:u w:val="single" w:color="auto"/>
          <w:color w:val="auto"/>
        </w:rPr>
        <w:t>Letters of credit</w:t>
      </w:r>
      <w:r>
        <w:rPr>
          <w:rFonts w:ascii="Arial" w:cs="Arial" w:eastAsia="Arial" w:hAnsi="Arial"/>
          <w:sz w:val="14"/>
          <w:szCs w:val="14"/>
          <w:color w:val="auto"/>
        </w:rPr>
        <w:t xml:space="preserve"> – are primarily established to provide assurance to the beneficiary that the applicant will perform certain obligations arising out of a separate transaction between the beneficiary and applicant. If the obligation is not met, it gives the beneficiary the right to draw on the letter of credit.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9019"/>
          </w:cols>
          <w:pgMar w:left="1440" w:top="460" w:right="1440" w:bottom="1440" w:gutter="0" w:footer="0" w:header="0"/>
        </w:sectPr>
      </w:pPr>
    </w:p>
    <w:bookmarkStart w:id="36" w:name="page37"/>
    <w:bookmarkEnd w:id="36"/>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520"/>
        <w:spacing w:after="0"/>
        <w:tabs>
          <w:tab w:leader="none" w:pos="1520" w:val="left"/>
        </w:tabs>
        <w:rPr>
          <w:sz w:val="20"/>
          <w:szCs w:val="20"/>
          <w:color w:val="auto"/>
        </w:rPr>
      </w:pPr>
      <w:r>
        <w:rPr>
          <w:rFonts w:ascii="Arial" w:cs="Arial" w:eastAsia="Arial" w:hAnsi="Arial"/>
          <w:sz w:val="17"/>
          <w:szCs w:val="17"/>
          <w:b w:val="1"/>
          <w:bCs w:val="1"/>
          <w:color w:val="auto"/>
        </w:rPr>
        <w:t>Note 5:</w:t>
      </w:r>
      <w:r>
        <w:rPr>
          <w:sz w:val="20"/>
          <w:szCs w:val="20"/>
          <w:color w:val="auto"/>
        </w:rPr>
        <w:tab/>
      </w:r>
      <w:r>
        <w:rPr>
          <w:rFonts w:ascii="Arial" w:cs="Arial" w:eastAsia="Arial" w:hAnsi="Arial"/>
          <w:sz w:val="15"/>
          <w:szCs w:val="15"/>
          <w:b w:val="1"/>
          <w:bCs w:val="1"/>
          <w:color w:val="auto"/>
        </w:rPr>
        <w:t>Derivatives and Hedging</w:t>
      </w:r>
    </w:p>
    <w:p>
      <w:pPr>
        <w:spacing w:after="0" w:line="178" w:lineRule="exact"/>
        <w:rPr>
          <w:sz w:val="20"/>
          <w:szCs w:val="20"/>
          <w:color w:val="auto"/>
        </w:rPr>
      </w:pPr>
    </w:p>
    <w:p>
      <w:pPr>
        <w:ind w:left="660" w:right="679" w:firstLine="384"/>
        <w:spacing w:after="0" w:line="301" w:lineRule="auto"/>
        <w:rPr>
          <w:sz w:val="20"/>
          <w:szCs w:val="20"/>
          <w:color w:val="auto"/>
        </w:rPr>
      </w:pPr>
      <w:r>
        <w:rPr>
          <w:rFonts w:ascii="Arial" w:cs="Arial" w:eastAsia="Arial" w:hAnsi="Arial"/>
          <w:sz w:val="14"/>
          <w:szCs w:val="14"/>
          <w:color w:val="auto"/>
        </w:rPr>
        <w:t>The Company is exposed to certain risks arising from both its business operations and economic conditions, including interest rate, liquidity, and credit risk. The Company uses derivative financial instruments as part of its risk management activities to manage exposures that arise from business activities that result in the receipt or payment of future known and uncertain cash amounts, the value of which are determined by interest rates.</w:t>
      </w:r>
    </w:p>
    <w:p>
      <w:pPr>
        <w:spacing w:after="0" w:line="142" w:lineRule="exact"/>
        <w:rPr>
          <w:sz w:val="20"/>
          <w:szCs w:val="20"/>
          <w:color w:val="auto"/>
        </w:rPr>
      </w:pPr>
    </w:p>
    <w:p>
      <w:pPr>
        <w:ind w:left="640"/>
        <w:spacing w:after="0"/>
        <w:rPr>
          <w:sz w:val="20"/>
          <w:szCs w:val="20"/>
          <w:color w:val="auto"/>
        </w:rPr>
      </w:pPr>
      <w:r>
        <w:rPr>
          <w:rFonts w:ascii="Arial" w:cs="Arial" w:eastAsia="Arial" w:hAnsi="Arial"/>
          <w:sz w:val="14"/>
          <w:szCs w:val="14"/>
          <w:u w:val="single" w:color="auto"/>
          <w:color w:val="auto"/>
        </w:rPr>
        <w:t>Cash Flow Hedges of Interest Rate Risk</w:t>
      </w:r>
    </w:p>
    <w:p>
      <w:pPr>
        <w:spacing w:after="0" w:line="170" w:lineRule="exact"/>
        <w:rPr>
          <w:sz w:val="20"/>
          <w:szCs w:val="20"/>
          <w:color w:val="auto"/>
        </w:rPr>
      </w:pPr>
    </w:p>
    <w:p>
      <w:pPr>
        <w:ind w:left="660" w:right="639" w:firstLine="384"/>
        <w:spacing w:after="0" w:line="325" w:lineRule="auto"/>
        <w:rPr>
          <w:sz w:val="20"/>
          <w:szCs w:val="20"/>
          <w:color w:val="auto"/>
        </w:rPr>
      </w:pPr>
      <w:r>
        <w:rPr>
          <w:rFonts w:ascii="Arial" w:cs="Arial" w:eastAsia="Arial" w:hAnsi="Arial"/>
          <w:sz w:val="13"/>
          <w:szCs w:val="13"/>
          <w:color w:val="auto"/>
        </w:rPr>
        <w:t>The Company uses interest rate derivatives to add stability to interest expense and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During 2021, the Company entered into forward-looking derivatives that will be used to hedge variable cash flows associated with variable-rate funding. These 5 swaps had an aggregate notional amount of $100 million at June 30, 2022 and December 31, 2021. The derivatives have various maturities ranging from August 2025 to May 2029.</w:t>
      </w:r>
    </w:p>
    <w:p>
      <w:pPr>
        <w:spacing w:after="0" w:line="162" w:lineRule="exact"/>
        <w:rPr>
          <w:sz w:val="20"/>
          <w:szCs w:val="20"/>
          <w:color w:val="auto"/>
        </w:rPr>
      </w:pPr>
    </w:p>
    <w:p>
      <w:pPr>
        <w:ind w:left="660" w:right="599" w:firstLine="384"/>
        <w:spacing w:after="0" w:line="297" w:lineRule="auto"/>
        <w:rPr>
          <w:sz w:val="20"/>
          <w:szCs w:val="20"/>
          <w:color w:val="auto"/>
        </w:rPr>
      </w:pPr>
      <w:r>
        <w:rPr>
          <w:rFonts w:ascii="Arial" w:cs="Arial" w:eastAsia="Arial" w:hAnsi="Arial"/>
          <w:sz w:val="14"/>
          <w:szCs w:val="14"/>
          <w:color w:val="auto"/>
        </w:rPr>
        <w:t>For derivatives designated and that qualify as cash flow hedges of interest rate risk, the gain or loss on the derivative is recorded in Accumulated Other Comprehensive Income (Loss) (“AOCI”) and subsequently reclassified into interest expense in the same period(s) during which the hedged transaction affects earnings. Amounts reported in AOCI related to derivatives will be reclassified to interest expense as interest payments are made on the Company’s related, variable -rate debt. During the next twelve months, the Company estimates that no amount will be reclassified as a reduction to interest expense.</w:t>
      </w:r>
    </w:p>
    <w:p>
      <w:pPr>
        <w:spacing w:after="0" w:line="177" w:lineRule="exact"/>
        <w:rPr>
          <w:sz w:val="20"/>
          <w:szCs w:val="20"/>
          <w:color w:val="auto"/>
        </w:rPr>
      </w:pPr>
    </w:p>
    <w:p>
      <w:pPr>
        <w:ind w:left="660" w:right="619" w:firstLine="384"/>
        <w:spacing w:after="0" w:line="308" w:lineRule="auto"/>
        <w:rPr>
          <w:sz w:val="20"/>
          <w:szCs w:val="20"/>
          <w:color w:val="auto"/>
        </w:rPr>
      </w:pPr>
      <w:r>
        <w:rPr>
          <w:rFonts w:ascii="Arial" w:cs="Arial" w:eastAsia="Arial" w:hAnsi="Arial"/>
          <w:sz w:val="14"/>
          <w:szCs w:val="14"/>
          <w:color w:val="auto"/>
        </w:rPr>
        <w:t>The Company’s derivative financial instruments have different effective dates with the first derivative effective in August 2023. As a result, the derivative financial instruments did not impact the Condensed Consolidated Statements of Income for the three- and six-month periods ended June 30, 2022.</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14"/>
          <w:szCs w:val="14"/>
          <w:u w:val="single" w:color="auto"/>
          <w:color w:val="auto"/>
        </w:rPr>
        <w:t>Non-designated Hedges</w:t>
      </w:r>
    </w:p>
    <w:p>
      <w:pPr>
        <w:spacing w:after="0" w:line="191" w:lineRule="exact"/>
        <w:rPr>
          <w:sz w:val="20"/>
          <w:szCs w:val="20"/>
          <w:color w:val="auto"/>
        </w:rPr>
      </w:pPr>
    </w:p>
    <w:p>
      <w:pPr>
        <w:ind w:left="660" w:right="659" w:firstLine="384"/>
        <w:spacing w:after="0" w:line="298" w:lineRule="auto"/>
        <w:rPr>
          <w:sz w:val="20"/>
          <w:szCs w:val="20"/>
          <w:color w:val="auto"/>
        </w:rPr>
      </w:pPr>
      <w:r>
        <w:rPr>
          <w:rFonts w:ascii="Arial" w:cs="Arial" w:eastAsia="Arial" w:hAnsi="Arial"/>
          <w:sz w:val="14"/>
          <w:szCs w:val="14"/>
          <w:color w:val="auto"/>
        </w:rPr>
        <w:t>Derivatives not designated as hedges are not speculative and result from a service provided to clients. The Company executes interest rate swaps with customers to facilitate their respective risk management strategies. Those interest rate swaps are simultaneously hedged by offsetting derivatives that the Company executes with a third-party, such that the Company minimizes its net risk exposure resulting from such transactions. Interest rate derivatives associated with this program do not meet the strict hedge accounting requirements and changes in the fair value of both the customer derivatives and the offsetting derivatives are recognized directly in earnings.</w:t>
      </w:r>
    </w:p>
    <w:p>
      <w:pPr>
        <w:spacing w:after="0" w:line="177" w:lineRule="exact"/>
        <w:rPr>
          <w:sz w:val="20"/>
          <w:szCs w:val="20"/>
          <w:color w:val="auto"/>
        </w:rPr>
      </w:pPr>
    </w:p>
    <w:p>
      <w:pPr>
        <w:ind w:left="660" w:right="639" w:firstLine="384"/>
        <w:spacing w:after="0" w:line="341" w:lineRule="auto"/>
        <w:rPr>
          <w:sz w:val="20"/>
          <w:szCs w:val="20"/>
          <w:color w:val="auto"/>
        </w:rPr>
      </w:pPr>
      <w:r>
        <w:rPr>
          <w:rFonts w:ascii="Arial" w:cs="Arial" w:eastAsia="Arial" w:hAnsi="Arial"/>
          <w:sz w:val="13"/>
          <w:szCs w:val="13"/>
          <w:color w:val="auto"/>
        </w:rPr>
        <w:t>Swap fees earned upon origination and credit valuation adjustments that represent the risk of a counterparty’s default are reported on the Consolidated Statements of Income as swap fee income, net. The effect of the Company’s derivative financial instruments gain (loss) are reported on the Consolidated Statements of Cash Flows within “other assets” and “other liabilities”.</w:t>
      </w:r>
    </w:p>
    <w:p>
      <w:pPr>
        <w:spacing w:after="0" w:line="152" w:lineRule="exact"/>
        <w:rPr>
          <w:sz w:val="20"/>
          <w:szCs w:val="20"/>
          <w:color w:val="auto"/>
        </w:rPr>
      </w:pPr>
    </w:p>
    <w:p>
      <w:pPr>
        <w:ind w:left="660" w:right="739" w:firstLine="384"/>
        <w:spacing w:after="0" w:line="314" w:lineRule="auto"/>
        <w:rPr>
          <w:sz w:val="20"/>
          <w:szCs w:val="20"/>
          <w:color w:val="auto"/>
        </w:rPr>
      </w:pPr>
      <w:r>
        <w:rPr>
          <w:rFonts w:ascii="Arial" w:cs="Arial" w:eastAsia="Arial" w:hAnsi="Arial"/>
          <w:sz w:val="14"/>
          <w:szCs w:val="14"/>
          <w:color w:val="auto"/>
        </w:rPr>
        <w:t>These 52 and 54 swaps had an aggregate notional amount of $ 521 million and $535 million at June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9019"/>
          </w:cols>
          <w:pgMar w:left="1440" w:top="460" w:right="1440" w:bottom="1440" w:gutter="0" w:footer="0" w:header="0"/>
        </w:sectPr>
      </w:pPr>
    </w:p>
    <w:bookmarkStart w:id="37" w:name="page38"/>
    <w:bookmarkEnd w:id="37"/>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4"/>
          <w:szCs w:val="14"/>
          <w:u w:val="single" w:color="auto"/>
          <w:color w:val="auto"/>
        </w:rPr>
        <w:t>Fair Values of Derivative Instruments on the Consolidated Balance Sheets</w:t>
      </w:r>
    </w:p>
    <w:p>
      <w:pPr>
        <w:spacing w:after="0" w:line="14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table below presents the fair value of the Company’s derivative financial instruments and their classification on the</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Consolidated Balance Sheets as of June 30, 2022 and December 31, 2021:</w:t>
      </w:r>
    </w:p>
    <w:p>
      <w:pPr>
        <w:spacing w:after="0" w:line="2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7"/>
              </w:rPr>
              <w:t>Asset Derivatives</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Liability Derivatives</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17"/>
        </w:trPr>
        <w:tc>
          <w:tcPr>
            <w:tcW w:w="1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3"/>
              </w:rPr>
              <w:t>Balance Sheet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ind w:right="89"/>
              <w:spacing w:after="0"/>
              <w:rPr>
                <w:sz w:val="20"/>
                <w:szCs w:val="20"/>
                <w:color w:val="auto"/>
              </w:rPr>
            </w:pPr>
            <w:r>
              <w:rPr>
                <w:rFonts w:ascii="Arial" w:cs="Arial" w:eastAsia="Arial" w:hAnsi="Arial"/>
                <w:sz w:val="14"/>
                <w:szCs w:val="14"/>
                <w:b w:val="1"/>
                <w:bCs w:val="1"/>
                <w:color w:val="auto"/>
                <w:w w:val="90"/>
              </w:rPr>
              <w:t>December 31,</w:t>
            </w:r>
          </w:p>
        </w:tc>
      </w:tr>
      <w:tr>
        <w:trPr>
          <w:trHeight w:val="164"/>
        </w:trPr>
        <w:tc>
          <w:tcPr>
            <w:tcW w:w="1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Location</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2021</w:t>
            </w:r>
          </w:p>
        </w:tc>
      </w:tr>
      <w:tr>
        <w:trPr>
          <w:trHeight w:val="196"/>
        </w:trPr>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20" w:type="dxa"/>
            <w:vAlign w:val="bottom"/>
            <w:gridSpan w:val="3"/>
          </w:tcPr>
          <w:p>
            <w:pPr>
              <w:jc w:val="right"/>
              <w:ind w:right="309"/>
              <w:spacing w:after="0"/>
              <w:rPr>
                <w:sz w:val="20"/>
                <w:szCs w:val="20"/>
                <w:color w:val="auto"/>
              </w:rPr>
            </w:pPr>
            <w:r>
              <w:rPr>
                <w:rFonts w:ascii="Arial" w:cs="Arial" w:eastAsia="Arial" w:hAnsi="Arial"/>
                <w:sz w:val="13"/>
                <w:szCs w:val="13"/>
                <w:i w:val="1"/>
                <w:iCs w:val="1"/>
                <w:color w:val="auto"/>
              </w:rPr>
              <w:t>(Dollars in thousands)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9"/>
        </w:trPr>
        <w:tc>
          <w:tcPr>
            <w:tcW w:w="22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Interest rate products:</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14"/>
        </w:trPr>
        <w:tc>
          <w:tcPr>
            <w:tcW w:w="1300" w:type="dxa"/>
            <w:vAlign w:val="bottom"/>
          </w:tcPr>
          <w:p>
            <w:pPr>
              <w:spacing w:after="0"/>
              <w:rPr>
                <w:sz w:val="20"/>
                <w:szCs w:val="20"/>
                <w:color w:val="auto"/>
              </w:rPr>
            </w:pPr>
            <w:r>
              <w:rPr>
                <w:rFonts w:ascii="Arial" w:cs="Arial" w:eastAsia="Arial" w:hAnsi="Arial"/>
                <w:sz w:val="14"/>
                <w:szCs w:val="14"/>
                <w:color w:val="auto"/>
              </w:rPr>
              <w:t>Derivatives not</w:t>
            </w: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gridSpan w:val="2"/>
          </w:tcPr>
          <w:p>
            <w:pPr>
              <w:jc w:val="right"/>
              <w:ind w:right="9"/>
              <w:spacing w:after="0"/>
              <w:rPr>
                <w:sz w:val="20"/>
                <w:szCs w:val="20"/>
                <w:color w:val="auto"/>
              </w:rPr>
            </w:pPr>
            <w:r>
              <w:rPr>
                <w:rFonts w:ascii="Arial" w:cs="Arial" w:eastAsia="Arial" w:hAnsi="Arial"/>
                <w:sz w:val="14"/>
                <w:szCs w:val="14"/>
                <w:color w:val="auto"/>
                <w:w w:val="94"/>
              </w:rPr>
              <w:t>Interest payable</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71"/>
        </w:trPr>
        <w:tc>
          <w:tcPr>
            <w:tcW w:w="1300" w:type="dxa"/>
            <w:vAlign w:val="bottom"/>
          </w:tcPr>
          <w:p>
            <w:pPr>
              <w:spacing w:after="0"/>
              <w:rPr>
                <w:sz w:val="20"/>
                <w:szCs w:val="20"/>
                <w:color w:val="auto"/>
              </w:rPr>
            </w:pPr>
            <w:r>
              <w:rPr>
                <w:rFonts w:ascii="Arial" w:cs="Arial" w:eastAsia="Arial" w:hAnsi="Arial"/>
                <w:sz w:val="14"/>
                <w:szCs w:val="14"/>
                <w:color w:val="auto"/>
                <w:w w:val="90"/>
              </w:rPr>
              <w:t>designated as hedging</w:t>
            </w:r>
          </w:p>
        </w:tc>
        <w:tc>
          <w:tcPr>
            <w:tcW w:w="940" w:type="dxa"/>
            <w:vAlign w:val="bottom"/>
            <w:gridSpan w:val="2"/>
          </w:tcPr>
          <w:p>
            <w:pPr>
              <w:jc w:val="right"/>
              <w:ind w:right="169"/>
              <w:spacing w:after="0"/>
              <w:rPr>
                <w:sz w:val="20"/>
                <w:szCs w:val="20"/>
                <w:color w:val="auto"/>
              </w:rPr>
            </w:pPr>
            <w:r>
              <w:rPr>
                <w:rFonts w:ascii="Arial" w:cs="Arial" w:eastAsia="Arial" w:hAnsi="Arial"/>
                <w:sz w:val="14"/>
                <w:szCs w:val="14"/>
                <w:color w:val="auto"/>
                <w:w w:val="85"/>
              </w:rPr>
              <w:t>Other assets</w:t>
            </w: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5,873</w:t>
            </w:r>
          </w:p>
        </w:tc>
        <w:tc>
          <w:tcPr>
            <w:tcW w:w="4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11,305</w:t>
            </w:r>
          </w:p>
        </w:tc>
        <w:tc>
          <w:tcPr>
            <w:tcW w:w="1040" w:type="dxa"/>
            <w:vAlign w:val="bottom"/>
            <w:gridSpan w:val="2"/>
          </w:tcPr>
          <w:p>
            <w:pPr>
              <w:jc w:val="right"/>
              <w:ind w:right="369"/>
              <w:spacing w:after="0"/>
              <w:rPr>
                <w:sz w:val="20"/>
                <w:szCs w:val="20"/>
                <w:color w:val="auto"/>
              </w:rPr>
            </w:pPr>
            <w:r>
              <w:rPr>
                <w:rFonts w:ascii="Arial" w:cs="Arial" w:eastAsia="Arial" w:hAnsi="Arial"/>
                <w:sz w:val="14"/>
                <w:szCs w:val="14"/>
                <w:color w:val="auto"/>
                <w:w w:val="97"/>
              </w:rPr>
              <w:t>and other</w:t>
            </w: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5,875</w:t>
            </w:r>
          </w:p>
        </w:tc>
        <w:tc>
          <w:tcPr>
            <w:tcW w:w="4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11,322</w:t>
            </w:r>
          </w:p>
        </w:tc>
      </w:tr>
      <w:tr>
        <w:trPr>
          <w:trHeight w:val="180"/>
        </w:trPr>
        <w:tc>
          <w:tcPr>
            <w:tcW w:w="1300" w:type="dxa"/>
            <w:vAlign w:val="bottom"/>
          </w:tcPr>
          <w:p>
            <w:pPr>
              <w:spacing w:after="0"/>
              <w:rPr>
                <w:sz w:val="20"/>
                <w:szCs w:val="20"/>
                <w:color w:val="auto"/>
              </w:rPr>
            </w:pPr>
            <w:r>
              <w:rPr>
                <w:rFonts w:ascii="Arial" w:cs="Arial" w:eastAsia="Arial" w:hAnsi="Arial"/>
                <w:sz w:val="14"/>
                <w:szCs w:val="14"/>
                <w:color w:val="auto"/>
              </w:rPr>
              <w:t>instruments</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gridSpan w:val="2"/>
          </w:tcPr>
          <w:p>
            <w:pPr>
              <w:jc w:val="right"/>
              <w:ind w:right="369"/>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3"/>
        </w:trPr>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Derivatives</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86"/>
              </w:rPr>
              <w:t>Interest payable</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160"/>
        </w:trPr>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w w:val="87"/>
              </w:rPr>
              <w:t>designated as hedging</w:t>
            </w: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80"/>
              </w:rPr>
              <w:t>Other assets</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3,475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84"/>
              </w:rPr>
              <w:t>and other</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565</w:t>
            </w:r>
          </w:p>
        </w:tc>
      </w:tr>
      <w:tr>
        <w:trPr>
          <w:trHeight w:val="160"/>
        </w:trPr>
        <w:tc>
          <w:tcPr>
            <w:tcW w:w="1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instruments</w:t>
            </w: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94"/>
              </w:rPr>
              <w:t>liabilities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85"/>
        </w:trPr>
        <w:tc>
          <w:tcPr>
            <w:tcW w:w="13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980" w:type="dxa"/>
            <w:vAlign w:val="bottom"/>
            <w:tcBorders>
              <w:bottom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80" w:type="dxa"/>
            <w:vAlign w:val="bottom"/>
            <w:gridSpan w:val="2"/>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tcBorders>
              <w:bottom w:val="single" w:sz="8" w:color="auto"/>
            </w:tcBorders>
            <w:shd w:val="clear" w:color="auto" w:fill="CCEEFF"/>
          </w:tcPr>
          <w:p>
            <w:pPr>
              <w:spacing w:after="0"/>
              <w:rPr>
                <w:sz w:val="7"/>
                <w:szCs w:val="7"/>
                <w:color w:val="auto"/>
              </w:rPr>
            </w:pPr>
          </w:p>
        </w:tc>
        <w:tc>
          <w:tcPr>
            <w:tcW w:w="1000" w:type="dxa"/>
            <w:vAlign w:val="bottom"/>
            <w:tcBorders>
              <w:bottom w:val="single" w:sz="8" w:color="auto"/>
            </w:tcBorders>
            <w:shd w:val="clear" w:color="auto" w:fill="CCEEFF"/>
          </w:tcPr>
          <w:p>
            <w:pPr>
              <w:spacing w:after="0"/>
              <w:rPr>
                <w:sz w:val="7"/>
                <w:szCs w:val="7"/>
                <w:color w:val="auto"/>
              </w:rPr>
            </w:pPr>
          </w:p>
        </w:tc>
      </w:tr>
      <w:tr>
        <w:trPr>
          <w:trHeight w:val="183"/>
        </w:trPr>
        <w:tc>
          <w:tcPr>
            <w:tcW w:w="1300" w:type="dxa"/>
            <w:vAlign w:val="bottom"/>
          </w:tcPr>
          <w:p>
            <w:pPr>
              <w:ind w:left="180"/>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9,348</w:t>
            </w:r>
          </w:p>
        </w:tc>
        <w:tc>
          <w:tcPr>
            <w:tcW w:w="40" w:type="dxa"/>
            <w:vAlign w:val="bottom"/>
          </w:tcPr>
          <w:p>
            <w:pPr>
              <w:spacing w:after="0"/>
              <w:rPr>
                <w:sz w:val="15"/>
                <w:szCs w:val="15"/>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0"/>
              <w:spacing w:after="0"/>
              <w:rPr>
                <w:sz w:val="20"/>
                <w:szCs w:val="20"/>
                <w:color w:val="auto"/>
              </w:rPr>
            </w:pPr>
            <w:r>
              <w:rPr>
                <w:rFonts w:ascii="Arial" w:cs="Arial" w:eastAsia="Arial" w:hAnsi="Arial"/>
                <w:sz w:val="14"/>
                <w:szCs w:val="14"/>
                <w:color w:val="auto"/>
              </w:rPr>
              <w:t>11,308</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5,875</w:t>
            </w:r>
          </w:p>
        </w:tc>
        <w:tc>
          <w:tcPr>
            <w:tcW w:w="40" w:type="dxa"/>
            <w:vAlign w:val="bottom"/>
          </w:tcPr>
          <w:p>
            <w:pPr>
              <w:spacing w:after="0"/>
              <w:rPr>
                <w:sz w:val="15"/>
                <w:szCs w:val="15"/>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11,887</w:t>
            </w:r>
          </w:p>
        </w:tc>
      </w:tr>
      <w:tr>
        <w:trPr>
          <w:trHeight w:val="20"/>
        </w:trPr>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60" w:right="699" w:firstLine="395"/>
        <w:spacing w:after="0" w:line="314" w:lineRule="auto"/>
        <w:rPr>
          <w:sz w:val="20"/>
          <w:szCs w:val="20"/>
          <w:color w:val="auto"/>
        </w:rPr>
      </w:pPr>
      <w:r>
        <w:rPr>
          <w:rFonts w:ascii="Arial" w:cs="Arial" w:eastAsia="Arial" w:hAnsi="Arial"/>
          <w:sz w:val="14"/>
          <w:szCs w:val="14"/>
          <w:color w:val="auto"/>
        </w:rPr>
        <w:t>The table below presents the effect of cash flow hedge accounting on Accumulated Other Comprehensive Income as of June 30, 2022. The Company had no cash flow hedges for the six-months ended June 30, 2021.</w:t>
      </w:r>
    </w:p>
    <w:p>
      <w:pPr>
        <w:spacing w:after="0" w:line="183"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June 30, 2022</w:t>
      </w:r>
    </w:p>
    <w:p>
      <w:pPr>
        <w:spacing w:after="0" w:line="297"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Location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Gain or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Gain or</w:t>
            </w: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Gain or (Loss)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0"/>
              </w:rPr>
              <w:t>(Loss)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0"/>
              </w:rPr>
              <w:t>(Loss)</w:t>
            </w:r>
          </w:p>
        </w:tc>
      </w:tr>
      <w:tr>
        <w:trPr>
          <w:trHeight w:val="160"/>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89"/>
              </w:rPr>
              <w:t>Recognized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149"/>
              <w:spacing w:after="0"/>
              <w:rPr>
                <w:sz w:val="20"/>
                <w:szCs w:val="20"/>
                <w:color w:val="auto"/>
              </w:rPr>
            </w:pPr>
            <w:r>
              <w:rPr>
                <w:rFonts w:ascii="Arial" w:cs="Arial" w:eastAsia="Arial" w:hAnsi="Arial"/>
                <w:sz w:val="14"/>
                <w:szCs w:val="14"/>
                <w:b w:val="1"/>
                <w:bCs w:val="1"/>
                <w:color w:val="auto"/>
                <w:w w:val="93"/>
              </w:rPr>
              <w:t>Gain or</w:t>
            </w:r>
          </w:p>
        </w:tc>
        <w:tc>
          <w:tcPr>
            <w:tcW w:w="40" w:type="dxa"/>
            <w:vAlign w:val="bottom"/>
          </w:tcPr>
          <w:p>
            <w:pPr>
              <w:spacing w:after="0"/>
              <w:rPr>
                <w:sz w:val="13"/>
                <w:szCs w:val="13"/>
                <w:color w:val="auto"/>
              </w:rPr>
            </w:pPr>
          </w:p>
        </w:tc>
        <w:tc>
          <w:tcPr>
            <w:tcW w:w="90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5"/>
              </w:rPr>
              <w:t>Reclassified</w:t>
            </w:r>
          </w:p>
        </w:tc>
        <w:tc>
          <w:tcPr>
            <w:tcW w:w="40" w:type="dxa"/>
            <w:vAlign w:val="bottom"/>
          </w:tcPr>
          <w:p>
            <w:pPr>
              <w:spacing w:after="0"/>
              <w:rPr>
                <w:sz w:val="13"/>
                <w:szCs w:val="13"/>
                <w:color w:val="auto"/>
              </w:rPr>
            </w:pPr>
          </w:p>
        </w:tc>
        <w:tc>
          <w:tcPr>
            <w:tcW w:w="90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5"/>
              </w:rPr>
              <w:t>Reclassified</w:t>
            </w:r>
          </w:p>
        </w:tc>
      </w:tr>
      <w:tr>
        <w:trPr>
          <w:trHeight w:val="160"/>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Gain or</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29"/>
              <w:spacing w:after="0"/>
              <w:rPr>
                <w:sz w:val="20"/>
                <w:szCs w:val="20"/>
                <w:color w:val="auto"/>
              </w:rPr>
            </w:pPr>
            <w:r>
              <w:rPr>
                <w:rFonts w:ascii="Arial" w:cs="Arial" w:eastAsia="Arial" w:hAnsi="Arial"/>
                <w:sz w:val="14"/>
                <w:szCs w:val="14"/>
                <w:b w:val="1"/>
                <w:bCs w:val="1"/>
                <w:color w:val="auto"/>
                <w:w w:val="97"/>
              </w:rPr>
              <w:t>Gain or</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96"/>
              </w:rPr>
              <w:t>from</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149"/>
              <w:spacing w:after="0"/>
              <w:rPr>
                <w:sz w:val="20"/>
                <w:szCs w:val="20"/>
                <w:color w:val="auto"/>
              </w:rPr>
            </w:pPr>
            <w:r>
              <w:rPr>
                <w:rFonts w:ascii="Arial" w:cs="Arial" w:eastAsia="Arial" w:hAnsi="Arial"/>
                <w:sz w:val="14"/>
                <w:szCs w:val="14"/>
                <w:b w:val="1"/>
                <w:bCs w:val="1"/>
                <w:color w:val="auto"/>
                <w:w w:val="90"/>
              </w:rPr>
              <w:t>(Loss)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from</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6"/>
              </w:rPr>
              <w:t>from</w:t>
            </w: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69"/>
              <w:spacing w:after="0"/>
              <w:rPr>
                <w:sz w:val="20"/>
                <w:szCs w:val="20"/>
                <w:color w:val="auto"/>
              </w:rPr>
            </w:pPr>
            <w:r>
              <w:rPr>
                <w:rFonts w:ascii="Arial" w:cs="Arial" w:eastAsia="Arial" w:hAnsi="Arial"/>
                <w:sz w:val="14"/>
                <w:szCs w:val="14"/>
                <w:b w:val="1"/>
                <w:bCs w:val="1"/>
                <w:color w:val="auto"/>
                <w:w w:val="93"/>
              </w:rPr>
              <w:t>Gain or</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(Loss)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29"/>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Reclassified</w:t>
            </w:r>
          </w:p>
        </w:tc>
        <w:tc>
          <w:tcPr>
            <w:tcW w:w="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r>
      <w:tr>
        <w:trPr>
          <w:trHeight w:val="160"/>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center"/>
              <w:ind w:right="49"/>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82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149"/>
              <w:spacing w:after="0"/>
              <w:rPr>
                <w:sz w:val="20"/>
                <w:szCs w:val="20"/>
                <w:color w:val="auto"/>
              </w:rPr>
            </w:pPr>
            <w:r>
              <w:rPr>
                <w:rFonts w:ascii="Arial" w:cs="Arial" w:eastAsia="Arial" w:hAnsi="Arial"/>
                <w:sz w:val="14"/>
                <w:szCs w:val="14"/>
                <w:b w:val="1"/>
                <w:bCs w:val="1"/>
                <w:color w:val="auto"/>
                <w:w w:val="96"/>
              </w:rPr>
              <w:t>from</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9"/>
              </w:rPr>
              <w:t>OCI into</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9"/>
              </w:rPr>
              <w:t>OCI into</w:t>
            </w:r>
          </w:p>
        </w:tc>
      </w:tr>
      <w:tr>
        <w:trPr>
          <w:trHeight w:val="160"/>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Recognized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89"/>
              <w:spacing w:after="0"/>
              <w:rPr>
                <w:sz w:val="20"/>
                <w:szCs w:val="20"/>
                <w:color w:val="auto"/>
              </w:rPr>
            </w:pPr>
            <w:r>
              <w:rPr>
                <w:rFonts w:ascii="Arial" w:cs="Arial" w:eastAsia="Arial" w:hAnsi="Arial"/>
                <w:sz w:val="14"/>
                <w:szCs w:val="14"/>
                <w:b w:val="1"/>
                <w:bCs w:val="1"/>
                <w:color w:val="auto"/>
              </w:rPr>
              <w:t>in OCI</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49"/>
              <w:spacing w:after="0"/>
              <w:rPr>
                <w:sz w:val="20"/>
                <w:szCs w:val="20"/>
                <w:color w:val="auto"/>
              </w:rPr>
            </w:pPr>
            <w:r>
              <w:rPr>
                <w:rFonts w:ascii="Arial" w:cs="Arial" w:eastAsia="Arial" w:hAnsi="Arial"/>
                <w:sz w:val="14"/>
                <w:szCs w:val="14"/>
                <w:b w:val="1"/>
                <w:bCs w:val="1"/>
                <w:color w:val="auto"/>
              </w:rPr>
              <w:t>in OCI</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29"/>
              <w:spacing w:after="0"/>
              <w:rPr>
                <w:sz w:val="20"/>
                <w:szCs w:val="20"/>
                <w:color w:val="auto"/>
              </w:rPr>
            </w:pPr>
            <w:r>
              <w:rPr>
                <w:rFonts w:ascii="Arial" w:cs="Arial" w:eastAsia="Arial" w:hAnsi="Arial"/>
                <w:sz w:val="14"/>
                <w:szCs w:val="14"/>
                <w:b w:val="1"/>
                <w:bCs w:val="1"/>
                <w:color w:val="auto"/>
                <w:w w:val="89"/>
              </w:rPr>
              <w:t>Income</w:t>
            </w: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49"/>
              <w:spacing w:after="0"/>
              <w:rPr>
                <w:sz w:val="20"/>
                <w:szCs w:val="20"/>
                <w:color w:val="auto"/>
              </w:rPr>
            </w:pPr>
            <w:r>
              <w:rPr>
                <w:rFonts w:ascii="Arial" w:cs="Arial" w:eastAsia="Arial" w:hAnsi="Arial"/>
                <w:sz w:val="14"/>
                <w:szCs w:val="14"/>
                <w:b w:val="1"/>
                <w:bCs w:val="1"/>
                <w:color w:val="auto"/>
                <w:w w:val="96"/>
              </w:rPr>
              <w:t>in OCI 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9"/>
              <w:spacing w:after="0"/>
              <w:rPr>
                <w:sz w:val="20"/>
                <w:szCs w:val="20"/>
                <w:color w:val="auto"/>
              </w:rPr>
            </w:pPr>
            <w:r>
              <w:rPr>
                <w:rFonts w:ascii="Arial" w:cs="Arial" w:eastAsia="Arial" w:hAnsi="Arial"/>
                <w:sz w:val="14"/>
                <w:szCs w:val="14"/>
                <w:b w:val="1"/>
                <w:bCs w:val="1"/>
                <w:color w:val="auto"/>
                <w:w w:val="93"/>
              </w:rPr>
              <w:t>Included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9"/>
              <w:spacing w:after="0"/>
              <w:rPr>
                <w:sz w:val="20"/>
                <w:szCs w:val="20"/>
                <w:color w:val="auto"/>
              </w:rPr>
            </w:pPr>
            <w:r>
              <w:rPr>
                <w:rFonts w:ascii="Arial" w:cs="Arial" w:eastAsia="Arial" w:hAnsi="Arial"/>
                <w:sz w:val="14"/>
                <w:szCs w:val="14"/>
                <w:b w:val="1"/>
                <w:bCs w:val="1"/>
                <w:color w:val="auto"/>
                <w:w w:val="93"/>
              </w:rPr>
              <w:t>Excluded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Income into</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149"/>
              <w:spacing w:after="0"/>
              <w:rPr>
                <w:sz w:val="20"/>
                <w:szCs w:val="20"/>
                <w:color w:val="auto"/>
              </w:rPr>
            </w:pPr>
            <w:r>
              <w:rPr>
                <w:rFonts w:ascii="Arial" w:cs="Arial" w:eastAsia="Arial" w:hAnsi="Arial"/>
                <w:sz w:val="14"/>
                <w:szCs w:val="14"/>
                <w:b w:val="1"/>
                <w:bCs w:val="1"/>
                <w:color w:val="auto"/>
                <w:w w:val="99"/>
              </w:rPr>
              <w:t>OCI into</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Included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09"/>
              <w:spacing w:after="0"/>
              <w:rPr>
                <w:sz w:val="20"/>
                <w:szCs w:val="20"/>
                <w:color w:val="auto"/>
              </w:rPr>
            </w:pPr>
            <w:r>
              <w:rPr>
                <w:rFonts w:ascii="Arial" w:cs="Arial" w:eastAsia="Arial" w:hAnsi="Arial"/>
                <w:sz w:val="14"/>
                <w:szCs w:val="14"/>
                <w:b w:val="1"/>
                <w:bCs w:val="1"/>
                <w:color w:val="auto"/>
                <w:w w:val="93"/>
              </w:rPr>
              <w:t>Excluded</w:t>
            </w:r>
          </w:p>
        </w:tc>
      </w:tr>
      <w:tr>
        <w:trPr>
          <w:trHeight w:val="164"/>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4"/>
                <w:szCs w:val="14"/>
                <w:color w:val="auto"/>
              </w:rPr>
            </w:pPr>
          </w:p>
        </w:tc>
        <w:tc>
          <w:tcPr>
            <w:tcW w:w="82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89"/>
              </w:rPr>
              <w:t>Component</w:t>
            </w:r>
          </w:p>
        </w:tc>
        <w:tc>
          <w:tcPr>
            <w:tcW w:w="60" w:type="dxa"/>
            <w:vAlign w:val="bottom"/>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Component</w:t>
            </w: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3"/>
              </w:rPr>
              <w:t>Income</w:t>
            </w:r>
          </w:p>
        </w:tc>
        <w:tc>
          <w:tcPr>
            <w:tcW w:w="4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89"/>
              </w:rPr>
              <w:t>Component</w:t>
            </w:r>
          </w:p>
        </w:tc>
        <w:tc>
          <w:tcPr>
            <w:tcW w:w="4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right="9"/>
              <w:spacing w:after="0"/>
              <w:rPr>
                <w:sz w:val="20"/>
                <w:szCs w:val="20"/>
                <w:color w:val="auto"/>
              </w:rPr>
            </w:pPr>
            <w:r>
              <w:rPr>
                <w:rFonts w:ascii="Arial" w:cs="Arial" w:eastAsia="Arial" w:hAnsi="Arial"/>
                <w:sz w:val="14"/>
                <w:szCs w:val="14"/>
                <w:b w:val="1"/>
                <w:bCs w:val="1"/>
                <w:color w:val="auto"/>
                <w:w w:val="89"/>
              </w:rPr>
              <w:t>Component</w:t>
            </w:r>
          </w:p>
        </w:tc>
      </w:tr>
      <w:tr>
        <w:trPr>
          <w:trHeight w:val="17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gridSpan w:val="5"/>
          </w:tcPr>
          <w:p>
            <w:pPr>
              <w:jc w:val="right"/>
              <w:spacing w:after="0"/>
              <w:rPr>
                <w:sz w:val="20"/>
                <w:szCs w:val="20"/>
                <w:color w:val="auto"/>
              </w:rPr>
            </w:pPr>
            <w:r>
              <w:rPr>
                <w:rFonts w:ascii="Arial" w:cs="Arial" w:eastAsia="Arial" w:hAnsi="Arial"/>
                <w:sz w:val="14"/>
                <w:szCs w:val="14"/>
                <w:i w:val="1"/>
                <w:iCs w:val="1"/>
                <w:color w:val="auto"/>
                <w:w w:val="95"/>
              </w:rPr>
              <w:t>(Dollars in thousands)</w:t>
            </w: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3100" w:type="dxa"/>
            <w:vAlign w:val="bottom"/>
            <w:gridSpan w:val="6"/>
            <w:shd w:val="clear" w:color="auto" w:fill="CCEEFF"/>
          </w:tcPr>
          <w:p>
            <w:pPr>
              <w:jc w:val="right"/>
              <w:ind w:right="269"/>
              <w:spacing w:after="0"/>
              <w:rPr>
                <w:sz w:val="20"/>
                <w:szCs w:val="20"/>
                <w:color w:val="auto"/>
              </w:rPr>
            </w:pPr>
            <w:r>
              <w:rPr>
                <w:rFonts w:ascii="Arial" w:cs="Arial" w:eastAsia="Arial" w:hAnsi="Arial"/>
                <w:sz w:val="14"/>
                <w:szCs w:val="14"/>
                <w:color w:val="auto"/>
                <w:w w:val="91"/>
              </w:rPr>
              <w:t>Derivatives in Cash Flow Hedging Relationships</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91"/>
        </w:trPr>
        <w:tc>
          <w:tcPr>
            <w:tcW w:w="1480" w:type="dxa"/>
            <w:vAlign w:val="bottom"/>
            <w:gridSpan w:val="3"/>
          </w:tcPr>
          <w:p>
            <w:pPr>
              <w:spacing w:after="0"/>
              <w:rPr>
                <w:sz w:val="20"/>
                <w:szCs w:val="20"/>
                <w:color w:val="auto"/>
              </w:rPr>
            </w:pPr>
            <w:r>
              <w:rPr>
                <w:rFonts w:ascii="Arial" w:cs="Arial" w:eastAsia="Arial" w:hAnsi="Arial"/>
                <w:sz w:val="14"/>
                <w:szCs w:val="14"/>
                <w:color w:val="auto"/>
                <w:w w:val="94"/>
              </w:rPr>
              <w:t>Interest Rate Products  $</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3,475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3,475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88"/>
              </w:rPr>
              <w:t>Interest expense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9019"/>
          </w:cols>
          <w:pgMar w:left="1440" w:top="460" w:right="1440" w:bottom="1440" w:gutter="0" w:footer="0" w:header="0"/>
        </w:sectPr>
      </w:pPr>
    </w:p>
    <w:bookmarkStart w:id="38" w:name="page39"/>
    <w:bookmarkEnd w:id="38"/>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6:</w:t>
      </w:r>
      <w:r>
        <w:rPr>
          <w:sz w:val="20"/>
          <w:szCs w:val="20"/>
          <w:color w:val="auto"/>
        </w:rPr>
        <w:tab/>
      </w:r>
      <w:r>
        <w:rPr>
          <w:rFonts w:ascii="Arial" w:cs="Arial" w:eastAsia="Arial" w:hAnsi="Arial"/>
          <w:sz w:val="15"/>
          <w:szCs w:val="15"/>
          <w:b w:val="1"/>
          <w:bCs w:val="1"/>
          <w:color w:val="auto"/>
        </w:rPr>
        <w:t>Time Deposits and Borrowings</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scheduled maturities, excluding interest, of the Company’s borrowings at June 30, 2022 were as follows:</w:t>
      </w:r>
    </w:p>
    <w:p>
      <w:pPr>
        <w:spacing w:after="0" w:line="48"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275"/>
        </w:trPr>
        <w:tc>
          <w:tcPr>
            <w:tcW w:w="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98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rPr>
              <w:t>Within One</w:t>
            </w:r>
          </w:p>
        </w:tc>
        <w:tc>
          <w:tcPr>
            <w:tcW w:w="6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One to Two</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150"/>
              <w:spacing w:after="0"/>
              <w:rPr>
                <w:sz w:val="20"/>
                <w:szCs w:val="20"/>
                <w:color w:val="auto"/>
              </w:rPr>
            </w:pPr>
            <w:r>
              <w:rPr>
                <w:rFonts w:ascii="Arial" w:cs="Arial" w:eastAsia="Arial" w:hAnsi="Arial"/>
                <w:sz w:val="14"/>
                <w:szCs w:val="14"/>
                <w:b w:val="1"/>
                <w:bCs w:val="1"/>
                <w:color w:val="auto"/>
                <w:w w:val="88"/>
              </w:rPr>
              <w:t>Two to</w:t>
            </w:r>
          </w:p>
        </w:tc>
        <w:tc>
          <w:tcPr>
            <w:tcW w:w="140" w:type="dxa"/>
            <w:vAlign w:val="bottom"/>
          </w:tcPr>
          <w:p>
            <w:pPr>
              <w:spacing w:after="0"/>
              <w:rPr>
                <w:sz w:val="23"/>
                <w:szCs w:val="2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Three to</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9"/>
              </w:rPr>
              <w:t>Four to Five</w:t>
            </w:r>
          </w:p>
        </w:tc>
        <w:tc>
          <w:tcPr>
            <w:tcW w:w="100" w:type="dxa"/>
            <w:vAlign w:val="bottom"/>
          </w:tcPr>
          <w:p>
            <w:pPr>
              <w:spacing w:after="0"/>
              <w:rPr>
                <w:sz w:val="23"/>
                <w:szCs w:val="23"/>
                <w:color w:val="auto"/>
              </w:rPr>
            </w:pPr>
          </w:p>
        </w:tc>
        <w:tc>
          <w:tcPr>
            <w:tcW w:w="74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After Five</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164"/>
        </w:trPr>
        <w:tc>
          <w:tcPr>
            <w:tcW w:w="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09"/>
              <w:spacing w:after="0"/>
              <w:rPr>
                <w:sz w:val="20"/>
                <w:szCs w:val="20"/>
                <w:color w:val="auto"/>
              </w:rPr>
            </w:pPr>
            <w:r>
              <w:rPr>
                <w:rFonts w:ascii="Arial" w:cs="Arial" w:eastAsia="Arial" w:hAnsi="Arial"/>
                <w:sz w:val="14"/>
                <w:szCs w:val="14"/>
                <w:b w:val="1"/>
                <w:bCs w:val="1"/>
                <w:color w:val="auto"/>
              </w:rPr>
              <w:t>Year</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89"/>
              <w:spacing w:after="0"/>
              <w:rPr>
                <w:sz w:val="20"/>
                <w:szCs w:val="20"/>
                <w:color w:val="auto"/>
              </w:rPr>
            </w:pPr>
            <w:r>
              <w:rPr>
                <w:rFonts w:ascii="Arial" w:cs="Arial" w:eastAsia="Arial" w:hAnsi="Arial"/>
                <w:sz w:val="14"/>
                <w:szCs w:val="14"/>
                <w:b w:val="1"/>
                <w:bCs w:val="1"/>
                <w:color w:val="auto"/>
                <w:w w:val="94"/>
              </w:rPr>
              <w:t>Years</w:t>
            </w: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Three Years</w:t>
            </w:r>
          </w:p>
        </w:tc>
        <w:tc>
          <w:tcPr>
            <w:tcW w:w="14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Four Years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89"/>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740" w:type="dxa"/>
            <w:vAlign w:val="bottom"/>
          </w:tcPr>
          <w:p>
            <w:pPr>
              <w:jc w:val="right"/>
              <w:ind w:right="189"/>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80"/>
        </w:trPr>
        <w:tc>
          <w:tcPr>
            <w:tcW w:w="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6"/>
          </w:tcPr>
          <w:p>
            <w:pPr>
              <w:jc w:val="center"/>
              <w:ind w:left="450"/>
              <w:spacing w:after="0"/>
              <w:rPr>
                <w:sz w:val="20"/>
                <w:szCs w:val="20"/>
                <w:color w:val="auto"/>
              </w:rPr>
            </w:pPr>
            <w:r>
              <w:rPr>
                <w:rFonts w:ascii="Arial" w:cs="Arial" w:eastAsia="Arial" w:hAnsi="Arial"/>
                <w:sz w:val="13"/>
                <w:szCs w:val="13"/>
                <w:i w:val="1"/>
                <w:iCs w:val="1"/>
                <w:color w:val="auto"/>
                <w:w w:val="91"/>
              </w:rPr>
              <w:t>(Dollars in thousands)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654,313</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68,804</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5,310</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1,806</w:t>
            </w:r>
          </w:p>
        </w:tc>
        <w:tc>
          <w:tcPr>
            <w:tcW w:w="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2,838</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733,071</w:t>
            </w:r>
          </w:p>
        </w:tc>
      </w:tr>
      <w:tr>
        <w:trPr>
          <w:trHeight w:val="171"/>
        </w:trPr>
        <w:tc>
          <w:tcPr>
            <w:tcW w:w="1700" w:type="dxa"/>
            <w:vAlign w:val="bottom"/>
            <w:gridSpan w:val="2"/>
          </w:tcPr>
          <w:p>
            <w:pPr>
              <w:spacing w:after="0"/>
              <w:rPr>
                <w:sz w:val="20"/>
                <w:szCs w:val="20"/>
                <w:color w:val="auto"/>
              </w:rPr>
            </w:pPr>
            <w:r>
              <w:rPr>
                <w:rFonts w:ascii="Arial" w:cs="Arial" w:eastAsia="Arial" w:hAnsi="Arial"/>
                <w:sz w:val="14"/>
                <w:szCs w:val="14"/>
                <w:color w:val="auto"/>
              </w:rPr>
              <w:t>Fed funds purchased &amp;</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1700" w:type="dxa"/>
            <w:vAlign w:val="bottom"/>
            <w:gridSpan w:val="2"/>
          </w:tcPr>
          <w:p>
            <w:pPr>
              <w:spacing w:after="0"/>
              <w:rPr>
                <w:sz w:val="20"/>
                <w:szCs w:val="20"/>
                <w:color w:val="auto"/>
              </w:rPr>
            </w:pPr>
            <w:r>
              <w:rPr>
                <w:rFonts w:ascii="Arial" w:cs="Arial" w:eastAsia="Arial" w:hAnsi="Arial"/>
                <w:sz w:val="14"/>
                <w:szCs w:val="14"/>
                <w:color w:val="auto"/>
              </w:rPr>
              <w:t>repurchase agreements</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6</w:t>
            </w:r>
          </w:p>
        </w:tc>
      </w:tr>
      <w:tr>
        <w:trPr>
          <w:trHeight w:val="181"/>
        </w:trPr>
        <w:tc>
          <w:tcPr>
            <w:tcW w:w="40" w:type="dxa"/>
            <w:vAlign w:val="bottom"/>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FHLB borrowings</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41,500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5,100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110,000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156,600</w:t>
            </w:r>
          </w:p>
        </w:tc>
      </w:tr>
      <w:tr>
        <w:trPr>
          <w:trHeight w:val="181"/>
        </w:trPr>
        <w:tc>
          <w:tcPr>
            <w:tcW w:w="1700" w:type="dxa"/>
            <w:vAlign w:val="bottom"/>
            <w:gridSpan w:val="2"/>
          </w:tcPr>
          <w:p>
            <w:pPr>
              <w:spacing w:after="0"/>
              <w:rPr>
                <w:sz w:val="20"/>
                <w:szCs w:val="20"/>
                <w:color w:val="auto"/>
              </w:rPr>
            </w:pPr>
            <w:r>
              <w:rPr>
                <w:rFonts w:ascii="Arial" w:cs="Arial" w:eastAsia="Arial" w:hAnsi="Arial"/>
                <w:sz w:val="14"/>
                <w:szCs w:val="14"/>
                <w:color w:val="auto"/>
              </w:rPr>
              <w:t>FHLB line of credit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140,000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140,000</w:t>
            </w:r>
          </w:p>
        </w:tc>
      </w:tr>
      <w:tr>
        <w:trPr>
          <w:trHeight w:val="171"/>
        </w:trPr>
        <w:tc>
          <w:tcPr>
            <w:tcW w:w="40" w:type="dxa"/>
            <w:vAlign w:val="bottom"/>
          </w:tcPr>
          <w:p>
            <w:pPr>
              <w:spacing w:after="0"/>
              <w:rPr>
                <w:sz w:val="14"/>
                <w:szCs w:val="14"/>
                <w:color w:val="auto"/>
              </w:rPr>
            </w:pPr>
          </w:p>
        </w:tc>
        <w:tc>
          <w:tcPr>
            <w:tcW w:w="16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4"/>
                <w:szCs w:val="14"/>
                <w:color w:val="auto"/>
                <w:w w:val="96"/>
              </w:rPr>
              <w:t>Trust preferred securities</w:t>
            </w:r>
            <w:r>
              <w:rPr>
                <w:rFonts w:ascii="Arial" w:cs="Arial" w:eastAsia="Arial" w:hAnsi="Arial"/>
                <w:sz w:val="18"/>
                <w:szCs w:val="18"/>
                <w:color w:val="auto"/>
                <w:w w:val="96"/>
                <w:vertAlign w:val="superscript"/>
              </w:rPr>
              <w:t>(1)</w:t>
            </w: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1,035</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1,035</w:t>
            </w:r>
          </w:p>
        </w:tc>
      </w:tr>
      <w:tr>
        <w:trPr>
          <w:trHeight w:val="183"/>
        </w:trPr>
        <w:tc>
          <w:tcPr>
            <w:tcW w:w="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835,819</w:t>
            </w: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68,804</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5,310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6,906</w:t>
            </w:r>
          </w:p>
        </w:tc>
        <w:tc>
          <w:tcPr>
            <w:tcW w:w="20" w:type="dxa"/>
            <w:vAlign w:val="bottom"/>
          </w:tcPr>
          <w:p>
            <w:pPr>
              <w:spacing w:after="0"/>
              <w:rPr>
                <w:sz w:val="15"/>
                <w:szCs w:val="15"/>
                <w:color w:val="auto"/>
              </w:rPr>
            </w:pPr>
          </w:p>
        </w:tc>
        <w:tc>
          <w:tcPr>
            <w:tcW w:w="200" w:type="dxa"/>
            <w:vAlign w:val="bottom"/>
            <w:gridSpan w:val="2"/>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2,838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111,035</w:t>
            </w: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1,030,712</w:t>
            </w:r>
          </w:p>
        </w:tc>
      </w:tr>
      <w:tr>
        <w:trPr>
          <w:trHeight w:val="20"/>
        </w:trPr>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760" w:hanging="129"/>
        <w:spacing w:after="0"/>
        <w:tabs>
          <w:tab w:leader="none" w:pos="760" w:val="left"/>
        </w:tabs>
        <w:numPr>
          <w:ilvl w:val="0"/>
          <w:numId w:val="17"/>
        </w:numPr>
        <w:rPr>
          <w:rFonts w:ascii="Arial" w:cs="Arial" w:eastAsia="Arial" w:hAnsi="Arial"/>
          <w:sz w:val="15"/>
          <w:szCs w:val="15"/>
          <w:color w:val="auto"/>
          <w:vertAlign w:val="superscript"/>
        </w:rPr>
      </w:pPr>
      <w:r>
        <w:rPr>
          <w:rFonts w:ascii="Arial" w:cs="Arial" w:eastAsia="Arial" w:hAnsi="Arial"/>
          <w:sz w:val="12"/>
          <w:szCs w:val="12"/>
          <w:color w:val="auto"/>
        </w:rPr>
        <w:t>The contract value of the trust preferred securities is $ 2.6 million and is currently being accreted to the maturity date of 2035.</w:t>
      </w:r>
    </w:p>
    <w:p>
      <w:pPr>
        <w:spacing w:after="0" w:line="105" w:lineRule="exact"/>
        <w:rPr>
          <w:sz w:val="20"/>
          <w:szCs w:val="20"/>
          <w:color w:val="auto"/>
        </w:rPr>
      </w:pPr>
    </w:p>
    <w:p>
      <w:pPr>
        <w:ind w:left="680"/>
        <w:spacing w:after="0"/>
        <w:tabs>
          <w:tab w:leader="none" w:pos="1540" w:val="left"/>
        </w:tabs>
        <w:rPr>
          <w:sz w:val="20"/>
          <w:szCs w:val="20"/>
          <w:color w:val="auto"/>
        </w:rPr>
      </w:pPr>
      <w:r>
        <w:rPr>
          <w:rFonts w:ascii="Arial" w:cs="Arial" w:eastAsia="Arial" w:hAnsi="Arial"/>
          <w:sz w:val="17"/>
          <w:szCs w:val="17"/>
          <w:b w:val="1"/>
          <w:bCs w:val="1"/>
          <w:color w:val="auto"/>
        </w:rPr>
        <w:t>Note 7:</w:t>
      </w:r>
      <w:r>
        <w:rPr>
          <w:sz w:val="20"/>
          <w:szCs w:val="20"/>
          <w:color w:val="auto"/>
        </w:rPr>
        <w:tab/>
      </w:r>
      <w:r>
        <w:rPr>
          <w:rFonts w:ascii="Arial" w:cs="Arial" w:eastAsia="Arial" w:hAnsi="Arial"/>
          <w:sz w:val="15"/>
          <w:szCs w:val="15"/>
          <w:b w:val="1"/>
          <w:bCs w:val="1"/>
          <w:color w:val="auto"/>
        </w:rPr>
        <w:t>Change in Accumulated Other Comprehensive Income (Loss)</w:t>
      </w:r>
    </w:p>
    <w:p>
      <w:pPr>
        <w:spacing w:after="0" w:line="178" w:lineRule="exact"/>
        <w:rPr>
          <w:sz w:val="20"/>
          <w:szCs w:val="20"/>
          <w:color w:val="auto"/>
        </w:rPr>
      </w:pPr>
    </w:p>
    <w:p>
      <w:pPr>
        <w:ind w:left="640" w:right="879" w:firstLine="395"/>
        <w:spacing w:after="0" w:line="314" w:lineRule="auto"/>
        <w:rPr>
          <w:sz w:val="20"/>
          <w:szCs w:val="20"/>
          <w:color w:val="auto"/>
        </w:rPr>
      </w:pPr>
      <w:r>
        <w:rPr>
          <w:rFonts w:ascii="Arial" w:cs="Arial" w:eastAsia="Arial" w:hAnsi="Arial"/>
          <w:sz w:val="14"/>
          <w:szCs w:val="14"/>
          <w:color w:val="auto"/>
        </w:rPr>
        <w:t>Amounts reclassified from AOCI and the affected line items in the Condensed Consolidated Statements of Income during the three- and six-month periods ended June 30, 2022 and 2021, were as follows:</w:t>
      </w:r>
    </w:p>
    <w:p>
      <w:pPr>
        <w:spacing w:after="0" w:line="23"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5"/>
          </w:tcPr>
          <w:p>
            <w:pPr>
              <w:jc w:val="right"/>
              <w:ind w:right="91"/>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193"/>
        </w:trPr>
        <w:tc>
          <w:tcPr>
            <w:tcW w:w="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491"/>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249"/>
              <w:spacing w:after="0"/>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jc w:val="center"/>
              <w:ind w:right="9"/>
              <w:spacing w:after="0"/>
              <w:rPr>
                <w:sz w:val="20"/>
                <w:szCs w:val="20"/>
                <w:color w:val="auto"/>
              </w:rPr>
            </w:pPr>
            <w:r>
              <w:rPr>
                <w:rFonts w:ascii="Arial" w:cs="Arial" w:eastAsia="Arial" w:hAnsi="Arial"/>
                <w:sz w:val="14"/>
                <w:szCs w:val="14"/>
                <w:b w:val="1"/>
                <w:bCs w:val="1"/>
                <w:color w:val="auto"/>
                <w:w w:val="92"/>
              </w:rPr>
              <w:t>Affected Line Item in the</w:t>
            </w:r>
          </w:p>
        </w:tc>
      </w:tr>
      <w:tr>
        <w:trPr>
          <w:trHeight w:val="204"/>
        </w:trPr>
        <w:tc>
          <w:tcPr>
            <w:tcW w:w="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80" w:type="dxa"/>
            <w:vAlign w:val="bottom"/>
            <w:gridSpan w:val="2"/>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89"/>
              </w:rPr>
              <w:t>Statements of Income</w:t>
            </w:r>
          </w:p>
        </w:tc>
      </w:tr>
      <w:tr>
        <w:trPr>
          <w:trHeight w:val="172"/>
        </w:trPr>
        <w:tc>
          <w:tcPr>
            <w:tcW w:w="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129"/>
              <w:spacing w:after="0"/>
              <w:rPr>
                <w:sz w:val="20"/>
                <w:szCs w:val="20"/>
                <w:color w:val="auto"/>
              </w:rPr>
            </w:pPr>
            <w:r>
              <w:rPr>
                <w:rFonts w:ascii="Arial" w:cs="Arial" w:eastAsia="Arial" w:hAnsi="Arial"/>
                <w:sz w:val="13"/>
                <w:szCs w:val="13"/>
                <w:i w:val="1"/>
                <w:iCs w:val="1"/>
                <w:color w:val="auto"/>
                <w:w w:val="94"/>
              </w:rPr>
              <w:t>(Dollars in thousands)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93"/>
        </w:trPr>
        <w:tc>
          <w:tcPr>
            <w:tcW w:w="40" w:type="dxa"/>
            <w:vAlign w:val="bottom"/>
          </w:tcPr>
          <w:p>
            <w:pPr>
              <w:spacing w:after="0"/>
              <w:rPr>
                <w:sz w:val="16"/>
                <w:szCs w:val="16"/>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w w:val="98"/>
              </w:rPr>
              <w:t>Unrealized losses on available-for-sale</w:t>
            </w: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5"/>
              </w:rPr>
              <w:t>Loss on sale of available-for-sale</w:t>
            </w:r>
          </w:p>
        </w:tc>
      </w:tr>
      <w:tr>
        <w:trPr>
          <w:trHeight w:val="170"/>
        </w:trPr>
        <w:tc>
          <w:tcPr>
            <w:tcW w:w="40" w:type="dxa"/>
            <w:vAlign w:val="bottom"/>
          </w:tcPr>
          <w:p>
            <w:pPr>
              <w:spacing w:after="0"/>
              <w:rPr>
                <w:sz w:val="14"/>
                <w:szCs w:val="14"/>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securities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560" w:type="dxa"/>
            <w:vAlign w:val="bottom"/>
            <w:gridSpan w:val="3"/>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securities</w:t>
            </w:r>
          </w:p>
        </w:tc>
      </w:tr>
      <w:tr>
        <w:trPr>
          <w:trHeight w:val="181"/>
        </w:trPr>
        <w:tc>
          <w:tcPr>
            <w:tcW w:w="2440" w:type="dxa"/>
            <w:vAlign w:val="bottom"/>
            <w:gridSpan w:val="2"/>
          </w:tcPr>
          <w:p>
            <w:pPr>
              <w:spacing w:after="0"/>
              <w:rPr>
                <w:sz w:val="20"/>
                <w:szCs w:val="20"/>
                <w:color w:val="auto"/>
              </w:rPr>
            </w:pPr>
            <w:r>
              <w:rPr>
                <w:rFonts w:ascii="Arial" w:cs="Arial" w:eastAsia="Arial" w:hAnsi="Arial"/>
                <w:sz w:val="14"/>
                <w:szCs w:val="14"/>
                <w:color w:val="auto"/>
              </w:rPr>
              <w:t>Less: tax benefit effect</w:t>
            </w:r>
          </w:p>
        </w:tc>
        <w:tc>
          <w:tcPr>
            <w:tcW w:w="3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w:t>
            </w:r>
          </w:p>
        </w:tc>
        <w:tc>
          <w:tcPr>
            <w:tcW w:w="2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Income tax benefit</w:t>
            </w:r>
          </w:p>
        </w:tc>
      </w:tr>
      <w:tr>
        <w:trPr>
          <w:trHeight w:val="183"/>
        </w:trPr>
        <w:tc>
          <w:tcPr>
            <w:tcW w:w="40" w:type="dxa"/>
            <w:vAlign w:val="bottom"/>
          </w:tcPr>
          <w:p>
            <w:pPr>
              <w:spacing w:after="0"/>
              <w:rPr>
                <w:sz w:val="15"/>
                <w:szCs w:val="15"/>
                <w:color w:val="auto"/>
              </w:rPr>
            </w:pPr>
          </w:p>
        </w:tc>
        <w:tc>
          <w:tcPr>
            <w:tcW w:w="24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reclassified amount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560" w:type="dxa"/>
            <w:vAlign w:val="bottom"/>
            <w:gridSpan w:val="3"/>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w:t>
            </w:r>
          </w:p>
        </w:tc>
        <w:tc>
          <w:tcPr>
            <w:tcW w:w="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0"/>
        </w:trPr>
        <w:tc>
          <w:tcPr>
            <w:tcW w:w="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3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8:</w:t>
      </w:r>
      <w:r>
        <w:rPr>
          <w:sz w:val="20"/>
          <w:szCs w:val="20"/>
          <w:color w:val="auto"/>
        </w:rPr>
        <w:tab/>
      </w:r>
      <w:r>
        <w:rPr>
          <w:rFonts w:ascii="Arial" w:cs="Arial" w:eastAsia="Arial" w:hAnsi="Arial"/>
          <w:sz w:val="15"/>
          <w:szCs w:val="15"/>
          <w:b w:val="1"/>
          <w:bCs w:val="1"/>
          <w:color w:val="auto"/>
        </w:rPr>
        <w:t>Regulatory Matters</w:t>
      </w:r>
    </w:p>
    <w:p>
      <w:pPr>
        <w:spacing w:after="0" w:line="178" w:lineRule="exact"/>
        <w:rPr>
          <w:sz w:val="20"/>
          <w:szCs w:val="20"/>
          <w:color w:val="auto"/>
        </w:rPr>
      </w:pPr>
    </w:p>
    <w:p>
      <w:pPr>
        <w:ind w:left="660" w:right="659" w:firstLine="395"/>
        <w:spacing w:after="0" w:line="364" w:lineRule="auto"/>
        <w:rPr>
          <w:sz w:val="20"/>
          <w:szCs w:val="20"/>
          <w:color w:val="auto"/>
        </w:rPr>
      </w:pPr>
      <w:r>
        <w:rPr>
          <w:rFonts w:ascii="Arial" w:cs="Arial" w:eastAsia="Arial" w:hAnsi="Arial"/>
          <w:sz w:val="12"/>
          <w:szCs w:val="12"/>
          <w:color w:val="auto"/>
        </w:rPr>
        <w:t>The Company and the Bank are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consolidated financial statements. Management believes that, as of June 30, 2022, the Company and the Bank met all capital adequacy requirements to which they are subject.</w:t>
      </w:r>
    </w:p>
    <w:p>
      <w:pPr>
        <w:spacing w:after="0" w:line="80" w:lineRule="exact"/>
        <w:rPr>
          <w:sz w:val="20"/>
          <w:szCs w:val="20"/>
          <w:color w:val="auto"/>
        </w:rPr>
      </w:pPr>
    </w:p>
    <w:p>
      <w:pPr>
        <w:ind w:left="660" w:right="619" w:firstLine="395"/>
        <w:spacing w:after="0" w:line="301" w:lineRule="auto"/>
        <w:rPr>
          <w:sz w:val="20"/>
          <w:szCs w:val="20"/>
          <w:color w:val="auto"/>
        </w:rPr>
      </w:pPr>
      <w:r>
        <w:rPr>
          <w:rFonts w:ascii="Arial" w:cs="Arial" w:eastAsia="Arial" w:hAnsi="Arial"/>
          <w:sz w:val="14"/>
          <w:szCs w:val="14"/>
          <w:color w:val="auto"/>
        </w:rPr>
        <w:t>The capital rules require the Company to maintain a 2.5% capital conservation buffer with respect to Common Equity Tier I capital, Tier I capital to risk-weighted assets, and total capital to risk-weighted assets, which is included in the column “Minimum Capital Required - Basel III” within the table below. A financial institution with a conservation buffer of less than the required amount is subject to limitations on capital distributions, including dividend payments and stock repurchases, as well as certain discretionary bonus payments to executive officers.</w:t>
      </w:r>
    </w:p>
    <w:p>
      <w:pPr>
        <w:spacing w:after="0" w:line="100" w:lineRule="exact"/>
        <w:rPr>
          <w:sz w:val="20"/>
          <w:szCs w:val="20"/>
          <w:color w:val="auto"/>
        </w:rPr>
      </w:pPr>
    </w:p>
    <w:p>
      <w:pPr>
        <w:ind w:left="660" w:right="839" w:firstLine="395"/>
        <w:spacing w:after="0" w:line="308" w:lineRule="auto"/>
        <w:rPr>
          <w:sz w:val="20"/>
          <w:szCs w:val="20"/>
          <w:color w:val="auto"/>
        </w:rPr>
      </w:pPr>
      <w:r>
        <w:rPr>
          <w:rFonts w:ascii="Arial" w:cs="Arial" w:eastAsia="Arial" w:hAnsi="Arial"/>
          <w:sz w:val="14"/>
          <w:szCs w:val="14"/>
          <w:color w:val="auto"/>
        </w:rPr>
        <w:t>The Company and the Bank opted to exclude AOCI from the regulatory capital calculations. As a result, change in AOCI, including the recent decrease in the available-for-sale securities portfolio, net of tax, did not impact the Company’s or Bank’s capital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9019"/>
          </w:cols>
          <w:pgMar w:left="1440" w:top="460" w:right="1440" w:bottom="1440" w:gutter="0" w:footer="0" w:header="0"/>
        </w:sectPr>
      </w:pPr>
    </w:p>
    <w:bookmarkStart w:id="39" w:name="page40"/>
    <w:bookmarkEnd w:id="39"/>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40" w:right="639" w:firstLine="395"/>
        <w:spacing w:after="0" w:line="314" w:lineRule="auto"/>
        <w:rPr>
          <w:sz w:val="20"/>
          <w:szCs w:val="20"/>
          <w:color w:val="auto"/>
        </w:rPr>
      </w:pPr>
      <w:r>
        <w:rPr>
          <w:rFonts w:ascii="Arial" w:cs="Arial" w:eastAsia="Arial" w:hAnsi="Arial"/>
          <w:sz w:val="14"/>
          <w:szCs w:val="14"/>
          <w:color w:val="auto"/>
        </w:rPr>
        <w:t>The Company’s and the Bank’s actual capital amounts and ratios as of June 30, 2022 and December 31, 2021 are presented in the following table:</w:t>
      </w:r>
    </w:p>
    <w:p>
      <w:pPr>
        <w:spacing w:after="0" w:line="65"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4"/>
          </w:tcPr>
          <w:p>
            <w:pPr>
              <w:ind w:left="260"/>
              <w:spacing w:after="0"/>
              <w:rPr>
                <w:sz w:val="20"/>
                <w:szCs w:val="20"/>
                <w:color w:val="auto"/>
              </w:rPr>
            </w:pPr>
            <w:r>
              <w:rPr>
                <w:rFonts w:ascii="Arial" w:cs="Arial" w:eastAsia="Arial" w:hAnsi="Arial"/>
                <w:sz w:val="14"/>
                <w:szCs w:val="14"/>
                <w:b w:val="1"/>
                <w:bCs w:val="1"/>
                <w:color w:val="auto"/>
              </w:rPr>
              <w:t>Minimum 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149"/>
              <w:spacing w:after="0"/>
              <w:rPr>
                <w:sz w:val="20"/>
                <w:szCs w:val="20"/>
                <w:color w:val="auto"/>
              </w:rPr>
            </w:pPr>
            <w:r>
              <w:rPr>
                <w:rFonts w:ascii="Arial" w:cs="Arial" w:eastAsia="Arial" w:hAnsi="Arial"/>
                <w:sz w:val="14"/>
                <w:szCs w:val="14"/>
                <w:b w:val="1"/>
                <w:bCs w:val="1"/>
                <w:color w:val="auto"/>
                <w:w w:val="91"/>
              </w:rPr>
              <w:t>Required to be Considered</w:t>
            </w:r>
          </w:p>
        </w:tc>
      </w:tr>
      <w:tr>
        <w:trPr>
          <w:trHeight w:val="174"/>
        </w:trPr>
        <w:tc>
          <w:tcPr>
            <w:tcW w:w="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Actual</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Required - Basel III</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449"/>
              <w:spacing w:after="0"/>
              <w:rPr>
                <w:sz w:val="20"/>
                <w:szCs w:val="20"/>
                <w:color w:val="auto"/>
              </w:rPr>
            </w:pPr>
            <w:r>
              <w:rPr>
                <w:rFonts w:ascii="Arial" w:cs="Arial" w:eastAsia="Arial" w:hAnsi="Arial"/>
                <w:sz w:val="14"/>
                <w:szCs w:val="14"/>
                <w:b w:val="1"/>
                <w:bCs w:val="1"/>
                <w:color w:val="auto"/>
              </w:rPr>
              <w:t>Well Capitalized</w:t>
            </w:r>
          </w:p>
        </w:tc>
      </w:tr>
      <w:tr>
        <w:trPr>
          <w:trHeight w:val="193"/>
        </w:trPr>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Ratio</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94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Ratio</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Ratio</w:t>
            </w:r>
          </w:p>
        </w:tc>
      </w:tr>
      <w:tr>
        <w:trPr>
          <w:trHeight w:val="197"/>
        </w:trPr>
        <w:tc>
          <w:tcPr>
            <w:tcW w:w="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4"/>
          </w:tcPr>
          <w:p>
            <w:pPr>
              <w:ind w:left="160"/>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June 30, 2022</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81"/>
        </w:trPr>
        <w:tc>
          <w:tcPr>
            <w:tcW w:w="2920" w:type="dxa"/>
            <w:vAlign w:val="bottom"/>
            <w:gridSpan w:val="7"/>
          </w:tcPr>
          <w:p>
            <w:pPr>
              <w:spacing w:after="0"/>
              <w:rPr>
                <w:sz w:val="20"/>
                <w:szCs w:val="20"/>
                <w:color w:val="auto"/>
              </w:rPr>
            </w:pPr>
            <w:r>
              <w:rPr>
                <w:rFonts w:ascii="Arial" w:cs="Arial" w:eastAsia="Arial" w:hAnsi="Arial"/>
                <w:sz w:val="14"/>
                <w:szCs w:val="14"/>
                <w:color w:val="auto"/>
              </w:rPr>
              <w:t>Total Capital to Risk-Weighted Assets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3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Consolidated</w:t>
            </w:r>
          </w:p>
        </w:tc>
        <w:tc>
          <w:tcPr>
            <w:tcW w:w="4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719,226</w:t>
            </w: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599,382</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Bank</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692,815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598,125</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5"/>
                <w:szCs w:val="15"/>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569,643</w:t>
            </w:r>
          </w:p>
        </w:tc>
        <w:tc>
          <w:tcPr>
            <w:tcW w:w="1040" w:type="dxa"/>
            <w:vAlign w:val="bottom"/>
            <w:gridSpan w:val="3"/>
          </w:tcPr>
          <w:p>
            <w:pPr>
              <w:jc w:val="right"/>
              <w:ind w:right="9"/>
              <w:spacing w:after="0"/>
              <w:rPr>
                <w:sz w:val="20"/>
                <w:szCs w:val="20"/>
                <w:color w:val="auto"/>
              </w:rPr>
            </w:pPr>
            <w:r>
              <w:rPr>
                <w:rFonts w:ascii="Arial" w:cs="Arial" w:eastAsia="Arial" w:hAnsi="Arial"/>
                <w:sz w:val="14"/>
                <w:szCs w:val="14"/>
                <w:color w:val="auto"/>
              </w:rPr>
              <w:t>10.0 %</w:t>
            </w:r>
          </w:p>
        </w:tc>
      </w:tr>
      <w:tr>
        <w:trPr>
          <w:trHeight w:val="181"/>
        </w:trPr>
        <w:tc>
          <w:tcPr>
            <w:tcW w:w="40" w:type="dxa"/>
            <w:vAlign w:val="bottom"/>
          </w:tcPr>
          <w:p>
            <w:pPr>
              <w:spacing w:after="0"/>
              <w:rPr>
                <w:sz w:val="15"/>
                <w:szCs w:val="15"/>
                <w:color w:val="auto"/>
              </w:rPr>
            </w:pPr>
          </w:p>
        </w:tc>
        <w:tc>
          <w:tcPr>
            <w:tcW w:w="2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rPr>
              <w:t>Tier I Capital to Risk-Weighted Assets</w:t>
            </w:r>
          </w:p>
        </w:tc>
        <w:tc>
          <w:tcPr>
            <w:tcW w:w="5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658,089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485,214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631,679</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484,197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455,715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0" w:type="dxa"/>
            <w:vAlign w:val="bottom"/>
            <w:shd w:val="clear" w:color="auto" w:fill="CCEEFF"/>
          </w:tcPr>
          <w:p>
            <w:pPr>
              <w:spacing w:after="0"/>
              <w:rPr>
                <w:sz w:val="15"/>
                <w:szCs w:val="15"/>
                <w:color w:val="auto"/>
              </w:rPr>
            </w:pPr>
          </w:p>
        </w:tc>
      </w:tr>
      <w:tr>
        <w:trPr>
          <w:trHeight w:val="171"/>
        </w:trPr>
        <w:tc>
          <w:tcPr>
            <w:tcW w:w="2920" w:type="dxa"/>
            <w:vAlign w:val="bottom"/>
            <w:gridSpan w:val="7"/>
          </w:tcPr>
          <w:p>
            <w:pPr>
              <w:spacing w:after="0"/>
              <w:rPr>
                <w:sz w:val="20"/>
                <w:szCs w:val="20"/>
                <w:color w:val="auto"/>
              </w:rPr>
            </w:pPr>
            <w:r>
              <w:rPr>
                <w:rFonts w:ascii="Arial" w:cs="Arial" w:eastAsia="Arial" w:hAnsi="Arial"/>
                <w:sz w:val="14"/>
                <w:szCs w:val="14"/>
                <w:color w:val="auto"/>
                <w:w w:val="98"/>
              </w:rPr>
              <w:t>Common Equity Tier 1 to Risk-Weighted Assets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1360" w:type="dxa"/>
            <w:vAlign w:val="bottom"/>
            <w:shd w:val="clear" w:color="auto" w:fill="CCEEFF"/>
          </w:tcPr>
          <w:p>
            <w:pPr>
              <w:ind w:left="160"/>
              <w:spacing w:after="0" w:line="152" w:lineRule="exact"/>
              <w:rPr>
                <w:sz w:val="20"/>
                <w:szCs w:val="20"/>
                <w:color w:val="auto"/>
              </w:rPr>
            </w:pPr>
            <w:r>
              <w:rPr>
                <w:rFonts w:ascii="Arial" w:cs="Arial" w:eastAsia="Arial" w:hAnsi="Arial"/>
                <w:sz w:val="14"/>
                <w:szCs w:val="14"/>
                <w:color w:val="auto"/>
              </w:rPr>
              <w:t>Consolidated</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657,055</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11.5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ind w:left="240"/>
              <w:spacing w:after="0" w:line="152" w:lineRule="exact"/>
              <w:rPr>
                <w:sz w:val="20"/>
                <w:szCs w:val="20"/>
                <w:color w:val="auto"/>
              </w:rPr>
            </w:pPr>
            <w:r>
              <w:rPr>
                <w:rFonts w:ascii="Arial" w:cs="Arial" w:eastAsia="Arial" w:hAnsi="Arial"/>
                <w:sz w:val="14"/>
                <w:szCs w:val="14"/>
                <w:color w:val="auto"/>
              </w:rPr>
              <w:t>399,588</w:t>
            </w:r>
          </w:p>
        </w:tc>
        <w:tc>
          <w:tcPr>
            <w:tcW w:w="84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9"/>
              <w:spacing w:after="0" w:line="152" w:lineRule="exact"/>
              <w:rPr>
                <w:sz w:val="20"/>
                <w:szCs w:val="20"/>
                <w:color w:val="auto"/>
              </w:rPr>
            </w:pPr>
            <w:r>
              <w:rPr>
                <w:rFonts w:ascii="Arial" w:cs="Arial" w:eastAsia="Arial" w:hAnsi="Arial"/>
                <w:sz w:val="14"/>
                <w:szCs w:val="14"/>
                <w:color w:val="auto"/>
              </w:rPr>
              <w:t>N/A</w:t>
            </w:r>
          </w:p>
        </w:tc>
      </w:tr>
      <w:tr>
        <w:trPr>
          <w:trHeight w:val="192"/>
        </w:trPr>
        <w:tc>
          <w:tcPr>
            <w:tcW w:w="40" w:type="dxa"/>
            <w:vAlign w:val="bottom"/>
          </w:tcPr>
          <w:p>
            <w:pPr>
              <w:spacing w:after="0"/>
              <w:rPr>
                <w:sz w:val="16"/>
                <w:szCs w:val="16"/>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Bank</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631,679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398,750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370,268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16"/>
                <w:szCs w:val="16"/>
                <w:color w:val="auto"/>
              </w:rPr>
            </w:pPr>
          </w:p>
        </w:tc>
      </w:tr>
      <w:tr>
        <w:trPr>
          <w:trHeight w:val="171"/>
        </w:trPr>
        <w:tc>
          <w:tcPr>
            <w:tcW w:w="40" w:type="dxa"/>
            <w:vAlign w:val="bottom"/>
          </w:tcPr>
          <w:p>
            <w:pPr>
              <w:spacing w:after="0"/>
              <w:rPr>
                <w:sz w:val="14"/>
                <w:szCs w:val="14"/>
                <w:color w:val="auto"/>
              </w:rPr>
            </w:pPr>
          </w:p>
        </w:tc>
        <w:tc>
          <w:tcPr>
            <w:tcW w:w="18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color w:val="auto"/>
                <w:w w:val="91"/>
              </w:rPr>
              <w:t>Tier I Capital to Average Assets</w:t>
            </w:r>
          </w:p>
        </w:tc>
        <w:tc>
          <w:tcPr>
            <w:tcW w:w="80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658,089</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223,736</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631,679</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223,728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279,660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r>
      <w:tr>
        <w:trPr>
          <w:trHeight w:val="181"/>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rPr>
              <w:t>Total Capital to Risk-Weighted Assets</w:t>
            </w:r>
          </w:p>
        </w:tc>
        <w:tc>
          <w:tcPr>
            <w:tcW w:w="5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704,544</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9"/>
              <w:spacing w:after="0"/>
              <w:rPr>
                <w:sz w:val="20"/>
                <w:szCs w:val="20"/>
                <w:color w:val="auto"/>
              </w:rPr>
            </w:pPr>
            <w:r>
              <w:rPr>
                <w:rFonts w:ascii="Arial" w:cs="Arial" w:eastAsia="Arial" w:hAnsi="Arial"/>
                <w:sz w:val="14"/>
                <w:szCs w:val="14"/>
                <w:color w:val="auto"/>
              </w:rPr>
              <w:t>13.6 %</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ind w:left="240"/>
              <w:spacing w:after="0"/>
              <w:rPr>
                <w:sz w:val="20"/>
                <w:szCs w:val="20"/>
                <w:color w:val="auto"/>
              </w:rPr>
            </w:pPr>
            <w:r>
              <w:rPr>
                <w:rFonts w:ascii="Arial" w:cs="Arial" w:eastAsia="Arial" w:hAnsi="Arial"/>
                <w:sz w:val="14"/>
                <w:szCs w:val="14"/>
                <w:color w:val="auto"/>
              </w:rPr>
              <w:t>544,060</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10.5 %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681,980</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543,708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517,817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9"/>
              </w:rPr>
              <w:t>%</w:t>
            </w:r>
          </w:p>
        </w:tc>
      </w:tr>
      <w:tr>
        <w:trPr>
          <w:trHeight w:val="171"/>
        </w:trPr>
        <w:tc>
          <w:tcPr>
            <w:tcW w:w="2920" w:type="dxa"/>
            <w:vAlign w:val="bottom"/>
            <w:gridSpan w:val="7"/>
          </w:tcPr>
          <w:p>
            <w:pPr>
              <w:spacing w:after="0"/>
              <w:rPr>
                <w:sz w:val="20"/>
                <w:szCs w:val="20"/>
                <w:color w:val="auto"/>
              </w:rPr>
            </w:pPr>
            <w:r>
              <w:rPr>
                <w:rFonts w:ascii="Arial" w:cs="Arial" w:eastAsia="Arial" w:hAnsi="Arial"/>
                <w:sz w:val="14"/>
                <w:szCs w:val="14"/>
                <w:color w:val="auto"/>
              </w:rPr>
              <w:t>Tier I Capital to Risk-Weighted Assets</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r>
      <w:tr>
        <w:trPr>
          <w:trHeight w:val="152"/>
        </w:trPr>
        <w:tc>
          <w:tcPr>
            <w:tcW w:w="40" w:type="dxa"/>
            <w:vAlign w:val="bottom"/>
          </w:tcPr>
          <w:p>
            <w:pPr>
              <w:spacing w:after="0"/>
              <w:rPr>
                <w:sz w:val="13"/>
                <w:szCs w:val="13"/>
                <w:color w:val="auto"/>
              </w:rPr>
            </w:pPr>
          </w:p>
        </w:tc>
        <w:tc>
          <w:tcPr>
            <w:tcW w:w="1360" w:type="dxa"/>
            <w:vAlign w:val="bottom"/>
            <w:shd w:val="clear" w:color="auto" w:fill="CCEEFF"/>
          </w:tcPr>
          <w:p>
            <w:pPr>
              <w:ind w:left="160"/>
              <w:spacing w:after="0" w:line="152" w:lineRule="exact"/>
              <w:rPr>
                <w:sz w:val="20"/>
                <w:szCs w:val="20"/>
                <w:color w:val="auto"/>
              </w:rPr>
            </w:pPr>
            <w:r>
              <w:rPr>
                <w:rFonts w:ascii="Arial" w:cs="Arial" w:eastAsia="Arial" w:hAnsi="Arial"/>
                <w:sz w:val="14"/>
                <w:szCs w:val="14"/>
                <w:color w:val="auto"/>
              </w:rPr>
              <w:t>Consolidated</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29"/>
              <w:spacing w:after="0" w:line="152" w:lineRule="exact"/>
              <w:rPr>
                <w:sz w:val="20"/>
                <w:szCs w:val="20"/>
                <w:color w:val="auto"/>
              </w:rPr>
            </w:pPr>
            <w:r>
              <w:rPr>
                <w:rFonts w:ascii="Arial" w:cs="Arial" w:eastAsia="Arial" w:hAnsi="Arial"/>
                <w:sz w:val="14"/>
                <w:szCs w:val="14"/>
                <w:color w:val="auto"/>
              </w:rPr>
              <w:t>646,169</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12.5</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ind w:left="240"/>
              <w:spacing w:after="0" w:line="152" w:lineRule="exact"/>
              <w:rPr>
                <w:sz w:val="20"/>
                <w:szCs w:val="20"/>
                <w:color w:val="auto"/>
              </w:rPr>
            </w:pPr>
            <w:r>
              <w:rPr>
                <w:rFonts w:ascii="Arial" w:cs="Arial" w:eastAsia="Arial" w:hAnsi="Arial"/>
                <w:sz w:val="14"/>
                <w:szCs w:val="14"/>
                <w:color w:val="auto"/>
              </w:rPr>
              <w:t>440,430</w:t>
            </w:r>
          </w:p>
        </w:tc>
        <w:tc>
          <w:tcPr>
            <w:tcW w:w="840" w:type="dxa"/>
            <w:vAlign w:val="bottom"/>
            <w:gridSpan w:val="2"/>
            <w:shd w:val="clear" w:color="auto" w:fill="CCEEFF"/>
          </w:tcPr>
          <w:p>
            <w:pPr>
              <w:jc w:val="right"/>
              <w:spacing w:after="0" w:line="152" w:lineRule="exact"/>
              <w:rPr>
                <w:sz w:val="20"/>
                <w:szCs w:val="20"/>
                <w:color w:val="auto"/>
              </w:rPr>
            </w:pPr>
            <w:r>
              <w:rPr>
                <w:rFonts w:ascii="Arial" w:cs="Arial" w:eastAsia="Arial" w:hAnsi="Arial"/>
                <w:sz w:val="14"/>
                <w:szCs w:val="14"/>
                <w:color w:val="auto"/>
              </w:rPr>
              <w:t>8.5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N/A</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9"/>
              <w:spacing w:after="0" w:line="152" w:lineRule="exact"/>
              <w:rPr>
                <w:sz w:val="20"/>
                <w:szCs w:val="20"/>
                <w:color w:val="auto"/>
              </w:rPr>
            </w:pPr>
            <w:r>
              <w:rPr>
                <w:rFonts w:ascii="Arial" w:cs="Arial" w:eastAsia="Arial" w:hAnsi="Arial"/>
                <w:sz w:val="14"/>
                <w:szCs w:val="14"/>
                <w:color w:val="auto"/>
              </w:rPr>
              <w:t>N/A</w:t>
            </w:r>
          </w:p>
        </w:tc>
      </w:tr>
      <w:tr>
        <w:trPr>
          <w:trHeight w:val="192"/>
        </w:trPr>
        <w:tc>
          <w:tcPr>
            <w:tcW w:w="40" w:type="dxa"/>
            <w:vAlign w:val="bottom"/>
          </w:tcPr>
          <w:p>
            <w:pPr>
              <w:spacing w:after="0"/>
              <w:rPr>
                <w:sz w:val="16"/>
                <w:szCs w:val="16"/>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Bank</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623,605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440,144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414,253</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8.0</w:t>
            </w:r>
          </w:p>
        </w:tc>
        <w:tc>
          <w:tcPr>
            <w:tcW w:w="200" w:type="dxa"/>
            <w:vAlign w:val="bottom"/>
          </w:tcPr>
          <w:p>
            <w:pPr>
              <w:spacing w:after="0"/>
              <w:rPr>
                <w:sz w:val="16"/>
                <w:szCs w:val="16"/>
                <w:color w:val="auto"/>
              </w:rPr>
            </w:pPr>
          </w:p>
        </w:tc>
      </w:tr>
      <w:tr>
        <w:trPr>
          <w:trHeight w:val="171"/>
        </w:trPr>
        <w:tc>
          <w:tcPr>
            <w:tcW w:w="40" w:type="dxa"/>
            <w:vAlign w:val="bottom"/>
          </w:tcPr>
          <w:p>
            <w:pPr>
              <w:spacing w:after="0"/>
              <w:rPr>
                <w:sz w:val="14"/>
                <w:szCs w:val="14"/>
                <w:color w:val="auto"/>
              </w:rPr>
            </w:pPr>
          </w:p>
        </w:tc>
        <w:tc>
          <w:tcPr>
            <w:tcW w:w="28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color w:val="auto"/>
                <w:w w:val="96"/>
              </w:rPr>
              <w:t>Common Equity Tier 1 to Risk-Weighted Assets</w:t>
            </w:r>
          </w:p>
        </w:tc>
        <w:tc>
          <w:tcPr>
            <w:tcW w:w="5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r>
      <w:tr>
        <w:trPr>
          <w:trHeight w:val="172"/>
        </w:trPr>
        <w:tc>
          <w:tcPr>
            <w:tcW w:w="40" w:type="dxa"/>
            <w:vAlign w:val="bottom"/>
          </w:tcPr>
          <w:p>
            <w:pPr>
              <w:spacing w:after="0"/>
              <w:rPr>
                <w:sz w:val="14"/>
                <w:szCs w:val="14"/>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Consolidated</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645,160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color w:val="auto"/>
              </w:rPr>
              <w:t>362,707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4"/>
                <w:szCs w:val="14"/>
                <w:color w:val="auto"/>
              </w:rPr>
            </w:pPr>
          </w:p>
        </w:tc>
        <w:tc>
          <w:tcPr>
            <w:tcW w:w="960" w:type="dxa"/>
            <w:vAlign w:val="bottom"/>
            <w:gridSpan w:val="2"/>
          </w:tcPr>
          <w:p>
            <w:pPr>
              <w:jc w:val="right"/>
              <w:ind w:right="129"/>
              <w:spacing w:after="0"/>
              <w:rPr>
                <w:sz w:val="20"/>
                <w:szCs w:val="20"/>
                <w:color w:val="auto"/>
              </w:rPr>
            </w:pPr>
            <w:r>
              <w:rPr>
                <w:rFonts w:ascii="Arial" w:cs="Arial" w:eastAsia="Arial" w:hAnsi="Arial"/>
                <w:sz w:val="14"/>
                <w:szCs w:val="14"/>
                <w:color w:val="auto"/>
              </w:rPr>
              <w:t>N/A</w:t>
            </w:r>
          </w:p>
        </w:tc>
      </w:tr>
      <w:tr>
        <w:trPr>
          <w:trHeight w:val="181"/>
        </w:trPr>
        <w:tc>
          <w:tcPr>
            <w:tcW w:w="40" w:type="dxa"/>
            <w:vAlign w:val="bottom"/>
          </w:tcPr>
          <w:p>
            <w:pPr>
              <w:spacing w:after="0"/>
              <w:rPr>
                <w:sz w:val="15"/>
                <w:szCs w:val="15"/>
                <w:color w:val="auto"/>
              </w:rPr>
            </w:pPr>
          </w:p>
        </w:tc>
        <w:tc>
          <w:tcPr>
            <w:tcW w:w="13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Bank</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623,605</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362,472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336,581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0" w:type="dxa"/>
            <w:vAlign w:val="bottom"/>
            <w:shd w:val="clear" w:color="auto" w:fill="CCEEFF"/>
          </w:tcPr>
          <w:p>
            <w:pPr>
              <w:spacing w:after="0"/>
              <w:rPr>
                <w:sz w:val="15"/>
                <w:szCs w:val="15"/>
                <w:color w:val="auto"/>
              </w:rPr>
            </w:pPr>
          </w:p>
        </w:tc>
      </w:tr>
      <w:tr>
        <w:trPr>
          <w:trHeight w:val="181"/>
        </w:trPr>
        <w:tc>
          <w:tcPr>
            <w:tcW w:w="1860" w:type="dxa"/>
            <w:vAlign w:val="bottom"/>
            <w:gridSpan w:val="4"/>
          </w:tcPr>
          <w:p>
            <w:pPr>
              <w:spacing w:after="0"/>
              <w:rPr>
                <w:sz w:val="20"/>
                <w:szCs w:val="20"/>
                <w:color w:val="auto"/>
              </w:rPr>
            </w:pPr>
            <w:r>
              <w:rPr>
                <w:rFonts w:ascii="Arial" w:cs="Arial" w:eastAsia="Arial" w:hAnsi="Arial"/>
                <w:sz w:val="14"/>
                <w:szCs w:val="14"/>
                <w:color w:val="auto"/>
                <w:w w:val="93"/>
              </w:rPr>
              <w:t>Tier I Capital to Average Assets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13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Consolidated</w:t>
            </w:r>
          </w:p>
        </w:tc>
        <w:tc>
          <w:tcPr>
            <w:tcW w:w="3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646,169</w:t>
            </w:r>
          </w:p>
        </w:tc>
        <w:tc>
          <w:tcPr>
            <w:tcW w:w="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rPr>
              <w:t>218,510</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N/A</w:t>
            </w:r>
          </w:p>
        </w:tc>
      </w:tr>
      <w:tr>
        <w:trPr>
          <w:trHeight w:val="191"/>
        </w:trPr>
        <w:tc>
          <w:tcPr>
            <w:tcW w:w="40" w:type="dxa"/>
            <w:vAlign w:val="bottom"/>
          </w:tcPr>
          <w:p>
            <w:pPr>
              <w:spacing w:after="0"/>
              <w:rPr>
                <w:sz w:val="16"/>
                <w:szCs w:val="16"/>
                <w:color w:val="auto"/>
              </w:rPr>
            </w:pPr>
          </w:p>
        </w:tc>
        <w:tc>
          <w:tcPr>
            <w:tcW w:w="1360" w:type="dxa"/>
            <w:vAlign w:val="bottom"/>
          </w:tcPr>
          <w:p>
            <w:pPr>
              <w:ind w:left="160"/>
              <w:spacing w:after="0"/>
              <w:rPr>
                <w:sz w:val="20"/>
                <w:szCs w:val="20"/>
                <w:color w:val="auto"/>
              </w:rPr>
            </w:pPr>
            <w:r>
              <w:rPr>
                <w:rFonts w:ascii="Arial" w:cs="Arial" w:eastAsia="Arial" w:hAnsi="Arial"/>
                <w:sz w:val="14"/>
                <w:szCs w:val="14"/>
                <w:color w:val="auto"/>
              </w:rPr>
              <w:t>Bank</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623,605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2"/>
          </w:tcPr>
          <w:p>
            <w:pPr>
              <w:jc w:val="right"/>
              <w:ind w:right="9"/>
              <w:spacing w:after="0"/>
              <w:rPr>
                <w:sz w:val="20"/>
                <w:szCs w:val="20"/>
                <w:color w:val="auto"/>
              </w:rPr>
            </w:pPr>
            <w:r>
              <w:rPr>
                <w:rFonts w:ascii="Arial" w:cs="Arial" w:eastAsia="Arial" w:hAnsi="Arial"/>
                <w:sz w:val="14"/>
                <w:szCs w:val="14"/>
                <w:color w:val="auto"/>
              </w:rPr>
              <w:t>11.4 %</w:t>
            </w: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ind w:left="240"/>
              <w:spacing w:after="0"/>
              <w:rPr>
                <w:sz w:val="20"/>
                <w:szCs w:val="20"/>
                <w:color w:val="auto"/>
              </w:rPr>
            </w:pPr>
            <w:r>
              <w:rPr>
                <w:rFonts w:ascii="Arial" w:cs="Arial" w:eastAsia="Arial" w:hAnsi="Arial"/>
                <w:sz w:val="14"/>
                <w:szCs w:val="14"/>
                <w:color w:val="auto"/>
              </w:rPr>
              <w:t>218,366</w:t>
            </w: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4.0 %</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272,958</w:t>
            </w:r>
          </w:p>
        </w:tc>
        <w:tc>
          <w:tcPr>
            <w:tcW w:w="1040" w:type="dxa"/>
            <w:vAlign w:val="bottom"/>
            <w:gridSpan w:val="3"/>
          </w:tcPr>
          <w:p>
            <w:pPr>
              <w:jc w:val="right"/>
              <w:ind w:right="9"/>
              <w:spacing w:after="0"/>
              <w:rPr>
                <w:sz w:val="20"/>
                <w:szCs w:val="20"/>
                <w:color w:val="auto"/>
              </w:rPr>
            </w:pPr>
            <w:r>
              <w:rPr>
                <w:rFonts w:ascii="Arial" w:cs="Arial" w:eastAsia="Arial" w:hAnsi="Arial"/>
                <w:sz w:val="14"/>
                <w:szCs w:val="14"/>
                <w:color w:val="auto"/>
              </w:rPr>
              <w:t>5.0 %</w:t>
            </w:r>
          </w:p>
        </w:tc>
      </w:tr>
    </w:tbl>
    <w:p>
      <w:pPr>
        <w:spacing w:after="0" w:line="12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178" w:lineRule="exact"/>
        <w:rPr>
          <w:sz w:val="20"/>
          <w:szCs w:val="20"/>
          <w:color w:val="auto"/>
        </w:rPr>
      </w:pPr>
    </w:p>
    <w:p>
      <w:pPr>
        <w:ind w:left="660" w:right="639" w:firstLine="395"/>
        <w:spacing w:after="0" w:line="364" w:lineRule="auto"/>
        <w:rPr>
          <w:sz w:val="20"/>
          <w:szCs w:val="20"/>
          <w:color w:val="auto"/>
        </w:rPr>
      </w:pPr>
      <w:r>
        <w:rPr>
          <w:rFonts w:ascii="Arial" w:cs="Arial" w:eastAsia="Arial" w:hAnsi="Arial"/>
          <w:sz w:val="12"/>
          <w:szCs w:val="12"/>
          <w:color w:val="auto"/>
        </w:rPr>
        <w:t>The Company issues stock-based compensation in the form of non-vested restricted stock and stock appreciation rights under the 2018 Omnibus Equity Incentive Plan (as amended, the “Omnibus Plan”). The Omnibus Plan will expire on the tenth anniversary of its effective date. In addition, the Company has an Employee Stock Purchase Plan that was reinstated during the third quarter of 2020. The aggregate number of shares authorized for future issuance under the Omnibus Plan is 1,486,152 shares as of June 30, 2022.</w:t>
      </w:r>
    </w:p>
    <w:p>
      <w:pPr>
        <w:spacing w:after="0" w:line="80"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The table below summarizes the stock-based compensation for the three- and six-month periods ended June 30, 2022 and 2021:</w:t>
      </w:r>
    </w:p>
    <w:p>
      <w:pPr>
        <w:spacing w:after="0" w:line="61" w:lineRule="exact"/>
        <w:rPr>
          <w:sz w:val="20"/>
          <w:szCs w:val="20"/>
          <w:color w:val="auto"/>
        </w:rPr>
      </w:pPr>
    </w:p>
    <w:tbl>
      <w:tblPr>
        <w:tblLayout w:type="fixed"/>
        <w:tblInd w:w="620" w:type="dxa"/>
        <w:tblCellMar>
          <w:top w:w="0" w:type="dxa"/>
          <w:left w:w="0" w:type="dxa"/>
          <w:bottom w:w="0" w:type="dxa"/>
          <w:right w:w="0" w:type="dxa"/>
        </w:tblCellMar>
      </w:tblPr>
      <w:tr>
        <w:trPr>
          <w:trHeight w:val="181"/>
        </w:trPr>
        <w:tc>
          <w:tcPr>
            <w:tcW w:w="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5"/>
          </w:tcPr>
          <w:p>
            <w:pPr>
              <w:jc w:val="right"/>
              <w:ind w:right="369"/>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r>
      <w:tr>
        <w:trPr>
          <w:trHeight w:val="172"/>
        </w:trPr>
        <w:tc>
          <w:tcPr>
            <w:tcW w:w="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r>
      <w:tr>
        <w:trPr>
          <w:trHeight w:val="157"/>
        </w:trPr>
        <w:tc>
          <w:tcPr>
            <w:tcW w:w="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gridSpan w:val="5"/>
          </w:tcPr>
          <w:p>
            <w:pPr>
              <w:jc w:val="right"/>
              <w:ind w:right="349"/>
              <w:spacing w:after="0"/>
              <w:rPr>
                <w:sz w:val="20"/>
                <w:szCs w:val="20"/>
                <w:color w:val="auto"/>
              </w:rPr>
            </w:pPr>
            <w:r>
              <w:rPr>
                <w:rFonts w:ascii="Arial" w:cs="Arial" w:eastAsia="Arial" w:hAnsi="Arial"/>
                <w:sz w:val="13"/>
                <w:szCs w:val="13"/>
                <w:i w:val="1"/>
                <w:iCs w:val="1"/>
                <w:color w:val="auto"/>
                <w:w w:val="99"/>
              </w:rPr>
              <w:t>(Dollars in thousands)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7"/>
        </w:trPr>
        <w:tc>
          <w:tcPr>
            <w:tcW w:w="4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Stock appreciation rights</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88</w:t>
            </w:r>
          </w:p>
        </w:tc>
        <w:tc>
          <w:tcPr>
            <w:tcW w:w="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198</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187</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434</w:t>
            </w:r>
          </w:p>
        </w:tc>
      </w:tr>
      <w:tr>
        <w:trPr>
          <w:trHeight w:val="181"/>
        </w:trPr>
        <w:tc>
          <w:tcPr>
            <w:tcW w:w="4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Arial" w:cs="Arial" w:eastAsia="Arial" w:hAnsi="Arial"/>
                <w:sz w:val="14"/>
                <w:szCs w:val="14"/>
                <w:color w:val="auto"/>
              </w:rPr>
              <w:t>Performance-based stock awards</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200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528</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411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262</w:t>
            </w:r>
          </w:p>
        </w:tc>
      </w:tr>
      <w:tr>
        <w:trPr>
          <w:trHeight w:val="182"/>
        </w:trPr>
        <w:tc>
          <w:tcPr>
            <w:tcW w:w="40" w:type="dxa"/>
            <w:vAlign w:val="bottom"/>
          </w:tcPr>
          <w:p>
            <w:pPr>
              <w:spacing w:after="0"/>
              <w:rPr>
                <w:sz w:val="15"/>
                <w:szCs w:val="15"/>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 and awards</w:t>
            </w: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834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1,573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1,499</w:t>
            </w:r>
          </w:p>
        </w:tc>
      </w:tr>
      <w:tr>
        <w:trPr>
          <w:trHeight w:val="171"/>
        </w:trPr>
        <w:tc>
          <w:tcPr>
            <w:tcW w:w="40" w:type="dxa"/>
            <w:vAlign w:val="bottom"/>
          </w:tcPr>
          <w:p>
            <w:pPr>
              <w:spacing w:after="0"/>
              <w:rPr>
                <w:sz w:val="14"/>
                <w:szCs w:val="14"/>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Employee stock purchase plan</w:t>
            </w:r>
          </w:p>
        </w:tc>
        <w:tc>
          <w:tcPr>
            <w:tcW w:w="10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64</w:t>
            </w: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29</w:t>
            </w:r>
          </w:p>
        </w:tc>
      </w:tr>
      <w:tr>
        <w:trPr>
          <w:trHeight w:val="20"/>
        </w:trPr>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stock-based compensation</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1,120</w:t>
            </w:r>
          </w:p>
        </w:tc>
        <w:tc>
          <w:tcPr>
            <w:tcW w:w="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1,575</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2,235</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2,224</w:t>
            </w:r>
          </w:p>
        </w:tc>
      </w:tr>
      <w:tr>
        <w:trPr>
          <w:trHeight w:val="20"/>
        </w:trPr>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675"/>
        </w:trPr>
        <w:tc>
          <w:tcPr>
            <w:tcW w:w="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40</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9019"/>
          </w:cols>
          <w:pgMar w:left="1440" w:top="460" w:right="1440"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0"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Performance-Based Restricted Stock Units</w:t>
      </w:r>
    </w:p>
    <w:p>
      <w:pPr>
        <w:spacing w:after="0" w:line="162" w:lineRule="exact"/>
        <w:rPr>
          <w:sz w:val="20"/>
          <w:szCs w:val="20"/>
          <w:color w:val="auto"/>
        </w:rPr>
      </w:pPr>
    </w:p>
    <w:p>
      <w:pPr>
        <w:ind w:left="660" w:right="639" w:firstLine="384"/>
        <w:spacing w:after="0" w:line="296" w:lineRule="auto"/>
        <w:rPr>
          <w:sz w:val="20"/>
          <w:szCs w:val="20"/>
          <w:color w:val="auto"/>
        </w:rPr>
      </w:pPr>
      <w:r>
        <w:rPr>
          <w:rFonts w:ascii="Arial" w:cs="Arial" w:eastAsia="Arial" w:hAnsi="Arial"/>
          <w:sz w:val="14"/>
          <w:szCs w:val="14"/>
          <w:color w:val="auto"/>
        </w:rPr>
        <w:t xml:space="preserve">The Company awards performance-based restricted stock units (“PBRSUs”) to key officers of the Company. The performance-based shares typically cliff-vest at the end of </w:t>
      </w:r>
      <w:r>
        <w:rPr>
          <w:rFonts w:ascii="Arial" w:cs="Arial" w:eastAsia="Arial" w:hAnsi="Arial"/>
          <w:sz w:val="15"/>
          <w:szCs w:val="15"/>
          <w:color w:val="auto"/>
        </w:rPr>
        <w:t>three years</w:t>
      </w:r>
      <w:r>
        <w:rPr>
          <w:rFonts w:ascii="Arial" w:cs="Arial" w:eastAsia="Arial" w:hAnsi="Arial"/>
          <w:sz w:val="14"/>
          <w:szCs w:val="14"/>
          <w:color w:val="auto"/>
        </w:rPr>
        <w:t>based on attainment of certain performance metrics developed by the Compensation Committee. The ultimate number of shares issuable under each performance award is the product of the award target and the award payout percentage given the level of achievement. The award payout percentages by level of achievement range between 0% of target and 150% of target.</w:t>
      </w:r>
    </w:p>
    <w:p>
      <w:pPr>
        <w:spacing w:after="0" w:line="103" w:lineRule="exact"/>
        <w:rPr>
          <w:sz w:val="20"/>
          <w:szCs w:val="20"/>
          <w:color w:val="auto"/>
        </w:rPr>
      </w:pPr>
    </w:p>
    <w:p>
      <w:pPr>
        <w:ind w:left="660" w:right="939" w:firstLine="384"/>
        <w:spacing w:after="0" w:line="329" w:lineRule="auto"/>
        <w:rPr>
          <w:sz w:val="20"/>
          <w:szCs w:val="20"/>
          <w:color w:val="auto"/>
        </w:rPr>
      </w:pPr>
      <w:r>
        <w:rPr>
          <w:rFonts w:ascii="Arial" w:cs="Arial" w:eastAsia="Arial" w:hAnsi="Arial"/>
          <w:sz w:val="14"/>
          <w:szCs w:val="14"/>
          <w:color w:val="auto"/>
        </w:rPr>
        <w:t xml:space="preserve">During the six-month period ended June 30, 2022, the Company granted 66,667 PBRSUs. The performance metrics include </w:t>
      </w:r>
      <w:r>
        <w:rPr>
          <w:rFonts w:ascii="Arial" w:cs="Arial" w:eastAsia="Arial" w:hAnsi="Arial"/>
          <w:sz w:val="15"/>
          <w:szCs w:val="15"/>
          <w:color w:val="auto"/>
        </w:rPr>
        <w:t>three-year</w:t>
      </w:r>
      <w:r>
        <w:rPr>
          <w:rFonts w:ascii="Arial" w:cs="Arial" w:eastAsia="Arial" w:hAnsi="Arial"/>
          <w:sz w:val="14"/>
          <w:szCs w:val="14"/>
          <w:color w:val="auto"/>
        </w:rPr>
        <w:t>cumulative, adjusted earnings per share and relative total shareholder return.</w:t>
      </w:r>
    </w:p>
    <w:p>
      <w:pPr>
        <w:spacing w:after="0" w:line="6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 summarizes the status of and changes in the performance -based awards:</w:t>
      </w:r>
    </w:p>
    <w:p>
      <w:pPr>
        <w:spacing w:after="0" w:line="47"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4"/>
          </w:tcPr>
          <w:p>
            <w:pPr>
              <w:jc w:val="center"/>
              <w:ind w:left="309"/>
              <w:spacing w:after="0"/>
              <w:rPr>
                <w:sz w:val="20"/>
                <w:szCs w:val="20"/>
                <w:color w:val="auto"/>
              </w:rPr>
            </w:pPr>
            <w:r>
              <w:rPr>
                <w:rFonts w:ascii="Arial" w:cs="Arial" w:eastAsia="Arial" w:hAnsi="Arial"/>
                <w:sz w:val="14"/>
                <w:szCs w:val="14"/>
                <w:b w:val="1"/>
                <w:bCs w:val="1"/>
                <w:color w:val="auto"/>
                <w:w w:val="89"/>
              </w:rPr>
              <w:t>Performance-Based Restricted</w:t>
            </w:r>
          </w:p>
        </w:tc>
        <w:tc>
          <w:tcPr>
            <w:tcW w:w="460" w:type="dxa"/>
            <w:vAlign w:val="bottom"/>
          </w:tcPr>
          <w:p>
            <w:pPr>
              <w:spacing w:after="0"/>
              <w:rPr>
                <w:sz w:val="14"/>
                <w:szCs w:val="14"/>
                <w:color w:val="auto"/>
              </w:rPr>
            </w:pPr>
          </w:p>
        </w:tc>
      </w:tr>
      <w:tr>
        <w:trPr>
          <w:trHeight w:val="174"/>
        </w:trPr>
        <w:tc>
          <w:tcPr>
            <w:tcW w:w="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tcBorders>
              <w:bottom w:val="single" w:sz="8" w:color="auto"/>
            </w:tcBorders>
            <w:gridSpan w:val="4"/>
          </w:tcPr>
          <w:p>
            <w:pPr>
              <w:jc w:val="center"/>
              <w:ind w:left="329"/>
              <w:spacing w:after="0"/>
              <w:rPr>
                <w:sz w:val="20"/>
                <w:szCs w:val="20"/>
                <w:color w:val="auto"/>
              </w:rPr>
            </w:pPr>
            <w:r>
              <w:rPr>
                <w:rFonts w:ascii="Arial" w:cs="Arial" w:eastAsia="Arial" w:hAnsi="Arial"/>
                <w:sz w:val="14"/>
                <w:szCs w:val="14"/>
                <w:b w:val="1"/>
                <w:bCs w:val="1"/>
                <w:color w:val="auto"/>
                <w:w w:val="92"/>
              </w:rPr>
              <w:t>Stock Unit Awards</w:t>
            </w:r>
          </w:p>
        </w:tc>
        <w:tc>
          <w:tcPr>
            <w:tcW w:w="460" w:type="dxa"/>
            <w:vAlign w:val="bottom"/>
            <w:tcBorders>
              <w:bottom w:val="single" w:sz="8" w:color="auto"/>
            </w:tcBorders>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w w:val="99"/>
              </w:rPr>
              <w:t>Weighted-Average</w:t>
            </w:r>
          </w:p>
        </w:tc>
      </w:tr>
      <w:tr>
        <w:trPr>
          <w:trHeight w:val="174"/>
        </w:trPr>
        <w:tc>
          <w:tcPr>
            <w:tcW w:w="40" w:type="dxa"/>
            <w:vAlign w:val="bottom"/>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4"/>
              </w:rPr>
              <w:t>Number of Shares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4"/>
              </w:rPr>
              <w:t>Grant Date Fair Value</w:t>
            </w:r>
          </w:p>
        </w:tc>
      </w:tr>
      <w:tr>
        <w:trPr>
          <w:trHeight w:val="183"/>
        </w:trPr>
        <w:tc>
          <w:tcPr>
            <w:tcW w:w="40" w:type="dxa"/>
            <w:vAlign w:val="bottom"/>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January 1, 2022</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98,352</w:t>
            </w:r>
          </w:p>
        </w:tc>
        <w:tc>
          <w:tcPr>
            <w:tcW w:w="1060" w:type="dxa"/>
            <w:vAlign w:val="bottom"/>
            <w:gridSpan w:val="3"/>
            <w:shd w:val="clear" w:color="auto" w:fill="CCEEFF"/>
          </w:tcPr>
          <w:p>
            <w:pPr>
              <w:jc w:val="center"/>
              <w:ind w:right="82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13.59</w:t>
            </w:r>
          </w:p>
        </w:tc>
      </w:tr>
      <w:tr>
        <w:trPr>
          <w:trHeight w:val="192"/>
        </w:trPr>
        <w:tc>
          <w:tcPr>
            <w:tcW w:w="40" w:type="dxa"/>
            <w:vAlign w:val="bottom"/>
          </w:tcPr>
          <w:p>
            <w:pPr>
              <w:spacing w:after="0"/>
              <w:rPr>
                <w:sz w:val="16"/>
                <w:szCs w:val="16"/>
                <w:color w:val="auto"/>
              </w:rPr>
            </w:pPr>
          </w:p>
        </w:tc>
        <w:tc>
          <w:tcPr>
            <w:tcW w:w="4960" w:type="dxa"/>
            <w:vAlign w:val="bottom"/>
            <w:gridSpan w:val="2"/>
          </w:tcPr>
          <w:p>
            <w:pPr>
              <w:ind w:left="60"/>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66,667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jc w:val="right"/>
              <w:ind w:right="9"/>
              <w:spacing w:after="0"/>
              <w:rPr>
                <w:sz w:val="20"/>
                <w:szCs w:val="20"/>
                <w:color w:val="auto"/>
              </w:rPr>
            </w:pPr>
            <w:r>
              <w:rPr>
                <w:rFonts w:ascii="Arial" w:cs="Arial" w:eastAsia="Arial" w:hAnsi="Arial"/>
                <w:sz w:val="14"/>
                <w:szCs w:val="14"/>
                <w:color w:val="auto"/>
              </w:rPr>
              <w:t>16.04</w:t>
            </w:r>
          </w:p>
        </w:tc>
      </w:tr>
      <w:tr>
        <w:trPr>
          <w:trHeight w:val="192"/>
        </w:trPr>
        <w:tc>
          <w:tcPr>
            <w:tcW w:w="40" w:type="dxa"/>
            <w:vAlign w:val="bottom"/>
          </w:tcPr>
          <w:p>
            <w:pPr>
              <w:spacing w:after="0"/>
              <w:rPr>
                <w:sz w:val="16"/>
                <w:szCs w:val="16"/>
                <w:color w:val="auto"/>
              </w:rPr>
            </w:pP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Vested</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r>
      <w:tr>
        <w:trPr>
          <w:trHeight w:val="192"/>
        </w:trPr>
        <w:tc>
          <w:tcPr>
            <w:tcW w:w="40" w:type="dxa"/>
            <w:vAlign w:val="bottom"/>
          </w:tcPr>
          <w:p>
            <w:pPr>
              <w:spacing w:after="0"/>
              <w:rPr>
                <w:sz w:val="16"/>
                <w:szCs w:val="16"/>
                <w:color w:val="auto"/>
              </w:rPr>
            </w:pPr>
          </w:p>
        </w:tc>
        <w:tc>
          <w:tcPr>
            <w:tcW w:w="496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(24,944)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15.03</w:t>
            </w:r>
          </w:p>
        </w:tc>
      </w:tr>
      <w:tr>
        <w:trPr>
          <w:trHeight w:val="183"/>
        </w:trPr>
        <w:tc>
          <w:tcPr>
            <w:tcW w:w="40" w:type="dxa"/>
            <w:vAlign w:val="bottom"/>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June 30, 2022</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140,075</w:t>
            </w:r>
          </w:p>
        </w:tc>
        <w:tc>
          <w:tcPr>
            <w:tcW w:w="1060" w:type="dxa"/>
            <w:vAlign w:val="bottom"/>
            <w:gridSpan w:val="3"/>
            <w:shd w:val="clear" w:color="auto" w:fill="CCEEFF"/>
          </w:tcPr>
          <w:p>
            <w:pPr>
              <w:jc w:val="center"/>
              <w:ind w:right="82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14.50</w:t>
            </w:r>
          </w:p>
        </w:tc>
      </w:tr>
      <w:tr>
        <w:trPr>
          <w:trHeight w:val="20"/>
        </w:trPr>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60" w:right="719" w:firstLine="395"/>
        <w:spacing w:after="0" w:line="314" w:lineRule="auto"/>
        <w:rPr>
          <w:sz w:val="20"/>
          <w:szCs w:val="20"/>
          <w:color w:val="auto"/>
        </w:rPr>
      </w:pPr>
      <w:r>
        <w:rPr>
          <w:rFonts w:ascii="Arial" w:cs="Arial" w:eastAsia="Arial" w:hAnsi="Arial"/>
          <w:sz w:val="14"/>
          <w:szCs w:val="14"/>
          <w:color w:val="auto"/>
        </w:rPr>
        <w:t>Unrecognized stock-based compensation related to the performance awards issued through June 30, 2022 was $ 2 million and is expected to be recognized over 2.3 years.</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Restricted Stock Units and Restricted Stock Awards</w:t>
      </w:r>
    </w:p>
    <w:p>
      <w:pPr>
        <w:spacing w:after="0" w:line="162" w:lineRule="exact"/>
        <w:rPr>
          <w:sz w:val="20"/>
          <w:szCs w:val="20"/>
          <w:color w:val="auto"/>
        </w:rPr>
      </w:pPr>
    </w:p>
    <w:p>
      <w:pPr>
        <w:ind w:left="660" w:right="699" w:firstLine="395"/>
        <w:spacing w:after="0" w:line="301" w:lineRule="auto"/>
        <w:rPr>
          <w:sz w:val="20"/>
          <w:szCs w:val="20"/>
          <w:color w:val="auto"/>
        </w:rPr>
      </w:pPr>
      <w:r>
        <w:rPr>
          <w:rFonts w:ascii="Arial" w:cs="Arial" w:eastAsia="Arial" w:hAnsi="Arial"/>
          <w:sz w:val="14"/>
          <w:szCs w:val="14"/>
          <w:color w:val="auto"/>
        </w:rPr>
        <w:t>The Company issues time-based restricted stock units (“RSUs”) and restricted stock awards (“RSAs”) to provide incentives to key officers, employees, and non-employee directors. Awards are typically granted annually as determined by the Compensation Committee. The service-based RSUs typically vest in equal amounts over three years. The service-based RSAs typically cliff-vest after one year.</w:t>
      </w:r>
    </w:p>
    <w:p>
      <w:pPr>
        <w:spacing w:after="0" w:line="110"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following table summarizes the status of and changes in the RSUs and RSAs:</w:t>
      </w:r>
    </w:p>
    <w:p>
      <w:pPr>
        <w:spacing w:after="0" w:line="80"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Borders>
              <w:bottom w:val="single" w:sz="8" w:color="auto"/>
            </w:tcBorders>
            <w:gridSpan w:val="5"/>
          </w:tcPr>
          <w:p>
            <w:pPr>
              <w:jc w:val="center"/>
              <w:ind w:right="9"/>
              <w:spacing w:after="0"/>
              <w:rPr>
                <w:sz w:val="20"/>
                <w:szCs w:val="20"/>
                <w:color w:val="auto"/>
              </w:rPr>
            </w:pPr>
            <w:r>
              <w:rPr>
                <w:rFonts w:ascii="Arial" w:cs="Arial" w:eastAsia="Arial" w:hAnsi="Arial"/>
                <w:sz w:val="14"/>
                <w:szCs w:val="14"/>
                <w:b w:val="1"/>
                <w:bCs w:val="1"/>
                <w:color w:val="auto"/>
                <w:w w:val="91"/>
              </w:rPr>
              <w:t>Restricted Stock Units and Awards</w:t>
            </w:r>
          </w:p>
        </w:tc>
      </w:tr>
      <w:tr>
        <w:trPr>
          <w:trHeight w:val="243"/>
        </w:trPr>
        <w:tc>
          <w:tcPr>
            <w:tcW w:w="4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jc w:val="right"/>
              <w:ind w:right="129"/>
              <w:spacing w:after="0"/>
              <w:rPr>
                <w:sz w:val="20"/>
                <w:szCs w:val="20"/>
                <w:color w:val="auto"/>
              </w:rPr>
            </w:pPr>
            <w:r>
              <w:rPr>
                <w:rFonts w:ascii="Arial" w:cs="Arial" w:eastAsia="Arial" w:hAnsi="Arial"/>
                <w:sz w:val="14"/>
                <w:szCs w:val="14"/>
                <w:b w:val="1"/>
                <w:bCs w:val="1"/>
                <w:color w:val="auto"/>
                <w:w w:val="92"/>
              </w:rPr>
              <w:t>Weighted-Average</w:t>
            </w:r>
          </w:p>
        </w:tc>
      </w:tr>
      <w:tr>
        <w:trPr>
          <w:trHeight w:val="184"/>
        </w:trPr>
        <w:tc>
          <w:tcPr>
            <w:tcW w:w="40" w:type="dxa"/>
            <w:vAlign w:val="bottom"/>
          </w:tcPr>
          <w:p>
            <w:pPr>
              <w:spacing w:after="0"/>
              <w:rPr>
                <w:sz w:val="15"/>
                <w:szCs w:val="15"/>
                <w:color w:val="auto"/>
              </w:rPr>
            </w:pPr>
          </w:p>
        </w:tc>
        <w:tc>
          <w:tcPr>
            <w:tcW w:w="49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4"/>
              </w:rPr>
              <w:t>Number of Shares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4"/>
              </w:rPr>
              <w:t>Grant Date Fair Value</w:t>
            </w:r>
          </w:p>
        </w:tc>
      </w:tr>
      <w:tr>
        <w:trPr>
          <w:trHeight w:val="163"/>
        </w:trPr>
        <w:tc>
          <w:tcPr>
            <w:tcW w:w="40" w:type="dxa"/>
            <w:vAlign w:val="bottom"/>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January 1, 2022</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383,630</w:t>
            </w: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13.52</w:t>
            </w:r>
          </w:p>
        </w:tc>
      </w:tr>
      <w:tr>
        <w:trPr>
          <w:trHeight w:val="192"/>
        </w:trPr>
        <w:tc>
          <w:tcPr>
            <w:tcW w:w="40" w:type="dxa"/>
            <w:vAlign w:val="bottom"/>
          </w:tcPr>
          <w:p>
            <w:pPr>
              <w:spacing w:after="0"/>
              <w:rPr>
                <w:sz w:val="16"/>
                <w:szCs w:val="16"/>
                <w:color w:val="auto"/>
              </w:rPr>
            </w:pPr>
          </w:p>
        </w:tc>
        <w:tc>
          <w:tcPr>
            <w:tcW w:w="4960" w:type="dxa"/>
            <w:vAlign w:val="bottom"/>
            <w:gridSpan w:val="2"/>
          </w:tcPr>
          <w:p>
            <w:pPr>
              <w:ind w:left="60"/>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238,127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Arial" w:cs="Arial" w:eastAsia="Arial" w:hAnsi="Arial"/>
                <w:sz w:val="14"/>
                <w:szCs w:val="14"/>
                <w:color w:val="auto"/>
              </w:rPr>
              <w:t>15.09</w:t>
            </w:r>
          </w:p>
        </w:tc>
      </w:tr>
      <w:tr>
        <w:trPr>
          <w:trHeight w:val="192"/>
        </w:trPr>
        <w:tc>
          <w:tcPr>
            <w:tcW w:w="40" w:type="dxa"/>
            <w:vAlign w:val="bottom"/>
          </w:tcPr>
          <w:p>
            <w:pPr>
              <w:spacing w:after="0"/>
              <w:rPr>
                <w:sz w:val="16"/>
                <w:szCs w:val="16"/>
                <w:color w:val="auto"/>
              </w:rPr>
            </w:pPr>
          </w:p>
        </w:tc>
        <w:tc>
          <w:tcPr>
            <w:tcW w:w="49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(193,350)</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13.83</w:t>
            </w:r>
          </w:p>
        </w:tc>
      </w:tr>
      <w:tr>
        <w:trPr>
          <w:trHeight w:val="192"/>
        </w:trPr>
        <w:tc>
          <w:tcPr>
            <w:tcW w:w="40" w:type="dxa"/>
            <w:vAlign w:val="bottom"/>
          </w:tcPr>
          <w:p>
            <w:pPr>
              <w:spacing w:after="0"/>
              <w:rPr>
                <w:sz w:val="16"/>
                <w:szCs w:val="16"/>
                <w:color w:val="auto"/>
              </w:rPr>
            </w:pPr>
          </w:p>
        </w:tc>
        <w:tc>
          <w:tcPr>
            <w:tcW w:w="496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(16,433)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13.95</w:t>
            </w:r>
          </w:p>
        </w:tc>
      </w:tr>
      <w:tr>
        <w:trPr>
          <w:trHeight w:val="183"/>
        </w:trPr>
        <w:tc>
          <w:tcPr>
            <w:tcW w:w="40" w:type="dxa"/>
            <w:vAlign w:val="bottom"/>
          </w:tcPr>
          <w:p>
            <w:pPr>
              <w:spacing w:after="0"/>
              <w:rPr>
                <w:sz w:val="15"/>
                <w:szCs w:val="15"/>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Unvested, June 30, 2022</w:t>
            </w:r>
          </w:p>
        </w:tc>
        <w:tc>
          <w:tcPr>
            <w:tcW w:w="13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411,974</w:t>
            </w:r>
          </w:p>
        </w:tc>
        <w:tc>
          <w:tcPr>
            <w:tcW w:w="16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14.26</w:t>
            </w:r>
          </w:p>
        </w:tc>
      </w:tr>
      <w:tr>
        <w:trPr>
          <w:trHeight w:val="20"/>
        </w:trPr>
        <w:tc>
          <w:tcPr>
            <w:tcW w:w="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60" w:right="939" w:firstLine="395"/>
        <w:spacing w:after="0" w:line="314" w:lineRule="auto"/>
        <w:rPr>
          <w:sz w:val="20"/>
          <w:szCs w:val="20"/>
          <w:color w:val="auto"/>
        </w:rPr>
      </w:pPr>
      <w:r>
        <w:rPr>
          <w:rFonts w:ascii="Arial" w:cs="Arial" w:eastAsia="Arial" w:hAnsi="Arial"/>
          <w:sz w:val="14"/>
          <w:szCs w:val="14"/>
          <w:color w:val="auto"/>
        </w:rPr>
        <w:t>Unrecognized stock-based compensation related to the RSUs and RSAs issued through June 30, 2022 was $5 million and is expected to be recognized over 2.0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9019"/>
          </w:cols>
          <w:pgMar w:left="1440" w:top="460" w:right="1440" w:bottom="1440" w:gutter="0" w:footer="0" w:header="0"/>
        </w:sectPr>
      </w:pPr>
    </w:p>
    <w:bookmarkStart w:id="41" w:name="page42"/>
    <w:bookmarkEnd w:id="41"/>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10:</w:t>
      </w:r>
      <w:r>
        <w:rPr>
          <w:sz w:val="20"/>
          <w:szCs w:val="20"/>
          <w:color w:val="auto"/>
        </w:rPr>
        <w:tab/>
      </w:r>
      <w:r>
        <w:rPr>
          <w:rFonts w:ascii="Arial" w:cs="Arial" w:eastAsia="Arial" w:hAnsi="Arial"/>
          <w:sz w:val="15"/>
          <w:szCs w:val="15"/>
          <w:b w:val="1"/>
          <w:bCs w:val="1"/>
          <w:color w:val="auto"/>
        </w:rPr>
        <w:t>Income Tax</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An income tax expense reconciliation at the statutory rate to the Company’s actual income tax expense is shown below:</w:t>
      </w:r>
    </w:p>
    <w:p>
      <w:pPr>
        <w:spacing w:after="0" w:line="59" w:lineRule="exact"/>
        <w:rPr>
          <w:sz w:val="20"/>
          <w:szCs w:val="20"/>
          <w:color w:val="auto"/>
        </w:rPr>
      </w:pPr>
    </w:p>
    <w:tbl>
      <w:tblPr>
        <w:tblLayout w:type="fixed"/>
        <w:tblInd w:w="62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5"/>
          </w:tcPr>
          <w:p>
            <w:pPr>
              <w:jc w:val="right"/>
              <w:ind w:right="369"/>
              <w:spacing w:after="0"/>
              <w:rPr>
                <w:sz w:val="20"/>
                <w:szCs w:val="20"/>
                <w:color w:val="auto"/>
              </w:rPr>
            </w:pPr>
            <w:r>
              <w:rPr>
                <w:rFonts w:ascii="Arial" w:cs="Arial" w:eastAsia="Arial" w:hAnsi="Arial"/>
                <w:sz w:val="14"/>
                <w:szCs w:val="14"/>
                <w:b w:val="1"/>
                <w:bCs w:val="1"/>
                <w:color w:val="auto"/>
              </w:rPr>
              <w:t>Six Months Ended</w:t>
            </w:r>
          </w:p>
        </w:tc>
      </w:tr>
      <w:tr>
        <w:trPr>
          <w:trHeight w:val="219"/>
        </w:trPr>
        <w:tc>
          <w:tcPr>
            <w:tcW w:w="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9"/>
                <w:szCs w:val="19"/>
                <w:color w:val="auto"/>
              </w:rPr>
            </w:pPr>
          </w:p>
        </w:tc>
      </w:tr>
      <w:tr>
        <w:trPr>
          <w:trHeight w:val="210"/>
        </w:trPr>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r>
      <w:tr>
        <w:trPr>
          <w:trHeight w:val="178"/>
        </w:trPr>
        <w:tc>
          <w:tcPr>
            <w:tcW w:w="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5"/>
          </w:tcPr>
          <w:p>
            <w:pPr>
              <w:jc w:val="right"/>
              <w:ind w:right="349"/>
              <w:spacing w:after="0"/>
              <w:rPr>
                <w:sz w:val="20"/>
                <w:szCs w:val="20"/>
                <w:color w:val="auto"/>
              </w:rPr>
            </w:pPr>
            <w:r>
              <w:rPr>
                <w:rFonts w:ascii="Arial" w:cs="Arial" w:eastAsia="Arial" w:hAnsi="Arial"/>
                <w:sz w:val="13"/>
                <w:szCs w:val="13"/>
                <w:i w:val="1"/>
                <w:iCs w:val="1"/>
                <w:color w:val="auto"/>
                <w:w w:val="99"/>
              </w:rPr>
              <w:t>(Dollars in thousands)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70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Computed at the statutory rate (21%)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4,110</w:t>
            </w:r>
          </w:p>
        </w:tc>
        <w:tc>
          <w:tcPr>
            <w:tcW w:w="3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3,957</w:t>
            </w: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8,523</w:t>
            </w: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7,095</w:t>
            </w:r>
          </w:p>
        </w:tc>
      </w:tr>
      <w:tr>
        <w:trPr>
          <w:trHeight w:val="181"/>
        </w:trPr>
        <w:tc>
          <w:tcPr>
            <w:tcW w:w="3000" w:type="dxa"/>
            <w:vAlign w:val="bottom"/>
            <w:gridSpan w:val="2"/>
          </w:tcPr>
          <w:p>
            <w:pPr>
              <w:spacing w:after="0"/>
              <w:rPr>
                <w:sz w:val="20"/>
                <w:szCs w:val="20"/>
                <w:color w:val="auto"/>
              </w:rPr>
            </w:pPr>
            <w:r>
              <w:rPr>
                <w:rFonts w:ascii="Arial" w:cs="Arial" w:eastAsia="Arial" w:hAnsi="Arial"/>
                <w:sz w:val="14"/>
                <w:szCs w:val="14"/>
                <w:color w:val="auto"/>
              </w:rPr>
              <w:t>Increase (decrease) resulting from</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2"/>
        </w:trPr>
        <w:tc>
          <w:tcPr>
            <w:tcW w:w="4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Tax-exempt income</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(2,002)</w:t>
            </w:r>
          </w:p>
        </w:tc>
      </w:tr>
      <w:tr>
        <w:trPr>
          <w:trHeight w:val="181"/>
        </w:trPr>
        <w:tc>
          <w:tcPr>
            <w:tcW w:w="3000" w:type="dxa"/>
            <w:vAlign w:val="bottom"/>
            <w:gridSpan w:val="2"/>
          </w:tcPr>
          <w:p>
            <w:pPr>
              <w:spacing w:after="0"/>
              <w:rPr>
                <w:sz w:val="20"/>
                <w:szCs w:val="20"/>
                <w:color w:val="auto"/>
              </w:rPr>
            </w:pPr>
            <w:r>
              <w:rPr>
                <w:rFonts w:ascii="Arial" w:cs="Arial" w:eastAsia="Arial" w:hAnsi="Arial"/>
                <w:sz w:val="14"/>
                <w:szCs w:val="14"/>
                <w:color w:val="auto"/>
              </w:rPr>
              <w:t>Non-deductible expenses</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111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193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90</w:t>
            </w:r>
          </w:p>
        </w:tc>
      </w:tr>
      <w:tr>
        <w:trPr>
          <w:trHeight w:val="181"/>
        </w:trPr>
        <w:tc>
          <w:tcPr>
            <w:tcW w:w="4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State income taxes</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728</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682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1,424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1,178</w:t>
            </w:r>
          </w:p>
        </w:tc>
      </w:tr>
      <w:tr>
        <w:trPr>
          <w:trHeight w:val="181"/>
        </w:trPr>
        <w:tc>
          <w:tcPr>
            <w:tcW w:w="3000" w:type="dxa"/>
            <w:vAlign w:val="bottom"/>
            <w:gridSpan w:val="2"/>
          </w:tcPr>
          <w:p>
            <w:pPr>
              <w:spacing w:after="0"/>
              <w:rPr>
                <w:sz w:val="20"/>
                <w:szCs w:val="20"/>
                <w:color w:val="auto"/>
              </w:rPr>
            </w:pPr>
            <w:r>
              <w:rPr>
                <w:rFonts w:ascii="Arial" w:cs="Arial" w:eastAsia="Arial" w:hAnsi="Arial"/>
                <w:sz w:val="14"/>
                <w:szCs w:val="14"/>
                <w:color w:val="auto"/>
              </w:rPr>
              <w:t>Equity based compensation</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15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w:t>
            </w:r>
          </w:p>
        </w:tc>
      </w:tr>
      <w:tr>
        <w:trPr>
          <w:trHeight w:val="176"/>
        </w:trPr>
        <w:tc>
          <w:tcPr>
            <w:tcW w:w="40" w:type="dxa"/>
            <w:vAlign w:val="bottom"/>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Other adjustments</w:t>
            </w:r>
          </w:p>
        </w:tc>
        <w:tc>
          <w:tcPr>
            <w:tcW w:w="9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188"/>
        </w:trPr>
        <w:tc>
          <w:tcPr>
            <w:tcW w:w="40" w:type="dxa"/>
            <w:vAlign w:val="bottom"/>
          </w:tcPr>
          <w:p>
            <w:pPr>
              <w:spacing w:after="0"/>
              <w:rPr>
                <w:sz w:val="16"/>
                <w:szCs w:val="16"/>
                <w:color w:val="auto"/>
              </w:rPr>
            </w:pPr>
          </w:p>
        </w:tc>
        <w:tc>
          <w:tcPr>
            <w:tcW w:w="2960" w:type="dxa"/>
            <w:vAlign w:val="bottom"/>
          </w:tcPr>
          <w:p>
            <w:pPr>
              <w:ind w:left="60"/>
              <w:spacing w:after="0"/>
              <w:rPr>
                <w:sz w:val="20"/>
                <w:szCs w:val="20"/>
                <w:color w:val="auto"/>
              </w:rPr>
            </w:pPr>
            <w:r>
              <w:rPr>
                <w:rFonts w:ascii="Arial" w:cs="Arial" w:eastAsia="Arial" w:hAnsi="Arial"/>
                <w:sz w:val="14"/>
                <w:szCs w:val="14"/>
                <w:color w:val="auto"/>
              </w:rPr>
              <w:t>Actual tax expense</w:t>
            </w:r>
          </w:p>
        </w:tc>
        <w:tc>
          <w:tcPr>
            <w:tcW w:w="10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9"/>
              <w:spacing w:after="0"/>
              <w:rPr>
                <w:sz w:val="20"/>
                <w:szCs w:val="20"/>
                <w:color w:val="auto"/>
              </w:rPr>
            </w:pPr>
            <w:r>
              <w:rPr>
                <w:rFonts w:ascii="Arial" w:cs="Arial" w:eastAsia="Arial" w:hAnsi="Arial"/>
                <w:sz w:val="14"/>
                <w:szCs w:val="14"/>
                <w:color w:val="auto"/>
              </w:rPr>
              <w:t>4,027</w:t>
            </w:r>
          </w:p>
        </w:tc>
        <w:tc>
          <w:tcPr>
            <w:tcW w:w="30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3,263</w:t>
            </w: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8,215</w:t>
            </w:r>
          </w:p>
        </w:tc>
        <w:tc>
          <w:tcPr>
            <w:tcW w:w="3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6,171</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640" w:right="1059" w:firstLine="395"/>
        <w:spacing w:after="0" w:line="299" w:lineRule="auto"/>
        <w:rPr>
          <w:sz w:val="20"/>
          <w:szCs w:val="20"/>
          <w:color w:val="auto"/>
        </w:rPr>
      </w:pPr>
      <w:r>
        <w:rPr>
          <w:rFonts w:ascii="Arial" w:cs="Arial" w:eastAsia="Arial" w:hAnsi="Arial"/>
          <w:sz w:val="14"/>
          <w:szCs w:val="14"/>
          <w:color w:val="auto"/>
        </w:rPr>
        <w:t>The tax effects of temporary differences related to deferred taxes located in “other assets” on the Condensed Consolidated Balance Sheets are presented below:</w:t>
      </w:r>
    </w:p>
    <w:tbl>
      <w:tblPr>
        <w:tblLayout w:type="fixed"/>
        <w:tblInd w:w="62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June 30, 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3"/>
              </w:rPr>
              <w:t>December 31, 2021</w:t>
            </w:r>
          </w:p>
        </w:tc>
      </w:tr>
      <w:tr>
        <w:trPr>
          <w:trHeight w:val="157"/>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5"/>
          </w:tcPr>
          <w:p>
            <w:pPr>
              <w:jc w:val="right"/>
              <w:ind w:right="869"/>
              <w:spacing w:after="0"/>
              <w:rPr>
                <w:sz w:val="20"/>
                <w:szCs w:val="20"/>
                <w:color w:val="auto"/>
              </w:rPr>
            </w:pPr>
            <w:r>
              <w:rPr>
                <w:rFonts w:ascii="Arial" w:cs="Arial" w:eastAsia="Arial" w:hAnsi="Arial"/>
                <w:sz w:val="13"/>
                <w:szCs w:val="13"/>
                <w:i w:val="1"/>
                <w:iCs w:val="1"/>
                <w:color w:val="auto"/>
              </w:rPr>
              <w:t>(Dollars in thousands)</w:t>
            </w:r>
          </w:p>
        </w:tc>
      </w:tr>
      <w:tr>
        <w:trPr>
          <w:trHeight w:val="197"/>
        </w:trPr>
        <w:tc>
          <w:tcPr>
            <w:tcW w:w="4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Deferred tax assets</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81"/>
        </w:trPr>
        <w:tc>
          <w:tcPr>
            <w:tcW w:w="40" w:type="dxa"/>
            <w:vAlign w:val="bottom"/>
          </w:tcPr>
          <w:p>
            <w:pPr>
              <w:spacing w:after="0"/>
              <w:rPr>
                <w:sz w:val="15"/>
                <w:szCs w:val="15"/>
                <w:color w:val="auto"/>
              </w:rPr>
            </w:pPr>
          </w:p>
        </w:tc>
        <w:tc>
          <w:tcPr>
            <w:tcW w:w="3860" w:type="dxa"/>
            <w:vAlign w:val="bottom"/>
            <w:gridSpan w:val="2"/>
          </w:tcPr>
          <w:p>
            <w:pPr>
              <w:ind w:left="60"/>
              <w:spacing w:after="0"/>
              <w:rPr>
                <w:sz w:val="20"/>
                <w:szCs w:val="20"/>
                <w:color w:val="auto"/>
              </w:rPr>
            </w:pPr>
            <w:r>
              <w:rPr>
                <w:rFonts w:ascii="Arial" w:cs="Arial" w:eastAsia="Arial" w:hAnsi="Arial"/>
                <w:sz w:val="14"/>
                <w:szCs w:val="14"/>
                <w:color w:val="auto"/>
              </w:rPr>
              <w:t>Net unrealized loss on securities available-for-sale</w:t>
            </w: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16,020</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w:t>
            </w: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Allowance for credit losses</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14,716</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14,051</w:t>
            </w:r>
          </w:p>
        </w:tc>
      </w:tr>
      <w:tr>
        <w:trPr>
          <w:trHeight w:val="181"/>
        </w:trPr>
        <w:tc>
          <w:tcPr>
            <w:tcW w:w="40" w:type="dxa"/>
            <w:vAlign w:val="bottom"/>
          </w:tcPr>
          <w:p>
            <w:pPr>
              <w:spacing w:after="0"/>
              <w:rPr>
                <w:sz w:val="15"/>
                <w:szCs w:val="15"/>
                <w:color w:val="auto"/>
              </w:rPr>
            </w:pPr>
          </w:p>
        </w:tc>
        <w:tc>
          <w:tcPr>
            <w:tcW w:w="3860" w:type="dxa"/>
            <w:vAlign w:val="bottom"/>
            <w:gridSpan w:val="2"/>
          </w:tcPr>
          <w:p>
            <w:pPr>
              <w:ind w:left="60"/>
              <w:spacing w:after="0"/>
              <w:rPr>
                <w:sz w:val="20"/>
                <w:szCs w:val="20"/>
                <w:color w:val="auto"/>
              </w:rPr>
            </w:pPr>
            <w:r>
              <w:rPr>
                <w:rFonts w:ascii="Arial" w:cs="Arial" w:eastAsia="Arial" w:hAnsi="Arial"/>
                <w:sz w:val="14"/>
                <w:szCs w:val="14"/>
                <w:color w:val="auto"/>
              </w:rPr>
              <w:t>Lease incentive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481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508</w:t>
            </w: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Loan fees</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3,302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3,227</w:t>
            </w:r>
          </w:p>
        </w:tc>
      </w:tr>
      <w:tr>
        <w:trPr>
          <w:trHeight w:val="181"/>
        </w:trPr>
        <w:tc>
          <w:tcPr>
            <w:tcW w:w="40" w:type="dxa"/>
            <w:vAlign w:val="bottom"/>
          </w:tcPr>
          <w:p>
            <w:pPr>
              <w:spacing w:after="0"/>
              <w:rPr>
                <w:sz w:val="15"/>
                <w:szCs w:val="15"/>
                <w:color w:val="auto"/>
              </w:rPr>
            </w:pPr>
          </w:p>
        </w:tc>
        <w:tc>
          <w:tcPr>
            <w:tcW w:w="3860" w:type="dxa"/>
            <w:vAlign w:val="bottom"/>
            <w:gridSpan w:val="2"/>
          </w:tcPr>
          <w:p>
            <w:pPr>
              <w:ind w:left="60"/>
              <w:spacing w:after="0"/>
              <w:rPr>
                <w:sz w:val="20"/>
                <w:szCs w:val="20"/>
                <w:color w:val="auto"/>
              </w:rPr>
            </w:pPr>
            <w:r>
              <w:rPr>
                <w:rFonts w:ascii="Arial" w:cs="Arial" w:eastAsia="Arial" w:hAnsi="Arial"/>
                <w:sz w:val="14"/>
                <w:szCs w:val="14"/>
                <w:color w:val="auto"/>
              </w:rPr>
              <w:t>Accrued expenses</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30"/>
              <w:spacing w:after="0"/>
              <w:rPr>
                <w:sz w:val="20"/>
                <w:szCs w:val="20"/>
                <w:color w:val="auto"/>
              </w:rPr>
            </w:pPr>
            <w:r>
              <w:rPr>
                <w:rFonts w:ascii="Arial" w:cs="Arial" w:eastAsia="Arial" w:hAnsi="Arial"/>
                <w:sz w:val="14"/>
                <w:szCs w:val="14"/>
                <w:color w:val="auto"/>
              </w:rPr>
              <w:t>1,705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2,735</w:t>
            </w: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Deferred compensation</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1,749</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2,418</w:t>
            </w:r>
          </w:p>
        </w:tc>
      </w:tr>
      <w:tr>
        <w:trPr>
          <w:trHeight w:val="181"/>
        </w:trPr>
        <w:tc>
          <w:tcPr>
            <w:tcW w:w="40" w:type="dxa"/>
            <w:vAlign w:val="bottom"/>
          </w:tcPr>
          <w:p>
            <w:pPr>
              <w:spacing w:after="0"/>
              <w:rPr>
                <w:sz w:val="15"/>
                <w:szCs w:val="15"/>
                <w:color w:val="auto"/>
              </w:rPr>
            </w:pPr>
          </w:p>
        </w:tc>
        <w:tc>
          <w:tcPr>
            <w:tcW w:w="3860" w:type="dxa"/>
            <w:vAlign w:val="bottom"/>
            <w:gridSpan w:val="2"/>
          </w:tcPr>
          <w:p>
            <w:pPr>
              <w:ind w:left="60"/>
              <w:spacing w:after="0"/>
              <w:rPr>
                <w:sz w:val="20"/>
                <w:szCs w:val="20"/>
                <w:color w:val="auto"/>
              </w:rPr>
            </w:pPr>
            <w:r>
              <w:rPr>
                <w:rFonts w:ascii="Arial" w:cs="Arial" w:eastAsia="Arial" w:hAnsi="Arial"/>
                <w:sz w:val="14"/>
                <w:szCs w:val="14"/>
                <w:color w:val="auto"/>
              </w:rPr>
              <w:t>State tax credit</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273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1,033</w:t>
            </w:r>
          </w:p>
        </w:tc>
      </w:tr>
      <w:tr>
        <w:trPr>
          <w:trHeight w:val="181"/>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764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2,057</w:t>
            </w:r>
          </w:p>
        </w:tc>
      </w:tr>
      <w:tr>
        <w:trPr>
          <w:trHeight w:val="171"/>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ind w:left="60"/>
              <w:spacing w:after="0"/>
              <w:rPr>
                <w:sz w:val="20"/>
                <w:szCs w:val="20"/>
                <w:color w:val="auto"/>
              </w:rPr>
            </w:pPr>
            <w:r>
              <w:rPr>
                <w:rFonts w:ascii="Arial" w:cs="Arial" w:eastAsia="Arial" w:hAnsi="Arial"/>
                <w:sz w:val="14"/>
                <w:szCs w:val="14"/>
                <w:color w:val="auto"/>
              </w:rPr>
              <w:t>Total deferred tax asset</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39,010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26,029</w:t>
            </w:r>
          </w:p>
        </w:tc>
      </w:tr>
      <w:tr>
        <w:trPr>
          <w:trHeight w:val="182"/>
        </w:trPr>
        <w:tc>
          <w:tcPr>
            <w:tcW w:w="4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Deferred tax liability</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3860" w:type="dxa"/>
            <w:vAlign w:val="bottom"/>
            <w:gridSpan w:val="2"/>
          </w:tcPr>
          <w:p>
            <w:pPr>
              <w:ind w:left="60"/>
              <w:spacing w:after="0"/>
              <w:rPr>
                <w:sz w:val="20"/>
                <w:szCs w:val="20"/>
                <w:color w:val="auto"/>
              </w:rPr>
            </w:pPr>
            <w:r>
              <w:rPr>
                <w:rFonts w:ascii="Arial" w:cs="Arial" w:eastAsia="Arial" w:hAnsi="Arial"/>
                <w:sz w:val="14"/>
                <w:szCs w:val="14"/>
                <w:color w:val="auto"/>
              </w:rPr>
              <w:t>Net unrealized gain on securities available-for-sale</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(6,967)</w:t>
            </w:r>
          </w:p>
        </w:tc>
      </w:tr>
      <w:tr>
        <w:trPr>
          <w:trHeight w:val="182"/>
        </w:trPr>
        <w:tc>
          <w:tcPr>
            <w:tcW w:w="40" w:type="dxa"/>
            <w:vAlign w:val="bottom"/>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4"/>
                <w:szCs w:val="14"/>
                <w:color w:val="auto"/>
              </w:rPr>
              <w:t>FHLB stock basis</w:t>
            </w: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81"/>
        </w:trPr>
        <w:tc>
          <w:tcPr>
            <w:tcW w:w="40" w:type="dxa"/>
            <w:vAlign w:val="bottom"/>
          </w:tcPr>
          <w:p>
            <w:pPr>
              <w:spacing w:after="0"/>
              <w:rPr>
                <w:sz w:val="15"/>
                <w:szCs w:val="15"/>
                <w:color w:val="auto"/>
              </w:rPr>
            </w:pPr>
          </w:p>
        </w:tc>
        <w:tc>
          <w:tcPr>
            <w:tcW w:w="3860" w:type="dxa"/>
            <w:vAlign w:val="bottom"/>
            <w:gridSpan w:val="2"/>
          </w:tcPr>
          <w:p>
            <w:pPr>
              <w:ind w:left="60"/>
              <w:spacing w:after="0"/>
              <w:rPr>
                <w:sz w:val="20"/>
                <w:szCs w:val="20"/>
                <w:color w:val="auto"/>
              </w:rPr>
            </w:pPr>
            <w:r>
              <w:rPr>
                <w:rFonts w:ascii="Arial" w:cs="Arial" w:eastAsia="Arial" w:hAnsi="Arial"/>
                <w:sz w:val="14"/>
                <w:szCs w:val="14"/>
                <w:color w:val="auto"/>
              </w:rPr>
              <w:t>Premises and equipment</w:t>
            </w: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(2,341)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(2,602)</w:t>
            </w:r>
          </w:p>
        </w:tc>
      </w:tr>
      <w:tr>
        <w:trPr>
          <w:trHeight w:val="171"/>
        </w:trPr>
        <w:tc>
          <w:tcPr>
            <w:tcW w:w="40" w:type="dxa"/>
            <w:vAlign w:val="bottom"/>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w:t>
            </w:r>
          </w:p>
        </w:tc>
        <w:tc>
          <w:tcPr>
            <w:tcW w:w="9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w:t>
            </w:r>
          </w:p>
        </w:tc>
      </w:tr>
      <w:tr>
        <w:trPr>
          <w:trHeight w:val="17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60" w:type="dxa"/>
            <w:vAlign w:val="bottom"/>
          </w:tcPr>
          <w:p>
            <w:pPr>
              <w:ind w:left="60"/>
              <w:spacing w:after="0"/>
              <w:rPr>
                <w:sz w:val="20"/>
                <w:szCs w:val="20"/>
                <w:color w:val="auto"/>
              </w:rPr>
            </w:pPr>
            <w:r>
              <w:rPr>
                <w:rFonts w:ascii="Arial" w:cs="Arial" w:eastAsia="Arial" w:hAnsi="Arial"/>
                <w:sz w:val="14"/>
                <w:szCs w:val="14"/>
                <w:color w:val="auto"/>
              </w:rPr>
              <w:t>Total deferred tax liability</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(11,555)</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deferred tax asset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34,906</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14,474</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11:</w:t>
      </w:r>
      <w:r>
        <w:rPr>
          <w:sz w:val="20"/>
          <w:szCs w:val="20"/>
          <w:color w:val="auto"/>
        </w:rPr>
        <w:tab/>
      </w:r>
      <w:r>
        <w:rPr>
          <w:rFonts w:ascii="Arial" w:cs="Arial" w:eastAsia="Arial" w:hAnsi="Arial"/>
          <w:sz w:val="15"/>
          <w:szCs w:val="15"/>
          <w:b w:val="1"/>
          <w:bCs w:val="1"/>
          <w:color w:val="auto"/>
        </w:rPr>
        <w:t>Disclosures about Fair Value of Financial Instruments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Fair value is the price that would be received to sell an asset or paid to transfer a liability in an orderly transaction between</w:t>
      </w:r>
    </w:p>
    <w:p>
      <w:pPr>
        <w:spacing w:after="0" w:line="42" w:lineRule="exact"/>
        <w:rPr>
          <w:sz w:val="20"/>
          <w:szCs w:val="20"/>
          <w:color w:val="auto"/>
        </w:rPr>
      </w:pPr>
    </w:p>
    <w:p>
      <w:pPr>
        <w:ind w:left="660" w:right="599"/>
        <w:spacing w:after="0" w:line="357" w:lineRule="auto"/>
        <w:rPr>
          <w:sz w:val="20"/>
          <w:szCs w:val="20"/>
          <w:color w:val="auto"/>
        </w:rPr>
      </w:pPr>
      <w:r>
        <w:rPr>
          <w:rFonts w:ascii="Arial" w:cs="Arial" w:eastAsia="Arial" w:hAnsi="Arial"/>
          <w:sz w:val="13"/>
          <w:szCs w:val="13"/>
          <w:color w:val="auto"/>
        </w:rPr>
        <w:t>market participants at the measurement date. Fair value measurements must maximize the use of observable inputs and minimize the use of unobservable inputs. There is a hierarchy of three levels of inputs that may be used to measure fair value:</w:t>
      </w:r>
    </w:p>
    <w:p>
      <w:pPr>
        <w:spacing w:after="0" w:line="63"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 xml:space="preserve">Level 1 </w:t>
      </w:r>
      <w:r>
        <w:rPr>
          <w:rFonts w:ascii="Arial" w:cs="Arial" w:eastAsia="Arial" w:hAnsi="Arial"/>
          <w:sz w:val="14"/>
          <w:szCs w:val="14"/>
          <w:color w:val="auto"/>
        </w:rPr>
        <w:t>Quoted prices in active markets for identical assets or liabilities.</w:t>
      </w:r>
    </w:p>
    <w:p>
      <w:pPr>
        <w:spacing w:after="0" w:line="127" w:lineRule="exact"/>
        <w:rPr>
          <w:sz w:val="20"/>
          <w:szCs w:val="20"/>
          <w:color w:val="auto"/>
        </w:rPr>
      </w:pPr>
    </w:p>
    <w:p>
      <w:pPr>
        <w:ind w:left="1540" w:right="919" w:hanging="511"/>
        <w:spacing w:after="0" w:line="311" w:lineRule="auto"/>
        <w:rPr>
          <w:sz w:val="20"/>
          <w:szCs w:val="20"/>
          <w:color w:val="auto"/>
        </w:rPr>
      </w:pPr>
      <w:r>
        <w:rPr>
          <w:rFonts w:ascii="Arial" w:cs="Arial" w:eastAsia="Arial" w:hAnsi="Arial"/>
          <w:sz w:val="14"/>
          <w:szCs w:val="14"/>
          <w:b w:val="1"/>
          <w:bCs w:val="1"/>
          <w:color w:val="auto"/>
        </w:rPr>
        <w:t xml:space="preserve">Level 2 </w:t>
      </w:r>
      <w:r>
        <w:rPr>
          <w:rFonts w:ascii="Arial" w:cs="Arial" w:eastAsia="Arial" w:hAnsi="Arial"/>
          <w:sz w:val="14"/>
          <w:szCs w:val="14"/>
          <w:color w:val="auto"/>
        </w:rPr>
        <w:t>Observable inputs other than Level 1 prices, such as quoted prices for similar assets or liabilities; quoted prices in</w:t>
      </w:r>
      <w:r>
        <w:rPr>
          <w:rFonts w:ascii="Arial" w:cs="Arial" w:eastAsia="Arial" w:hAnsi="Arial"/>
          <w:sz w:val="14"/>
          <w:szCs w:val="14"/>
          <w:b w:val="1"/>
          <w:bCs w:val="1"/>
          <w:color w:val="auto"/>
        </w:rPr>
        <w:t xml:space="preserve"> </w:t>
      </w:r>
      <w:r>
        <w:rPr>
          <w:rFonts w:ascii="Arial" w:cs="Arial" w:eastAsia="Arial" w:hAnsi="Arial"/>
          <w:sz w:val="14"/>
          <w:szCs w:val="14"/>
          <w:color w:val="auto"/>
        </w:rPr>
        <w:t>markets that are not active; or other inputs that are observable or can be corroborated by observable market data for substantially the full term of the assets or liabilities.</w:t>
      </w:r>
    </w:p>
    <w:p>
      <w:pPr>
        <w:spacing w:after="0" w:line="46" w:lineRule="exact"/>
        <w:rPr>
          <w:sz w:val="20"/>
          <w:szCs w:val="20"/>
          <w:color w:val="auto"/>
        </w:rPr>
      </w:pPr>
    </w:p>
    <w:p>
      <w:pPr>
        <w:ind w:left="1040"/>
        <w:spacing w:after="0"/>
        <w:rPr>
          <w:sz w:val="20"/>
          <w:szCs w:val="20"/>
          <w:color w:val="auto"/>
        </w:rPr>
      </w:pPr>
      <w:r>
        <w:rPr>
          <w:rFonts w:ascii="Arial" w:cs="Arial" w:eastAsia="Arial" w:hAnsi="Arial"/>
          <w:sz w:val="13"/>
          <w:szCs w:val="13"/>
          <w:b w:val="1"/>
          <w:bCs w:val="1"/>
          <w:color w:val="auto"/>
        </w:rPr>
        <w:t xml:space="preserve">Level 3 </w:t>
      </w:r>
      <w:r>
        <w:rPr>
          <w:rFonts w:ascii="Arial" w:cs="Arial" w:eastAsia="Arial" w:hAnsi="Arial"/>
          <w:sz w:val="13"/>
          <w:szCs w:val="13"/>
          <w:color w:val="auto"/>
        </w:rPr>
        <w:t>Unobservable inputs supported by little or no market activity and significant to the fair value of the assets or liabilities.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9019"/>
          </w:cols>
          <w:pgMar w:left="1440" w:top="460" w:right="1440" w:bottom="1440" w:gutter="0" w:footer="0" w:header="0"/>
        </w:sectPr>
      </w:pPr>
    </w:p>
    <w:bookmarkStart w:id="42" w:name="page43"/>
    <w:bookmarkEnd w:id="42"/>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rFonts w:ascii="Arial" w:cs="Arial" w:eastAsia="Arial" w:hAnsi="Arial"/>
          <w:sz w:val="14"/>
          <w:szCs w:val="14"/>
          <w:color w:val="0000FF"/>
        </w:rPr>
      </w:pP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(unaudited)</w:t>
      </w:r>
    </w:p>
    <w:p>
      <w:pPr>
        <w:spacing w:after="0" w:line="378"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Recurring Measurements</w:t>
      </w:r>
    </w:p>
    <w:p>
      <w:pPr>
        <w:spacing w:after="0" w:line="162" w:lineRule="exact"/>
        <w:rPr>
          <w:sz w:val="20"/>
          <w:szCs w:val="20"/>
          <w:color w:val="auto"/>
        </w:rPr>
      </w:pPr>
    </w:p>
    <w:p>
      <w:pPr>
        <w:ind w:left="620" w:right="879" w:firstLine="395"/>
        <w:spacing w:after="0" w:line="308" w:lineRule="auto"/>
        <w:rPr>
          <w:sz w:val="20"/>
          <w:szCs w:val="20"/>
          <w:color w:val="auto"/>
        </w:rPr>
      </w:pPr>
      <w:r>
        <w:rPr>
          <w:rFonts w:ascii="Arial" w:cs="Arial" w:eastAsia="Arial" w:hAnsi="Arial"/>
          <w:sz w:val="14"/>
          <w:szCs w:val="14"/>
          <w:color w:val="auto"/>
        </w:rPr>
        <w:t>The following list presents the assets and liabilities recognized in the accompanying Condensed Consolidated Balance Sheets measured at fair value on a recurring basis and the level within the fair value hierarchy in which the fair value measurements fall at June 30, 2022 and December 31, 2021:</w:t>
      </w:r>
    </w:p>
    <w:p>
      <w:pPr>
        <w:spacing w:after="0" w:line="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9"/>
              <w:spacing w:after="0"/>
              <w:rPr>
                <w:sz w:val="20"/>
                <w:szCs w:val="20"/>
                <w:color w:val="auto"/>
              </w:rPr>
            </w:pPr>
            <w:r>
              <w:rPr>
                <w:rFonts w:ascii="Arial" w:cs="Arial" w:eastAsia="Arial" w:hAnsi="Arial"/>
                <w:sz w:val="14"/>
                <w:szCs w:val="14"/>
                <w:b w:val="1"/>
                <w:bCs w:val="1"/>
                <w:color w:val="auto"/>
                <w:w w:val="91"/>
              </w:rPr>
              <w:t>Valuation</w:t>
            </w:r>
          </w:p>
        </w:tc>
        <w:tc>
          <w:tcPr>
            <w:tcW w:w="8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96"/>
              </w:rPr>
              <w:t>Where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9"/>
              <w:spacing w:after="0"/>
              <w:rPr>
                <w:sz w:val="20"/>
                <w:szCs w:val="20"/>
                <w:color w:val="auto"/>
              </w:rPr>
            </w:pPr>
            <w:r>
              <w:rPr>
                <w:rFonts w:ascii="Arial" w:cs="Arial" w:eastAsia="Arial" w:hAnsi="Arial"/>
                <w:sz w:val="14"/>
                <w:szCs w:val="14"/>
                <w:b w:val="1"/>
                <w:bCs w:val="1"/>
                <w:color w:val="auto"/>
                <w:w w:val="95"/>
              </w:rPr>
              <w:t>Hierarchy</w:t>
            </w:r>
          </w:p>
        </w:tc>
        <w:tc>
          <w:tcPr>
            <w:tcW w:w="8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b w:val="1"/>
                <w:bCs w:val="1"/>
                <w:color w:val="auto"/>
                <w:w w:val="90"/>
              </w:rPr>
              <w:t>Value Balance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Fair Value Description</w:t>
            </w:r>
          </w:p>
        </w:tc>
        <w:tc>
          <w:tcPr>
            <w:tcW w:w="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4"/>
              </w:rPr>
              <w:t>Level</w:t>
            </w: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Can Be Found</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Available-for-</w:t>
            </w: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Where quoted market prices are available in an active market, securities are</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w w:val="92"/>
              </w:rPr>
              <w:t>Level 2</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w w:val="92"/>
              </w:rPr>
              <w:t>Note 3:</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Sale Securities and</w:t>
            </w: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classified within Level 1 of the valuation hierarchy. If quoted market prices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Securities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CRA Equity Security</w:t>
            </w:r>
          </w:p>
        </w:tc>
        <w:tc>
          <w:tcPr>
            <w:tcW w:w="1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6"/>
              </w:rPr>
              <w:t>are not available, then fair values are estimated by using quoted prices of</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w w:val="95"/>
              </w:rPr>
              <w:t>securities with similar characteristics or independent asset pricing services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5"/>
              </w:rPr>
              <w:t>and pricing models, the inputs of which are market-based or independently</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sourced market parameters, including, but not limited to, yield curves,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w w:val="93"/>
              </w:rPr>
              <w:t>interest rates, volatilities, prepayments, defaults, cumulative loss projections</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and cash flows.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vMerge w:val="continue"/>
          </w:tcPr>
          <w:p>
            <w:pPr>
              <w:spacing w:after="0"/>
              <w:rPr>
                <w:sz w:val="13"/>
                <w:szCs w:val="13"/>
                <w:color w:val="auto"/>
              </w:rPr>
            </w:pPr>
          </w:p>
        </w:tc>
        <w:tc>
          <w:tcPr>
            <w:tcW w:w="1240" w:type="dxa"/>
            <w:vAlign w:val="bottom"/>
          </w:tcPr>
          <w:p>
            <w:pPr>
              <w:spacing w:after="0" w:line="150" w:lineRule="exact"/>
              <w:rPr>
                <w:sz w:val="20"/>
                <w:szCs w:val="20"/>
                <w:color w:val="auto"/>
              </w:rPr>
            </w:pPr>
            <w:r>
              <w:rPr>
                <w:rFonts w:ascii="Arial" w:cs="Arial" w:eastAsia="Arial" w:hAnsi="Arial"/>
                <w:sz w:val="14"/>
                <w:szCs w:val="14"/>
                <w:color w:val="auto"/>
              </w:rPr>
              <w:t>Derivatives</w:t>
            </w:r>
          </w:p>
        </w:tc>
        <w:tc>
          <w:tcPr>
            <w:tcW w:w="4540" w:type="dxa"/>
            <w:vAlign w:val="bottom"/>
            <w:gridSpan w:val="2"/>
          </w:tcPr>
          <w:p>
            <w:pPr>
              <w:ind w:left="100"/>
              <w:spacing w:after="0" w:line="150" w:lineRule="exact"/>
              <w:rPr>
                <w:sz w:val="20"/>
                <w:szCs w:val="20"/>
                <w:color w:val="auto"/>
              </w:rPr>
            </w:pPr>
            <w:r>
              <w:rPr>
                <w:rFonts w:ascii="Arial" w:cs="Arial" w:eastAsia="Arial" w:hAnsi="Arial"/>
                <w:sz w:val="14"/>
                <w:szCs w:val="14"/>
                <w:color w:val="auto"/>
                <w:w w:val="97"/>
              </w:rPr>
              <w:t>Fair value of the interest rate swaps is obtained from independent pricing</w:t>
            </w:r>
          </w:p>
        </w:tc>
        <w:tc>
          <w:tcPr>
            <w:tcW w:w="80" w:type="dxa"/>
            <w:vAlign w:val="bottom"/>
          </w:tcPr>
          <w:p>
            <w:pPr>
              <w:spacing w:after="0"/>
              <w:rPr>
                <w:sz w:val="13"/>
                <w:szCs w:val="13"/>
                <w:color w:val="auto"/>
              </w:rPr>
            </w:pPr>
          </w:p>
        </w:tc>
        <w:tc>
          <w:tcPr>
            <w:tcW w:w="780" w:type="dxa"/>
            <w:vAlign w:val="bottom"/>
          </w:tcPr>
          <w:p>
            <w:pPr>
              <w:jc w:val="center"/>
              <w:ind w:right="9"/>
              <w:spacing w:after="0" w:line="150" w:lineRule="exact"/>
              <w:rPr>
                <w:sz w:val="20"/>
                <w:szCs w:val="20"/>
                <w:color w:val="auto"/>
              </w:rPr>
            </w:pPr>
            <w:r>
              <w:rPr>
                <w:rFonts w:ascii="Arial" w:cs="Arial" w:eastAsia="Arial" w:hAnsi="Arial"/>
                <w:sz w:val="14"/>
                <w:szCs w:val="14"/>
                <w:color w:val="auto"/>
                <w:w w:val="92"/>
              </w:rPr>
              <w:t>Level 2</w:t>
            </w:r>
          </w:p>
        </w:tc>
        <w:tc>
          <w:tcPr>
            <w:tcW w:w="80" w:type="dxa"/>
            <w:vAlign w:val="bottom"/>
          </w:tcPr>
          <w:p>
            <w:pPr>
              <w:spacing w:after="0"/>
              <w:rPr>
                <w:sz w:val="13"/>
                <w:szCs w:val="13"/>
                <w:color w:val="auto"/>
              </w:rPr>
            </w:pPr>
          </w:p>
        </w:tc>
        <w:tc>
          <w:tcPr>
            <w:tcW w:w="1060" w:type="dxa"/>
            <w:vAlign w:val="bottom"/>
          </w:tcPr>
          <w:p>
            <w:pPr>
              <w:jc w:val="center"/>
              <w:ind w:right="9"/>
              <w:spacing w:after="0" w:line="150" w:lineRule="exact"/>
              <w:rPr>
                <w:sz w:val="20"/>
                <w:szCs w:val="20"/>
                <w:color w:val="auto"/>
              </w:rPr>
            </w:pPr>
            <w:r>
              <w:rPr>
                <w:rFonts w:ascii="Arial" w:cs="Arial" w:eastAsia="Arial" w:hAnsi="Arial"/>
                <w:sz w:val="14"/>
                <w:szCs w:val="14"/>
                <w:color w:val="auto"/>
                <w:w w:val="92"/>
              </w:rPr>
              <w:t>Note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540" w:type="dxa"/>
            <w:vAlign w:val="bottom"/>
            <w:gridSpan w:val="2"/>
          </w:tcPr>
          <w:p>
            <w:pPr>
              <w:ind w:left="100"/>
              <w:spacing w:after="0"/>
              <w:rPr>
                <w:sz w:val="20"/>
                <w:szCs w:val="20"/>
                <w:color w:val="auto"/>
              </w:rPr>
            </w:pPr>
            <w:r>
              <w:rPr>
                <w:rFonts w:ascii="Arial" w:cs="Arial" w:eastAsia="Arial" w:hAnsi="Arial"/>
                <w:sz w:val="14"/>
                <w:szCs w:val="14"/>
                <w:color w:val="auto"/>
              </w:rPr>
              <w:t>services based on quoted market prices for similar derivative contracts.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9"/>
              <w:spacing w:after="0"/>
              <w:rPr>
                <w:sz w:val="20"/>
                <w:szCs w:val="20"/>
                <w:color w:val="auto"/>
              </w:rPr>
            </w:pPr>
            <w:r>
              <w:rPr>
                <w:rFonts w:ascii="Arial" w:cs="Arial" w:eastAsia="Arial" w:hAnsi="Arial"/>
                <w:sz w:val="14"/>
                <w:szCs w:val="14"/>
                <w:color w:val="auto"/>
                <w:w w:val="93"/>
              </w:rPr>
              <w:t>Derivatives and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Hedging</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Non-recurring Measurements</w:t>
      </w:r>
    </w:p>
    <w:p>
      <w:pPr>
        <w:spacing w:after="0" w:line="162" w:lineRule="exact"/>
        <w:rPr>
          <w:sz w:val="20"/>
          <w:szCs w:val="20"/>
          <w:color w:val="auto"/>
        </w:rPr>
      </w:pPr>
    </w:p>
    <w:p>
      <w:pPr>
        <w:ind w:left="620" w:right="659" w:firstLine="395"/>
        <w:spacing w:after="0" w:line="314" w:lineRule="auto"/>
        <w:rPr>
          <w:sz w:val="20"/>
          <w:szCs w:val="20"/>
          <w:color w:val="auto"/>
        </w:rPr>
      </w:pPr>
      <w:r>
        <w:rPr>
          <w:rFonts w:ascii="Arial" w:cs="Arial" w:eastAsia="Arial" w:hAnsi="Arial"/>
          <w:sz w:val="14"/>
          <w:szCs w:val="14"/>
          <w:color w:val="auto"/>
        </w:rPr>
        <w:t>The following tables present assets measured at fair value on a non-recurring basis and the level within the fair value hierarchy in which the fair value measurements fall at June 30, 2022 and December 31, 2021:</w:t>
      </w:r>
    </w:p>
    <w:p>
      <w:pPr>
        <w:spacing w:after="0" w:line="23"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June 30, 2022</w:t>
      </w:r>
    </w:p>
    <w:p>
      <w:pPr>
        <w:spacing w:after="0" w:line="31" w:lineRule="exact"/>
        <w:rPr>
          <w:sz w:val="20"/>
          <w:szCs w:val="20"/>
          <w:color w:val="auto"/>
        </w:rPr>
      </w:pPr>
    </w:p>
    <w:p>
      <w:pPr>
        <w:jc w:val="center"/>
        <w:ind w:left="3200"/>
        <w:spacing w:after="0"/>
        <w:rPr>
          <w:sz w:val="20"/>
          <w:szCs w:val="20"/>
          <w:color w:val="auto"/>
        </w:rPr>
      </w:pPr>
      <w:r>
        <w:rPr>
          <w:rFonts w:ascii="Arial" w:cs="Arial" w:eastAsia="Arial" w:hAnsi="Arial"/>
          <w:sz w:val="14"/>
          <w:szCs w:val="14"/>
          <w:b w:val="1"/>
          <w:bCs w:val="1"/>
          <w:color w:val="auto"/>
        </w:rPr>
        <w:t>Fair Value Measurements Using</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ind w:right="110"/>
              <w:spacing w:after="0"/>
              <w:rPr>
                <w:sz w:val="20"/>
                <w:szCs w:val="20"/>
                <w:color w:val="auto"/>
              </w:rPr>
            </w:pPr>
            <w:r>
              <w:rPr>
                <w:rFonts w:ascii="Arial" w:cs="Arial" w:eastAsia="Arial" w:hAnsi="Arial"/>
                <w:sz w:val="14"/>
                <w:szCs w:val="14"/>
                <w:b w:val="1"/>
                <w:bCs w:val="1"/>
                <w:color w:val="auto"/>
                <w:w w:val="90"/>
              </w:rPr>
              <w:t>Quoted Prices in Active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Significant 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0"/>
              </w:rPr>
              <w:t>Unobservable</w:t>
            </w:r>
          </w:p>
        </w:tc>
      </w:tr>
      <w:tr>
        <w:trPr>
          <w:trHeight w:val="171"/>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Markets for Identical 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right="149"/>
              <w:spacing w:after="0"/>
              <w:rPr>
                <w:sz w:val="20"/>
                <w:szCs w:val="20"/>
                <w:color w:val="auto"/>
              </w:rPr>
            </w:pPr>
            <w:r>
              <w:rPr>
                <w:rFonts w:ascii="Arial" w:cs="Arial" w:eastAsia="Arial" w:hAnsi="Arial"/>
                <w:sz w:val="14"/>
                <w:szCs w:val="14"/>
                <w:b w:val="1"/>
                <w:bCs w:val="1"/>
                <w:color w:val="auto"/>
                <w:w w:val="91"/>
              </w:rPr>
              <w:t>Observable Inputs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Inputs</w:t>
            </w:r>
          </w:p>
        </w:tc>
      </w:tr>
      <w:tr>
        <w:trPr>
          <w:trHeight w:val="164"/>
        </w:trPr>
        <w:tc>
          <w:tcPr>
            <w:tcW w:w="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90"/>
              <w:spacing w:after="0"/>
              <w:rPr>
                <w:sz w:val="20"/>
                <w:szCs w:val="20"/>
                <w:color w:val="auto"/>
              </w:rPr>
            </w:pPr>
            <w:r>
              <w:rPr>
                <w:rFonts w:ascii="Arial" w:cs="Arial" w:eastAsia="Arial" w:hAnsi="Arial"/>
                <w:sz w:val="14"/>
                <w:szCs w:val="14"/>
                <w:b w:val="1"/>
                <w:bCs w:val="1"/>
                <w:color w:val="auto"/>
                <w:w w:val="91"/>
              </w:rPr>
              <w:t>(Level 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4"/>
          </w:tcPr>
          <w:p>
            <w:pPr>
              <w:jc w:val="right"/>
              <w:ind w:right="849"/>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9"/>
        </w:trPr>
        <w:tc>
          <w:tcPr>
            <w:tcW w:w="40" w:type="dxa"/>
            <w:vAlign w:val="bottom"/>
          </w:tcPr>
          <w:p>
            <w:pPr>
              <w:spacing w:after="0"/>
              <w:rPr>
                <w:sz w:val="16"/>
                <w:szCs w:val="16"/>
                <w:color w:val="auto"/>
              </w:rPr>
            </w:pPr>
          </w:p>
        </w:tc>
        <w:tc>
          <w:tcPr>
            <w:tcW w:w="2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Collateral-dependent loans</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24,328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24,328</w:t>
            </w:r>
          </w:p>
        </w:tc>
      </w:tr>
      <w:tr>
        <w:trPr>
          <w:trHeight w:val="191"/>
        </w:trPr>
        <w:tc>
          <w:tcPr>
            <w:tcW w:w="2180" w:type="dxa"/>
            <w:vAlign w:val="bottom"/>
            <w:gridSpan w:val="2"/>
          </w:tcPr>
          <w:p>
            <w:pPr>
              <w:ind w:left="40"/>
              <w:spacing w:after="0"/>
              <w:rPr>
                <w:sz w:val="20"/>
                <w:szCs w:val="20"/>
                <w:color w:val="auto"/>
              </w:rPr>
            </w:pPr>
            <w:r>
              <w:rPr>
                <w:rFonts w:ascii="Arial" w:cs="Arial" w:eastAsia="Arial" w:hAnsi="Arial"/>
                <w:sz w:val="14"/>
                <w:szCs w:val="14"/>
                <w:color w:val="auto"/>
              </w:rPr>
              <w:t>Foreclosed assets held-for-sale</w:t>
            </w: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9"/>
              <w:spacing w:after="0"/>
              <w:rPr>
                <w:sz w:val="20"/>
                <w:szCs w:val="20"/>
                <w:color w:val="auto"/>
              </w:rPr>
            </w:pPr>
            <w:r>
              <w:rPr>
                <w:rFonts w:ascii="Arial" w:cs="Arial" w:eastAsia="Arial" w:hAnsi="Arial"/>
                <w:sz w:val="14"/>
                <w:szCs w:val="14"/>
                <w:color w:val="auto"/>
              </w:rPr>
              <w:t>1,588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1,588</w:t>
            </w:r>
          </w:p>
        </w:tc>
      </w:tr>
      <w:tr>
        <w:trPr>
          <w:trHeight w:val="480"/>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4"/>
          </w:tcPr>
          <w:p>
            <w:pPr>
              <w:ind w:left="160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Fair Value Measurements Using</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r>
      <w:tr>
        <w:trPr>
          <w:trHeight w:val="238"/>
        </w:trPr>
        <w:tc>
          <w:tcPr>
            <w:tcW w:w="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ind w:right="110"/>
              <w:spacing w:after="0"/>
              <w:rPr>
                <w:sz w:val="20"/>
                <w:szCs w:val="20"/>
                <w:color w:val="auto"/>
              </w:rPr>
            </w:pPr>
            <w:r>
              <w:rPr>
                <w:rFonts w:ascii="Arial" w:cs="Arial" w:eastAsia="Arial" w:hAnsi="Arial"/>
                <w:sz w:val="14"/>
                <w:szCs w:val="14"/>
                <w:b w:val="1"/>
                <w:bCs w:val="1"/>
                <w:color w:val="auto"/>
                <w:w w:val="90"/>
              </w:rPr>
              <w:t>Quoted Prices in Active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right="109"/>
              <w:spacing w:after="0"/>
              <w:rPr>
                <w:sz w:val="20"/>
                <w:szCs w:val="20"/>
                <w:color w:val="auto"/>
              </w:rPr>
            </w:pPr>
            <w:r>
              <w:rPr>
                <w:rFonts w:ascii="Arial" w:cs="Arial" w:eastAsia="Arial" w:hAnsi="Arial"/>
                <w:sz w:val="14"/>
                <w:szCs w:val="14"/>
                <w:b w:val="1"/>
                <w:bCs w:val="1"/>
                <w:color w:val="auto"/>
                <w:w w:val="92"/>
              </w:rPr>
              <w:t>Significant Other</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center"/>
              <w:ind w:right="109"/>
              <w:spacing w:after="0"/>
              <w:rPr>
                <w:sz w:val="20"/>
                <w:szCs w:val="20"/>
                <w:color w:val="auto"/>
              </w:rPr>
            </w:pPr>
            <w:r>
              <w:rPr>
                <w:rFonts w:ascii="Arial" w:cs="Arial" w:eastAsia="Arial" w:hAnsi="Arial"/>
                <w:sz w:val="14"/>
                <w:szCs w:val="14"/>
                <w:b w:val="1"/>
                <w:bCs w:val="1"/>
                <w:color w:val="auto"/>
                <w:w w:val="88"/>
              </w:rPr>
              <w:t>Unobservable</w:t>
            </w:r>
          </w:p>
        </w:tc>
      </w:tr>
      <w:tr>
        <w:trPr>
          <w:trHeight w:val="160"/>
        </w:trPr>
        <w:tc>
          <w:tcPr>
            <w:tcW w:w="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2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w w:val="91"/>
              </w:rPr>
              <w:t>Markets for Identical Assets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149"/>
              <w:spacing w:after="0"/>
              <w:rPr>
                <w:sz w:val="20"/>
                <w:szCs w:val="20"/>
                <w:color w:val="auto"/>
              </w:rPr>
            </w:pPr>
            <w:r>
              <w:rPr>
                <w:rFonts w:ascii="Arial" w:cs="Arial" w:eastAsia="Arial" w:hAnsi="Arial"/>
                <w:sz w:val="14"/>
                <w:szCs w:val="14"/>
                <w:b w:val="1"/>
                <w:bCs w:val="1"/>
                <w:color w:val="auto"/>
                <w:w w:val="91"/>
              </w:rPr>
              <w:t>Observable Inputs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89"/>
              <w:spacing w:after="0"/>
              <w:rPr>
                <w:sz w:val="20"/>
                <w:szCs w:val="20"/>
                <w:color w:val="auto"/>
              </w:rPr>
            </w:pPr>
            <w:r>
              <w:rPr>
                <w:rFonts w:ascii="Arial" w:cs="Arial" w:eastAsia="Arial" w:hAnsi="Arial"/>
                <w:sz w:val="14"/>
                <w:szCs w:val="14"/>
                <w:b w:val="1"/>
                <w:bCs w:val="1"/>
                <w:color w:val="auto"/>
                <w:w w:val="95"/>
              </w:rPr>
              <w:t>Inputs</w:t>
            </w:r>
          </w:p>
        </w:tc>
      </w:tr>
      <w:tr>
        <w:trPr>
          <w:trHeight w:val="174"/>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1"/>
              </w:rPr>
              <w:t>(Level 3)</w:t>
            </w:r>
          </w:p>
        </w:tc>
      </w:tr>
      <w:tr>
        <w:trPr>
          <w:trHeight w:val="178"/>
        </w:trPr>
        <w:tc>
          <w:tcPr>
            <w:tcW w:w="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40" w:type="dxa"/>
            <w:vAlign w:val="bottom"/>
            <w:gridSpan w:val="4"/>
          </w:tcPr>
          <w:p>
            <w:pPr>
              <w:jc w:val="right"/>
              <w:ind w:right="849"/>
              <w:spacing w:after="0"/>
              <w:rPr>
                <w:sz w:val="20"/>
                <w:szCs w:val="20"/>
                <w:color w:val="auto"/>
              </w:rPr>
            </w:pPr>
            <w:r>
              <w:rPr>
                <w:rFonts w:ascii="Arial" w:cs="Arial" w:eastAsia="Arial" w:hAnsi="Arial"/>
                <w:sz w:val="13"/>
                <w:szCs w:val="13"/>
                <w:i w:val="1"/>
                <w:iCs w:val="1"/>
                <w:color w:val="auto"/>
              </w:rPr>
              <w:t>(Dollars in thousands)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4"/>
                <w:szCs w:val="14"/>
                <w:color w:val="auto"/>
                <w:w w:val="94"/>
              </w:rPr>
              <w:t>Collateral-dependent impaired loans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38,046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ind w:left="158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38,046</w:t>
            </w:r>
          </w:p>
        </w:tc>
      </w:tr>
      <w:tr>
        <w:trPr>
          <w:trHeight w:val="191"/>
        </w:trPr>
        <w:tc>
          <w:tcPr>
            <w:tcW w:w="2180" w:type="dxa"/>
            <w:vAlign w:val="bottom"/>
            <w:gridSpan w:val="2"/>
          </w:tcPr>
          <w:p>
            <w:pPr>
              <w:spacing w:after="0"/>
              <w:rPr>
                <w:sz w:val="20"/>
                <w:szCs w:val="20"/>
                <w:color w:val="auto"/>
              </w:rPr>
            </w:pPr>
            <w:r>
              <w:rPr>
                <w:rFonts w:ascii="Arial" w:cs="Arial" w:eastAsia="Arial" w:hAnsi="Arial"/>
                <w:sz w:val="14"/>
                <w:szCs w:val="14"/>
                <w:color w:val="auto"/>
              </w:rPr>
              <w:t>Foreclosed assets held-for-sale</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1,148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20" w:type="dxa"/>
            <w:vAlign w:val="bottom"/>
          </w:tcPr>
          <w:p>
            <w:pPr>
              <w:ind w:left="158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1,148</w:t>
            </w:r>
          </w:p>
        </w:tc>
      </w:tr>
    </w:tbl>
    <w:p>
      <w:pPr>
        <w:spacing w:after="0" w:line="151" w:lineRule="exact"/>
        <w:rPr>
          <w:sz w:val="20"/>
          <w:szCs w:val="20"/>
          <w:color w:val="auto"/>
        </w:rPr>
      </w:pPr>
    </w:p>
    <w:p>
      <w:pPr>
        <w:ind w:left="660" w:right="819" w:firstLine="395"/>
        <w:spacing w:after="0" w:line="314" w:lineRule="auto"/>
        <w:rPr>
          <w:sz w:val="20"/>
          <w:szCs w:val="20"/>
          <w:color w:val="auto"/>
        </w:rPr>
      </w:pPr>
      <w:r>
        <w:rPr>
          <w:rFonts w:ascii="Arial" w:cs="Arial" w:eastAsia="Arial" w:hAnsi="Arial"/>
          <w:sz w:val="14"/>
          <w:szCs w:val="14"/>
          <w:color w:val="auto"/>
        </w:rPr>
        <w:t>Following is a description of the valuation methodologies and inputs used for assets measured at fair value on a non-recurring basis and recognized in the accompanying Condensed Consolidated Balance Sheets.</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Collateral-Dependent Loans, Net of ACL</w:t>
      </w:r>
    </w:p>
    <w:p>
      <w:pPr>
        <w:spacing w:after="0" w:line="159" w:lineRule="exact"/>
        <w:rPr>
          <w:sz w:val="20"/>
          <w:szCs w:val="20"/>
          <w:color w:val="auto"/>
        </w:rPr>
      </w:pPr>
    </w:p>
    <w:p>
      <w:pPr>
        <w:jc w:val="both"/>
        <w:ind w:left="660" w:right="619" w:firstLine="395"/>
        <w:spacing w:after="0" w:line="308" w:lineRule="auto"/>
        <w:rPr>
          <w:sz w:val="20"/>
          <w:szCs w:val="20"/>
          <w:color w:val="auto"/>
        </w:rPr>
      </w:pPr>
      <w:r>
        <w:rPr>
          <w:rFonts w:ascii="Arial" w:cs="Arial" w:eastAsia="Arial" w:hAnsi="Arial"/>
          <w:sz w:val="14"/>
          <w:szCs w:val="14"/>
          <w:color w:val="auto"/>
        </w:rPr>
        <w:t>The estimated fair value of collateral-dependent loans is based on the appraised fair value of the collateral, less estimated cost to sell. If the fair value of the collateral is below the loan’s amortized cost, the ACL is netted against the loan balance. Collateral-dependent loans are classified within Level 3 of the fair value hierarchy.</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9019"/>
          </w:cols>
          <w:pgMar w:left="1440" w:top="460" w:right="1440" w:bottom="1440" w:gutter="0" w:footer="0" w:header="0"/>
        </w:sectPr>
      </w:pPr>
    </w:p>
    <w:bookmarkStart w:id="43" w:name="page44"/>
    <w:bookmarkEnd w:id="43"/>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4"/>
          <w:szCs w:val="14"/>
          <w:color w:val="auto"/>
        </w:rPr>
        <w:t>The Company considers the appraisal or evaluation as the starting point for determining fair value and then considers other</w:t>
      </w:r>
    </w:p>
    <w:p>
      <w:pPr>
        <w:spacing w:after="0" w:line="31" w:lineRule="exact"/>
        <w:rPr>
          <w:sz w:val="20"/>
          <w:szCs w:val="20"/>
          <w:color w:val="auto"/>
        </w:rPr>
      </w:pPr>
    </w:p>
    <w:p>
      <w:pPr>
        <w:jc w:val="both"/>
        <w:ind w:left="660" w:right="599"/>
        <w:spacing w:after="0" w:line="308" w:lineRule="auto"/>
        <w:rPr>
          <w:sz w:val="20"/>
          <w:szCs w:val="20"/>
          <w:color w:val="auto"/>
        </w:rPr>
      </w:pPr>
      <w:r>
        <w:rPr>
          <w:rFonts w:ascii="Arial" w:cs="Arial" w:eastAsia="Arial" w:hAnsi="Arial"/>
          <w:sz w:val="14"/>
          <w:szCs w:val="14"/>
          <w:color w:val="auto"/>
        </w:rPr>
        <w:t>factors and events in the environment that may affect the fair value. Appraisals of the collateral underlying collateral dependent loans are obtained when the loan is determined to be collateral dependent and subsequently as deemed necessary by the Office of the Chief Credit Officer.</w:t>
      </w:r>
    </w:p>
    <w:p>
      <w:pPr>
        <w:spacing w:after="0" w:line="106" w:lineRule="exact"/>
        <w:rPr>
          <w:sz w:val="20"/>
          <w:szCs w:val="20"/>
          <w:color w:val="auto"/>
        </w:rPr>
      </w:pPr>
    </w:p>
    <w:p>
      <w:pPr>
        <w:ind w:left="660" w:right="599" w:firstLine="395"/>
        <w:spacing w:after="0" w:line="301" w:lineRule="auto"/>
        <w:rPr>
          <w:sz w:val="20"/>
          <w:szCs w:val="20"/>
          <w:color w:val="auto"/>
        </w:rPr>
      </w:pPr>
      <w:r>
        <w:rPr>
          <w:rFonts w:ascii="Arial" w:cs="Arial" w:eastAsia="Arial" w:hAnsi="Arial"/>
          <w:sz w:val="14"/>
          <w:szCs w:val="14"/>
          <w:color w:val="auto"/>
        </w:rPr>
        <w:t>Appraisals are reviewed for accuracy and consistency by management. Appraisers are selected from the list of approved appraisers maintained by management. The appraised values are reduced by discounts to consider lack of marketability and estimated cost to sell if repayment or satisfaction of the loan is dependent on the sale of the collateral. These discounts and estimates are developed by the Office of the Chief Credit Officer by comparison to historical results.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Foreclosed Assets Held-for-Sale</w:t>
      </w:r>
    </w:p>
    <w:p>
      <w:pPr>
        <w:spacing w:after="0" w:line="170" w:lineRule="exact"/>
        <w:rPr>
          <w:sz w:val="20"/>
          <w:szCs w:val="20"/>
          <w:color w:val="auto"/>
        </w:rPr>
      </w:pPr>
    </w:p>
    <w:p>
      <w:pPr>
        <w:ind w:left="1040"/>
        <w:spacing w:after="0"/>
        <w:rPr>
          <w:sz w:val="20"/>
          <w:szCs w:val="20"/>
          <w:color w:val="auto"/>
        </w:rPr>
      </w:pPr>
      <w:r>
        <w:rPr>
          <w:rFonts w:ascii="Arial" w:cs="Arial" w:eastAsia="Arial" w:hAnsi="Arial"/>
          <w:sz w:val="13"/>
          <w:szCs w:val="13"/>
          <w:color w:val="auto"/>
        </w:rPr>
        <w:t>The fair value of foreclosed assets-held-for-sale is based on the appraised fair value of the collateral, less estimated cost to sell.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4"/>
          <w:szCs w:val="14"/>
          <w:i w:val="1"/>
          <w:iCs w:val="1"/>
          <w:u w:val="single" w:color="auto"/>
          <w:color w:val="auto"/>
        </w:rPr>
        <w:t>Unobservable (Level 3) Inputs</w:t>
      </w:r>
    </w:p>
    <w:p>
      <w:pPr>
        <w:spacing w:after="0" w:line="159" w:lineRule="exact"/>
        <w:rPr>
          <w:sz w:val="20"/>
          <w:szCs w:val="20"/>
          <w:color w:val="auto"/>
        </w:rPr>
      </w:pPr>
    </w:p>
    <w:p>
      <w:pPr>
        <w:ind w:left="640" w:right="1139" w:firstLine="395"/>
        <w:spacing w:after="0" w:line="307" w:lineRule="auto"/>
        <w:rPr>
          <w:sz w:val="20"/>
          <w:szCs w:val="20"/>
          <w:color w:val="auto"/>
        </w:rPr>
      </w:pPr>
      <w:r>
        <w:rPr>
          <w:rFonts w:ascii="Arial" w:cs="Arial" w:eastAsia="Arial" w:hAnsi="Arial"/>
          <w:sz w:val="14"/>
          <w:szCs w:val="14"/>
          <w:color w:val="auto"/>
        </w:rPr>
        <w:t>The following tables present quantitative information about unobservabl e inputs used in non-recurring Level 3 fair value measurements at June 30, 2022 and December 31, 2021:</w:t>
      </w:r>
    </w:p>
    <w:tbl>
      <w:tblPr>
        <w:tblLayout w:type="fixed"/>
        <w:tblInd w:w="62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4"/>
                <w:szCs w:val="14"/>
                <w:b w:val="1"/>
                <w:bCs w:val="1"/>
                <w:color w:val="auto"/>
                <w:w w:val="92"/>
              </w:rPr>
              <w:t>June 30, 2022</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6"/>
        </w:trPr>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ind w:right="509"/>
              <w:spacing w:after="0"/>
              <w:rPr>
                <w:sz w:val="20"/>
                <w:szCs w:val="20"/>
                <w:color w:val="auto"/>
              </w:rPr>
            </w:pPr>
            <w:r>
              <w:rPr>
                <w:rFonts w:ascii="Arial" w:cs="Arial" w:eastAsia="Arial" w:hAnsi="Arial"/>
                <w:sz w:val="14"/>
                <w:szCs w:val="14"/>
                <w:b w:val="1"/>
                <w:bCs w:val="1"/>
                <w:color w:val="auto"/>
                <w:w w:val="93"/>
              </w:rPr>
              <w:t>Range</w:t>
            </w:r>
          </w:p>
        </w:tc>
      </w:tr>
      <w:tr>
        <w:trPr>
          <w:trHeight w:val="174"/>
        </w:trPr>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5"/>
                <w:szCs w:val="15"/>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Valuation Techniques</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b w:val="1"/>
                <w:bCs w:val="1"/>
                <w:color w:val="auto"/>
                <w:w w:val="89"/>
              </w:rPr>
              <w:t>(Weighted Average)</w:t>
            </w:r>
          </w:p>
        </w:tc>
      </w:tr>
      <w:tr>
        <w:trPr>
          <w:trHeight w:val="178"/>
        </w:trPr>
        <w:tc>
          <w:tcPr>
            <w:tcW w:w="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gridSpan w:val="3"/>
          </w:tcPr>
          <w:p>
            <w:pPr>
              <w:jc w:val="center"/>
              <w:ind w:left="570"/>
              <w:spacing w:after="0"/>
              <w:rPr>
                <w:sz w:val="20"/>
                <w:szCs w:val="20"/>
                <w:color w:val="auto"/>
              </w:rPr>
            </w:pPr>
            <w:r>
              <w:rPr>
                <w:rFonts w:ascii="Arial" w:cs="Arial" w:eastAsia="Arial" w:hAnsi="Arial"/>
                <w:sz w:val="13"/>
                <w:szCs w:val="13"/>
                <w:i w:val="1"/>
                <w:iCs w:val="1"/>
                <w:color w:val="auto"/>
                <w:w w:val="91"/>
              </w:rPr>
              <w:t>(Dollars in thousands)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6"/>
        </w:trPr>
        <w:tc>
          <w:tcPr>
            <w:tcW w:w="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5"/>
        </w:trPr>
        <w:tc>
          <w:tcPr>
            <w:tcW w:w="40" w:type="dxa"/>
            <w:vAlign w:val="bottom"/>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right="9"/>
              <w:spacing w:after="0"/>
              <w:rPr>
                <w:sz w:val="20"/>
                <w:szCs w:val="20"/>
                <w:color w:val="auto"/>
              </w:rPr>
            </w:pPr>
            <w:r>
              <w:rPr>
                <w:rFonts w:ascii="Arial" w:cs="Arial" w:eastAsia="Arial" w:hAnsi="Arial"/>
                <w:sz w:val="14"/>
                <w:szCs w:val="14"/>
                <w:color w:val="auto"/>
                <w:w w:val="99"/>
              </w:rPr>
              <w:t>Marketability</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  100%</w:t>
            </w:r>
          </w:p>
        </w:tc>
      </w:tr>
      <w:tr>
        <w:trPr>
          <w:trHeight w:val="170"/>
        </w:trPr>
        <w:tc>
          <w:tcPr>
            <w:tcW w:w="40" w:type="dxa"/>
            <w:vAlign w:val="bottom"/>
          </w:tcPr>
          <w:p>
            <w:pPr>
              <w:spacing w:after="0"/>
              <w:rPr>
                <w:sz w:val="14"/>
                <w:szCs w:val="14"/>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Collateral dependent loans</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24,328</w:t>
            </w:r>
          </w:p>
        </w:tc>
        <w:tc>
          <w:tcPr>
            <w:tcW w:w="140" w:type="dxa"/>
            <w:vAlign w:val="bottom"/>
            <w:shd w:val="clear" w:color="auto" w:fill="CCEEFF"/>
          </w:tcPr>
          <w:p>
            <w:pPr>
              <w:spacing w:after="0"/>
              <w:rPr>
                <w:sz w:val="14"/>
                <w:szCs w:val="14"/>
                <w:color w:val="auto"/>
              </w:rPr>
            </w:pPr>
          </w:p>
        </w:tc>
        <w:tc>
          <w:tcPr>
            <w:tcW w:w="1600" w:type="dxa"/>
            <w:vAlign w:val="bottom"/>
            <w:shd w:val="clear" w:color="auto" w:fill="CCEEFF"/>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(22)%</w:t>
            </w:r>
          </w:p>
        </w:tc>
      </w:tr>
      <w:tr>
        <w:trPr>
          <w:trHeight w:val="257"/>
        </w:trPr>
        <w:tc>
          <w:tcPr>
            <w:tcW w:w="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0" w:type="dxa"/>
            <w:vAlign w:val="bottom"/>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tcPr>
          <w:p>
            <w:pPr>
              <w:spacing w:after="0"/>
              <w:rPr>
                <w:sz w:val="22"/>
                <w:szCs w:val="22"/>
                <w:color w:val="auto"/>
              </w:rPr>
            </w:pPr>
          </w:p>
        </w:tc>
        <w:tc>
          <w:tcPr>
            <w:tcW w:w="1220" w:type="dxa"/>
            <w:vAlign w:val="bottom"/>
          </w:tcPr>
          <w:p>
            <w:pPr>
              <w:jc w:val="center"/>
              <w:ind w:right="9"/>
              <w:spacing w:after="0"/>
              <w:rPr>
                <w:sz w:val="20"/>
                <w:szCs w:val="20"/>
                <w:color w:val="auto"/>
              </w:rPr>
            </w:pPr>
            <w:r>
              <w:rPr>
                <w:rFonts w:ascii="Arial" w:cs="Arial" w:eastAsia="Arial" w:hAnsi="Arial"/>
                <w:sz w:val="14"/>
                <w:szCs w:val="14"/>
                <w:color w:val="auto"/>
                <w:w w:val="99"/>
              </w:rPr>
              <w:t>Marketability</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180"/>
        </w:trPr>
        <w:tc>
          <w:tcPr>
            <w:tcW w:w="2000" w:type="dxa"/>
            <w:vAlign w:val="bottom"/>
            <w:gridSpan w:val="2"/>
          </w:tcPr>
          <w:p>
            <w:pPr>
              <w:spacing w:after="0"/>
              <w:rPr>
                <w:sz w:val="20"/>
                <w:szCs w:val="20"/>
                <w:color w:val="auto"/>
              </w:rPr>
            </w:pPr>
            <w:r>
              <w:rPr>
                <w:rFonts w:ascii="Arial" w:cs="Arial" w:eastAsia="Arial" w:hAnsi="Arial"/>
                <w:sz w:val="14"/>
                <w:szCs w:val="14"/>
                <w:color w:val="auto"/>
              </w:rPr>
              <w:t>Foreclosed assets held-for-sale</w:t>
            </w:r>
          </w:p>
        </w:tc>
        <w:tc>
          <w:tcPr>
            <w:tcW w:w="4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69"/>
              <w:spacing w:after="0"/>
              <w:rPr>
                <w:sz w:val="20"/>
                <w:szCs w:val="20"/>
                <w:color w:val="auto"/>
              </w:rPr>
            </w:pPr>
            <w:r>
              <w:rPr>
                <w:rFonts w:ascii="Arial" w:cs="Arial" w:eastAsia="Arial" w:hAnsi="Arial"/>
                <w:sz w:val="14"/>
                <w:szCs w:val="14"/>
                <w:color w:val="auto"/>
              </w:rPr>
              <w:t>1,588</w:t>
            </w:r>
          </w:p>
        </w:tc>
        <w:tc>
          <w:tcPr>
            <w:tcW w:w="140" w:type="dxa"/>
            <w:vAlign w:val="bottom"/>
          </w:tcPr>
          <w:p>
            <w:pPr>
              <w:spacing w:after="0"/>
              <w:rPr>
                <w:sz w:val="15"/>
                <w:szCs w:val="15"/>
                <w:color w:val="auto"/>
              </w:rPr>
            </w:pPr>
          </w:p>
        </w:tc>
        <w:tc>
          <w:tcPr>
            <w:tcW w:w="1600" w:type="dxa"/>
            <w:vAlign w:val="bottom"/>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529"/>
              <w:spacing w:after="0"/>
              <w:rPr>
                <w:sz w:val="20"/>
                <w:szCs w:val="20"/>
                <w:color w:val="auto"/>
              </w:rPr>
            </w:pPr>
            <w:r>
              <w:rPr>
                <w:rFonts w:ascii="Arial" w:cs="Arial" w:eastAsia="Arial" w:hAnsi="Arial"/>
                <w:sz w:val="14"/>
                <w:szCs w:val="14"/>
                <w:color w:val="auto"/>
              </w:rPr>
              <w:t>(11)%</w:t>
            </w:r>
          </w:p>
        </w:tc>
      </w:tr>
    </w:tbl>
    <w:p>
      <w:pPr>
        <w:spacing w:after="0" w:line="147"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489"/>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29"/>
              <w:spacing w:after="0"/>
              <w:rPr>
                <w:sz w:val="20"/>
                <w:szCs w:val="20"/>
                <w:color w:val="auto"/>
              </w:rPr>
            </w:pPr>
            <w:r>
              <w:rPr>
                <w:rFonts w:ascii="Arial" w:cs="Arial" w:eastAsia="Arial" w:hAnsi="Arial"/>
                <w:sz w:val="14"/>
                <w:szCs w:val="14"/>
                <w:b w:val="1"/>
                <w:bCs w:val="1"/>
                <w:color w:val="auto"/>
                <w:w w:val="90"/>
              </w:rPr>
              <w:t>Unobservable</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469"/>
              <w:spacing w:after="0"/>
              <w:rPr>
                <w:sz w:val="20"/>
                <w:szCs w:val="20"/>
                <w:color w:val="auto"/>
              </w:rPr>
            </w:pPr>
            <w:r>
              <w:rPr>
                <w:rFonts w:ascii="Arial" w:cs="Arial" w:eastAsia="Arial" w:hAnsi="Arial"/>
                <w:sz w:val="14"/>
                <w:szCs w:val="14"/>
                <w:b w:val="1"/>
                <w:bCs w:val="1"/>
                <w:color w:val="auto"/>
                <w:w w:val="88"/>
              </w:rPr>
              <w:t>Range</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6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89"/>
              </w:rPr>
              <w:t>Valuation Techniques</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0"/>
              </w:rPr>
              <w:t>Inputs</w:t>
            </w:r>
          </w:p>
        </w:tc>
        <w:tc>
          <w:tcPr>
            <w:tcW w:w="200" w:type="dxa"/>
            <w:vAlign w:val="bottom"/>
          </w:tcPr>
          <w:p>
            <w:pPr>
              <w:spacing w:after="0"/>
              <w:rPr>
                <w:sz w:val="14"/>
                <w:szCs w:val="14"/>
                <w:color w:val="auto"/>
              </w:rPr>
            </w:pPr>
          </w:p>
        </w:tc>
        <w:tc>
          <w:tcPr>
            <w:tcW w:w="1480" w:type="dxa"/>
            <w:vAlign w:val="bottom"/>
            <w:tcBorders>
              <w:bottom w:val="single" w:sz="8" w:color="auto"/>
            </w:tcBorders>
            <w:gridSpan w:val="4"/>
          </w:tcPr>
          <w:p>
            <w:pPr>
              <w:jc w:val="center"/>
              <w:ind w:right="9"/>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20" w:type="dxa"/>
            <w:vAlign w:val="bottom"/>
            <w:gridSpan w:val="3"/>
          </w:tcPr>
          <w:p>
            <w:pPr>
              <w:jc w:val="right"/>
              <w:ind w:right="489"/>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vMerge w:val="restart"/>
            <w:shd w:val="clear" w:color="auto" w:fill="CCEEFF"/>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center"/>
              <w:ind w:right="9"/>
              <w:spacing w:after="0"/>
              <w:rPr>
                <w:sz w:val="20"/>
                <w:szCs w:val="20"/>
                <w:color w:val="auto"/>
              </w:rPr>
            </w:pPr>
            <w:r>
              <w:rPr>
                <w:rFonts w:ascii="Arial" w:cs="Arial" w:eastAsia="Arial" w:hAnsi="Arial"/>
                <w:sz w:val="14"/>
                <w:szCs w:val="14"/>
                <w:color w:val="auto"/>
                <w:w w:val="99"/>
              </w:rPr>
              <w:t>Marketability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100</w:t>
            </w:r>
          </w:p>
        </w:tc>
        <w:tc>
          <w:tcPr>
            <w:tcW w:w="4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0" w:type="dxa"/>
            <w:vAlign w:val="bottom"/>
            <w:vMerge w:val="continue"/>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vMerge w:val="continue"/>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0" w:type="dxa"/>
            <w:vAlign w:val="bottom"/>
          </w:tcPr>
          <w:p>
            <w:pPr>
              <w:spacing w:after="0"/>
              <w:rPr>
                <w:sz w:val="15"/>
                <w:szCs w:val="15"/>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4"/>
                <w:szCs w:val="14"/>
                <w:color w:val="auto"/>
                <w:w w:val="93"/>
              </w:rPr>
              <w:t>Collateral-dependent impaired loans</w:t>
            </w:r>
          </w:p>
        </w:tc>
        <w:tc>
          <w:tcPr>
            <w:tcW w:w="26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38,046</w:t>
            </w: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96"/>
              </w:rPr>
              <w:t>(26)%</w:t>
            </w:r>
          </w:p>
        </w:tc>
        <w:tc>
          <w:tcPr>
            <w:tcW w:w="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Arial" w:cs="Arial" w:eastAsia="Arial" w:hAnsi="Arial"/>
                <w:sz w:val="14"/>
                <w:szCs w:val="14"/>
                <w:color w:val="auto"/>
                <w:w w:val="91"/>
              </w:rPr>
              <w:t>Market comparable</w:t>
            </w:r>
          </w:p>
        </w:tc>
        <w:tc>
          <w:tcPr>
            <w:tcW w:w="100" w:type="dxa"/>
            <w:vAlign w:val="bottom"/>
          </w:tcPr>
          <w:p>
            <w:pPr>
              <w:spacing w:after="0"/>
              <w:rPr>
                <w:sz w:val="18"/>
                <w:szCs w:val="18"/>
                <w:color w:val="auto"/>
              </w:rPr>
            </w:pPr>
          </w:p>
        </w:tc>
        <w:tc>
          <w:tcPr>
            <w:tcW w:w="1220" w:type="dxa"/>
            <w:vAlign w:val="bottom"/>
          </w:tcPr>
          <w:p>
            <w:pPr>
              <w:jc w:val="center"/>
              <w:ind w:right="9"/>
              <w:spacing w:after="0"/>
              <w:rPr>
                <w:sz w:val="20"/>
                <w:szCs w:val="20"/>
                <w:color w:val="auto"/>
              </w:rPr>
            </w:pPr>
            <w:r>
              <w:rPr>
                <w:rFonts w:ascii="Arial" w:cs="Arial" w:eastAsia="Arial" w:hAnsi="Arial"/>
                <w:sz w:val="14"/>
                <w:szCs w:val="14"/>
                <w:color w:val="auto"/>
                <w:w w:val="99"/>
              </w:rPr>
              <w:t>Marketability</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60" w:type="dxa"/>
            <w:vAlign w:val="bottom"/>
            <w:gridSpan w:val="2"/>
          </w:tcPr>
          <w:p>
            <w:pPr>
              <w:spacing w:after="0"/>
              <w:rPr>
                <w:sz w:val="20"/>
                <w:szCs w:val="20"/>
                <w:color w:val="auto"/>
              </w:rPr>
            </w:pPr>
            <w:r>
              <w:rPr>
                <w:rFonts w:ascii="Arial" w:cs="Arial" w:eastAsia="Arial" w:hAnsi="Arial"/>
                <w:sz w:val="14"/>
                <w:szCs w:val="14"/>
                <w:color w:val="auto"/>
              </w:rPr>
              <w:t>Foreclosed assets held-for-sale</w:t>
            </w:r>
          </w:p>
        </w:tc>
        <w:tc>
          <w:tcPr>
            <w:tcW w:w="26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69"/>
              <w:spacing w:after="0"/>
              <w:rPr>
                <w:sz w:val="20"/>
                <w:szCs w:val="20"/>
                <w:color w:val="auto"/>
              </w:rPr>
            </w:pPr>
            <w:r>
              <w:rPr>
                <w:rFonts w:ascii="Arial" w:cs="Arial" w:eastAsia="Arial" w:hAnsi="Arial"/>
                <w:sz w:val="14"/>
                <w:szCs w:val="14"/>
                <w:color w:val="auto"/>
              </w:rPr>
              <w:t>1,148</w:t>
            </w:r>
          </w:p>
        </w:tc>
        <w:tc>
          <w:tcPr>
            <w:tcW w:w="140" w:type="dxa"/>
            <w:vAlign w:val="bottom"/>
          </w:tcPr>
          <w:p>
            <w:pPr>
              <w:spacing w:after="0"/>
              <w:rPr>
                <w:sz w:val="15"/>
                <w:szCs w:val="15"/>
                <w:color w:val="auto"/>
              </w:rPr>
            </w:pPr>
          </w:p>
        </w:tc>
        <w:tc>
          <w:tcPr>
            <w:tcW w:w="1600" w:type="dxa"/>
            <w:vAlign w:val="bottom"/>
          </w:tcPr>
          <w:p>
            <w:pPr>
              <w:jc w:val="center"/>
              <w:ind w:right="10"/>
              <w:spacing w:after="0"/>
              <w:rPr>
                <w:sz w:val="20"/>
                <w:szCs w:val="20"/>
                <w:color w:val="auto"/>
              </w:rPr>
            </w:pPr>
            <w:r>
              <w:rPr>
                <w:rFonts w:ascii="Arial" w:cs="Arial" w:eastAsia="Arial" w:hAnsi="Arial"/>
                <w:sz w:val="14"/>
                <w:szCs w:val="14"/>
                <w:color w:val="auto"/>
                <w:w w:val="89"/>
              </w:rPr>
              <w:t>properties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1"/>
              </w:rPr>
              <w:t>discount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ind w:right="89"/>
              <w:spacing w:after="0"/>
              <w:rPr>
                <w:sz w:val="20"/>
                <w:szCs w:val="20"/>
                <w:color w:val="auto"/>
              </w:rPr>
            </w:pPr>
            <w:r>
              <w:rPr>
                <w:rFonts w:ascii="Arial" w:cs="Arial" w:eastAsia="Arial" w:hAnsi="Arial"/>
                <w:sz w:val="14"/>
                <w:szCs w:val="14"/>
                <w:color w:val="auto"/>
                <w:w w:val="96"/>
              </w:rPr>
              <w:t>(10)%</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9019"/>
          </w:cols>
          <w:pgMar w:left="1440" w:top="460" w:right="1440" w:bottom="1440" w:gutter="0" w:footer="0" w:header="0"/>
        </w:sectPr>
      </w:pPr>
    </w:p>
    <w:bookmarkStart w:id="44" w:name="page45"/>
    <w:bookmarkEnd w:id="44"/>
    <w:tbl>
      <w:tblPr>
        <w:tblLayout w:type="fixed"/>
        <w:tblInd w:w="580" w:type="dxa"/>
        <w:tblCellMar>
          <w:top w:w="0" w:type="dxa"/>
          <w:left w:w="0" w:type="dxa"/>
          <w:bottom w:w="0" w:type="dxa"/>
          <w:right w:w="0" w:type="dxa"/>
        </w:tblCellMar>
      </w:tblPr>
      <w:tr>
        <w:trPr>
          <w:trHeight w:val="180"/>
        </w:trPr>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100" w:type="dxa"/>
            <w:vAlign w:val="bottom"/>
            <w:gridSpan w:val="18"/>
          </w:tcPr>
          <w:p>
            <w:pPr>
              <w:jc w:val="center"/>
              <w:ind w:left="649"/>
              <w:spacing w:after="0"/>
              <w:rPr>
                <w:sz w:val="20"/>
                <w:szCs w:val="20"/>
                <w:color w:val="auto"/>
              </w:rPr>
            </w:pPr>
            <w:r>
              <w:rPr>
                <w:rFonts w:ascii="Arial" w:cs="Arial" w:eastAsia="Arial" w:hAnsi="Arial"/>
                <w:sz w:val="14"/>
                <w:szCs w:val="14"/>
                <w:color w:val="auto"/>
                <w:w w:val="90"/>
              </w:rPr>
              <w:t>Notes to Condensed Consolidated Financial Statements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94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center"/>
              <w:ind w:right="20"/>
              <w:spacing w:after="0"/>
              <w:rPr>
                <w:sz w:val="20"/>
                <w:szCs w:val="20"/>
                <w:color w:val="auto"/>
              </w:rPr>
            </w:pPr>
            <w:r>
              <w:rPr>
                <w:rFonts w:ascii="Arial" w:cs="Arial" w:eastAsia="Arial" w:hAnsi="Arial"/>
                <w:sz w:val="14"/>
                <w:szCs w:val="14"/>
                <w:color w:val="auto"/>
                <w:w w:val="90"/>
              </w:rPr>
              <w:t>(unaudited)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880" w:type="dxa"/>
            <w:vAlign w:val="bottom"/>
            <w:gridSpan w:val="2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20" w:type="dxa"/>
            <w:vAlign w:val="bottom"/>
          </w:tcPr>
          <w:p>
            <w:pPr>
              <w:spacing w:after="0"/>
              <w:rPr>
                <w:sz w:val="24"/>
                <w:szCs w:val="24"/>
                <w:color w:val="auto"/>
              </w:rPr>
            </w:pPr>
          </w:p>
        </w:tc>
        <w:tc>
          <w:tcPr>
            <w:tcW w:w="7760" w:type="dxa"/>
            <w:vAlign w:val="bottom"/>
            <w:gridSpan w:val="29"/>
          </w:tcPr>
          <w:p>
            <w:pPr>
              <w:ind w:left="320"/>
              <w:spacing w:after="0"/>
              <w:rPr>
                <w:sz w:val="20"/>
                <w:szCs w:val="20"/>
                <w:color w:val="auto"/>
              </w:rPr>
            </w:pPr>
            <w:r>
              <w:rPr>
                <w:rFonts w:ascii="Arial" w:cs="Arial" w:eastAsia="Arial" w:hAnsi="Arial"/>
                <w:sz w:val="14"/>
                <w:szCs w:val="14"/>
                <w:color w:val="auto"/>
                <w:w w:val="92"/>
              </w:rPr>
              <w:t>The following tables present the estimated fair values of the Company’s financial instruments at June 30, 2022 and December 31,</w:t>
            </w:r>
          </w:p>
        </w:tc>
        <w:tc>
          <w:tcPr>
            <w:tcW w:w="0" w:type="dxa"/>
            <w:vAlign w:val="bottom"/>
          </w:tcPr>
          <w:p>
            <w:pPr>
              <w:spacing w:after="0"/>
              <w:rPr>
                <w:sz w:val="1"/>
                <w:szCs w:val="1"/>
                <w:color w:val="auto"/>
              </w:rPr>
            </w:pPr>
          </w:p>
        </w:tc>
      </w:tr>
      <w:tr>
        <w:trPr>
          <w:trHeight w:val="192"/>
        </w:trPr>
        <w:tc>
          <w:tcPr>
            <w:tcW w:w="1000" w:type="dxa"/>
            <w:vAlign w:val="bottom"/>
            <w:gridSpan w:val="2"/>
          </w:tcPr>
          <w:p>
            <w:pPr>
              <w:ind w:left="60"/>
              <w:spacing w:after="0"/>
              <w:rPr>
                <w:sz w:val="20"/>
                <w:szCs w:val="20"/>
                <w:color w:val="auto"/>
              </w:rPr>
            </w:pPr>
            <w:r>
              <w:rPr>
                <w:rFonts w:ascii="Arial" w:cs="Arial" w:eastAsia="Arial" w:hAnsi="Arial"/>
                <w:sz w:val="14"/>
                <w:szCs w:val="14"/>
                <w:color w:val="auto"/>
              </w:rPr>
              <w:t>2021:</w:t>
            </w:r>
          </w:p>
        </w:tc>
        <w:tc>
          <w:tcPr>
            <w:tcW w:w="1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2"/>
              </w:rPr>
              <w:t>June 30, 2022</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8"/>
              </w:rPr>
              <w:t>Fair Value Measurements</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11"/>
          </w:tcPr>
          <w:p>
            <w:pPr>
              <w:jc w:val="right"/>
              <w:ind w:right="80"/>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tcBorders>
              <w:right w:val="single" w:sz="8" w:color="CCEEFF"/>
            </w:tcBorders>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Financial Assets</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4"/>
                <w:szCs w:val="14"/>
                <w:color w:val="auto"/>
              </w:rPr>
              <w:t>Cash and cash equivalents</w:t>
            </w:r>
          </w:p>
        </w:tc>
        <w:tc>
          <w:tcPr>
            <w:tcW w:w="6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277,678</w:t>
            </w:r>
          </w:p>
        </w:tc>
        <w:tc>
          <w:tcPr>
            <w:tcW w:w="40" w:type="dxa"/>
            <w:vAlign w:val="bottom"/>
          </w:tcPr>
          <w:p>
            <w:pPr>
              <w:spacing w:after="0"/>
              <w:rPr>
                <w:sz w:val="15"/>
                <w:szCs w:val="15"/>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277,678</w:t>
            </w:r>
          </w:p>
        </w:tc>
        <w:tc>
          <w:tcPr>
            <w:tcW w:w="40" w:type="dxa"/>
            <w:vAlign w:val="bottom"/>
          </w:tcPr>
          <w:p>
            <w:pPr>
              <w:spacing w:after="0"/>
              <w:rPr>
                <w:sz w:val="15"/>
                <w:szCs w:val="15"/>
                <w:color w:val="auto"/>
              </w:rPr>
            </w:pPr>
          </w:p>
        </w:tc>
        <w:tc>
          <w:tcPr>
            <w:tcW w:w="200" w:type="dxa"/>
            <w:vAlign w:val="bottom"/>
            <w:gridSpan w:val="4"/>
          </w:tcPr>
          <w:p>
            <w:pPr>
              <w:ind w:left="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277,678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Available-for-sale securities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695,647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695,647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695,647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4"/>
                <w:szCs w:val="14"/>
                <w:color w:val="auto"/>
              </w:rPr>
              <w:t>Loans, net of allowance for credit losses</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w w:val="99"/>
              </w:rPr>
              <w:t>4,472,417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9"/>
              </w:rPr>
              <w:t>4,451,704</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9"/>
              </w:rPr>
              <w:t>4,451,704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Restricted equity securities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14,946</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14,946</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4"/>
                <w:szCs w:val="14"/>
                <w:color w:val="auto"/>
              </w:rPr>
              <w:t>Interest receivable</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9"/>
              <w:spacing w:after="0"/>
              <w:rPr>
                <w:sz w:val="20"/>
                <w:szCs w:val="20"/>
                <w:color w:val="auto"/>
              </w:rPr>
            </w:pPr>
            <w:r>
              <w:rPr>
                <w:rFonts w:ascii="Arial" w:cs="Arial" w:eastAsia="Arial" w:hAnsi="Arial"/>
                <w:sz w:val="14"/>
                <w:szCs w:val="14"/>
                <w:color w:val="auto"/>
              </w:rPr>
              <w:t>17,909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17,909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17,909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Equity securities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3,513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2,047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Derivative assets</w:t>
            </w:r>
          </w:p>
        </w:tc>
        <w:tc>
          <w:tcPr>
            <w:tcW w:w="5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9,348</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9,348</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9,348</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Borders>
              <w:right w:val="single" w:sz="8" w:color="CCEEFF"/>
            </w:tcBorders>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5,491,458</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277,678</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4"/>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724,951</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shd w:val="clear" w:color="auto" w:fill="CCEEFF"/>
              </w:rPr>
              <w:t>4,468,116</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shd w:val="clear" w:color="auto" w:fill="CCEEFF"/>
              </w:rPr>
              <w:t>5,470,745</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Financial Liabilities</w:t>
            </w: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94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Deposits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4,744,420</w:t>
            </w:r>
          </w:p>
        </w:tc>
        <w:tc>
          <w:tcPr>
            <w:tcW w:w="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89"/>
                <w:shd w:val="clear" w:color="auto" w:fill="CCEEFF"/>
              </w:rPr>
              <w:t>1,163,462</w:t>
            </w:r>
          </w:p>
        </w:tc>
        <w:tc>
          <w:tcPr>
            <w:tcW w:w="40" w:type="dxa"/>
            <w:vAlign w:val="bottom"/>
            <w:shd w:val="clear" w:color="auto" w:fill="CCEEFF"/>
          </w:tcPr>
          <w:p>
            <w:pPr>
              <w:spacing w:after="0"/>
              <w:rPr>
                <w:sz w:val="15"/>
                <w:szCs w:val="15"/>
                <w:color w:val="auto"/>
              </w:rPr>
            </w:pPr>
          </w:p>
        </w:tc>
        <w:tc>
          <w:tcPr>
            <w:tcW w:w="200" w:type="dxa"/>
            <w:vAlign w:val="bottom"/>
            <w:gridSpan w:val="4"/>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shd w:val="clear" w:color="auto" w:fill="CCEEFF"/>
              </w:rPr>
              <w:t>3,453,569</w:t>
            </w:r>
          </w:p>
        </w:tc>
        <w:tc>
          <w:tcPr>
            <w:tcW w:w="6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shd w:val="clear" w:color="auto" w:fill="CCEEFF"/>
              </w:rPr>
              <w:t>4,617,031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4"/>
                <w:szCs w:val="14"/>
                <w:color w:val="auto"/>
              </w:rPr>
              <w:t>Federal Home Loan Bank line of credit</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140,000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140,000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Federal Home Loan Bank advances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156,600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153,781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153,781</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40"/>
              <w:spacing w:after="0"/>
              <w:rPr>
                <w:sz w:val="20"/>
                <w:szCs w:val="20"/>
                <w:color w:val="auto"/>
              </w:rPr>
            </w:pPr>
            <w:r>
              <w:rPr>
                <w:rFonts w:ascii="Arial" w:cs="Arial" w:eastAsia="Arial" w:hAnsi="Arial"/>
                <w:sz w:val="14"/>
                <w:szCs w:val="14"/>
                <w:color w:val="auto"/>
              </w:rPr>
              <w:t>Other borrowings</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ind w:right="9"/>
              <w:spacing w:after="0"/>
              <w:rPr>
                <w:sz w:val="20"/>
                <w:szCs w:val="20"/>
                <w:color w:val="auto"/>
              </w:rPr>
            </w:pPr>
            <w:r>
              <w:rPr>
                <w:rFonts w:ascii="Arial" w:cs="Arial" w:eastAsia="Arial" w:hAnsi="Arial"/>
                <w:sz w:val="14"/>
                <w:szCs w:val="14"/>
                <w:color w:val="auto"/>
              </w:rPr>
              <w:t>1,041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2,028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Interest payable</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1,249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1,249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Derivative liabilities</w:t>
            </w:r>
          </w:p>
        </w:tc>
        <w:tc>
          <w:tcPr>
            <w:tcW w:w="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5,875</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5,875</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5,875</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0" w:type="dxa"/>
            <w:vAlign w:val="bottom"/>
            <w:tcBorders>
              <w:right w:val="single" w:sz="8" w:color="CCEEFF"/>
            </w:tcBorders>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5,049,185</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89"/>
                <w:shd w:val="clear" w:color="auto" w:fill="CCEEFF"/>
              </w:rPr>
              <w:t>1,163,462</w:t>
            </w:r>
          </w:p>
        </w:tc>
        <w:tc>
          <w:tcPr>
            <w:tcW w:w="40" w:type="dxa"/>
            <w:vAlign w:val="bottom"/>
            <w:shd w:val="clear" w:color="auto" w:fill="CCEEFF"/>
          </w:tcPr>
          <w:p>
            <w:pPr>
              <w:spacing w:after="0"/>
              <w:rPr>
                <w:sz w:val="14"/>
                <w:szCs w:val="14"/>
                <w:color w:val="auto"/>
              </w:rPr>
            </w:pPr>
          </w:p>
        </w:tc>
        <w:tc>
          <w:tcPr>
            <w:tcW w:w="200" w:type="dxa"/>
            <w:vAlign w:val="bottom"/>
            <w:gridSpan w:val="4"/>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302,933</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shd w:val="clear" w:color="auto" w:fill="CCEEFF"/>
              </w:rPr>
              <w:t>3,453,569</w:t>
            </w:r>
          </w:p>
        </w:tc>
        <w:tc>
          <w:tcPr>
            <w:tcW w:w="6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shd w:val="clear" w:color="auto" w:fill="CCEEFF"/>
              </w:rPr>
              <w:t>4,919,964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1"/>
          </w:tcPr>
          <w:p>
            <w:pPr>
              <w:jc w:val="right"/>
              <w:ind w:right="100"/>
              <w:spacing w:after="0"/>
              <w:rPr>
                <w:sz w:val="20"/>
                <w:szCs w:val="20"/>
                <w:color w:val="auto"/>
              </w:rPr>
            </w:pPr>
            <w:r>
              <w:rPr>
                <w:rFonts w:ascii="Arial" w:cs="Arial" w:eastAsia="Arial" w:hAnsi="Arial"/>
                <w:sz w:val="14"/>
                <w:szCs w:val="14"/>
                <w:b w:val="1"/>
                <w:bCs w:val="1"/>
                <w:color w:val="auto"/>
              </w:rPr>
              <w:t>December 31, 2021</w:t>
            </w: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8"/>
              </w:rPr>
              <w:t>Fair Value Measurements</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11"/>
          </w:tcPr>
          <w:p>
            <w:pPr>
              <w:jc w:val="right"/>
              <w:ind w:right="80"/>
              <w:spacing w:after="0"/>
              <w:rPr>
                <w:sz w:val="20"/>
                <w:szCs w:val="20"/>
                <w:color w:val="auto"/>
              </w:rPr>
            </w:pPr>
            <w:r>
              <w:rPr>
                <w:rFonts w:ascii="Arial" w:cs="Arial" w:eastAsia="Arial" w:hAnsi="Arial"/>
                <w:sz w:val="13"/>
                <w:szCs w:val="13"/>
                <w:i w:val="1"/>
                <w:iCs w:val="1"/>
                <w:color w:val="auto"/>
              </w:rPr>
              <w:t>(Dollars in thousands)</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0" w:type="dxa"/>
            <w:vAlign w:val="bottom"/>
            <w:tcBorders>
              <w:right w:val="single" w:sz="8" w:color="CCEEFF"/>
            </w:tcBorders>
          </w:tcPr>
          <w:p>
            <w:pPr>
              <w:spacing w:after="0"/>
              <w:rPr>
                <w:sz w:val="16"/>
                <w:szCs w:val="16"/>
                <w:color w:val="auto"/>
              </w:rPr>
            </w:pPr>
          </w:p>
        </w:tc>
        <w:tc>
          <w:tcPr>
            <w:tcW w:w="28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Financial Assets</w:t>
            </w:r>
          </w:p>
        </w:tc>
        <w:tc>
          <w:tcPr>
            <w:tcW w:w="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620" w:type="dxa"/>
            <w:vAlign w:val="bottom"/>
            <w:gridSpan w:val="3"/>
          </w:tcPr>
          <w:p>
            <w:pPr>
              <w:jc w:val="right"/>
              <w:ind w:right="35"/>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482,727</w:t>
            </w:r>
          </w:p>
        </w:tc>
        <w:tc>
          <w:tcPr>
            <w:tcW w:w="4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482,727</w:t>
            </w:r>
          </w:p>
        </w:tc>
        <w:tc>
          <w:tcPr>
            <w:tcW w:w="40" w:type="dxa"/>
            <w:vAlign w:val="bottom"/>
          </w:tcPr>
          <w:p>
            <w:pPr>
              <w:spacing w:after="0"/>
              <w:rPr>
                <w:sz w:val="15"/>
                <w:szCs w:val="15"/>
                <w:color w:val="auto"/>
              </w:rPr>
            </w:pPr>
          </w:p>
        </w:tc>
        <w:tc>
          <w:tcPr>
            <w:tcW w:w="100" w:type="dxa"/>
            <w:vAlign w:val="bottom"/>
            <w:gridSpan w:val="3"/>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0" w:type="dxa"/>
            <w:vAlign w:val="bottom"/>
            <w:gridSpan w:val="3"/>
          </w:tcPr>
          <w:p>
            <w:pPr>
              <w:jc w:val="right"/>
              <w:ind w:right="1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482,727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Available-for-sale securities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745,969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745,969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745,969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color w:val="auto"/>
              </w:rPr>
              <w:t>Loans, net of allowance for loan losses</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4,197,838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4,178,268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3"/>
              </w:rPr>
              <w:t>4,178,268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Restricted equity securities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11,927</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11,927</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color w:val="auto"/>
              </w:rPr>
              <w:t>Interest receivable</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16,023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Equity securities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Derivative assets</w:t>
            </w:r>
          </w:p>
        </w:tc>
        <w:tc>
          <w:tcPr>
            <w:tcW w:w="5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11,308</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11,308</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11,308</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0" w:type="dxa"/>
            <w:vAlign w:val="bottom"/>
            <w:tcBorders>
              <w:right w:val="single" w:sz="8" w:color="CCEEFF"/>
            </w:tcBorders>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620" w:type="dxa"/>
            <w:vAlign w:val="bottom"/>
            <w:gridSpan w:val="3"/>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5,468,434</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482,727</w:t>
            </w:r>
          </w:p>
        </w:tc>
        <w:tc>
          <w:tcPr>
            <w:tcW w:w="40" w:type="dxa"/>
            <w:vAlign w:val="bottom"/>
            <w:shd w:val="clear" w:color="auto" w:fill="CCEEFF"/>
          </w:tcPr>
          <w:p>
            <w:pPr>
              <w:spacing w:after="0"/>
              <w:rPr>
                <w:sz w:val="14"/>
                <w:szCs w:val="14"/>
                <w:color w:val="auto"/>
              </w:rPr>
            </w:pPr>
          </w:p>
        </w:tc>
        <w:tc>
          <w:tcPr>
            <w:tcW w:w="1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775,509</w:t>
            </w:r>
          </w:p>
        </w:tc>
        <w:tc>
          <w:tcPr>
            <w:tcW w:w="4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4,190,628</w:t>
            </w:r>
          </w:p>
        </w:tc>
        <w:tc>
          <w:tcPr>
            <w:tcW w:w="6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5,448,864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Financial Liabilities</w:t>
            </w: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4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0" w:type="dxa"/>
            <w:vAlign w:val="bottom"/>
            <w:tcBorders>
              <w:right w:val="single" w:sz="8" w:color="CCEEFF"/>
            </w:tcBorders>
          </w:tcPr>
          <w:p>
            <w:pPr>
              <w:spacing w:after="0"/>
              <w:rPr>
                <w:sz w:val="16"/>
                <w:szCs w:val="16"/>
                <w:color w:val="auto"/>
              </w:rPr>
            </w:pP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Deposits</w:t>
            </w:r>
          </w:p>
        </w:tc>
        <w:tc>
          <w:tcPr>
            <w:tcW w:w="620" w:type="dxa"/>
            <w:vAlign w:val="bottom"/>
            <w:gridSpan w:val="3"/>
            <w:shd w:val="clear" w:color="auto" w:fill="CCEEFF"/>
          </w:tcPr>
          <w:p>
            <w:pPr>
              <w:jc w:val="right"/>
              <w:ind w:right="35"/>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shd w:val="clear" w:color="auto" w:fill="CCEEFF"/>
              </w:rPr>
              <w:t>4,683,597</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1,163,224</w:t>
            </w:r>
          </w:p>
        </w:tc>
        <w:tc>
          <w:tcPr>
            <w:tcW w:w="40" w:type="dxa"/>
            <w:vAlign w:val="bottom"/>
            <w:shd w:val="clear" w:color="auto" w:fill="CCEEFF"/>
          </w:tcPr>
          <w:p>
            <w:pPr>
              <w:spacing w:after="0"/>
              <w:rPr>
                <w:sz w:val="16"/>
                <w:szCs w:val="16"/>
                <w:color w:val="auto"/>
              </w:rPr>
            </w:pPr>
          </w:p>
        </w:tc>
        <w:tc>
          <w:tcPr>
            <w:tcW w:w="1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3,482,218</w:t>
            </w:r>
          </w:p>
        </w:tc>
        <w:tc>
          <w:tcPr>
            <w:tcW w:w="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shd w:val="clear" w:color="auto" w:fill="CCEEFF"/>
              </w:rPr>
              <w:t>4,645,442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color w:val="auto"/>
              </w:rPr>
              <w:t>Federal Home Loan Bank advances</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236,600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241,981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241,981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20" w:type="dxa"/>
            <w:vAlign w:val="bottom"/>
            <w:tcBorders>
              <w:right w:val="single" w:sz="8" w:color="CCEEFF"/>
            </w:tcBorders>
          </w:tcPr>
          <w:p>
            <w:pPr>
              <w:spacing w:after="0"/>
              <w:rPr>
                <w:sz w:val="15"/>
                <w:szCs w:val="15"/>
                <w:color w:val="auto"/>
              </w:rPr>
            </w:pPr>
          </w:p>
        </w:tc>
        <w:tc>
          <w:tcPr>
            <w:tcW w:w="28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Other borrowings</w:t>
            </w: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color w:val="auto"/>
              </w:rPr>
              <w:t>Interest payable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1,336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1,336</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1,336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Borders>
              <w:right w:val="single" w:sz="8" w:color="CCEEFF"/>
            </w:tcBorders>
          </w:tcPr>
          <w:p>
            <w:pPr>
              <w:spacing w:after="0"/>
              <w:rPr>
                <w:sz w:val="14"/>
                <w:szCs w:val="14"/>
                <w:color w:val="auto"/>
              </w:rPr>
            </w:pPr>
          </w:p>
        </w:tc>
        <w:tc>
          <w:tcPr>
            <w:tcW w:w="28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rPr>
              <w:t>Derivative liabilities</w:t>
            </w:r>
          </w:p>
        </w:tc>
        <w:tc>
          <w:tcPr>
            <w:tcW w:w="5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11,887</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11,887</w:t>
            </w:r>
          </w:p>
        </w:tc>
        <w:tc>
          <w:tcPr>
            <w:tcW w:w="4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11,887</w:t>
            </w:r>
          </w:p>
        </w:tc>
        <w:tc>
          <w:tcPr>
            <w:tcW w:w="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20" w:type="dxa"/>
            <w:vAlign w:val="bottom"/>
            <w:gridSpan w:val="3"/>
          </w:tcPr>
          <w:p>
            <w:pPr>
              <w:jc w:val="right"/>
              <w:ind w:right="35"/>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4,934,429</w:t>
            </w:r>
          </w:p>
        </w:tc>
        <w:tc>
          <w:tcPr>
            <w:tcW w:w="4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1,163,224</w:t>
            </w:r>
          </w:p>
        </w:tc>
        <w:tc>
          <w:tcPr>
            <w:tcW w:w="40" w:type="dxa"/>
            <w:vAlign w:val="bottom"/>
          </w:tcPr>
          <w:p>
            <w:pPr>
              <w:spacing w:after="0"/>
              <w:rPr>
                <w:sz w:val="15"/>
                <w:szCs w:val="15"/>
                <w:color w:val="auto"/>
              </w:rPr>
            </w:pPr>
          </w:p>
        </w:tc>
        <w:tc>
          <w:tcPr>
            <w:tcW w:w="100" w:type="dxa"/>
            <w:vAlign w:val="bottom"/>
            <w:gridSpan w:val="3"/>
          </w:tcPr>
          <w:p>
            <w:pPr>
              <w:ind w:left="20"/>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257,522</w:t>
            </w:r>
          </w:p>
        </w:tc>
        <w:tc>
          <w:tcPr>
            <w:tcW w:w="40" w:type="dxa"/>
            <w:vAlign w:val="bottom"/>
          </w:tcPr>
          <w:p>
            <w:pPr>
              <w:spacing w:after="0"/>
              <w:rPr>
                <w:sz w:val="15"/>
                <w:szCs w:val="15"/>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3"/>
              </w:rPr>
              <w:t>3,482,218</w:t>
            </w:r>
          </w:p>
        </w:tc>
        <w:tc>
          <w:tcPr>
            <w:tcW w:w="60" w:type="dxa"/>
            <w:vAlign w:val="bottom"/>
          </w:tcPr>
          <w:p>
            <w:pPr>
              <w:spacing w:after="0"/>
              <w:rPr>
                <w:sz w:val="15"/>
                <w:szCs w:val="15"/>
                <w:color w:val="auto"/>
              </w:rPr>
            </w:pPr>
          </w:p>
        </w:tc>
        <w:tc>
          <w:tcPr>
            <w:tcW w:w="200" w:type="dxa"/>
            <w:vAlign w:val="bottom"/>
            <w:gridSpan w:val="3"/>
          </w:tcPr>
          <w:p>
            <w:pPr>
              <w:jc w:val="right"/>
              <w:ind w:right="120"/>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3"/>
              </w:rPr>
              <w:t>4,902,964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9019"/>
          </w:cols>
          <w:pgMar w:left="1440" w:top="460" w:right="1440" w:bottom="1440" w:gutter="0" w:footer="0" w:header="0"/>
        </w:sectPr>
      </w:pPr>
    </w:p>
    <w:bookmarkStart w:id="45" w:name="page46"/>
    <w:bookmarkEnd w:id="45"/>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3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12:</w:t>
      </w:r>
      <w:r>
        <w:rPr>
          <w:sz w:val="20"/>
          <w:szCs w:val="20"/>
          <w:color w:val="auto"/>
        </w:rPr>
        <w:tab/>
      </w:r>
      <w:r>
        <w:rPr>
          <w:rFonts w:ascii="Arial" w:cs="Arial" w:eastAsia="Arial" w:hAnsi="Arial"/>
          <w:sz w:val="15"/>
          <w:szCs w:val="15"/>
          <w:b w:val="1"/>
          <w:bCs w:val="1"/>
          <w:color w:val="auto"/>
        </w:rPr>
        <w:t>Commitments and Credit Risk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Commitments</w:t>
      </w:r>
    </w:p>
    <w:p>
      <w:pPr>
        <w:spacing w:after="0" w:line="162"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The Company had the following commitments at June 30, 2022 and December 31, 2021:</w:t>
      </w:r>
    </w:p>
    <w:p>
      <w:pPr>
        <w:spacing w:after="0" w:line="91"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96"/>
              </w:rPr>
              <w:t>June 30, 2022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w w:val="90"/>
              </w:rPr>
              <w:t>December 31, 2021</w:t>
            </w:r>
          </w:p>
        </w:tc>
      </w:tr>
      <w:tr>
        <w:trPr>
          <w:trHeight w:val="204"/>
        </w:trPr>
        <w:tc>
          <w:tcPr>
            <w:tcW w:w="4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80" w:type="dxa"/>
            <w:vAlign w:val="bottom"/>
            <w:gridSpan w:val="5"/>
          </w:tcPr>
          <w:p>
            <w:pPr>
              <w:jc w:val="right"/>
              <w:ind w:right="869"/>
              <w:spacing w:after="0"/>
              <w:rPr>
                <w:sz w:val="20"/>
                <w:szCs w:val="20"/>
                <w:color w:val="auto"/>
              </w:rPr>
            </w:pPr>
            <w:r>
              <w:rPr>
                <w:rFonts w:ascii="Arial" w:cs="Arial" w:eastAsia="Arial" w:hAnsi="Arial"/>
                <w:sz w:val="13"/>
                <w:szCs w:val="13"/>
                <w:i w:val="1"/>
                <w:iCs w:val="1"/>
                <w:color w:val="auto"/>
              </w:rPr>
              <w:t>(Dollars in thousands)</w:t>
            </w:r>
          </w:p>
        </w:tc>
      </w:tr>
      <w:tr>
        <w:trPr>
          <w:trHeight w:val="181"/>
        </w:trPr>
        <w:tc>
          <w:tcPr>
            <w:tcW w:w="40" w:type="dxa"/>
            <w:vAlign w:val="bottom"/>
          </w:tcPr>
          <w:p>
            <w:pPr>
              <w:spacing w:after="0"/>
              <w:rPr>
                <w:sz w:val="15"/>
                <w:szCs w:val="15"/>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Commitments to originate loans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274,647</w:t>
            </w: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118,651</w:t>
            </w:r>
          </w:p>
        </w:tc>
      </w:tr>
      <w:tr>
        <w:trPr>
          <w:trHeight w:val="192"/>
        </w:trPr>
        <w:tc>
          <w:tcPr>
            <w:tcW w:w="4880" w:type="dxa"/>
            <w:vAlign w:val="bottom"/>
            <w:gridSpan w:val="3"/>
          </w:tcPr>
          <w:p>
            <w:pPr>
              <w:spacing w:after="0"/>
              <w:rPr>
                <w:sz w:val="20"/>
                <w:szCs w:val="20"/>
                <w:color w:val="auto"/>
              </w:rPr>
            </w:pPr>
            <w:r>
              <w:rPr>
                <w:rFonts w:ascii="Arial" w:cs="Arial" w:eastAsia="Arial" w:hAnsi="Arial"/>
                <w:sz w:val="14"/>
                <w:szCs w:val="14"/>
                <w:color w:val="auto"/>
              </w:rPr>
              <w:t>Standby letters of credit</w:t>
            </w:r>
          </w:p>
        </w:tc>
        <w:tc>
          <w:tcPr>
            <w:tcW w:w="18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57,797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51,114</w:t>
            </w:r>
          </w:p>
        </w:tc>
      </w:tr>
      <w:tr>
        <w:trPr>
          <w:trHeight w:val="181"/>
        </w:trPr>
        <w:tc>
          <w:tcPr>
            <w:tcW w:w="40" w:type="dxa"/>
            <w:vAlign w:val="bottom"/>
          </w:tcPr>
          <w:p>
            <w:pPr>
              <w:spacing w:after="0"/>
              <w:rPr>
                <w:sz w:val="15"/>
                <w:szCs w:val="15"/>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Lines of credit</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1,949,860</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1,768,231</w:t>
            </w:r>
          </w:p>
        </w:tc>
      </w:tr>
      <w:tr>
        <w:trPr>
          <w:trHeight w:val="192"/>
        </w:trPr>
        <w:tc>
          <w:tcPr>
            <w:tcW w:w="4880" w:type="dxa"/>
            <w:vAlign w:val="bottom"/>
            <w:gridSpan w:val="3"/>
          </w:tcPr>
          <w:p>
            <w:pPr>
              <w:spacing w:after="0"/>
              <w:rPr>
                <w:sz w:val="20"/>
                <w:szCs w:val="20"/>
                <w:color w:val="auto"/>
              </w:rPr>
            </w:pPr>
            <w:r>
              <w:rPr>
                <w:rFonts w:ascii="Arial" w:cs="Arial" w:eastAsia="Arial" w:hAnsi="Arial"/>
                <w:sz w:val="14"/>
                <w:szCs w:val="14"/>
                <w:color w:val="auto"/>
              </w:rPr>
              <w:t>Future lease commitments</w:t>
            </w:r>
          </w:p>
        </w:tc>
        <w:tc>
          <w:tcPr>
            <w:tcW w:w="18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11,100</w:t>
            </w:r>
          </w:p>
        </w:tc>
      </w:tr>
      <w:tr>
        <w:trPr>
          <w:trHeight w:val="181"/>
        </w:trPr>
        <w:tc>
          <w:tcPr>
            <w:tcW w:w="40" w:type="dxa"/>
            <w:vAlign w:val="bottom"/>
          </w:tcPr>
          <w:p>
            <w:pPr>
              <w:spacing w:after="0"/>
              <w:rPr>
                <w:sz w:val="15"/>
                <w:szCs w:val="15"/>
                <w:color w:val="auto"/>
              </w:rPr>
            </w:pPr>
          </w:p>
        </w:tc>
        <w:tc>
          <w:tcPr>
            <w:tcW w:w="4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Commitments related to investment fund</w:t>
            </w: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4,534</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2,067</w:t>
            </w:r>
          </w:p>
        </w:tc>
      </w:tr>
      <w:tr>
        <w:trPr>
          <w:trHeight w:val="183"/>
        </w:trPr>
        <w:tc>
          <w:tcPr>
            <w:tcW w:w="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0"/>
              <w:spacing w:after="0"/>
              <w:rPr>
                <w:sz w:val="20"/>
                <w:szCs w:val="20"/>
                <w:color w:val="auto"/>
              </w:rPr>
            </w:pPr>
            <w:r>
              <w:rPr>
                <w:rFonts w:ascii="Arial" w:cs="Arial" w:eastAsia="Arial" w:hAnsi="Arial"/>
                <w:sz w:val="14"/>
                <w:szCs w:val="14"/>
                <w:color w:val="auto"/>
              </w:rPr>
              <w:t>2,286,838</w:t>
            </w:r>
          </w:p>
        </w:tc>
        <w:tc>
          <w:tcPr>
            <w:tcW w:w="1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9"/>
              <w:spacing w:after="0"/>
              <w:rPr>
                <w:sz w:val="20"/>
                <w:szCs w:val="20"/>
                <w:color w:val="auto"/>
              </w:rPr>
            </w:pPr>
            <w:r>
              <w:rPr>
                <w:rFonts w:ascii="Arial" w:cs="Arial" w:eastAsia="Arial" w:hAnsi="Arial"/>
                <w:sz w:val="14"/>
                <w:szCs w:val="14"/>
                <w:color w:val="auto"/>
              </w:rPr>
              <w:t>1,951,163</w:t>
            </w:r>
          </w:p>
        </w:tc>
      </w:tr>
      <w:tr>
        <w:trPr>
          <w:trHeight w:val="20"/>
        </w:trPr>
        <w:tc>
          <w:tcPr>
            <w:tcW w:w="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13:</w:t>
      </w:r>
      <w:r>
        <w:rPr>
          <w:sz w:val="20"/>
          <w:szCs w:val="20"/>
          <w:color w:val="auto"/>
        </w:rPr>
        <w:tab/>
      </w:r>
      <w:r>
        <w:rPr>
          <w:rFonts w:ascii="Arial" w:cs="Arial" w:eastAsia="Arial" w:hAnsi="Arial"/>
          <w:sz w:val="15"/>
          <w:szCs w:val="15"/>
          <w:b w:val="1"/>
          <w:bCs w:val="1"/>
          <w:color w:val="auto"/>
        </w:rPr>
        <w:t>Legal and Regulatory Proceedings</w:t>
      </w:r>
    </w:p>
    <w:p>
      <w:pPr>
        <w:spacing w:after="0" w:line="178" w:lineRule="exact"/>
        <w:rPr>
          <w:sz w:val="20"/>
          <w:szCs w:val="20"/>
          <w:color w:val="auto"/>
        </w:rPr>
      </w:pPr>
    </w:p>
    <w:p>
      <w:pPr>
        <w:ind w:left="660" w:right="679" w:firstLine="395"/>
        <w:spacing w:after="0" w:line="318" w:lineRule="auto"/>
        <w:rPr>
          <w:sz w:val="20"/>
          <w:szCs w:val="20"/>
          <w:color w:val="auto"/>
        </w:rPr>
      </w:pPr>
      <w:r>
        <w:rPr>
          <w:rFonts w:ascii="Arial" w:cs="Arial" w:eastAsia="Arial" w:hAnsi="Arial"/>
          <w:sz w:val="13"/>
          <w:szCs w:val="13"/>
          <w:color w:val="auto"/>
        </w:rPr>
        <w:t xml:space="preserve">We accrue estimates for resolution of any legal and other contingencies when losses are probable and reasonably estimable in accordance with ASC 450, </w:t>
      </w:r>
      <w:r>
        <w:rPr>
          <w:rFonts w:ascii="Arial" w:cs="Arial" w:eastAsia="Arial" w:hAnsi="Arial"/>
          <w:sz w:val="13"/>
          <w:szCs w:val="13"/>
          <w:i w:val="1"/>
          <w:iCs w:val="1"/>
          <w:color w:val="auto"/>
        </w:rPr>
        <w:t>Contingencies</w:t>
      </w:r>
      <w:r>
        <w:rPr>
          <w:rFonts w:ascii="Arial" w:cs="Arial" w:eastAsia="Arial" w:hAnsi="Arial"/>
          <w:sz w:val="13"/>
          <w:szCs w:val="13"/>
          <w:color w:val="auto"/>
        </w:rPr>
        <w:t xml:space="preserve"> ("ASC 450"). No less than quarterly, and as facts and circumstances change, we review the status of each significant matter underlying a legal proceeding or claim and assess our potential financial exposure. The Company establishes reserves for litigation-related matters when it is probable that a loss associated with a claim or proceeding has been incurred and the amount of the loss can be reasonably estimated. If the assessment indicates that a potentially material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 Significant judgment is required in both the determination of probability and the determination as to whether the amount of an exposure is reasonably estimable, and accruals are based only on the information available to our management at the time the judgment is made, which may prove to be incomplete or inaccurate or unanticipated events and circumstances may occur that might cause us to change those estimates and assumptions. Furthermore, the outcome of legal proceedings is inherently uncertain, and we may incur substantial defense costs and expenses defending any of these matters. Should any one or a combination of more than one of these proceedings be successful, or should we determine to settle any one or a combination of these matters, we may be required to pay substantial sums, become subject to the entry of an injunction or be forced to change the manner in which we operate our business, which could have a material adverse impact on our business, results of operations, cash flows or financial condition.</w:t>
      </w:r>
    </w:p>
    <w:p>
      <w:pPr>
        <w:spacing w:after="0" w:line="170" w:lineRule="exact"/>
        <w:rPr>
          <w:sz w:val="20"/>
          <w:szCs w:val="20"/>
          <w:color w:val="auto"/>
        </w:rPr>
      </w:pPr>
    </w:p>
    <w:p>
      <w:pPr>
        <w:ind w:left="660" w:right="599" w:firstLine="395"/>
        <w:spacing w:after="0" w:line="380" w:lineRule="auto"/>
        <w:rPr>
          <w:sz w:val="20"/>
          <w:szCs w:val="20"/>
          <w:color w:val="auto"/>
        </w:rPr>
      </w:pPr>
      <w:r>
        <w:rPr>
          <w:rFonts w:ascii="Arial" w:cs="Arial" w:eastAsia="Arial" w:hAnsi="Arial"/>
          <w:sz w:val="12"/>
          <w:szCs w:val="12"/>
          <w:color w:val="auto"/>
        </w:rPr>
        <w:t>The Company paid $2.3 million in employee separation costs. The Company’s insurance carriers agreed to cover $1.2 million of these settlement costs. The remaining $1.1 million was expensed during the three-month period ended June 30, 2022. The reimbursement receivable is located in “Other assets” on the Condensed Consolidated Balance Sheet for the period ended June 30, 2022.</w:t>
      </w:r>
    </w:p>
    <w:p>
      <w:pPr>
        <w:spacing w:after="0" w:line="134" w:lineRule="exact"/>
        <w:rPr>
          <w:sz w:val="20"/>
          <w:szCs w:val="20"/>
          <w:color w:val="auto"/>
        </w:rPr>
      </w:pPr>
    </w:p>
    <w:p>
      <w:pPr>
        <w:ind w:left="660" w:right="719" w:firstLine="395"/>
        <w:spacing w:after="0" w:line="300" w:lineRule="auto"/>
        <w:rPr>
          <w:sz w:val="20"/>
          <w:szCs w:val="20"/>
          <w:color w:val="auto"/>
        </w:rPr>
      </w:pPr>
      <w:r>
        <w:rPr>
          <w:rFonts w:ascii="Arial" w:cs="Arial" w:eastAsia="Arial" w:hAnsi="Arial"/>
          <w:sz w:val="14"/>
          <w:szCs w:val="14"/>
          <w:color w:val="auto"/>
        </w:rPr>
        <w:t>The Company is subject to various other legal proceedings and claims that arise primarily in the ordinary course of business. At this time, we do not believe the range of potential losses will have a material adverse effect on the consolidated financial position, results of operations and cash flows of the Company.</w:t>
      </w:r>
    </w:p>
    <w:p>
      <w:pPr>
        <w:spacing w:after="0" w:line="133"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14:</w:t>
      </w:r>
      <w:r>
        <w:rPr>
          <w:sz w:val="20"/>
          <w:szCs w:val="20"/>
          <w:color w:val="auto"/>
        </w:rPr>
        <w:tab/>
      </w:r>
      <w:r>
        <w:rPr>
          <w:rFonts w:ascii="Arial" w:cs="Arial" w:eastAsia="Arial" w:hAnsi="Arial"/>
          <w:sz w:val="14"/>
          <w:szCs w:val="14"/>
          <w:b w:val="1"/>
          <w:bCs w:val="1"/>
          <w:color w:val="auto"/>
        </w:rPr>
        <w:t>Leases</w:t>
      </w:r>
    </w:p>
    <w:p>
      <w:pPr>
        <w:spacing w:after="0" w:line="178"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The Company’s leases primarily include bank branches located in Kansas City, Missouri; Tulsa, Oklahoma; Dallas, Texas; Frisco,</w:t>
      </w:r>
    </w:p>
    <w:p>
      <w:pPr>
        <w:spacing w:after="0" w:line="58" w:lineRule="exact"/>
        <w:rPr>
          <w:sz w:val="20"/>
          <w:szCs w:val="20"/>
          <w:color w:val="auto"/>
        </w:rPr>
      </w:pPr>
    </w:p>
    <w:p>
      <w:pPr>
        <w:ind w:left="660" w:right="719"/>
        <w:spacing w:after="0" w:line="309" w:lineRule="auto"/>
        <w:rPr>
          <w:sz w:val="20"/>
          <w:szCs w:val="20"/>
          <w:color w:val="auto"/>
        </w:rPr>
      </w:pPr>
      <w:r>
        <w:rPr>
          <w:rFonts w:ascii="Arial" w:cs="Arial" w:eastAsia="Arial" w:hAnsi="Arial"/>
          <w:sz w:val="12"/>
          <w:szCs w:val="12"/>
          <w:color w:val="auto"/>
        </w:rPr>
        <w:t xml:space="preserve">Texas; and Phoenix, Arizona. The remaining lease terms on these branch leases range from less than </w:t>
      </w:r>
      <w:r>
        <w:rPr>
          <w:rFonts w:ascii="Arial" w:cs="Arial" w:eastAsia="Arial" w:hAnsi="Arial"/>
          <w:sz w:val="14"/>
          <w:szCs w:val="14"/>
          <w:color w:val="auto"/>
        </w:rPr>
        <w:t>one year</w:t>
      </w:r>
      <w:r>
        <w:rPr>
          <w:rFonts w:ascii="Arial" w:cs="Arial" w:eastAsia="Arial" w:hAnsi="Arial"/>
          <w:sz w:val="12"/>
          <w:szCs w:val="12"/>
          <w:color w:val="auto"/>
        </w:rPr>
        <w:t xml:space="preserve">to </w:t>
      </w:r>
      <w:r>
        <w:rPr>
          <w:rFonts w:ascii="Arial" w:cs="Arial" w:eastAsia="Arial" w:hAnsi="Arial"/>
          <w:sz w:val="14"/>
          <w:szCs w:val="14"/>
          <w:color w:val="auto"/>
        </w:rPr>
        <w:t>twenty years</w:t>
      </w:r>
      <w:r>
        <w:rPr>
          <w:rFonts w:ascii="Arial" w:cs="Arial" w:eastAsia="Arial" w:hAnsi="Arial"/>
          <w:sz w:val="12"/>
          <w:szCs w:val="12"/>
          <w:color w:val="auto"/>
        </w:rPr>
        <w:t xml:space="preserve">with certain options to renew. Renewal terms can extend the lease term between </w:t>
      </w:r>
      <w:r>
        <w:rPr>
          <w:rFonts w:ascii="Arial" w:cs="Arial" w:eastAsia="Arial" w:hAnsi="Arial"/>
          <w:sz w:val="14"/>
          <w:szCs w:val="14"/>
          <w:color w:val="auto"/>
        </w:rPr>
        <w:t>five years</w:t>
      </w:r>
      <w:r>
        <w:rPr>
          <w:rFonts w:ascii="Arial" w:cs="Arial" w:eastAsia="Arial" w:hAnsi="Arial"/>
          <w:sz w:val="12"/>
          <w:szCs w:val="12"/>
          <w:color w:val="auto"/>
        </w:rPr>
        <w:t xml:space="preserve">nd </w:t>
      </w:r>
      <w:r>
        <w:rPr>
          <w:rFonts w:ascii="Arial" w:cs="Arial" w:eastAsia="Arial" w:hAnsi="Arial"/>
          <w:sz w:val="14"/>
          <w:szCs w:val="14"/>
          <w:color w:val="auto"/>
        </w:rPr>
        <w:t>twenty years</w:t>
      </w:r>
      <w:r>
        <w:rPr>
          <w:rFonts w:ascii="Arial" w:cs="Arial" w:eastAsia="Arial" w:hAnsi="Arial"/>
          <w:sz w:val="12"/>
          <w:szCs w:val="12"/>
          <w:color w:val="auto"/>
        </w:rPr>
        <w:t>.The exercise of lease renewal options is at the Company’s sole discretion. When it is reasonably certain that the Company will exercise its option to renew or extend</w:t>
      </w:r>
    </w:p>
    <w:p>
      <w:pPr>
        <w:spacing w:after="0" w:line="1" w:lineRule="exact"/>
        <w:rPr>
          <w:sz w:val="20"/>
          <w:szCs w:val="20"/>
          <w:color w:val="auto"/>
        </w:rPr>
      </w:pPr>
    </w:p>
    <w:p>
      <w:pPr>
        <w:jc w:val="both"/>
        <w:ind w:left="660" w:right="739"/>
        <w:spacing w:after="0" w:line="341" w:lineRule="auto"/>
        <w:rPr>
          <w:sz w:val="20"/>
          <w:szCs w:val="20"/>
          <w:color w:val="auto"/>
        </w:rPr>
      </w:pPr>
      <w:r>
        <w:rPr>
          <w:rFonts w:ascii="Arial" w:cs="Arial" w:eastAsia="Arial" w:hAnsi="Arial"/>
          <w:sz w:val="13"/>
          <w:szCs w:val="13"/>
          <w:color w:val="auto"/>
        </w:rPr>
        <w:t>the lease term, that option is included in the estimated value of the right of use (“ROU”) asset and lease liability. The Company’s lease agreements do not contain any material residual value guarantees or material restrictive covenants. As of June 30, 2022, the Company recognized one finance lease and the remaining Company leases are classified as operating leases.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9019"/>
          </w:cols>
          <w:pgMar w:left="1440" w:top="460" w:right="1440" w:bottom="1440" w:gutter="0" w:footer="0" w:header="0"/>
        </w:sectPr>
      </w:pPr>
    </w:p>
    <w:bookmarkStart w:id="46" w:name="page47"/>
    <w:bookmarkEnd w:id="46"/>
    <w:tbl>
      <w:tblPr>
        <w:tblLayout w:type="fixed"/>
        <w:tblInd w:w="580" w:type="dxa"/>
        <w:tblCellMar>
          <w:top w:w="0" w:type="dxa"/>
          <w:left w:w="0" w:type="dxa"/>
          <w:bottom w:w="0" w:type="dxa"/>
          <w:right w:w="0" w:type="dxa"/>
        </w:tblCellMar>
      </w:tblPr>
      <w:tr>
        <w:trPr>
          <w:trHeight w:val="180"/>
        </w:trPr>
        <w:tc>
          <w:tcPr>
            <w:tcW w:w="1000" w:type="dxa"/>
            <w:vAlign w:val="bottom"/>
          </w:tcPr>
          <w:p>
            <w:pPr>
              <w:spacing w:after="0"/>
              <w:rPr>
                <w:sz w:val="15"/>
                <w:szCs w:val="15"/>
                <w:color w:val="auto"/>
              </w:rPr>
            </w:pPr>
          </w:p>
        </w:tc>
        <w:tc>
          <w:tcPr>
            <w:tcW w:w="4480" w:type="dxa"/>
            <w:vAlign w:val="bottom"/>
          </w:tcPr>
          <w:p>
            <w:pPr>
              <w:jc w:val="center"/>
              <w:ind w:left="1269"/>
              <w:spacing w:after="0"/>
              <w:rPr>
                <w:sz w:val="20"/>
                <w:szCs w:val="20"/>
                <w:color w:val="auto"/>
              </w:rPr>
            </w:pPr>
            <w:r>
              <w:rPr>
                <w:rFonts w:ascii="Arial" w:cs="Arial" w:eastAsia="Arial" w:hAnsi="Arial"/>
                <w:sz w:val="14"/>
                <w:szCs w:val="14"/>
                <w:color w:val="auto"/>
                <w:w w:val="90"/>
              </w:rPr>
              <w:t>Notes to Condensed Consolidated Financial Statements</w:t>
            </w:r>
          </w:p>
        </w:tc>
      </w:tr>
      <w:tr>
        <w:trPr>
          <w:trHeight w:val="171"/>
        </w:trPr>
        <w:tc>
          <w:tcPr>
            <w:tcW w:w="1000" w:type="dxa"/>
            <w:vAlign w:val="bottom"/>
            <w:tcBorders>
              <w:bottom w:val="single" w:sz="8" w:color="0000FF"/>
            </w:tcBorders>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4480" w:type="dxa"/>
            <w:vAlign w:val="bottom"/>
          </w:tcPr>
          <w:p>
            <w:pPr>
              <w:jc w:val="center"/>
              <w:ind w:left="1289"/>
              <w:spacing w:after="0"/>
              <w:rPr>
                <w:sz w:val="20"/>
                <w:szCs w:val="20"/>
                <w:color w:val="auto"/>
              </w:rPr>
            </w:pPr>
            <w:r>
              <w:rPr>
                <w:rFonts w:ascii="Arial" w:cs="Arial" w:eastAsia="Arial" w:hAnsi="Arial"/>
                <w:sz w:val="14"/>
                <w:szCs w:val="14"/>
                <w:color w:val="auto"/>
                <w:w w:val="90"/>
              </w:rPr>
              <w:t>(unaudited)</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p>
    <w:p>
      <w:pPr>
        <w:spacing w:after="0" w:line="377" w:lineRule="exact"/>
        <w:rPr>
          <w:sz w:val="20"/>
          <w:szCs w:val="20"/>
          <w:color w:val="auto"/>
        </w:rPr>
      </w:pPr>
    </w:p>
    <w:p>
      <w:pPr>
        <w:ind w:left="640" w:right="659" w:firstLine="384"/>
        <w:spacing w:after="0" w:line="301" w:lineRule="auto"/>
        <w:rPr>
          <w:sz w:val="20"/>
          <w:szCs w:val="20"/>
          <w:color w:val="auto"/>
        </w:rPr>
      </w:pPr>
      <w:r>
        <w:rPr>
          <w:rFonts w:ascii="Arial" w:cs="Arial" w:eastAsia="Arial" w:hAnsi="Arial"/>
          <w:sz w:val="14"/>
          <w:szCs w:val="14"/>
          <w:color w:val="auto"/>
        </w:rPr>
        <w:t>Under ASC 842, a modified retrospective transition approach is required, applying the new standard to all leases existing at the date of initial application. The Company chose to use the adoption date of January 1, 2022, for ASC 842. As such, all periods presented after January 1, 2022, are under ASC 842 whereas periods presented prior to January 1, 2022, are in accordance with prior lease accounting of ASC 840. Financial information was not updated and the disclosures required under ASC 842 were not provided for dates and periods before January 1, 2022.</w:t>
      </w:r>
    </w:p>
    <w:p>
      <w:pPr>
        <w:spacing w:after="0" w:line="175" w:lineRule="exact"/>
        <w:rPr>
          <w:sz w:val="20"/>
          <w:szCs w:val="20"/>
          <w:color w:val="auto"/>
        </w:rPr>
      </w:pPr>
    </w:p>
    <w:p>
      <w:pPr>
        <w:ind w:left="660" w:right="619" w:firstLine="384"/>
        <w:spacing w:after="0" w:line="301" w:lineRule="auto"/>
        <w:rPr>
          <w:sz w:val="20"/>
          <w:szCs w:val="20"/>
          <w:color w:val="auto"/>
        </w:rPr>
      </w:pPr>
      <w:r>
        <w:rPr>
          <w:rFonts w:ascii="Arial" w:cs="Arial" w:eastAsia="Arial" w:hAnsi="Arial"/>
          <w:sz w:val="14"/>
          <w:szCs w:val="14"/>
          <w:color w:val="auto"/>
        </w:rPr>
        <w:t>The Company’s right to use an asset over the life of a lease is recorded as an ROU asset, is included in “Other assets” on the Condensed Consolidated Balance Sheets, and was $ 30 million at June 30, 2022. Certain adjustments to the ROU asset may be required for items such as initial direct costs paid or incentives received. The lease liability is located in “Interest payable and other liabilities” on the Condensed Consolidated Balance Sheets of $33 million at June 30, 2022.</w:t>
      </w:r>
    </w:p>
    <w:p>
      <w:pPr>
        <w:spacing w:after="0" w:line="174" w:lineRule="exact"/>
        <w:rPr>
          <w:sz w:val="20"/>
          <w:szCs w:val="20"/>
          <w:color w:val="auto"/>
        </w:rPr>
      </w:pPr>
    </w:p>
    <w:p>
      <w:pPr>
        <w:ind w:left="660" w:right="859" w:firstLine="384"/>
        <w:spacing w:after="0" w:line="380" w:lineRule="auto"/>
        <w:rPr>
          <w:sz w:val="20"/>
          <w:szCs w:val="20"/>
          <w:color w:val="auto"/>
        </w:rPr>
      </w:pPr>
      <w:r>
        <w:rPr>
          <w:rFonts w:ascii="Arial" w:cs="Arial" w:eastAsia="Arial" w:hAnsi="Arial"/>
          <w:sz w:val="12"/>
          <w:szCs w:val="12"/>
          <w:color w:val="auto"/>
        </w:rPr>
        <w:t>The Company was unable to determine the implicit rate in the leases and used the incremental borrowing rate instead. The Company used the FHLB yield curve on the lease commencement date and selected the rate closest to the remaining lease term. The remaining weighted-average lease term is 12.4 years and the weighted-average discount rate was 2.39% as of June 30, 2022.</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2"/>
          <w:szCs w:val="12"/>
          <w:color w:val="auto"/>
        </w:rPr>
        <w:t>The following table presents components of operating lease expense in the accompanying Condensed Consolidated Statements of</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Income for the three- and six-month periods ended June 30, 2022:</w:t>
      </w:r>
    </w:p>
    <w:p>
      <w:pPr>
        <w:spacing w:after="0" w:line="13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2"/>
              </w:rPr>
              <w:t>For the Three Months Ended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tcPr>
          <w:p>
            <w:pPr>
              <w:jc w:val="right"/>
              <w:ind w:right="109"/>
              <w:spacing w:after="0"/>
              <w:rPr>
                <w:sz w:val="20"/>
                <w:szCs w:val="20"/>
                <w:color w:val="auto"/>
              </w:rPr>
            </w:pPr>
            <w:r>
              <w:rPr>
                <w:rFonts w:ascii="Arial" w:cs="Arial" w:eastAsia="Arial" w:hAnsi="Arial"/>
                <w:sz w:val="14"/>
                <w:szCs w:val="14"/>
                <w:b w:val="1"/>
                <w:bCs w:val="1"/>
                <w:color w:val="auto"/>
                <w:w w:val="93"/>
              </w:rPr>
              <w:t>For the Six Months Ended</w:t>
            </w:r>
          </w:p>
        </w:tc>
      </w:tr>
      <w:tr>
        <w:trPr>
          <w:trHeight w:val="174"/>
        </w:trPr>
        <w:tc>
          <w:tcPr>
            <w:tcW w:w="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June 30, 2022</w:t>
            </w:r>
          </w:p>
        </w:tc>
      </w:tr>
      <w:tr>
        <w:trPr>
          <w:trHeight w:val="204"/>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80" w:type="dxa"/>
            <w:vAlign w:val="bottom"/>
            <w:gridSpan w:val="4"/>
          </w:tcPr>
          <w:p>
            <w:pPr>
              <w:jc w:val="right"/>
              <w:ind w:right="1309"/>
              <w:spacing w:after="0"/>
              <w:rPr>
                <w:sz w:val="20"/>
                <w:szCs w:val="20"/>
                <w:color w:val="auto"/>
              </w:rPr>
            </w:pPr>
            <w:r>
              <w:rPr>
                <w:rFonts w:ascii="Arial" w:cs="Arial" w:eastAsia="Arial" w:hAnsi="Arial"/>
                <w:sz w:val="13"/>
                <w:szCs w:val="13"/>
                <w:i w:val="1"/>
                <w:iCs w:val="1"/>
                <w:color w:val="auto"/>
              </w:rPr>
              <w:t>(Dollars in thousands)</w:t>
            </w:r>
          </w:p>
        </w:tc>
      </w:tr>
      <w:tr>
        <w:trPr>
          <w:trHeight w:val="181"/>
        </w:trPr>
        <w:tc>
          <w:tcPr>
            <w:tcW w:w="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Finance lease amortization of right-of-use asset</w:t>
            </w:r>
          </w:p>
        </w:tc>
        <w:tc>
          <w:tcPr>
            <w:tcW w:w="980" w:type="dxa"/>
            <w:vAlign w:val="bottom"/>
            <w:gridSpan w:val="3"/>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92</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Finance lease interest on lease liability</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46</w:t>
            </w:r>
          </w:p>
        </w:tc>
      </w:tr>
      <w:tr>
        <w:trPr>
          <w:trHeight w:val="181"/>
        </w:trPr>
        <w:tc>
          <w:tcPr>
            <w:tcW w:w="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expense</w:t>
            </w: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1,329</w:t>
            </w:r>
          </w:p>
        </w:tc>
      </w:tr>
      <w:tr>
        <w:trPr>
          <w:trHeight w:val="181"/>
        </w:trPr>
        <w:tc>
          <w:tcPr>
            <w:tcW w:w="3340" w:type="dxa"/>
            <w:vAlign w:val="bottom"/>
            <w:gridSpan w:val="2"/>
          </w:tcPr>
          <w:p>
            <w:pPr>
              <w:spacing w:after="0"/>
              <w:rPr>
                <w:sz w:val="20"/>
                <w:szCs w:val="20"/>
                <w:color w:val="auto"/>
              </w:rPr>
            </w:pPr>
            <w:r>
              <w:rPr>
                <w:rFonts w:ascii="Arial" w:cs="Arial" w:eastAsia="Arial" w:hAnsi="Arial"/>
                <w:sz w:val="14"/>
                <w:szCs w:val="14"/>
                <w:color w:val="auto"/>
              </w:rPr>
              <w:t>Variable lease expense</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345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558</w:t>
            </w:r>
          </w:p>
        </w:tc>
      </w:tr>
      <w:tr>
        <w:trPr>
          <w:trHeight w:val="181"/>
        </w:trPr>
        <w:tc>
          <w:tcPr>
            <w:tcW w:w="40" w:type="dxa"/>
            <w:vAlign w:val="bottom"/>
          </w:tcPr>
          <w:p>
            <w:pPr>
              <w:spacing w:after="0"/>
              <w:rPr>
                <w:sz w:val="15"/>
                <w:szCs w:val="15"/>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Short-term lease expense</w:t>
            </w: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r>
      <w:tr>
        <w:trPr>
          <w:trHeight w:val="172"/>
        </w:trPr>
        <w:tc>
          <w:tcPr>
            <w:tcW w:w="40" w:type="dxa"/>
            <w:vAlign w:val="bottom"/>
          </w:tcPr>
          <w:p>
            <w:pPr>
              <w:spacing w:after="0"/>
              <w:rPr>
                <w:sz w:val="14"/>
                <w:szCs w:val="14"/>
                <w:color w:val="auto"/>
              </w:rPr>
            </w:pPr>
          </w:p>
        </w:tc>
        <w:tc>
          <w:tcPr>
            <w:tcW w:w="3300" w:type="dxa"/>
            <w:vAlign w:val="bottom"/>
          </w:tcPr>
          <w:p>
            <w:pPr>
              <w:ind w:left="60"/>
              <w:spacing w:after="0"/>
              <w:rPr>
                <w:sz w:val="20"/>
                <w:szCs w:val="20"/>
                <w:color w:val="auto"/>
              </w:rPr>
            </w:pPr>
            <w:r>
              <w:rPr>
                <w:rFonts w:ascii="Arial" w:cs="Arial" w:eastAsia="Arial" w:hAnsi="Arial"/>
                <w:sz w:val="14"/>
                <w:szCs w:val="14"/>
                <w:color w:val="auto"/>
              </w:rPr>
              <w:t>Total lease expense</w:t>
            </w:r>
          </w:p>
        </w:tc>
        <w:tc>
          <w:tcPr>
            <w:tcW w:w="980" w:type="dxa"/>
            <w:vAlign w:val="bottom"/>
            <w:gridSpan w:val="3"/>
          </w:tcPr>
          <w:p>
            <w:pPr>
              <w:jc w:val="right"/>
              <w:ind w:right="169"/>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10"/>
              <w:spacing w:after="0"/>
              <w:rPr>
                <w:sz w:val="20"/>
                <w:szCs w:val="20"/>
                <w:color w:val="auto"/>
              </w:rPr>
            </w:pPr>
            <w:r>
              <w:rPr>
                <w:rFonts w:ascii="Arial" w:cs="Arial" w:eastAsia="Arial" w:hAnsi="Arial"/>
                <w:sz w:val="14"/>
                <w:szCs w:val="14"/>
                <w:color w:val="auto"/>
              </w:rPr>
              <w:t>1,091</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9"/>
              <w:spacing w:after="0"/>
              <w:rPr>
                <w:sz w:val="20"/>
                <w:szCs w:val="20"/>
                <w:color w:val="auto"/>
              </w:rPr>
            </w:pPr>
            <w:r>
              <w:rPr>
                <w:rFonts w:ascii="Arial" w:cs="Arial" w:eastAsia="Arial" w:hAnsi="Arial"/>
                <w:sz w:val="14"/>
                <w:szCs w:val="14"/>
                <w:color w:val="auto"/>
              </w:rPr>
              <w:t>2,035</w:t>
            </w: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Future minimum commitments due under these lease agreements as of June 30, 2022 are as follows:</w:t>
      </w:r>
    </w:p>
    <w:p>
      <w:pPr>
        <w:spacing w:after="0" w:line="304" w:lineRule="exact"/>
        <w:rPr>
          <w:sz w:val="20"/>
          <w:szCs w:val="20"/>
          <w:color w:val="auto"/>
        </w:rPr>
      </w:pPr>
    </w:p>
    <w:tbl>
      <w:tblPr>
        <w:tblLayout w:type="fixed"/>
        <w:tblInd w:w="60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1"/>
              </w:rPr>
              <w:t>Operating Leases</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b w:val="1"/>
                <w:bCs w:val="1"/>
                <w:color w:val="auto"/>
                <w:w w:val="95"/>
              </w:rPr>
              <w:t>Finance Lease</w:t>
            </w: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80" w:type="dxa"/>
            <w:vAlign w:val="bottom"/>
            <w:gridSpan w:val="4"/>
          </w:tcPr>
          <w:p>
            <w:pPr>
              <w:ind w:left="40"/>
              <w:spacing w:after="0"/>
              <w:rPr>
                <w:sz w:val="20"/>
                <w:szCs w:val="20"/>
                <w:color w:val="auto"/>
              </w:rPr>
            </w:pPr>
            <w:r>
              <w:rPr>
                <w:rFonts w:ascii="Arial" w:cs="Arial" w:eastAsia="Arial" w:hAnsi="Arial"/>
                <w:sz w:val="13"/>
                <w:szCs w:val="13"/>
                <w:i w:val="1"/>
                <w:iCs w:val="1"/>
                <w:color w:val="auto"/>
                <w:w w:val="96"/>
              </w:rPr>
              <w:t>(Dollars in thousands)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180" w:type="dxa"/>
            <w:vAlign w:val="bottom"/>
            <w:shd w:val="clear" w:color="auto" w:fill="CCEEFF"/>
          </w:tcPr>
          <w:p>
            <w:pPr>
              <w:jc w:val="right"/>
              <w:ind w:right="1073"/>
              <w:spacing w:after="0"/>
              <w:rPr>
                <w:sz w:val="20"/>
                <w:szCs w:val="20"/>
                <w:color w:val="auto"/>
              </w:rPr>
            </w:pPr>
            <w:r>
              <w:rPr>
                <w:rFonts w:ascii="Arial" w:cs="Arial" w:eastAsia="Arial" w:hAnsi="Arial"/>
                <w:sz w:val="14"/>
                <w:szCs w:val="14"/>
                <w:color w:val="auto"/>
                <w:w w:val="85"/>
              </w:rPr>
              <w:t>Remainder of 2022</w:t>
            </w:r>
          </w:p>
        </w:tc>
        <w:tc>
          <w:tcPr>
            <w:tcW w:w="266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1,502</w:t>
            </w: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1"/>
        </w:trPr>
        <w:tc>
          <w:tcPr>
            <w:tcW w:w="2240" w:type="dxa"/>
            <w:vAlign w:val="bottom"/>
            <w:gridSpan w:val="2"/>
          </w:tcPr>
          <w:p>
            <w:pPr>
              <w:jc w:val="right"/>
              <w:ind w:right="1893"/>
              <w:spacing w:after="0"/>
              <w:rPr>
                <w:sz w:val="20"/>
                <w:szCs w:val="20"/>
                <w:color w:val="auto"/>
              </w:rPr>
            </w:pPr>
            <w:r>
              <w:rPr>
                <w:rFonts w:ascii="Arial" w:cs="Arial" w:eastAsia="Arial" w:hAnsi="Arial"/>
                <w:sz w:val="14"/>
                <w:szCs w:val="14"/>
                <w:color w:val="auto"/>
                <w:w w:val="83"/>
              </w:rPr>
              <w:t>2023</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3,070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180" w:type="dxa"/>
            <w:vAlign w:val="bottom"/>
            <w:shd w:val="clear" w:color="auto" w:fill="CCEEFF"/>
          </w:tcPr>
          <w:p>
            <w:pPr>
              <w:jc w:val="right"/>
              <w:ind w:right="1893"/>
              <w:spacing w:after="0"/>
              <w:rPr>
                <w:sz w:val="20"/>
                <w:szCs w:val="20"/>
                <w:color w:val="auto"/>
              </w:rPr>
            </w:pPr>
            <w:r>
              <w:rPr>
                <w:rFonts w:ascii="Arial" w:cs="Arial" w:eastAsia="Arial" w:hAnsi="Arial"/>
                <w:sz w:val="12"/>
                <w:szCs w:val="12"/>
                <w:color w:val="auto"/>
                <w:w w:val="74"/>
              </w:rPr>
              <w:t>2024</w:t>
            </w: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2,793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1"/>
        </w:trPr>
        <w:tc>
          <w:tcPr>
            <w:tcW w:w="2240" w:type="dxa"/>
            <w:vAlign w:val="bottom"/>
            <w:gridSpan w:val="2"/>
          </w:tcPr>
          <w:p>
            <w:pPr>
              <w:jc w:val="right"/>
              <w:ind w:right="1893"/>
              <w:spacing w:after="0"/>
              <w:rPr>
                <w:sz w:val="20"/>
                <w:szCs w:val="20"/>
                <w:color w:val="auto"/>
              </w:rPr>
            </w:pPr>
            <w:r>
              <w:rPr>
                <w:rFonts w:ascii="Arial" w:cs="Arial" w:eastAsia="Arial" w:hAnsi="Arial"/>
                <w:sz w:val="14"/>
                <w:szCs w:val="14"/>
                <w:color w:val="auto"/>
                <w:w w:val="83"/>
              </w:rPr>
              <w:t>2025</w:t>
            </w: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color w:val="auto"/>
              </w:rPr>
              <w:t>2,804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20" w:type="dxa"/>
            <w:vAlign w:val="bottom"/>
          </w:tcPr>
          <w:p>
            <w:pPr>
              <w:jc w:val="right"/>
              <w:ind w:right="49"/>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2180" w:type="dxa"/>
            <w:vAlign w:val="bottom"/>
            <w:shd w:val="clear" w:color="auto" w:fill="CCEEFF"/>
          </w:tcPr>
          <w:p>
            <w:pPr>
              <w:jc w:val="right"/>
              <w:ind w:right="1893"/>
              <w:spacing w:after="0"/>
              <w:rPr>
                <w:sz w:val="20"/>
                <w:szCs w:val="20"/>
                <w:color w:val="auto"/>
              </w:rPr>
            </w:pPr>
            <w:r>
              <w:rPr>
                <w:rFonts w:ascii="Arial" w:cs="Arial" w:eastAsia="Arial" w:hAnsi="Arial"/>
                <w:sz w:val="12"/>
                <w:szCs w:val="12"/>
                <w:color w:val="auto"/>
                <w:w w:val="74"/>
              </w:rPr>
              <w:t>2026</w:t>
            </w: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2,836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91"/>
        </w:trPr>
        <w:tc>
          <w:tcPr>
            <w:tcW w:w="2240" w:type="dxa"/>
            <w:vAlign w:val="bottom"/>
            <w:gridSpan w:val="2"/>
          </w:tcPr>
          <w:p>
            <w:pPr>
              <w:spacing w:after="0"/>
              <w:rPr>
                <w:sz w:val="20"/>
                <w:szCs w:val="20"/>
                <w:color w:val="auto"/>
              </w:rPr>
            </w:pPr>
            <w:r>
              <w:rPr>
                <w:rFonts w:ascii="Arial" w:cs="Arial" w:eastAsia="Arial" w:hAnsi="Arial"/>
                <w:sz w:val="14"/>
                <w:szCs w:val="14"/>
                <w:color w:val="auto"/>
              </w:rPr>
              <w:t>Thereafter</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15,243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8,823</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2180" w:type="dxa"/>
            <w:vAlign w:val="bottom"/>
            <w:tcBorders>
              <w:top w:val="single" w:sz="8" w:color="CCEEFF"/>
            </w:tcBorders>
            <w:shd w:val="clear" w:color="auto" w:fill="CCEEFF"/>
          </w:tcPr>
          <w:p>
            <w:pPr>
              <w:jc w:val="right"/>
              <w:ind w:right="893"/>
              <w:spacing w:after="0"/>
              <w:rPr>
                <w:sz w:val="20"/>
                <w:szCs w:val="20"/>
                <w:color w:val="auto"/>
              </w:rPr>
            </w:pPr>
            <w:r>
              <w:rPr>
                <w:rFonts w:ascii="Arial" w:cs="Arial" w:eastAsia="Arial" w:hAnsi="Arial"/>
                <w:sz w:val="14"/>
                <w:szCs w:val="14"/>
                <w:color w:val="auto"/>
                <w:w w:val="90"/>
              </w:rPr>
              <w:t>Total lease payments</w:t>
            </w:r>
          </w:p>
        </w:tc>
        <w:tc>
          <w:tcPr>
            <w:tcW w:w="1020" w:type="dxa"/>
            <w:vAlign w:val="bottom"/>
            <w:tcBorders>
              <w:top w:val="single" w:sz="8" w:color="CCEEFF"/>
            </w:tcBorders>
            <w:gridSpan w:val="2"/>
            <w:shd w:val="clear" w:color="auto" w:fill="CCEEFF"/>
          </w:tcPr>
          <w:p>
            <w:pPr>
              <w:ind w:left="960"/>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28,248</w:t>
            </w:r>
          </w:p>
        </w:tc>
        <w:tc>
          <w:tcPr>
            <w:tcW w:w="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11,028</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4"/>
                <w:szCs w:val="14"/>
                <w:color w:val="auto"/>
              </w:rPr>
              <w:t>Less imputed interest</w:t>
            </w: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24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50"/>
              <w:spacing w:after="0" w:line="121" w:lineRule="exact"/>
              <w:rPr>
                <w:sz w:val="20"/>
                <w:szCs w:val="20"/>
                <w:color w:val="auto"/>
              </w:rPr>
            </w:pPr>
            <w:r>
              <w:rPr>
                <w:rFonts w:ascii="Arial" w:cs="Arial" w:eastAsia="Arial" w:hAnsi="Arial"/>
                <w:sz w:val="14"/>
                <w:szCs w:val="14"/>
                <w:color w:val="auto"/>
              </w:rPr>
              <w:t>3,362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tcPr>
          <w:p>
            <w:pPr>
              <w:jc w:val="right"/>
              <w:ind w:right="49"/>
              <w:spacing w:after="0" w:line="121" w:lineRule="exact"/>
              <w:rPr>
                <w:sz w:val="20"/>
                <w:szCs w:val="20"/>
                <w:color w:val="auto"/>
              </w:rPr>
            </w:pPr>
            <w:r>
              <w:rPr>
                <w:rFonts w:ascii="Arial" w:cs="Arial" w:eastAsia="Arial" w:hAnsi="Arial"/>
                <w:sz w:val="14"/>
                <w:szCs w:val="14"/>
                <w:color w:val="auto"/>
              </w:rPr>
              <w:t>3,302</w:t>
            </w: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2180" w:type="dxa"/>
            <w:vAlign w:val="bottom"/>
            <w:tcBorders>
              <w:top w:val="single" w:sz="8" w:color="CCEEFF"/>
            </w:tcBorders>
            <w:shd w:val="clear" w:color="auto" w:fill="CCEEFF"/>
          </w:tcPr>
          <w:p>
            <w:pPr>
              <w:jc w:val="right"/>
              <w:ind w:right="1693"/>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CCEEFF"/>
            </w:tcBorders>
            <w:gridSpan w:val="2"/>
            <w:shd w:val="clear" w:color="auto" w:fill="CCEEFF"/>
          </w:tcPr>
          <w:p>
            <w:pPr>
              <w:ind w:left="960"/>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24,886</w:t>
            </w:r>
          </w:p>
        </w:tc>
        <w:tc>
          <w:tcPr>
            <w:tcW w:w="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660" w:right="699" w:firstLine="395"/>
        <w:spacing w:after="0" w:line="302" w:lineRule="auto"/>
        <w:rPr>
          <w:sz w:val="20"/>
          <w:szCs w:val="20"/>
          <w:color w:val="auto"/>
        </w:rPr>
      </w:pPr>
      <w:r>
        <w:rPr>
          <w:rFonts w:ascii="Arial" w:cs="Arial" w:eastAsia="Arial" w:hAnsi="Arial"/>
          <w:sz w:val="14"/>
          <w:szCs w:val="14"/>
          <w:b w:val="1"/>
          <w:bCs w:val="1"/>
          <w:color w:val="auto"/>
        </w:rPr>
        <w:t xml:space="preserve">Supplemental cash flow information – </w:t>
      </w:r>
      <w:r>
        <w:rPr>
          <w:rFonts w:ascii="Arial" w:cs="Arial" w:eastAsia="Arial" w:hAnsi="Arial"/>
          <w:sz w:val="14"/>
          <w:szCs w:val="14"/>
          <w:color w:val="auto"/>
        </w:rPr>
        <w:t>Operating cash flows paid for operating lease amounts included in the measurement of</w:t>
      </w:r>
      <w:r>
        <w:rPr>
          <w:rFonts w:ascii="Arial" w:cs="Arial" w:eastAsia="Arial" w:hAnsi="Arial"/>
          <w:sz w:val="14"/>
          <w:szCs w:val="14"/>
          <w:b w:val="1"/>
          <w:bCs w:val="1"/>
          <w:color w:val="auto"/>
        </w:rPr>
        <w:t xml:space="preserve"> </w:t>
      </w:r>
      <w:r>
        <w:rPr>
          <w:rFonts w:ascii="Arial" w:cs="Arial" w:eastAsia="Arial" w:hAnsi="Arial"/>
          <w:sz w:val="14"/>
          <w:szCs w:val="14"/>
          <w:color w:val="auto"/>
        </w:rPr>
        <w:t>lease liabilities was $699 thousand and $1.4 million for the three- and six-months ended June 30, 2022, respectively. Operating cash flows paid for finance lease amounts included in the measurement of lease liabilities was $ 123 thousand for the three- and six-month periods ended June 30, 2022. During the three- and six-months ended June 30 2022, the Company did not record any ROU assets that were exchanged for operating lease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9019"/>
          </w:cols>
          <w:pgMar w:left="1440" w:top="460" w:right="1440" w:bottom="1440" w:gutter="0" w:footer="0" w:header="0"/>
        </w:sectPr>
      </w:pPr>
    </w:p>
    <w:bookmarkStart w:id="47" w:name="page48"/>
    <w:bookmarkEnd w:id="47"/>
    <w:p>
      <w:pPr>
        <w:ind w:left="29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Notes to Condensed Consolidated Financial Statements</w:t>
      </w:r>
    </w:p>
    <w:p>
      <w:pPr>
        <w:spacing w:after="0" w:line="42" w:lineRule="exact"/>
        <w:rPr>
          <w:sz w:val="20"/>
          <w:szCs w:val="20"/>
          <w:color w:val="auto"/>
        </w:rPr>
      </w:pPr>
    </w:p>
    <w:p>
      <w:pPr>
        <w:ind w:left="580"/>
        <w:spacing w:after="0"/>
        <w:tabs>
          <w:tab w:leader="none" w:pos="4160" w:val="left"/>
        </w:tabs>
        <w:rPr>
          <w:rFonts w:ascii="Arial" w:cs="Arial" w:eastAsia="Arial" w:hAnsi="Arial"/>
          <w:sz w:val="14"/>
          <w:szCs w:val="14"/>
          <w:color w:val="0000FF"/>
        </w:rPr>
      </w:pPr>
      <w:hyperlink w:anchor="page2">
        <w:r>
          <w:rPr>
            <w:rFonts w:ascii="Arial" w:cs="Arial" w:eastAsia="Arial" w:hAnsi="Arial"/>
            <w:sz w:val="14"/>
            <w:szCs w:val="14"/>
            <w:u w:val="single" w:color="auto"/>
            <w:color w:val="0000FF"/>
          </w:rPr>
          <w:t>Table of Contents</w:t>
        </w:r>
      </w:hyperlink>
      <w:r>
        <w:rPr>
          <w:rFonts w:ascii="Arial" w:cs="Arial" w:eastAsia="Arial" w:hAnsi="Arial"/>
          <w:sz w:val="14"/>
          <w:szCs w:val="14"/>
          <w:color w:val="0000FF"/>
        </w:rPr>
        <w:tab/>
      </w:r>
      <w:r>
        <w:rPr>
          <w:rFonts w:ascii="Arial" w:cs="Arial" w:eastAsia="Arial" w:hAnsi="Arial"/>
          <w:sz w:val="12"/>
          <w:szCs w:val="12"/>
          <w:color w:val="0000FF"/>
        </w:rPr>
        <w:t>(unaudited)</w:t>
      </w:r>
    </w:p>
    <w:p>
      <w:pPr>
        <w:spacing w:after="0" w:line="36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7"/>
          <w:szCs w:val="17"/>
          <w:b w:val="1"/>
          <w:bCs w:val="1"/>
          <w:color w:val="auto"/>
        </w:rPr>
        <w:t>Note 15:</w:t>
      </w:r>
      <w:r>
        <w:rPr>
          <w:sz w:val="20"/>
          <w:szCs w:val="20"/>
          <w:color w:val="auto"/>
        </w:rPr>
        <w:tab/>
      </w:r>
      <w:r>
        <w:rPr>
          <w:rFonts w:ascii="Arial" w:cs="Arial" w:eastAsia="Arial" w:hAnsi="Arial"/>
          <w:sz w:val="15"/>
          <w:szCs w:val="15"/>
          <w:b w:val="1"/>
          <w:bCs w:val="1"/>
          <w:color w:val="auto"/>
        </w:rPr>
        <w:t>Stock Warrants</w:t>
      </w:r>
    </w:p>
    <w:p>
      <w:pPr>
        <w:spacing w:after="0" w:line="178" w:lineRule="exact"/>
        <w:rPr>
          <w:sz w:val="20"/>
          <w:szCs w:val="20"/>
          <w:color w:val="auto"/>
        </w:rPr>
      </w:pPr>
    </w:p>
    <w:p>
      <w:pPr>
        <w:ind w:left="640" w:right="639" w:firstLine="384"/>
        <w:spacing w:after="0" w:line="283" w:lineRule="auto"/>
        <w:rPr>
          <w:sz w:val="20"/>
          <w:szCs w:val="20"/>
          <w:color w:val="auto"/>
        </w:rPr>
      </w:pPr>
      <w:r>
        <w:rPr>
          <w:rFonts w:ascii="Arial" w:cs="Arial" w:eastAsia="Arial" w:hAnsi="Arial"/>
          <w:sz w:val="14"/>
          <w:szCs w:val="14"/>
          <w:color w:val="auto"/>
        </w:rPr>
        <w:t>During the six-month period ended June 30, 2022, 33,500 warrants were exercised at a strike price of $ 5.00 per share and 33,500 common shares were issued.</w:t>
      </w:r>
    </w:p>
    <w:p>
      <w:pPr>
        <w:spacing w:after="0" w:line="111" w:lineRule="exact"/>
        <w:rPr>
          <w:sz w:val="20"/>
          <w:szCs w:val="20"/>
          <w:color w:val="auto"/>
        </w:rPr>
      </w:pPr>
    </w:p>
    <w:p>
      <w:pPr>
        <w:ind w:left="640" w:right="619" w:firstLine="384"/>
        <w:spacing w:after="0" w:line="267" w:lineRule="auto"/>
        <w:rPr>
          <w:sz w:val="20"/>
          <w:szCs w:val="20"/>
          <w:color w:val="auto"/>
        </w:rPr>
      </w:pPr>
      <w:r>
        <w:rPr>
          <w:rFonts w:ascii="Arial" w:cs="Arial" w:eastAsia="Arial" w:hAnsi="Arial"/>
          <w:sz w:val="14"/>
          <w:szCs w:val="14"/>
          <w:color w:val="auto"/>
        </w:rPr>
        <w:t>The Company had 80,000 and 113,500 outstanding, fully vested warrants to purchase common stock at a strike price of $ 5.00 per share as of June 30, 2022 and December 31, 2021, respectively. The 80,000 warrants expire on April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9019"/>
          </w:cols>
          <w:pgMar w:left="1440" w:top="460" w:right="1440" w:bottom="1440" w:gutter="0" w:footer="0" w:header="0"/>
        </w:sectPr>
      </w:pPr>
    </w:p>
    <w:bookmarkStart w:id="48" w:name="page49"/>
    <w:bookmarkEnd w:id="48"/>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7" w:lineRule="exact"/>
        <w:rPr>
          <w:sz w:val="20"/>
          <w:szCs w:val="20"/>
          <w:color w:val="auto"/>
        </w:rPr>
      </w:pPr>
    </w:p>
    <w:p>
      <w:pPr>
        <w:ind w:left="680" w:right="1119"/>
        <w:spacing w:after="0" w:line="318" w:lineRule="auto"/>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90" w:lineRule="exact"/>
        <w:rPr>
          <w:sz w:val="20"/>
          <w:szCs w:val="20"/>
          <w:color w:val="auto"/>
        </w:rPr>
      </w:pPr>
    </w:p>
    <w:p>
      <w:pPr>
        <w:ind w:left="680" w:right="619" w:firstLine="384"/>
        <w:spacing w:after="0" w:line="296" w:lineRule="auto"/>
        <w:rPr>
          <w:sz w:val="20"/>
          <w:szCs w:val="20"/>
          <w:color w:val="auto"/>
        </w:rPr>
      </w:pPr>
      <w:r>
        <w:rPr>
          <w:rFonts w:ascii="Arial" w:cs="Arial" w:eastAsia="Arial" w:hAnsi="Arial"/>
          <w:sz w:val="14"/>
          <w:szCs w:val="14"/>
          <w:color w:val="auto"/>
        </w:rPr>
        <w:t>The following discussion and analysis should be read in conjunction with the consolidated financial statements and related notes and with the statistical information and financial data appearing in this report as well as in the Company’s Annual Report on Form 10-K for the fiscal year ended December 31, 2021 filed with the Securities and Exchange Commission (“SEC”) on February 28, 2022 (the “2021 Form 10-K”). Results of operations for the three- and six-month periods ended June 30, 2022 are not necessarily indicative of results to be attained for any other period. Certain statements in this report contain forward-looking statements regarding our plans, objectives, beliefs, expectations, representations, and projections. See “Forward-Looking Information” which is incorporated herein by reference.</w:t>
      </w:r>
    </w:p>
    <w:p>
      <w:pPr>
        <w:spacing w:after="0" w:line="10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Second Quarter 2022 Highlights</w:t>
      </w:r>
    </w:p>
    <w:p>
      <w:pPr>
        <w:spacing w:after="0" w:line="178"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During the second quarter ended June 30, 2022, we accomplished the following:</w:t>
      </w:r>
    </w:p>
    <w:p>
      <w:pPr>
        <w:spacing w:after="0" w:line="159" w:lineRule="exact"/>
        <w:rPr>
          <w:sz w:val="20"/>
          <w:szCs w:val="20"/>
          <w:color w:val="auto"/>
        </w:rPr>
      </w:pPr>
    </w:p>
    <w:p>
      <w:pPr>
        <w:ind w:left="1320" w:hanging="262"/>
        <w:spacing w:after="0"/>
        <w:tabs>
          <w:tab w:leader="none" w:pos="1320" w:val="left"/>
        </w:tabs>
        <w:numPr>
          <w:ilvl w:val="1"/>
          <w:numId w:val="18"/>
        </w:numPr>
        <w:rPr>
          <w:rFonts w:ascii="Arial" w:cs="Arial" w:eastAsia="Arial" w:hAnsi="Arial"/>
          <w:sz w:val="13"/>
          <w:szCs w:val="13"/>
          <w:b w:val="1"/>
          <w:bCs w:val="1"/>
          <w:color w:val="auto"/>
        </w:rPr>
      </w:pPr>
      <w:r>
        <w:rPr>
          <w:rFonts w:ascii="Arial" w:cs="Arial" w:eastAsia="Arial" w:hAnsi="Arial"/>
          <w:sz w:val="13"/>
          <w:szCs w:val="13"/>
          <w:color w:val="auto"/>
        </w:rPr>
        <w:t>Announced on June 13, 2022, an agreement under which CrossFirst Bank will acquire Central Bancorp, Inc.’s bank</w:t>
      </w:r>
    </w:p>
    <w:p>
      <w:pPr>
        <w:spacing w:after="0" w:line="53" w:lineRule="exact"/>
        <w:rPr>
          <w:rFonts w:ascii="Arial" w:cs="Arial" w:eastAsia="Arial" w:hAnsi="Arial"/>
          <w:sz w:val="13"/>
          <w:szCs w:val="13"/>
          <w:b w:val="1"/>
          <w:bCs w:val="1"/>
          <w:color w:val="auto"/>
        </w:rPr>
      </w:pPr>
    </w:p>
    <w:p>
      <w:pPr>
        <w:ind w:left="1320" w:right="939"/>
        <w:spacing w:after="0" w:line="314" w:lineRule="auto"/>
        <w:rPr>
          <w:rFonts w:ascii="Arial" w:cs="Arial" w:eastAsia="Arial" w:hAnsi="Arial"/>
          <w:sz w:val="13"/>
          <w:szCs w:val="13"/>
          <w:b w:val="1"/>
          <w:bCs w:val="1"/>
          <w:color w:val="auto"/>
        </w:rPr>
      </w:pPr>
      <w:r>
        <w:rPr>
          <w:rFonts w:ascii="Arial" w:cs="Arial" w:eastAsia="Arial" w:hAnsi="Arial"/>
          <w:sz w:val="14"/>
          <w:szCs w:val="14"/>
          <w:color w:val="auto"/>
        </w:rPr>
        <w:t>subsidiary, Farmers &amp; Stockmens Bank (collectively, Farmers &amp; Stockmens Bank and Central Bancorp, Inc. are herein referred as “Central”), in an all-cash transaction;</w:t>
      </w:r>
    </w:p>
    <w:p>
      <w:pPr>
        <w:spacing w:after="0" w:line="16" w:lineRule="exact"/>
        <w:rPr>
          <w:rFonts w:ascii="Arial" w:cs="Arial" w:eastAsia="Arial" w:hAnsi="Arial"/>
          <w:sz w:val="13"/>
          <w:szCs w:val="13"/>
          <w:b w:val="1"/>
          <w:bCs w:val="1"/>
          <w:color w:val="auto"/>
        </w:rPr>
      </w:pPr>
    </w:p>
    <w:p>
      <w:pPr>
        <w:ind w:left="1320" w:right="779" w:hanging="262"/>
        <w:spacing w:after="0" w:line="339" w:lineRule="auto"/>
        <w:tabs>
          <w:tab w:leader="none" w:pos="1320" w:val="left"/>
        </w:tabs>
        <w:numPr>
          <w:ilvl w:val="1"/>
          <w:numId w:val="18"/>
        </w:numPr>
        <w:rPr>
          <w:rFonts w:ascii="Arial" w:cs="Arial" w:eastAsia="Arial" w:hAnsi="Arial"/>
          <w:sz w:val="13"/>
          <w:szCs w:val="13"/>
          <w:b w:val="1"/>
          <w:bCs w:val="1"/>
          <w:color w:val="auto"/>
        </w:rPr>
      </w:pPr>
      <w:r>
        <w:rPr>
          <w:rFonts w:ascii="Arial" w:cs="Arial" w:eastAsia="Arial" w:hAnsi="Arial"/>
          <w:sz w:val="13"/>
          <w:szCs w:val="13"/>
          <w:color w:val="auto"/>
        </w:rPr>
        <w:t>$5.7 billion of assets with basic earnings per share of $0.31 and $0.65 for the three- and six-month periods ended June 30, 2022, respectively an increase of $0.01 and $0.11 from the same periods in the prior year, respectively;</w:t>
      </w:r>
    </w:p>
    <w:p>
      <w:pPr>
        <w:spacing w:after="0" w:line="4" w:lineRule="exact"/>
        <w:rPr>
          <w:rFonts w:ascii="Arial" w:cs="Arial" w:eastAsia="Arial" w:hAnsi="Arial"/>
          <w:sz w:val="13"/>
          <w:szCs w:val="13"/>
          <w:b w:val="1"/>
          <w:bCs w:val="1"/>
          <w:color w:val="auto"/>
        </w:rPr>
      </w:pPr>
    </w:p>
    <w:p>
      <w:pPr>
        <w:ind w:left="1320" w:right="719" w:hanging="262"/>
        <w:spacing w:after="0" w:line="323" w:lineRule="auto"/>
        <w:tabs>
          <w:tab w:leader="none" w:pos="1320" w:val="left"/>
        </w:tabs>
        <w:numPr>
          <w:ilvl w:val="1"/>
          <w:numId w:val="18"/>
        </w:numPr>
        <w:rPr>
          <w:rFonts w:ascii="Arial" w:cs="Arial" w:eastAsia="Arial" w:hAnsi="Arial"/>
          <w:sz w:val="14"/>
          <w:szCs w:val="14"/>
          <w:b w:val="1"/>
          <w:bCs w:val="1"/>
          <w:color w:val="auto"/>
        </w:rPr>
      </w:pPr>
      <w:r>
        <w:rPr>
          <w:rFonts w:ascii="Arial" w:cs="Arial" w:eastAsia="Arial" w:hAnsi="Arial"/>
          <w:sz w:val="14"/>
          <w:szCs w:val="14"/>
          <w:color w:val="auto"/>
        </w:rPr>
        <w:t>$179 million or 4% of total loan growth from the previous quarter and $272 million or 6% loan growth from December 31, 2021;</w:t>
      </w:r>
    </w:p>
    <w:p>
      <w:pPr>
        <w:spacing w:after="0" w:line="4" w:lineRule="exact"/>
        <w:rPr>
          <w:rFonts w:ascii="Arial" w:cs="Arial" w:eastAsia="Arial" w:hAnsi="Arial"/>
          <w:sz w:val="14"/>
          <w:szCs w:val="14"/>
          <w:b w:val="1"/>
          <w:bCs w:val="1"/>
          <w:color w:val="auto"/>
        </w:rPr>
      </w:pPr>
    </w:p>
    <w:p>
      <w:pPr>
        <w:ind w:left="1320" w:right="679" w:hanging="262"/>
        <w:spacing w:after="0" w:line="323" w:lineRule="auto"/>
        <w:tabs>
          <w:tab w:leader="none" w:pos="1320" w:val="left"/>
        </w:tabs>
        <w:numPr>
          <w:ilvl w:val="1"/>
          <w:numId w:val="18"/>
        </w:numPr>
        <w:rPr>
          <w:rFonts w:ascii="Arial" w:cs="Arial" w:eastAsia="Arial" w:hAnsi="Arial"/>
          <w:sz w:val="14"/>
          <w:szCs w:val="14"/>
          <w:b w:val="1"/>
          <w:bCs w:val="1"/>
          <w:color w:val="auto"/>
        </w:rPr>
      </w:pPr>
      <w:r>
        <w:rPr>
          <w:rFonts w:ascii="Arial" w:cs="Arial" w:eastAsia="Arial" w:hAnsi="Arial"/>
          <w:sz w:val="14"/>
          <w:szCs w:val="14"/>
          <w:color w:val="auto"/>
        </w:rPr>
        <w:t>Continued improvement in credit quality during the second quarter of 2022 as evidenced by the decrease in non-performing assets to total assets ratio from 0.64% at March 31, 2022 to 0.54% at June 30, 2022;</w:t>
      </w:r>
    </w:p>
    <w:p>
      <w:pPr>
        <w:spacing w:after="0" w:line="4" w:lineRule="exact"/>
        <w:rPr>
          <w:rFonts w:ascii="Arial" w:cs="Arial" w:eastAsia="Arial" w:hAnsi="Arial"/>
          <w:sz w:val="14"/>
          <w:szCs w:val="14"/>
          <w:b w:val="1"/>
          <w:bCs w:val="1"/>
          <w:color w:val="auto"/>
        </w:rPr>
      </w:pPr>
    </w:p>
    <w:p>
      <w:pPr>
        <w:ind w:left="1320" w:hanging="262"/>
        <w:spacing w:after="0"/>
        <w:tabs>
          <w:tab w:leader="none" w:pos="1320" w:val="left"/>
        </w:tabs>
        <w:numPr>
          <w:ilvl w:val="1"/>
          <w:numId w:val="18"/>
        </w:numPr>
        <w:rPr>
          <w:rFonts w:ascii="Arial" w:cs="Arial" w:eastAsia="Arial" w:hAnsi="Arial"/>
          <w:sz w:val="14"/>
          <w:szCs w:val="14"/>
          <w:b w:val="1"/>
          <w:bCs w:val="1"/>
          <w:color w:val="auto"/>
        </w:rPr>
      </w:pPr>
      <w:r>
        <w:rPr>
          <w:rFonts w:ascii="Arial" w:cs="Arial" w:eastAsia="Arial" w:hAnsi="Arial"/>
          <w:sz w:val="14"/>
          <w:szCs w:val="14"/>
          <w:color w:val="auto"/>
        </w:rPr>
        <w:t>Return on Average Assets of 1.12% and a Return on Equity of 10.15% for the quarter ended June 30, 2022;</w:t>
      </w:r>
    </w:p>
    <w:p>
      <w:pPr>
        <w:spacing w:after="0" w:line="73" w:lineRule="exact"/>
        <w:rPr>
          <w:rFonts w:ascii="Arial" w:cs="Arial" w:eastAsia="Arial" w:hAnsi="Arial"/>
          <w:sz w:val="14"/>
          <w:szCs w:val="14"/>
          <w:b w:val="1"/>
          <w:bCs w:val="1"/>
          <w:color w:val="auto"/>
        </w:rPr>
      </w:pPr>
    </w:p>
    <w:p>
      <w:pPr>
        <w:ind w:left="1320" w:right="619" w:hanging="262"/>
        <w:spacing w:after="0" w:line="262" w:lineRule="auto"/>
        <w:tabs>
          <w:tab w:leader="none" w:pos="1320" w:val="left"/>
        </w:tabs>
        <w:numPr>
          <w:ilvl w:val="1"/>
          <w:numId w:val="18"/>
        </w:numPr>
        <w:rPr>
          <w:rFonts w:ascii="Arial" w:cs="Arial" w:eastAsia="Arial" w:hAnsi="Arial"/>
          <w:sz w:val="14"/>
          <w:szCs w:val="14"/>
          <w:b w:val="1"/>
          <w:bCs w:val="1"/>
          <w:color w:val="auto"/>
        </w:rPr>
      </w:pPr>
      <w:r>
        <w:rPr>
          <w:rFonts w:ascii="Arial" w:cs="Arial" w:eastAsia="Arial" w:hAnsi="Arial"/>
          <w:sz w:val="14"/>
          <w:szCs w:val="14"/>
          <w:color w:val="auto"/>
        </w:rPr>
        <w:t>Net Interest Margin (Fully Tax-Equivalent)</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of 3.52% for the quarter ended June 30, 2022, compared to 3.14% for the same quarter last year</w:t>
      </w:r>
    </w:p>
    <w:p>
      <w:pPr>
        <w:spacing w:after="0" w:line="28" w:lineRule="exact"/>
        <w:rPr>
          <w:rFonts w:ascii="Arial" w:cs="Arial" w:eastAsia="Arial" w:hAnsi="Arial"/>
          <w:sz w:val="14"/>
          <w:szCs w:val="14"/>
          <w:b w:val="1"/>
          <w:bCs w:val="1"/>
          <w:color w:val="auto"/>
        </w:rPr>
      </w:pPr>
    </w:p>
    <w:p>
      <w:pPr>
        <w:ind w:left="920" w:hanging="257"/>
        <w:spacing w:after="0"/>
        <w:tabs>
          <w:tab w:leader="none" w:pos="920" w:val="left"/>
        </w:tabs>
        <w:numPr>
          <w:ilvl w:val="0"/>
          <w:numId w:val="18"/>
        </w:numPr>
        <w:rPr>
          <w:rFonts w:ascii="Arial" w:cs="Arial" w:eastAsia="Arial" w:hAnsi="Arial"/>
          <w:sz w:val="15"/>
          <w:szCs w:val="15"/>
          <w:color w:val="auto"/>
          <w:vertAlign w:val="superscript"/>
        </w:rPr>
      </w:pPr>
      <w:r>
        <w:rPr>
          <w:rFonts w:ascii="Arial" w:cs="Arial" w:eastAsia="Arial" w:hAnsi="Arial"/>
          <w:sz w:val="11"/>
          <w:szCs w:val="11"/>
          <w:color w:val="auto"/>
        </w:rPr>
        <w:t>The Company modified the yield calculation. Refer to the section “Update to Net Interest Margin Methodology” below for additional information.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Central Acquisition Update</w:t>
      </w:r>
    </w:p>
    <w:p>
      <w:pPr>
        <w:spacing w:after="0" w:line="178" w:lineRule="exact"/>
        <w:rPr>
          <w:sz w:val="20"/>
          <w:szCs w:val="20"/>
          <w:color w:val="auto"/>
        </w:rPr>
      </w:pPr>
    </w:p>
    <w:p>
      <w:pPr>
        <w:ind w:left="680" w:right="719" w:firstLine="384"/>
        <w:spacing w:after="0" w:line="325" w:lineRule="auto"/>
        <w:rPr>
          <w:sz w:val="20"/>
          <w:szCs w:val="20"/>
          <w:color w:val="auto"/>
        </w:rPr>
      </w:pPr>
      <w:r>
        <w:rPr>
          <w:rFonts w:ascii="Arial" w:cs="Arial" w:eastAsia="Arial" w:hAnsi="Arial"/>
          <w:sz w:val="13"/>
          <w:szCs w:val="13"/>
          <w:color w:val="auto"/>
        </w:rPr>
        <w:t>As noted above, the Company has entered into an agreement to acquire Farmers &amp; Stockmens Bank for approximately $75 million, subject to approval by Central Bancorp, Inc. shareholders and bank regulatory authorities, as well as the satisfaction of other customary closing conditions. The Company believes the acquisition will advance its expansion strategy with access to Colorado and New Mexico while deploying a portion of the Bank’s capital. The Company expects Central to increase core deposits and enhance the Company’s SBA lending and mortgage operations. The Company anticipates the acquisition will close in the second half of 2022 with system integration occurring in the first half of 2023.</w:t>
      </w:r>
    </w:p>
    <w:p>
      <w:pPr>
        <w:spacing w:after="0" w:line="76"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Interest Rate Risk Management</w:t>
      </w:r>
    </w:p>
    <w:p>
      <w:pPr>
        <w:spacing w:after="0" w:line="178" w:lineRule="exact"/>
        <w:rPr>
          <w:sz w:val="20"/>
          <w:szCs w:val="20"/>
          <w:color w:val="auto"/>
        </w:rPr>
      </w:pPr>
    </w:p>
    <w:p>
      <w:pPr>
        <w:ind w:left="660" w:right="639" w:firstLine="395"/>
        <w:spacing w:after="0" w:line="301" w:lineRule="auto"/>
        <w:rPr>
          <w:sz w:val="20"/>
          <w:szCs w:val="20"/>
          <w:color w:val="auto"/>
        </w:rPr>
      </w:pPr>
      <w:r>
        <w:rPr>
          <w:rFonts w:ascii="Arial" w:cs="Arial" w:eastAsia="Arial" w:hAnsi="Arial"/>
          <w:sz w:val="14"/>
          <w:szCs w:val="14"/>
          <w:color w:val="auto"/>
        </w:rPr>
        <w:t>The Company is monitoring interest rate sensitivity closely as $3.5 billion or 63% of earning assets mature or reprice within twelve months, including $2.9 billion that reprices in the first month. $3.7 million of interest-bearing liabilities mature or reprice over the same twelve-month period. The Company is reviewing options to manage balance sheet sensitivity in the event interest rates decline in late 2023.</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Credit Quality</w:t>
      </w:r>
    </w:p>
    <w:p>
      <w:pPr>
        <w:spacing w:after="0" w:line="178" w:lineRule="exact"/>
        <w:rPr>
          <w:sz w:val="20"/>
          <w:szCs w:val="20"/>
          <w:color w:val="auto"/>
        </w:rPr>
      </w:pPr>
    </w:p>
    <w:p>
      <w:pPr>
        <w:ind w:left="680" w:right="599" w:firstLine="384"/>
        <w:spacing w:after="0" w:line="308" w:lineRule="auto"/>
        <w:rPr>
          <w:sz w:val="20"/>
          <w:szCs w:val="20"/>
          <w:color w:val="auto"/>
        </w:rPr>
      </w:pPr>
      <w:r>
        <w:rPr>
          <w:rFonts w:ascii="Arial" w:cs="Arial" w:eastAsia="Arial" w:hAnsi="Arial"/>
          <w:sz w:val="14"/>
          <w:szCs w:val="14"/>
          <w:color w:val="auto"/>
        </w:rPr>
        <w:t>Credit quality metrics generally improved during the second quarter of 2022. Non-performing assets declined from $36 million at March 31, 2022 to $31 million at June 30, 2022. Net charge-offs for the three-month period ended June 30, 2022 were $1 million, or 0.10% of average loans.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9019"/>
          </w:cols>
          <w:pgMar w:left="1440" w:top="407" w:right="1440" w:bottom="1440" w:gutter="0" w:footer="0" w:header="0"/>
        </w:sectPr>
      </w:pPr>
    </w:p>
    <w:bookmarkStart w:id="49" w:name="page50"/>
    <w:bookmarkEnd w:id="49"/>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680" w:right="599" w:firstLine="384"/>
        <w:spacing w:after="0" w:line="324" w:lineRule="auto"/>
        <w:rPr>
          <w:sz w:val="20"/>
          <w:szCs w:val="20"/>
          <w:color w:val="auto"/>
        </w:rPr>
      </w:pPr>
      <w:r>
        <w:rPr>
          <w:rFonts w:ascii="Arial" w:cs="Arial" w:eastAsia="Arial" w:hAnsi="Arial"/>
          <w:sz w:val="13"/>
          <w:szCs w:val="13"/>
          <w:color w:val="auto"/>
        </w:rPr>
        <w:t>The Company continues to monitor the U.S. economic indicators, including the inflation rate, commodity prices, interest rates, and potential supply chain disruptions and the impact it may have on the Company’s markets, clients, and prospects. The Company is monitoring the impact of a rising interest rate environment on the commercial real estate market and enterprise and leverage loans that is currently mitigated by low debt-to-equity ratios. As of June 30, 2022, the Company did not identify any systemic issues within its loan portfolio that would significantly affect the credit quality of the loan portfolio.</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Update to Net Interest Margin Methodology</w:t>
      </w:r>
    </w:p>
    <w:p>
      <w:pPr>
        <w:spacing w:after="0" w:line="178" w:lineRule="exact"/>
        <w:rPr>
          <w:sz w:val="20"/>
          <w:szCs w:val="20"/>
          <w:color w:val="auto"/>
        </w:rPr>
      </w:pPr>
    </w:p>
    <w:p>
      <w:pPr>
        <w:ind w:left="680" w:right="739" w:firstLine="384"/>
        <w:spacing w:after="0" w:line="308" w:lineRule="auto"/>
        <w:rPr>
          <w:sz w:val="20"/>
          <w:szCs w:val="20"/>
          <w:color w:val="auto"/>
        </w:rPr>
      </w:pPr>
      <w:r>
        <w:rPr>
          <w:rFonts w:ascii="Arial" w:cs="Arial" w:eastAsia="Arial" w:hAnsi="Arial"/>
          <w:sz w:val="14"/>
          <w:szCs w:val="14"/>
          <w:color w:val="auto"/>
        </w:rPr>
        <w:t>The Company modified the yield calculation on the available-for-sale security portfolio to better conform to peer disclosures in the first quarter of 2022. All earning-asset yields and net interest margins presented were retroactively updated for the change in methodology. The following changes were made:</w:t>
      </w:r>
    </w:p>
    <w:p>
      <w:pPr>
        <w:spacing w:after="0" w:line="70" w:lineRule="exact"/>
        <w:rPr>
          <w:sz w:val="20"/>
          <w:szCs w:val="20"/>
          <w:color w:val="auto"/>
        </w:rPr>
      </w:pPr>
    </w:p>
    <w:p>
      <w:pPr>
        <w:ind w:left="1320" w:right="619"/>
        <w:spacing w:after="0" w:line="330" w:lineRule="auto"/>
        <w:rPr>
          <w:sz w:val="20"/>
          <w:szCs w:val="20"/>
          <w:color w:val="auto"/>
        </w:rPr>
      </w:pPr>
      <w:r>
        <w:rPr>
          <w:rFonts w:ascii="Arial" w:cs="Arial" w:eastAsia="Arial" w:hAnsi="Arial"/>
          <w:sz w:val="14"/>
          <w:szCs w:val="14"/>
          <w:color w:val="auto"/>
        </w:rPr>
        <w:t>The average unrealized gain (loss) on available-for-sale securities balance was removed from the security lines and placed in other non-interest earning assets.</w:t>
      </w:r>
    </w:p>
    <w:p>
      <w:pPr>
        <w:spacing w:after="0" w:line="80"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The annualization method was changed from Actual/Actual to 30/360 for the security yields.</w:t>
      </w:r>
    </w:p>
    <w:p>
      <w:pPr>
        <w:spacing w:after="0" w:line="184" w:lineRule="exact"/>
        <w:rPr>
          <w:sz w:val="20"/>
          <w:szCs w:val="20"/>
          <w:color w:val="auto"/>
        </w:rPr>
      </w:pPr>
    </w:p>
    <w:p>
      <w:pPr>
        <w:ind w:left="680" w:right="759" w:firstLine="384"/>
        <w:spacing w:after="0" w:line="330" w:lineRule="auto"/>
        <w:rPr>
          <w:sz w:val="20"/>
          <w:szCs w:val="20"/>
          <w:color w:val="auto"/>
        </w:rPr>
      </w:pPr>
      <w:r>
        <w:rPr>
          <w:rFonts w:ascii="Arial" w:cs="Arial" w:eastAsia="Arial" w:hAnsi="Arial"/>
          <w:sz w:val="14"/>
          <w:szCs w:val="14"/>
          <w:color w:val="auto"/>
        </w:rPr>
        <w:t>The Company believes the new calculation provides better insight into why the security yields and net interest margin changed period-to-period.</w:t>
      </w:r>
    </w:p>
    <w:p>
      <w:pPr>
        <w:sectPr>
          <w:pgSz w:w="11900" w:h="16838" w:orient="portrait"/>
          <w:cols w:equalWidth="0" w:num="1">
            <w:col w:w="9019"/>
          </w:cols>
          <w:pgMar w:left="1440" w:top="4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Lines Impacted</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Previous calculation</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Yield on securities - taxable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 xml:space="preserve">Yield on securities - tax-exempt </w:t>
      </w:r>
      <w:r>
        <w:rPr>
          <w:rFonts w:ascii="Arial" w:cs="Arial" w:eastAsia="Arial" w:hAnsi="Arial"/>
          <w:sz w:val="15"/>
          <w:szCs w:val="15"/>
          <w:color w:val="auto"/>
          <w:vertAlign w:val="superscript"/>
        </w:rPr>
        <w:t>(1)</w:t>
      </w:r>
    </w:p>
    <w:p>
      <w:pPr>
        <w:ind w:left="640"/>
        <w:spacing w:after="0" w:line="197" w:lineRule="auto"/>
        <w:rPr>
          <w:sz w:val="20"/>
          <w:szCs w:val="20"/>
          <w:color w:val="auto"/>
        </w:rPr>
      </w:pPr>
      <w:r>
        <w:rPr>
          <w:rFonts w:ascii="Arial" w:cs="Arial" w:eastAsia="Arial" w:hAnsi="Arial"/>
          <w:sz w:val="14"/>
          <w:szCs w:val="14"/>
          <w:color w:val="auto"/>
        </w:rPr>
        <w:t>Total securities yield</w:t>
      </w:r>
      <w:r>
        <w:rPr>
          <w:rFonts w:ascii="Arial" w:cs="Arial" w:eastAsia="Arial" w:hAnsi="Arial"/>
          <w:sz w:val="18"/>
          <w:szCs w:val="18"/>
          <w:color w:val="auto"/>
          <w:vertAlign w:val="superscript"/>
        </w:rPr>
        <w:t>(1)</w:t>
      </w:r>
    </w:p>
    <w:p>
      <w:pPr>
        <w:ind w:left="640"/>
        <w:spacing w:after="0"/>
        <w:rPr>
          <w:sz w:val="20"/>
          <w:szCs w:val="20"/>
          <w:color w:val="auto"/>
        </w:rPr>
      </w:pPr>
      <w:r>
        <w:rPr>
          <w:rFonts w:ascii="Arial" w:cs="Arial" w:eastAsia="Arial" w:hAnsi="Arial"/>
          <w:sz w:val="12"/>
          <w:szCs w:val="12"/>
          <w:color w:val="auto"/>
        </w:rPr>
        <w:t>Yield on interest-earning assets</w:t>
      </w:r>
      <w:r>
        <w:rPr>
          <w:rFonts w:ascii="Arial" w:cs="Arial" w:eastAsia="Arial" w:hAnsi="Arial"/>
          <w:sz w:val="15"/>
          <w:szCs w:val="15"/>
          <w:color w:val="auto"/>
          <w:vertAlign w:val="superscript"/>
        </w:rPr>
        <w:t>(1)</w:t>
      </w:r>
    </w:p>
    <w:p>
      <w:pPr>
        <w:ind w:left="640"/>
        <w:spacing w:after="0" w:line="197" w:lineRule="auto"/>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p>
      <w:pPr>
        <w:ind w:left="640"/>
        <w:spacing w:after="0" w:line="209" w:lineRule="auto"/>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p>
      <w:pPr>
        <w:spacing w:after="0" w:line="1" w:lineRule="exact"/>
        <w:rPr>
          <w:sz w:val="20"/>
          <w:szCs w:val="20"/>
          <w:color w:val="auto"/>
        </w:rPr>
      </w:pPr>
    </w:p>
    <w:p>
      <w:pPr>
        <w:ind w:left="640" w:right="280"/>
        <w:spacing w:after="0" w:line="288" w:lineRule="auto"/>
        <w:rPr>
          <w:sz w:val="20"/>
          <w:szCs w:val="20"/>
          <w:color w:val="auto"/>
        </w:rPr>
      </w:pPr>
      <w:r>
        <w:rPr>
          <w:rFonts w:ascii="Arial" w:cs="Arial" w:eastAsia="Arial" w:hAnsi="Arial"/>
          <w:sz w:val="12"/>
          <w:szCs w:val="12"/>
          <w:b w:val="1"/>
          <w:bCs w:val="1"/>
          <w:i w:val="1"/>
          <w:iCs w:val="1"/>
          <w:color w:val="auto"/>
        </w:rPr>
        <w:t xml:space="preserve">As calculated going forward </w:t>
      </w:r>
      <w:r>
        <w:rPr>
          <w:rFonts w:ascii="Arial" w:cs="Arial" w:eastAsia="Arial" w:hAnsi="Arial"/>
          <w:sz w:val="12"/>
          <w:szCs w:val="12"/>
          <w:color w:val="auto"/>
        </w:rPr>
        <w:t>Yield on securities - taxable</w:t>
      </w:r>
    </w:p>
    <w:p>
      <w:pPr>
        <w:ind w:left="640"/>
        <w:spacing w:after="0"/>
        <w:rPr>
          <w:sz w:val="20"/>
          <w:szCs w:val="20"/>
          <w:color w:val="auto"/>
        </w:rPr>
      </w:pPr>
      <w:r>
        <w:rPr>
          <w:rFonts w:ascii="Arial" w:cs="Arial" w:eastAsia="Arial" w:hAnsi="Arial"/>
          <w:sz w:val="12"/>
          <w:szCs w:val="12"/>
          <w:color w:val="auto"/>
        </w:rPr>
        <w:t xml:space="preserve">Yield on securities - tax-exempt </w:t>
      </w:r>
      <w:r>
        <w:rPr>
          <w:rFonts w:ascii="Arial" w:cs="Arial" w:eastAsia="Arial" w:hAnsi="Arial"/>
          <w:sz w:val="15"/>
          <w:szCs w:val="15"/>
          <w:color w:val="auto"/>
          <w:vertAlign w:val="superscript"/>
        </w:rPr>
        <w:t>(1)</w:t>
      </w:r>
    </w:p>
    <w:p>
      <w:pPr>
        <w:ind w:left="640"/>
        <w:spacing w:after="0" w:line="197" w:lineRule="auto"/>
        <w:rPr>
          <w:sz w:val="20"/>
          <w:szCs w:val="20"/>
          <w:color w:val="auto"/>
        </w:rPr>
      </w:pPr>
      <w:r>
        <w:rPr>
          <w:rFonts w:ascii="Arial" w:cs="Arial" w:eastAsia="Arial" w:hAnsi="Arial"/>
          <w:sz w:val="14"/>
          <w:szCs w:val="14"/>
          <w:color w:val="auto"/>
        </w:rPr>
        <w:t>Total securities yield</w:t>
      </w:r>
      <w:r>
        <w:rPr>
          <w:rFonts w:ascii="Arial" w:cs="Arial" w:eastAsia="Arial" w:hAnsi="Arial"/>
          <w:sz w:val="18"/>
          <w:szCs w:val="18"/>
          <w:color w:val="auto"/>
          <w:vertAlign w:val="superscript"/>
        </w:rPr>
        <w:t>(1)</w:t>
      </w:r>
    </w:p>
    <w:p>
      <w:pPr>
        <w:ind w:left="640"/>
        <w:spacing w:after="0"/>
        <w:rPr>
          <w:sz w:val="20"/>
          <w:szCs w:val="20"/>
          <w:color w:val="auto"/>
        </w:rPr>
      </w:pPr>
      <w:r>
        <w:rPr>
          <w:rFonts w:ascii="Arial" w:cs="Arial" w:eastAsia="Arial" w:hAnsi="Arial"/>
          <w:sz w:val="12"/>
          <w:szCs w:val="12"/>
          <w:color w:val="auto"/>
        </w:rPr>
        <w:t>Yield on interest-earning assets</w:t>
      </w:r>
      <w:r>
        <w:rPr>
          <w:rFonts w:ascii="Arial" w:cs="Arial" w:eastAsia="Arial" w:hAnsi="Arial"/>
          <w:sz w:val="15"/>
          <w:szCs w:val="15"/>
          <w:color w:val="auto"/>
          <w:vertAlign w:val="superscript"/>
        </w:rPr>
        <w:t>(1)</w:t>
      </w:r>
    </w:p>
    <w:p>
      <w:pPr>
        <w:ind w:left="640"/>
        <w:spacing w:after="0" w:line="197" w:lineRule="auto"/>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p>
      <w:pPr>
        <w:ind w:left="640"/>
        <w:spacing w:after="0" w:line="209" w:lineRule="auto"/>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b w:val="1"/>
          <w:bCs w:val="1"/>
          <w:i w:val="1"/>
          <w:iCs w:val="1"/>
          <w:color w:val="auto"/>
        </w:rPr>
        <w:t>Change</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4"/>
          <w:szCs w:val="14"/>
          <w:color w:val="auto"/>
        </w:rPr>
        <w:t>Yield on securities - taxable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 xml:space="preserve">Yield on securities - tax-exempt </w:t>
      </w:r>
      <w:r>
        <w:rPr>
          <w:rFonts w:ascii="Arial" w:cs="Arial" w:eastAsia="Arial" w:hAnsi="Arial"/>
          <w:sz w:val="15"/>
          <w:szCs w:val="15"/>
          <w:color w:val="auto"/>
          <w:vertAlign w:val="superscript"/>
        </w:rPr>
        <w:t>(1)</w:t>
      </w:r>
    </w:p>
    <w:p>
      <w:pPr>
        <w:ind w:left="640"/>
        <w:spacing w:after="0" w:line="197" w:lineRule="auto"/>
        <w:rPr>
          <w:sz w:val="20"/>
          <w:szCs w:val="20"/>
          <w:color w:val="auto"/>
        </w:rPr>
      </w:pPr>
      <w:r>
        <w:rPr>
          <w:rFonts w:ascii="Arial" w:cs="Arial" w:eastAsia="Arial" w:hAnsi="Arial"/>
          <w:sz w:val="14"/>
          <w:szCs w:val="14"/>
          <w:color w:val="auto"/>
        </w:rPr>
        <w:t>Total securities yield</w:t>
      </w:r>
      <w:r>
        <w:rPr>
          <w:rFonts w:ascii="Arial" w:cs="Arial" w:eastAsia="Arial" w:hAnsi="Arial"/>
          <w:sz w:val="18"/>
          <w:szCs w:val="18"/>
          <w:color w:val="auto"/>
          <w:vertAlign w:val="superscript"/>
        </w:rPr>
        <w:t>(1)</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2"/>
          <w:szCs w:val="12"/>
          <w:color w:val="auto"/>
        </w:rPr>
        <w:t>Yield on interest-earning assets</w:t>
      </w:r>
      <w:r>
        <w:rPr>
          <w:rFonts w:ascii="Arial" w:cs="Arial" w:eastAsia="Arial" w:hAnsi="Arial"/>
          <w:sz w:val="15"/>
          <w:szCs w:val="15"/>
          <w:color w:val="auto"/>
          <w:vertAlign w:val="superscript"/>
        </w:rPr>
        <w:t>(1)</w:t>
      </w:r>
    </w:p>
    <w:p>
      <w:pPr>
        <w:ind w:left="640"/>
        <w:spacing w:after="0" w:line="206" w:lineRule="auto"/>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Impact to Yield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12"/>
            <w:vMerge w:val="restart"/>
          </w:tcPr>
          <w:p>
            <w:pPr>
              <w:jc w:val="right"/>
              <w:ind w:right="369"/>
              <w:spacing w:after="0"/>
              <w:rPr>
                <w:sz w:val="20"/>
                <w:szCs w:val="20"/>
                <w:color w:val="auto"/>
              </w:rPr>
            </w:pPr>
            <w:r>
              <w:rPr>
                <w:rFonts w:ascii="Arial" w:cs="Arial" w:eastAsia="Arial" w:hAnsi="Arial"/>
                <w:sz w:val="14"/>
                <w:szCs w:val="14"/>
                <w:b w:val="1"/>
                <w:bCs w:val="1"/>
                <w:color w:val="auto"/>
                <w:w w:val="96"/>
              </w:rPr>
              <w:t>For the Quarter Ended</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13"/>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For the Six Months</w:t>
            </w: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900" w:type="dxa"/>
            <w:vAlign w:val="bottom"/>
            <w:gridSpan w:val="1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8"/>
            <w:vMerge w:val="restart"/>
          </w:tcPr>
          <w:p>
            <w:pPr>
              <w:jc w:val="center"/>
              <w:ind w:right="32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8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gridSpan w:val="8"/>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6"/>
          </w:tcPr>
          <w:p>
            <w:pPr>
              <w:jc w:val="right"/>
              <w:ind w:right="100"/>
              <w:spacing w:after="0" w:line="158" w:lineRule="exact"/>
              <w:rPr>
                <w:sz w:val="20"/>
                <w:szCs w:val="20"/>
                <w:color w:val="auto"/>
              </w:rPr>
            </w:pPr>
            <w:r>
              <w:rPr>
                <w:rFonts w:ascii="Arial" w:cs="Arial" w:eastAsia="Arial" w:hAnsi="Arial"/>
                <w:sz w:val="14"/>
                <w:szCs w:val="14"/>
                <w:b w:val="1"/>
                <w:bCs w:val="1"/>
                <w:color w:val="auto"/>
                <w:w w:val="99"/>
              </w:rPr>
              <w:t>June 30,</w:t>
            </w:r>
          </w:p>
        </w:tc>
        <w:tc>
          <w:tcPr>
            <w:tcW w:w="80" w:type="dxa"/>
            <w:vAlign w:val="bottom"/>
          </w:tcPr>
          <w:p>
            <w:pPr>
              <w:spacing w:after="0"/>
              <w:rPr>
                <w:sz w:val="13"/>
                <w:szCs w:val="13"/>
                <w:color w:val="auto"/>
              </w:rPr>
            </w:pPr>
          </w:p>
        </w:tc>
        <w:tc>
          <w:tcPr>
            <w:tcW w:w="680" w:type="dxa"/>
            <w:vAlign w:val="bottom"/>
            <w:gridSpan w:val="7"/>
          </w:tcPr>
          <w:p>
            <w:pPr>
              <w:ind w:left="40"/>
              <w:spacing w:after="0" w:line="158" w:lineRule="exact"/>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3"/>
                <w:szCs w:val="13"/>
                <w:color w:val="auto"/>
              </w:rPr>
            </w:pPr>
          </w:p>
        </w:tc>
        <w:tc>
          <w:tcPr>
            <w:tcW w:w="880" w:type="dxa"/>
            <w:vAlign w:val="bottom"/>
            <w:gridSpan w:val="6"/>
          </w:tcPr>
          <w:p>
            <w:pPr>
              <w:ind w:left="2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4"/>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5"/>
          </w:tcPr>
          <w:p>
            <w:pPr>
              <w:jc w:val="right"/>
              <w:ind w:right="80"/>
              <w:spacing w:after="0" w:line="158" w:lineRule="exact"/>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6"/>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gridSpan w:val="3"/>
          </w:tcPr>
          <w:p>
            <w:pPr>
              <w:jc w:val="center"/>
              <w:ind w:left="4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120" w:type="dxa"/>
            <w:vAlign w:val="bottom"/>
            <w:gridSpan w:val="2"/>
            <w:vMerge w:val="restart"/>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20" w:type="dxa"/>
            <w:vAlign w:val="bottom"/>
            <w:vMerge w:val="restart"/>
          </w:tcPr>
          <w:p>
            <w:pPr>
              <w:spacing w:after="0"/>
              <w:rPr>
                <w:sz w:val="14"/>
                <w:szCs w:val="14"/>
                <w:color w:val="auto"/>
              </w:rPr>
            </w:pPr>
          </w:p>
        </w:tc>
        <w:tc>
          <w:tcPr>
            <w:tcW w:w="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4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shd w:val="clear" w:color="auto" w:fill="CCEEFF"/>
              </w:rPr>
              <w:t>%</w:t>
            </w:r>
          </w:p>
        </w:tc>
        <w:tc>
          <w:tcPr>
            <w:tcW w:w="2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w w:val="74"/>
                <w:shd w:val="clear" w:color="auto" w:fill="CCEEFF"/>
              </w:rPr>
              <w:t>%</w:t>
            </w:r>
          </w:p>
        </w:tc>
        <w:tc>
          <w:tcPr>
            <w:tcW w:w="4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vMerge w:val="continue"/>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9"/>
                <w:szCs w:val="9"/>
                <w:color w:val="auto"/>
                <w:w w:val="74"/>
                <w:shd w:val="clear" w:color="auto" w:fill="CCEEFF"/>
              </w:rPr>
              <w:t>%</w:t>
            </w:r>
          </w:p>
        </w:tc>
        <w:tc>
          <w:tcPr>
            <w:tcW w:w="4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42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5"/>
              </w:rPr>
              <w:t>1.96</w:t>
            </w:r>
          </w:p>
        </w:tc>
        <w:tc>
          <w:tcPr>
            <w:tcW w:w="100" w:type="dxa"/>
            <w:vAlign w:val="bottom"/>
            <w:vMerge w:val="continue"/>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shd w:val="clear" w:color="auto" w:fill="CCEEFF"/>
              </w:rPr>
              <w:t>%</w:t>
            </w:r>
          </w:p>
        </w:tc>
        <w:tc>
          <w:tcPr>
            <w:tcW w:w="4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4"/>
                <w:shd w:val="clear" w:color="auto" w:fill="CCEEFF"/>
              </w:rPr>
              <w:t>%</w:t>
            </w: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3.46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3.31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color w:val="auto"/>
              </w:rPr>
              <w:t>3.17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center"/>
              <w:ind w:left="209"/>
              <w:spacing w:after="0"/>
              <w:rPr>
                <w:sz w:val="20"/>
                <w:szCs w:val="20"/>
                <w:color w:val="auto"/>
              </w:rPr>
            </w:pPr>
            <w:r>
              <w:rPr>
                <w:rFonts w:ascii="Arial" w:cs="Arial" w:eastAsia="Arial" w:hAnsi="Arial"/>
                <w:sz w:val="14"/>
                <w:szCs w:val="14"/>
                <w:color w:val="auto"/>
                <w:w w:val="95"/>
              </w:rPr>
              <w:t>3.34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3.44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3.38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8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5"/>
              </w:rPr>
              <w:t>2.93</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4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4.01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3.64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color w:val="auto"/>
              </w:rPr>
              <w:t>3.70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center"/>
              <w:ind w:left="209"/>
              <w:spacing w:after="0"/>
              <w:rPr>
                <w:sz w:val="20"/>
                <w:szCs w:val="20"/>
                <w:color w:val="auto"/>
              </w:rPr>
            </w:pPr>
            <w:r>
              <w:rPr>
                <w:rFonts w:ascii="Arial" w:cs="Arial" w:eastAsia="Arial" w:hAnsi="Arial"/>
                <w:sz w:val="14"/>
                <w:szCs w:val="14"/>
                <w:color w:val="auto"/>
                <w:w w:val="95"/>
              </w:rPr>
              <w:t>3.57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3.83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3.53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5"/>
              </w:rPr>
              <w:t>3.08</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4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3.55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color w:val="auto"/>
              </w:rPr>
              <w:t>3.28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center"/>
              <w:ind w:left="209"/>
              <w:spacing w:after="0"/>
              <w:rPr>
                <w:sz w:val="20"/>
                <w:szCs w:val="20"/>
                <w:color w:val="auto"/>
              </w:rPr>
            </w:pPr>
            <w:r>
              <w:rPr>
                <w:rFonts w:ascii="Arial" w:cs="Arial" w:eastAsia="Arial" w:hAnsi="Arial"/>
                <w:sz w:val="14"/>
                <w:szCs w:val="14"/>
                <w:color w:val="auto"/>
                <w:w w:val="95"/>
              </w:rPr>
              <w:t>3.12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3.42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3.12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4"/>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gridSpan w:val="3"/>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gridSpan w:val="3"/>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gridSpan w:val="3"/>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2.35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2.15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color w:val="auto"/>
              </w:rPr>
              <w:t>2.14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center"/>
              <w:ind w:left="209"/>
              <w:spacing w:after="0"/>
              <w:rPr>
                <w:sz w:val="20"/>
                <w:szCs w:val="20"/>
                <w:color w:val="auto"/>
              </w:rPr>
            </w:pPr>
            <w:r>
              <w:rPr>
                <w:rFonts w:ascii="Arial" w:cs="Arial" w:eastAsia="Arial" w:hAnsi="Arial"/>
                <w:sz w:val="14"/>
                <w:szCs w:val="14"/>
                <w:color w:val="auto"/>
                <w:w w:val="95"/>
              </w:rPr>
              <w:t>1.99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2.26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1.86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8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5"/>
              </w:rPr>
              <w:t>3.54</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4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3.07</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3.00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color w:val="auto"/>
              </w:rPr>
              <w:t>3.02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center"/>
              <w:ind w:left="209"/>
              <w:spacing w:after="0"/>
              <w:rPr>
                <w:sz w:val="20"/>
                <w:szCs w:val="20"/>
                <w:color w:val="auto"/>
              </w:rPr>
            </w:pPr>
            <w:r>
              <w:rPr>
                <w:rFonts w:ascii="Arial" w:cs="Arial" w:eastAsia="Arial" w:hAnsi="Arial"/>
                <w:sz w:val="14"/>
                <w:szCs w:val="14"/>
                <w:color w:val="auto"/>
                <w:w w:val="95"/>
              </w:rPr>
              <w:t>3.07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3.04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3.04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8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5"/>
              </w:rPr>
              <w:t>3.59</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4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3.48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3.25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color w:val="auto"/>
              </w:rPr>
              <w:t>3.24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center"/>
              <w:ind w:left="209"/>
              <w:spacing w:after="0"/>
              <w:rPr>
                <w:sz w:val="20"/>
                <w:szCs w:val="20"/>
                <w:color w:val="auto"/>
              </w:rPr>
            </w:pPr>
            <w:r>
              <w:rPr>
                <w:rFonts w:ascii="Arial" w:cs="Arial" w:eastAsia="Arial" w:hAnsi="Arial"/>
                <w:sz w:val="14"/>
                <w:szCs w:val="14"/>
                <w:color w:val="auto"/>
                <w:w w:val="95"/>
              </w:rPr>
              <w:t>3.10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3.37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3.03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5"/>
              </w:rPr>
              <w:t>3.14</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40" w:type="dxa"/>
            <w:vAlign w:val="bottom"/>
          </w:tcPr>
          <w:p>
            <w:pPr>
              <w:spacing w:after="0"/>
              <w:rPr>
                <w:sz w:val="13"/>
                <w:szCs w:val="13"/>
                <w:color w:val="auto"/>
              </w:rPr>
            </w:pPr>
          </w:p>
        </w:tc>
        <w:tc>
          <w:tcPr>
            <w:tcW w:w="6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480" w:type="dxa"/>
            <w:vAlign w:val="bottom"/>
            <w:gridSpan w:val="2"/>
          </w:tcPr>
          <w:p>
            <w:pPr>
              <w:spacing w:after="0"/>
              <w:rPr>
                <w:sz w:val="15"/>
                <w:szCs w:val="15"/>
                <w:color w:val="auto"/>
              </w:rPr>
            </w:pPr>
          </w:p>
        </w:tc>
        <w:tc>
          <w:tcPr>
            <w:tcW w:w="4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460" w:type="dxa"/>
            <w:vAlign w:val="bottom"/>
            <w:gridSpan w:val="2"/>
          </w:tcPr>
          <w:p>
            <w:pPr>
              <w:spacing w:after="0"/>
              <w:rPr>
                <w:sz w:val="15"/>
                <w:szCs w:val="15"/>
                <w:color w:val="auto"/>
              </w:rPr>
            </w:pPr>
          </w:p>
        </w:tc>
        <w:tc>
          <w:tcPr>
            <w:tcW w:w="40" w:type="dxa"/>
            <w:vAlign w:val="bottom"/>
            <w:vMerge w:val="restart"/>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4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40" w:type="dxa"/>
            <w:vAlign w:val="bottom"/>
            <w:vMerge w:val="continue"/>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40" w:type="dxa"/>
            <w:vAlign w:val="bottom"/>
            <w:vMerge w:val="continue"/>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0" w:type="dxa"/>
            <w:vAlign w:val="bottom"/>
            <w:vMerge w:val="continue"/>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42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5"/>
              </w:rPr>
              <w:t>0.03</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6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4"/>
                <w:szCs w:val="14"/>
                <w:color w:val="auto"/>
              </w:rPr>
              <w:t>(0.10)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0.04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color w:val="auto"/>
              </w:rPr>
              <w:t>0.18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0.23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center"/>
              <w:ind w:left="209"/>
              <w:spacing w:after="0"/>
              <w:rPr>
                <w:sz w:val="20"/>
                <w:szCs w:val="20"/>
                <w:color w:val="auto"/>
              </w:rPr>
            </w:pPr>
            <w:r>
              <w:rPr>
                <w:rFonts w:ascii="Arial" w:cs="Arial" w:eastAsia="Arial" w:hAnsi="Arial"/>
                <w:sz w:val="14"/>
                <w:szCs w:val="14"/>
                <w:color w:val="auto"/>
                <w:w w:val="95"/>
              </w:rPr>
              <w:t>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(0.09)</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0.19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4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8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5"/>
              </w:rPr>
              <w:t>0.14</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6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14"/>
                <w:szCs w:val="14"/>
                <w:color w:val="auto"/>
              </w:rPr>
              <w:t>(0.03)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4"/>
                <w:szCs w:val="14"/>
                <w:color w:val="auto"/>
              </w:rPr>
              <w:t>0.02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gridSpan w:val="3"/>
          </w:tcPr>
          <w:p>
            <w:pPr>
              <w:jc w:val="center"/>
              <w:ind w:left="209"/>
              <w:spacing w:after="0"/>
              <w:rPr>
                <w:sz w:val="20"/>
                <w:szCs w:val="20"/>
                <w:color w:val="auto"/>
              </w:rPr>
            </w:pPr>
            <w:r>
              <w:rPr>
                <w:rFonts w:ascii="Arial" w:cs="Arial" w:eastAsia="Arial" w:hAnsi="Arial"/>
                <w:sz w:val="14"/>
                <w:szCs w:val="14"/>
                <w:color w:val="auto"/>
                <w:w w:val="95"/>
              </w:rPr>
              <w:t>0.02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4"/>
                <w:szCs w:val="14"/>
                <w:color w:val="auto"/>
              </w:rPr>
              <w:t>(0.02)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0.02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4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8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shd w:val="clear" w:color="auto" w:fill="CCEEFF"/>
          </w:tcPr>
          <w:p>
            <w:pPr>
              <w:jc w:val="center"/>
              <w:ind w:left="89"/>
              <w:spacing w:after="0"/>
              <w:rPr>
                <w:sz w:val="20"/>
                <w:szCs w:val="20"/>
                <w:color w:val="auto"/>
              </w:rPr>
            </w:pPr>
            <w:r>
              <w:rPr>
                <w:rFonts w:ascii="Arial" w:cs="Arial" w:eastAsia="Arial" w:hAnsi="Arial"/>
                <w:sz w:val="14"/>
                <w:szCs w:val="14"/>
                <w:color w:val="auto"/>
                <w:w w:val="95"/>
              </w:rPr>
              <w:t>0.02</w:t>
            </w:r>
          </w:p>
        </w:tc>
        <w:tc>
          <w:tcPr>
            <w:tcW w:w="100" w:type="dxa"/>
            <w:vAlign w:val="bottom"/>
            <w:tcBorders>
              <w:right w:val="single" w:sz="8" w:color="CCEEFF"/>
            </w:tcBorders>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60" w:type="dxa"/>
            <w:vAlign w:val="bottom"/>
            <w:tcBorders>
              <w:right w:val="single" w:sz="8" w:color="CCEEFF"/>
            </w:tcBorders>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700" w:type="dxa"/>
            <w:vAlign w:val="bottom"/>
            <w:gridSpan w:val="7"/>
          </w:tcPr>
          <w:p>
            <w:pPr>
              <w:jc w:val="right"/>
              <w:ind w:right="20"/>
              <w:spacing w:after="0"/>
              <w:rPr>
                <w:sz w:val="20"/>
                <w:szCs w:val="20"/>
                <w:color w:val="auto"/>
              </w:rPr>
            </w:pPr>
            <w:r>
              <w:rPr>
                <w:rFonts w:ascii="Arial" w:cs="Arial" w:eastAsia="Arial" w:hAnsi="Arial"/>
                <w:sz w:val="14"/>
                <w:szCs w:val="14"/>
                <w:color w:val="auto"/>
              </w:rPr>
              <w:t>(0.03) %</w:t>
            </w:r>
          </w:p>
        </w:tc>
        <w:tc>
          <w:tcPr>
            <w:tcW w:w="5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3"/>
          </w:tcPr>
          <w:p>
            <w:pPr>
              <w:jc w:val="right"/>
              <w:spacing w:after="0"/>
              <w:rPr>
                <w:sz w:val="20"/>
                <w:szCs w:val="20"/>
                <w:color w:val="auto"/>
              </w:rPr>
            </w:pPr>
            <w:r>
              <w:rPr>
                <w:rFonts w:ascii="Arial" w:cs="Arial" w:eastAsia="Arial" w:hAnsi="Arial"/>
                <w:sz w:val="14"/>
                <w:szCs w:val="14"/>
                <w:color w:val="auto"/>
                <w:w w:val="96"/>
              </w:rPr>
              <w:t>%</w:t>
            </w:r>
          </w:p>
        </w:tc>
        <w:tc>
          <w:tcPr>
            <w:tcW w:w="840" w:type="dxa"/>
            <w:vAlign w:val="bottom"/>
            <w:gridSpan w:val="4"/>
          </w:tcPr>
          <w:p>
            <w:pPr>
              <w:jc w:val="right"/>
              <w:ind w:right="80"/>
              <w:spacing w:after="0"/>
              <w:rPr>
                <w:sz w:val="20"/>
                <w:szCs w:val="20"/>
                <w:color w:val="auto"/>
              </w:rPr>
            </w:pPr>
            <w:r>
              <w:rPr>
                <w:rFonts w:ascii="Arial" w:cs="Arial" w:eastAsia="Arial" w:hAnsi="Arial"/>
                <w:sz w:val="14"/>
                <w:szCs w:val="14"/>
                <w:color w:val="auto"/>
              </w:rPr>
              <w:t>0.02</w:t>
            </w:r>
          </w:p>
        </w:tc>
        <w:tc>
          <w:tcPr>
            <w:tcW w:w="140" w:type="dxa"/>
            <w:vAlign w:val="bottom"/>
            <w:gridSpan w:val="3"/>
          </w:tcPr>
          <w:p>
            <w:pPr>
              <w:ind w:left="20"/>
              <w:spacing w:after="0"/>
              <w:rPr>
                <w:sz w:val="20"/>
                <w:szCs w:val="20"/>
                <w:color w:val="auto"/>
              </w:rPr>
            </w:pPr>
            <w:r>
              <w:rPr>
                <w:rFonts w:ascii="Arial" w:cs="Arial" w:eastAsia="Arial" w:hAnsi="Arial"/>
                <w:sz w:val="14"/>
                <w:szCs w:val="14"/>
                <w:color w:val="auto"/>
                <w:w w:val="79"/>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0.03</w:t>
            </w:r>
          </w:p>
        </w:tc>
        <w:tc>
          <w:tcPr>
            <w:tcW w:w="220" w:type="dxa"/>
            <w:vAlign w:val="bottom"/>
            <w:gridSpan w:val="3"/>
          </w:tcPr>
          <w:p>
            <w:pPr>
              <w:ind w:left="100"/>
              <w:spacing w:after="0"/>
              <w:rPr>
                <w:sz w:val="20"/>
                <w:szCs w:val="20"/>
                <w:color w:val="auto"/>
              </w:rPr>
            </w:pPr>
            <w:r>
              <w:rPr>
                <w:rFonts w:ascii="Arial" w:cs="Arial" w:eastAsia="Arial" w:hAnsi="Arial"/>
                <w:sz w:val="14"/>
                <w:szCs w:val="14"/>
                <w:color w:val="auto"/>
                <w:w w:val="79"/>
              </w:rPr>
              <w:t>%</w:t>
            </w:r>
          </w:p>
        </w:tc>
        <w:tc>
          <w:tcPr>
            <w:tcW w:w="540" w:type="dxa"/>
            <w:vAlign w:val="bottom"/>
            <w:gridSpan w:val="3"/>
          </w:tcPr>
          <w:p>
            <w:pPr>
              <w:jc w:val="center"/>
              <w:ind w:left="209"/>
              <w:spacing w:after="0"/>
              <w:rPr>
                <w:sz w:val="20"/>
                <w:szCs w:val="20"/>
                <w:color w:val="auto"/>
              </w:rPr>
            </w:pPr>
            <w:r>
              <w:rPr>
                <w:rFonts w:ascii="Arial" w:cs="Arial" w:eastAsia="Arial" w:hAnsi="Arial"/>
                <w:sz w:val="14"/>
                <w:szCs w:val="14"/>
                <w:color w:val="auto"/>
                <w:w w:val="95"/>
              </w:rPr>
              <w:t>0.02</w:t>
            </w:r>
          </w:p>
        </w:tc>
        <w:tc>
          <w:tcPr>
            <w:tcW w:w="100" w:type="dxa"/>
            <w:vAlign w:val="bottom"/>
          </w:tcPr>
          <w:p>
            <w:pPr>
              <w:spacing w:after="0"/>
              <w:rPr>
                <w:sz w:val="15"/>
                <w:szCs w:val="15"/>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auto"/>
                <w:w w:val="79"/>
              </w:rPr>
              <w:t>%</w:t>
            </w:r>
          </w:p>
        </w:tc>
        <w:tc>
          <w:tcPr>
            <w:tcW w:w="740" w:type="dxa"/>
            <w:vAlign w:val="bottom"/>
            <w:gridSpan w:val="7"/>
          </w:tcPr>
          <w:p>
            <w:pPr>
              <w:jc w:val="right"/>
              <w:spacing w:after="0"/>
              <w:rPr>
                <w:sz w:val="20"/>
                <w:szCs w:val="20"/>
                <w:color w:val="auto"/>
              </w:rPr>
            </w:pPr>
            <w:r>
              <w:rPr>
                <w:rFonts w:ascii="Arial" w:cs="Arial" w:eastAsia="Arial" w:hAnsi="Arial"/>
                <w:sz w:val="14"/>
                <w:szCs w:val="14"/>
                <w:color w:val="auto"/>
              </w:rPr>
              <w:t>(0.01) %</w:t>
            </w:r>
          </w:p>
        </w:tc>
        <w:tc>
          <w:tcPr>
            <w:tcW w:w="740" w:type="dxa"/>
            <w:vAlign w:val="bottom"/>
            <w:gridSpan w:val="8"/>
          </w:tcPr>
          <w:p>
            <w:pPr>
              <w:jc w:val="right"/>
              <w:spacing w:after="0"/>
              <w:rPr>
                <w:sz w:val="20"/>
                <w:szCs w:val="20"/>
                <w:color w:val="auto"/>
              </w:rPr>
            </w:pPr>
            <w:r>
              <w:rPr>
                <w:rFonts w:ascii="Arial" w:cs="Arial" w:eastAsia="Arial" w:hAnsi="Arial"/>
                <w:sz w:val="14"/>
                <w:szCs w:val="14"/>
                <w:color w:val="auto"/>
              </w:rPr>
              <w:t>(0.05) %</w:t>
            </w:r>
          </w:p>
        </w:tc>
        <w:tc>
          <w:tcPr>
            <w:tcW w:w="0" w:type="dxa"/>
            <w:vAlign w:val="bottom"/>
          </w:tcPr>
          <w:p>
            <w:pPr>
              <w:spacing w:after="0"/>
              <w:rPr>
                <w:sz w:val="1"/>
                <w:szCs w:val="1"/>
                <w:color w:val="auto"/>
              </w:rPr>
            </w:pPr>
          </w:p>
        </w:tc>
      </w:tr>
    </w:tbl>
    <w:p>
      <w:pPr>
        <w:spacing w:after="0" w:line="214" w:lineRule="exact"/>
        <w:rPr>
          <w:sz w:val="20"/>
          <w:szCs w:val="20"/>
          <w:color w:val="auto"/>
        </w:rPr>
      </w:pPr>
    </w:p>
    <w:p>
      <w:pPr>
        <w:sectPr>
          <w:pgSz w:w="11900" w:h="16838" w:orient="portrait"/>
          <w:cols w:equalWidth="0" w:num="2">
            <w:col w:w="2560" w:space="80"/>
            <w:col w:w="6379"/>
          </w:cols>
          <w:pgMar w:left="1440" w:top="407" w:right="1440" w:bottom="1440" w:gutter="0" w:footer="0" w:header="0"/>
          <w:type w:val="continuous"/>
        </w:sectPr>
      </w:pPr>
    </w:p>
    <w:p>
      <w:pPr>
        <w:ind w:left="640" w:right="739" w:hanging="9"/>
        <w:spacing w:after="0" w:line="250" w:lineRule="auto"/>
        <w:tabs>
          <w:tab w:leader="none" w:pos="768"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Tax exempt income is calculated on a tax equivalent basis. Tax-free municipal securities are exempt from Federal income taxes. The incremental tax rate used is 21.0%.</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Update to Customer and Industry Concentrations</w:t>
      </w:r>
    </w:p>
    <w:p>
      <w:pPr>
        <w:spacing w:after="0" w:line="178" w:lineRule="exact"/>
        <w:rPr>
          <w:sz w:val="20"/>
          <w:szCs w:val="20"/>
          <w:color w:val="auto"/>
        </w:rPr>
      </w:pPr>
    </w:p>
    <w:p>
      <w:pPr>
        <w:ind w:left="660" w:right="619" w:firstLine="395"/>
        <w:spacing w:after="0" w:line="253" w:lineRule="auto"/>
        <w:rPr>
          <w:sz w:val="20"/>
          <w:szCs w:val="20"/>
          <w:color w:val="auto"/>
        </w:rPr>
      </w:pPr>
      <w:r>
        <w:rPr>
          <w:rFonts w:ascii="Arial" w:cs="Arial" w:eastAsia="Arial" w:hAnsi="Arial"/>
          <w:sz w:val="14"/>
          <w:szCs w:val="14"/>
          <w:color w:val="auto"/>
        </w:rPr>
        <w:t>As of June 30, 2022, the Company’s top 20 customer relationships represented approximately 23% or $1.1 billion of total deposits. The Company believes that there are sufficient funding sources, including on-balance sheet liquid assets and wholesale deposit options, so that an immediate reduction in these deposit balances would not be expected to have a material, detrimental effect on the Company’s financial position or operations.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9019"/>
          </w:cols>
          <w:pgMar w:left="1440" w:top="407" w:right="1440"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5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Performance Measures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9"/>
          </w:tcPr>
          <w:p>
            <w:pPr>
              <w:jc w:val="center"/>
              <w:ind w:left="9"/>
              <w:spacing w:after="0"/>
              <w:rPr>
                <w:sz w:val="20"/>
                <w:szCs w:val="20"/>
                <w:color w:val="auto"/>
              </w:rPr>
            </w:pPr>
            <w:r>
              <w:rPr>
                <w:rFonts w:ascii="Arial" w:cs="Arial" w:eastAsia="Arial" w:hAnsi="Arial"/>
                <w:sz w:val="14"/>
                <w:szCs w:val="14"/>
                <w:b w:val="1"/>
                <w:bCs w:val="1"/>
                <w:color w:val="auto"/>
                <w:w w:val="93"/>
              </w:rPr>
              <w:t>As of or For the Quarter Ended</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As of or For the Six Months Ended</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9"/>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9"/>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0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11"/>
          </w:tcPr>
          <w:p>
            <w:pPr>
              <w:jc w:val="right"/>
              <w:ind w:right="209"/>
              <w:spacing w:after="0"/>
              <w:rPr>
                <w:sz w:val="20"/>
                <w:szCs w:val="20"/>
                <w:color w:val="auto"/>
              </w:rPr>
            </w:pPr>
            <w:r>
              <w:rPr>
                <w:rFonts w:ascii="Arial" w:cs="Arial" w:eastAsia="Arial" w:hAnsi="Arial"/>
                <w:sz w:val="11"/>
                <w:szCs w:val="11"/>
                <w:i w:val="1"/>
                <w:iCs w:val="1"/>
                <w:color w:val="auto"/>
              </w:rPr>
              <w:t>(Dollars in thousands, except per share data)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 xml:space="preserve">Return on average assets </w:t>
            </w:r>
            <w:r>
              <w:rPr>
                <w:rFonts w:ascii="Arial" w:cs="Arial" w:eastAsia="Arial" w:hAnsi="Arial"/>
                <w:sz w:val="18"/>
                <w:szCs w:val="18"/>
                <w:color w:val="auto"/>
                <w:vertAlign w:val="superscript"/>
              </w:rPr>
              <w:t>(1)</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0.97</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81"/>
        </w:trPr>
        <w:tc>
          <w:tcPr>
            <w:tcW w:w="2560" w:type="dxa"/>
            <w:vAlign w:val="bottom"/>
            <w:gridSpan w:val="2"/>
          </w:tcPr>
          <w:p>
            <w:pPr>
              <w:spacing w:after="0" w:line="182" w:lineRule="exact"/>
              <w:rPr>
                <w:sz w:val="20"/>
                <w:szCs w:val="20"/>
                <w:color w:val="auto"/>
              </w:rPr>
            </w:pPr>
            <w:r>
              <w:rPr>
                <w:rFonts w:ascii="Arial" w:cs="Arial" w:eastAsia="Arial" w:hAnsi="Arial"/>
                <w:sz w:val="14"/>
                <w:szCs w:val="14"/>
                <w:color w:val="auto"/>
              </w:rPr>
              <w:t>Return on average equity</w:t>
            </w:r>
            <w:r>
              <w:rPr>
                <w:rFonts w:ascii="Arial" w:cs="Arial" w:eastAsia="Arial" w:hAnsi="Arial"/>
                <w:sz w:val="18"/>
                <w:szCs w:val="18"/>
                <w:color w:val="auto"/>
                <w:vertAlign w:val="superscript"/>
              </w:rPr>
              <w:t>(1)</w:t>
            </w: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10.15 %</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10.44 %</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12.57 %</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12.92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9.86 %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10.30 %</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8.84 %</w:t>
            </w: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Earnings per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6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16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1"/>
        </w:trPr>
        <w:tc>
          <w:tcPr>
            <w:tcW w:w="2560" w:type="dxa"/>
            <w:vAlign w:val="bottom"/>
            <w:gridSpan w:val="2"/>
          </w:tcPr>
          <w:p>
            <w:pPr>
              <w:spacing w:after="0"/>
              <w:rPr>
                <w:sz w:val="20"/>
                <w:szCs w:val="20"/>
                <w:color w:val="auto"/>
              </w:rPr>
            </w:pPr>
            <w:r>
              <w:rPr>
                <w:rFonts w:ascii="Arial" w:cs="Arial" w:eastAsia="Arial" w:hAnsi="Arial"/>
                <w:sz w:val="14"/>
                <w:szCs w:val="14"/>
                <w:color w:val="auto"/>
              </w:rPr>
              <w:t>Diluted earnings per share</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0.31</w:t>
            </w:r>
          </w:p>
        </w:tc>
        <w:tc>
          <w:tcPr>
            <w:tcW w:w="16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0.33</w:t>
            </w:r>
          </w:p>
        </w:tc>
        <w:tc>
          <w:tcPr>
            <w:tcW w:w="14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0.40</w:t>
            </w:r>
          </w:p>
        </w:tc>
        <w:tc>
          <w:tcPr>
            <w:tcW w:w="160" w:type="dxa"/>
            <w:vAlign w:val="bottom"/>
          </w:tcPr>
          <w:p>
            <w:pPr>
              <w:spacing w:after="0"/>
              <w:rPr>
                <w:sz w:val="15"/>
                <w:szCs w:val="15"/>
                <w:color w:val="auto"/>
              </w:rPr>
            </w:pPr>
          </w:p>
        </w:tc>
        <w:tc>
          <w:tcPr>
            <w:tcW w:w="2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0.41</w:t>
            </w:r>
          </w:p>
        </w:tc>
        <w:tc>
          <w:tcPr>
            <w:tcW w:w="140" w:type="dxa"/>
            <w:vAlign w:val="bottom"/>
          </w:tcPr>
          <w:p>
            <w:pPr>
              <w:spacing w:after="0"/>
              <w:rPr>
                <w:sz w:val="15"/>
                <w:szCs w:val="15"/>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0.30</w:t>
            </w:r>
          </w:p>
        </w:tc>
        <w:tc>
          <w:tcPr>
            <w:tcW w:w="160" w:type="dxa"/>
            <w:vAlign w:val="bottom"/>
          </w:tcPr>
          <w:p>
            <w:pPr>
              <w:spacing w:after="0"/>
              <w:rPr>
                <w:sz w:val="15"/>
                <w:szCs w:val="15"/>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0.64</w:t>
            </w:r>
          </w:p>
        </w:tc>
        <w:tc>
          <w:tcPr>
            <w:tcW w:w="160" w:type="dxa"/>
            <w:vAlign w:val="bottom"/>
          </w:tcPr>
          <w:p>
            <w:pPr>
              <w:spacing w:after="0"/>
              <w:rPr>
                <w:sz w:val="15"/>
                <w:szCs w:val="15"/>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0.53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540" w:type="dxa"/>
            <w:vAlign w:val="bottom"/>
            <w:shd w:val="clear" w:color="auto" w:fill="CCEEFF"/>
          </w:tcPr>
          <w:p>
            <w:pPr>
              <w:spacing w:after="0" w:line="182" w:lineRule="exact"/>
              <w:rPr>
                <w:sz w:val="20"/>
                <w:szCs w:val="20"/>
                <w:color w:val="auto"/>
              </w:rPr>
            </w:pPr>
            <w:r>
              <w:rPr>
                <w:rFonts w:ascii="Arial" w:cs="Arial" w:eastAsia="Arial" w:hAnsi="Arial"/>
                <w:sz w:val="14"/>
                <w:szCs w:val="14"/>
                <w:color w:val="auto"/>
              </w:rPr>
              <w:t>Efficiency</w:t>
            </w:r>
            <w:r>
              <w:rPr>
                <w:rFonts w:ascii="Arial" w:cs="Arial" w:eastAsia="Arial" w:hAnsi="Arial"/>
                <w:sz w:val="18"/>
                <w:szCs w:val="18"/>
                <w:color w:val="auto"/>
                <w:vertAlign w:val="superscript"/>
              </w:rPr>
              <w:t>(2)</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57.57</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53.61%</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r>
        <w:trPr>
          <w:trHeight w:val="191"/>
        </w:trPr>
        <w:tc>
          <w:tcPr>
            <w:tcW w:w="2560" w:type="dxa"/>
            <w:vAlign w:val="bottom"/>
            <w:gridSpan w:val="2"/>
          </w:tcPr>
          <w:p>
            <w:pPr>
              <w:spacing w:after="0"/>
              <w:rPr>
                <w:sz w:val="20"/>
                <w:szCs w:val="20"/>
                <w:color w:val="auto"/>
              </w:rPr>
            </w:pPr>
            <w:r>
              <w:rPr>
                <w:rFonts w:ascii="Arial" w:cs="Arial" w:eastAsia="Arial" w:hAnsi="Arial"/>
                <w:sz w:val="14"/>
                <w:szCs w:val="14"/>
                <w:color w:val="auto"/>
              </w:rPr>
              <w:t>Ratio of equity to assets</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10.65 %</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11.29 %</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11.88 %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12.08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12.00 %</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10.65 %</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r>
    </w:tbl>
    <w:p>
      <w:pPr>
        <w:spacing w:after="0" w:line="23" w:lineRule="exact"/>
        <w:rPr>
          <w:sz w:val="20"/>
          <w:szCs w:val="20"/>
          <w:color w:val="auto"/>
        </w:rPr>
      </w:pPr>
    </w:p>
    <w:p>
      <w:pPr>
        <w:ind w:left="240" w:hanging="117"/>
        <w:spacing w:after="0"/>
        <w:tabs>
          <w:tab w:leader="none" w:pos="240" w:val="left"/>
        </w:tabs>
        <w:numPr>
          <w:ilvl w:val="0"/>
          <w:numId w:val="21"/>
        </w:numPr>
        <w:rPr>
          <w:rFonts w:ascii="Arial" w:cs="Arial" w:eastAsia="Arial" w:hAnsi="Arial"/>
          <w:sz w:val="14"/>
          <w:szCs w:val="14"/>
          <w:color w:val="auto"/>
          <w:vertAlign w:val="superscript"/>
        </w:rPr>
      </w:pPr>
      <w:r>
        <w:rPr>
          <w:rFonts w:ascii="Arial" w:cs="Arial" w:eastAsia="Arial" w:hAnsi="Arial"/>
          <w:sz w:val="11"/>
          <w:szCs w:val="11"/>
          <w:color w:val="auto"/>
        </w:rPr>
        <w:t>Interim periods annualized</w:t>
      </w:r>
    </w:p>
    <w:p>
      <w:pPr>
        <w:spacing w:after="0" w:line="28" w:lineRule="exact"/>
        <w:rPr>
          <w:rFonts w:ascii="Arial" w:cs="Arial" w:eastAsia="Arial" w:hAnsi="Arial"/>
          <w:sz w:val="14"/>
          <w:szCs w:val="14"/>
          <w:color w:val="auto"/>
          <w:vertAlign w:val="superscript"/>
        </w:rPr>
      </w:pPr>
    </w:p>
    <w:p>
      <w:pPr>
        <w:ind w:left="240" w:hanging="117"/>
        <w:spacing w:after="0" w:line="212" w:lineRule="auto"/>
        <w:tabs>
          <w:tab w:leader="none" w:pos="240" w:val="left"/>
        </w:tabs>
        <w:numPr>
          <w:ilvl w:val="0"/>
          <w:numId w:val="21"/>
        </w:numPr>
        <w:rPr>
          <w:rFonts w:ascii="Arial" w:cs="Arial" w:eastAsia="Arial" w:hAnsi="Arial"/>
          <w:sz w:val="14"/>
          <w:szCs w:val="14"/>
          <w:color w:val="auto"/>
          <w:vertAlign w:val="superscript"/>
        </w:rPr>
      </w:pPr>
      <w:r>
        <w:rPr>
          <w:rFonts w:ascii="Arial" w:cs="Arial" w:eastAsia="Arial" w:hAnsi="Arial"/>
          <w:sz w:val="11"/>
          <w:szCs w:val="11"/>
          <w:color w:val="auto"/>
        </w:rPr>
        <w:t>We calculate efficiency ratio as non-interest expense divided by the sum of net interest income and non-interest income.</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Results of Operations</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Net Interest Income</w:t>
      </w:r>
    </w:p>
    <w:p>
      <w:pPr>
        <w:spacing w:after="0" w:line="173" w:lineRule="exact"/>
        <w:rPr>
          <w:sz w:val="20"/>
          <w:szCs w:val="20"/>
          <w:color w:val="auto"/>
        </w:rPr>
      </w:pPr>
    </w:p>
    <w:p>
      <w:pPr>
        <w:ind w:left="140" w:right="200" w:firstLine="384"/>
        <w:spacing w:after="0" w:line="300" w:lineRule="auto"/>
        <w:rPr>
          <w:sz w:val="20"/>
          <w:szCs w:val="20"/>
          <w:color w:val="auto"/>
        </w:rPr>
      </w:pPr>
      <w:r>
        <w:rPr>
          <w:rFonts w:ascii="Arial" w:cs="Arial" w:eastAsia="Arial" w:hAnsi="Arial"/>
          <w:sz w:val="14"/>
          <w:szCs w:val="14"/>
          <w:color w:val="auto"/>
        </w:rPr>
        <w:t>Net interest income is presented on a tax-equivalent basis below. A tax-equivalent basis makes all income taxable at the same rate. For example, $100 of tax-exempt income would be presented as $126.58, an amount that if taxed at the statutory federal income tax rate of 21% would yield $100. We believe a tax-equivalent basis provides for improved comparability between the various earning assets.</w:t>
      </w:r>
    </w:p>
    <w:p>
      <w:pPr>
        <w:spacing w:after="0" w:line="278"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For the Quarter Ended</w:t>
            </w: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For the Six Months Ended</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6"/>
              </w:rPr>
              <w:t>September 30,</w:t>
            </w:r>
          </w:p>
        </w:tc>
        <w:tc>
          <w:tcPr>
            <w:tcW w:w="60" w:type="dxa"/>
            <w:vAlign w:val="bottom"/>
          </w:tcPr>
          <w:p>
            <w:pPr>
              <w:spacing w:after="0"/>
              <w:rPr>
                <w:sz w:val="15"/>
                <w:szCs w:val="15"/>
                <w:color w:val="auto"/>
              </w:rPr>
            </w:pPr>
          </w:p>
        </w:tc>
        <w:tc>
          <w:tcPr>
            <w:tcW w:w="84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278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4"/>
                <w:szCs w:val="14"/>
                <w:color w:val="auto"/>
              </w:rPr>
              <w:t>Yield on securities - tax-equivalent</w:t>
            </w:r>
            <w:r>
              <w:rPr>
                <w:rFonts w:ascii="Arial" w:cs="Arial" w:eastAsia="Arial" w:hAnsi="Arial"/>
                <w:sz w:val="18"/>
                <w:szCs w:val="18"/>
                <w:color w:val="auto"/>
                <w:vertAlign w:val="superscript"/>
              </w:rPr>
              <w:t>(1)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6"/>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r>
      <w:tr>
        <w:trPr>
          <w:trHeight w:val="192"/>
        </w:trPr>
        <w:tc>
          <w:tcPr>
            <w:tcW w:w="2800" w:type="dxa"/>
            <w:vAlign w:val="bottom"/>
            <w:gridSpan w:val="2"/>
          </w:tcPr>
          <w:p>
            <w:pPr>
              <w:spacing w:after="0"/>
              <w:rPr>
                <w:sz w:val="20"/>
                <w:szCs w:val="20"/>
                <w:color w:val="auto"/>
              </w:rPr>
            </w:pPr>
            <w:r>
              <w:rPr>
                <w:rFonts w:ascii="Arial" w:cs="Arial" w:eastAsia="Arial" w:hAnsi="Arial"/>
                <w:sz w:val="14"/>
                <w:szCs w:val="14"/>
                <w:color w:val="auto"/>
              </w:rPr>
              <w:t>Yield on loans</w:t>
            </w:r>
          </w:p>
        </w:tc>
        <w:tc>
          <w:tcPr>
            <w:tcW w:w="860" w:type="dxa"/>
            <w:vAlign w:val="bottom"/>
          </w:tcPr>
          <w:p>
            <w:pPr>
              <w:jc w:val="right"/>
              <w:spacing w:after="0"/>
              <w:rPr>
                <w:sz w:val="20"/>
                <w:szCs w:val="20"/>
                <w:color w:val="auto"/>
              </w:rPr>
            </w:pPr>
            <w:r>
              <w:rPr>
                <w:rFonts w:ascii="Arial" w:cs="Arial" w:eastAsia="Arial" w:hAnsi="Arial"/>
                <w:sz w:val="14"/>
                <w:szCs w:val="14"/>
                <w:color w:val="auto"/>
              </w:rPr>
              <w:t>4.28</w:t>
            </w:r>
          </w:p>
        </w:tc>
        <w:tc>
          <w:tcPr>
            <w:tcW w:w="1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4.00</w:t>
            </w:r>
          </w:p>
        </w:tc>
        <w:tc>
          <w:tcPr>
            <w:tcW w:w="1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4.17</w:t>
            </w:r>
          </w:p>
        </w:tc>
        <w:tc>
          <w:tcPr>
            <w:tcW w:w="16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4.00</w:t>
            </w: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3.99</w:t>
            </w:r>
          </w:p>
        </w:tc>
        <w:tc>
          <w:tcPr>
            <w:tcW w:w="18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4.14</w:t>
            </w: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3.96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780" w:type="dxa"/>
            <w:vAlign w:val="bottom"/>
            <w:tcBorders>
              <w:bottom w:val="single" w:sz="8" w:color="CCEEFF"/>
            </w:tcBorders>
            <w:shd w:val="clear" w:color="auto" w:fill="CCEEFF"/>
          </w:tcPr>
          <w:p>
            <w:pPr>
              <w:spacing w:after="0" w:line="193" w:lineRule="exact"/>
              <w:rPr>
                <w:sz w:val="20"/>
                <w:szCs w:val="20"/>
                <w:color w:val="auto"/>
              </w:rPr>
            </w:pPr>
            <w:r>
              <w:rPr>
                <w:rFonts w:ascii="Arial" w:cs="Arial" w:eastAsia="Arial" w:hAnsi="Arial"/>
                <w:sz w:val="14"/>
                <w:szCs w:val="14"/>
                <w:color w:val="auto"/>
              </w:rPr>
              <w:t xml:space="preserve">Yield on earning assets - tax-equivalent </w:t>
            </w:r>
            <w:r>
              <w:rPr>
                <w:rFonts w:ascii="Arial" w:cs="Arial" w:eastAsia="Arial" w:hAnsi="Arial"/>
                <w:sz w:val="18"/>
                <w:szCs w:val="18"/>
                <w:color w:val="auto"/>
                <w:vertAlign w:val="superscript"/>
              </w:rPr>
              <w:t>(1)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gridSpan w:val="3"/>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r>
      <w:tr>
        <w:trPr>
          <w:trHeight w:val="192"/>
        </w:trPr>
        <w:tc>
          <w:tcPr>
            <w:tcW w:w="2800" w:type="dxa"/>
            <w:vAlign w:val="bottom"/>
            <w:gridSpan w:val="2"/>
          </w:tcPr>
          <w:p>
            <w:pPr>
              <w:spacing w:after="0"/>
              <w:rPr>
                <w:sz w:val="20"/>
                <w:szCs w:val="20"/>
                <w:color w:val="auto"/>
              </w:rPr>
            </w:pPr>
            <w:r>
              <w:rPr>
                <w:rFonts w:ascii="Arial" w:cs="Arial" w:eastAsia="Arial" w:hAnsi="Arial"/>
                <w:sz w:val="14"/>
                <w:szCs w:val="14"/>
                <w:color w:val="auto"/>
              </w:rPr>
              <w:t>Cost of interest-bearing deposits</w:t>
            </w:r>
          </w:p>
        </w:tc>
        <w:tc>
          <w:tcPr>
            <w:tcW w:w="860" w:type="dxa"/>
            <w:vAlign w:val="bottom"/>
          </w:tcPr>
          <w:p>
            <w:pPr>
              <w:jc w:val="right"/>
              <w:spacing w:after="0"/>
              <w:rPr>
                <w:sz w:val="20"/>
                <w:szCs w:val="20"/>
                <w:color w:val="auto"/>
              </w:rPr>
            </w:pPr>
            <w:r>
              <w:rPr>
                <w:rFonts w:ascii="Arial" w:cs="Arial" w:eastAsia="Arial" w:hAnsi="Arial"/>
                <w:sz w:val="14"/>
                <w:szCs w:val="14"/>
                <w:color w:val="auto"/>
              </w:rPr>
              <w:t>0.56</w:t>
            </w:r>
          </w:p>
        </w:tc>
        <w:tc>
          <w:tcPr>
            <w:tcW w:w="18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0.41</w:t>
            </w:r>
          </w:p>
        </w:tc>
        <w:tc>
          <w:tcPr>
            <w:tcW w:w="1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0.43</w:t>
            </w:r>
          </w:p>
        </w:tc>
        <w:tc>
          <w:tcPr>
            <w:tcW w:w="16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0.47</w:t>
            </w: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0.50</w:t>
            </w:r>
          </w:p>
        </w:tc>
        <w:tc>
          <w:tcPr>
            <w:tcW w:w="18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0.48</w:t>
            </w:r>
          </w:p>
        </w:tc>
        <w:tc>
          <w:tcPr>
            <w:tcW w:w="1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0.53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Cost of total deposits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6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0.38</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0.41</w:t>
            </w:r>
          </w:p>
        </w:tc>
        <w:tc>
          <w:tcPr>
            <w:tcW w:w="180" w:type="dxa"/>
            <w:vAlign w:val="bottom"/>
            <w:shd w:val="clear" w:color="auto" w:fill="CCEEFF"/>
          </w:tcPr>
          <w:p>
            <w:pPr>
              <w:spacing w:after="0"/>
              <w:rPr>
                <w:sz w:val="16"/>
                <w:szCs w:val="16"/>
                <w:color w:val="auto"/>
              </w:rPr>
            </w:pPr>
          </w:p>
        </w:tc>
        <w:tc>
          <w:tcPr>
            <w:tcW w:w="80" w:type="dxa"/>
            <w:vAlign w:val="bottom"/>
            <w:gridSpan w:val="3"/>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0.36</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1"/>
        </w:trPr>
        <w:tc>
          <w:tcPr>
            <w:tcW w:w="2800" w:type="dxa"/>
            <w:vAlign w:val="bottom"/>
            <w:gridSpan w:val="2"/>
          </w:tcPr>
          <w:p>
            <w:pPr>
              <w:spacing w:after="0"/>
              <w:rPr>
                <w:sz w:val="20"/>
                <w:szCs w:val="20"/>
                <w:color w:val="auto"/>
              </w:rPr>
            </w:pPr>
            <w:r>
              <w:rPr>
                <w:rFonts w:ascii="Arial" w:cs="Arial" w:eastAsia="Arial" w:hAnsi="Arial"/>
                <w:sz w:val="14"/>
                <w:szCs w:val="14"/>
                <w:color w:val="auto"/>
              </w:rPr>
              <w:t>Cost of FHLB and short-term borrowings</w:t>
            </w:r>
          </w:p>
        </w:tc>
        <w:tc>
          <w:tcPr>
            <w:tcW w:w="860" w:type="dxa"/>
            <w:vAlign w:val="bottom"/>
          </w:tcPr>
          <w:p>
            <w:pPr>
              <w:jc w:val="right"/>
              <w:spacing w:after="0"/>
              <w:rPr>
                <w:sz w:val="20"/>
                <w:szCs w:val="20"/>
                <w:color w:val="auto"/>
              </w:rPr>
            </w:pPr>
            <w:r>
              <w:rPr>
                <w:rFonts w:ascii="Arial" w:cs="Arial" w:eastAsia="Arial" w:hAnsi="Arial"/>
                <w:sz w:val="14"/>
                <w:szCs w:val="14"/>
                <w:color w:val="auto"/>
              </w:rPr>
              <w:t>1.66</w:t>
            </w:r>
          </w:p>
        </w:tc>
        <w:tc>
          <w:tcPr>
            <w:tcW w:w="18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1.95</w:t>
            </w:r>
          </w:p>
        </w:tc>
        <w:tc>
          <w:tcPr>
            <w:tcW w:w="18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3.03</w:t>
            </w:r>
          </w:p>
        </w:tc>
        <w:tc>
          <w:tcPr>
            <w:tcW w:w="160" w:type="dxa"/>
            <w:vAlign w:val="bottom"/>
          </w:tcPr>
          <w:p>
            <w:pPr>
              <w:spacing w:after="0"/>
              <w:rPr>
                <w:sz w:val="15"/>
                <w:szCs w:val="15"/>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1.82</w:t>
            </w: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1.79</w:t>
            </w:r>
          </w:p>
        </w:tc>
        <w:tc>
          <w:tcPr>
            <w:tcW w:w="180" w:type="dxa"/>
            <w:vAlign w:val="bottom"/>
          </w:tcPr>
          <w:p>
            <w:pPr>
              <w:spacing w:after="0"/>
              <w:rPr>
                <w:sz w:val="15"/>
                <w:szCs w:val="15"/>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1.78</w:t>
            </w: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4"/>
                <w:szCs w:val="14"/>
                <w:color w:val="auto"/>
              </w:rPr>
              <w:t>Cost of funds</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18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60" w:type="dxa"/>
            <w:vAlign w:val="bottom"/>
            <w:shd w:val="clear" w:color="auto" w:fill="CCEEFF"/>
          </w:tcPr>
          <w:p>
            <w:pPr>
              <w:spacing w:after="0"/>
              <w:rPr>
                <w:sz w:val="16"/>
                <w:szCs w:val="16"/>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80" w:type="dxa"/>
            <w:vAlign w:val="bottom"/>
            <w:shd w:val="clear" w:color="auto" w:fill="CCEEFF"/>
          </w:tcPr>
          <w:p>
            <w:pPr>
              <w:spacing w:after="0"/>
              <w:rPr>
                <w:sz w:val="16"/>
                <w:szCs w:val="16"/>
                <w:color w:val="auto"/>
              </w:rPr>
            </w:pPr>
          </w:p>
        </w:tc>
        <w:tc>
          <w:tcPr>
            <w:tcW w:w="80" w:type="dxa"/>
            <w:vAlign w:val="bottom"/>
            <w:gridSpan w:val="3"/>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24"/>
        </w:trPr>
        <w:tc>
          <w:tcPr>
            <w:tcW w:w="2800" w:type="dxa"/>
            <w:vAlign w:val="bottom"/>
            <w:gridSpan w:val="2"/>
          </w:tcPr>
          <w:p>
            <w:pPr>
              <w:spacing w:after="0"/>
              <w:rPr>
                <w:sz w:val="20"/>
                <w:szCs w:val="20"/>
                <w:color w:val="auto"/>
              </w:rPr>
            </w:pPr>
            <w:r>
              <w:rPr>
                <w:rFonts w:ascii="Arial" w:cs="Arial" w:eastAsia="Arial" w:hAnsi="Arial"/>
                <w:sz w:val="14"/>
                <w:szCs w:val="14"/>
                <w:color w:val="auto"/>
              </w:rPr>
              <w:t xml:space="preserve">Net interest margin - tax-equivalent </w:t>
            </w:r>
            <w:r>
              <w:rPr>
                <w:rFonts w:ascii="Arial" w:cs="Arial" w:eastAsia="Arial" w:hAnsi="Arial"/>
                <w:sz w:val="18"/>
                <w:szCs w:val="18"/>
                <w:color w:val="auto"/>
                <w:vertAlign w:val="superscript"/>
              </w:rPr>
              <w:t>(1)</w:t>
            </w:r>
          </w:p>
        </w:tc>
        <w:tc>
          <w:tcPr>
            <w:tcW w:w="860" w:type="dxa"/>
            <w:vAlign w:val="bottom"/>
          </w:tcPr>
          <w:p>
            <w:pPr>
              <w:jc w:val="right"/>
              <w:spacing w:after="0"/>
              <w:rPr>
                <w:sz w:val="20"/>
                <w:szCs w:val="20"/>
                <w:color w:val="auto"/>
              </w:rPr>
            </w:pPr>
            <w:r>
              <w:rPr>
                <w:rFonts w:ascii="Arial" w:cs="Arial" w:eastAsia="Arial" w:hAnsi="Arial"/>
                <w:sz w:val="14"/>
                <w:szCs w:val="14"/>
                <w:color w:val="auto"/>
              </w:rPr>
              <w:t>3.52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3.29</w:t>
            </w:r>
          </w:p>
        </w:tc>
        <w:tc>
          <w:tcPr>
            <w:tcW w:w="180" w:type="dxa"/>
            <w:vAlign w:val="bottom"/>
          </w:tcPr>
          <w:p>
            <w:pPr>
              <w:ind w:left="40"/>
              <w:spacing w:after="0"/>
              <w:rPr>
                <w:sz w:val="20"/>
                <w:szCs w:val="20"/>
                <w:color w:val="auto"/>
              </w:rPr>
            </w:pPr>
            <w:r>
              <w:rPr>
                <w:rFonts w:ascii="Arial" w:cs="Arial" w:eastAsia="Arial" w:hAnsi="Arial"/>
                <w:sz w:val="14"/>
                <w:szCs w:val="14"/>
                <w:color w:val="auto"/>
                <w:w w:val="96"/>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3.30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3.23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3.14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3.41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r>
    </w:tbl>
    <w:p>
      <w:pPr>
        <w:ind w:left="240" w:hanging="117"/>
        <w:spacing w:after="0" w:line="209" w:lineRule="auto"/>
        <w:tabs>
          <w:tab w:leader="none" w:pos="240" w:val="left"/>
        </w:tabs>
        <w:numPr>
          <w:ilvl w:val="0"/>
          <w:numId w:val="22"/>
        </w:numPr>
        <w:rPr>
          <w:rFonts w:ascii="Arial" w:cs="Arial" w:eastAsia="Arial" w:hAnsi="Arial"/>
          <w:sz w:val="14"/>
          <w:szCs w:val="14"/>
          <w:color w:val="auto"/>
          <w:vertAlign w:val="superscript"/>
        </w:rPr>
      </w:pPr>
      <w:r>
        <w:rPr>
          <w:rFonts w:ascii="Arial" w:cs="Arial" w:eastAsia="Arial" w:hAnsi="Arial"/>
          <w:sz w:val="11"/>
          <w:szCs w:val="11"/>
          <w:color w:val="auto"/>
        </w:rPr>
        <w:t>Tax-exempt income is calculated on a tax-equivalent basis. Tax-free municipal securities are exempt from Federal income taxes. The incremental tax rate used is 21%.</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500"/>
          </w:cols>
          <w:pgMar w:left="780" w:top="407" w:right="619" w:bottom="1440" w:gutter="0" w:footer="0" w:header="0"/>
        </w:sectPr>
      </w:pPr>
    </w:p>
    <w:bookmarkStart w:id="51" w:name="page52"/>
    <w:bookmarkEnd w:id="51"/>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following tables present, for the periods indicated, average balance sheet information, interest income, interest expense and the corresponding average yield and rates</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paid:</w:t>
      </w:r>
    </w:p>
    <w:p>
      <w:pPr>
        <w:spacing w:after="0" w:line="59"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Three Months Ended</w:t>
      </w:r>
    </w:p>
    <w:p>
      <w:pPr>
        <w:spacing w:after="0" w:line="63" w:lineRule="exact"/>
        <w:rPr>
          <w:sz w:val="20"/>
          <w:szCs w:val="20"/>
          <w:color w:val="auto"/>
        </w:rPr>
      </w:pPr>
    </w:p>
    <w:tbl>
      <w:tblPr>
        <w:tblLayout w:type="fixed"/>
        <w:tblInd w:w="3480" w:type="dxa"/>
        <w:tblCellMar>
          <w:top w:w="0" w:type="dxa"/>
          <w:left w:w="0" w:type="dxa"/>
          <w:bottom w:w="0" w:type="dxa"/>
          <w:right w:w="0" w:type="dxa"/>
        </w:tblCellMar>
      </w:tblPr>
      <w:tr>
        <w:trPr>
          <w:trHeight w:val="190"/>
        </w:trPr>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35"/>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Income /</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Yield /</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Income /</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Yield /</w:t>
            </w:r>
          </w:p>
        </w:tc>
      </w:tr>
      <w:tr>
        <w:trPr>
          <w:trHeight w:val="167"/>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Average Balance</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4"/>
                <w:szCs w:val="14"/>
                <w:b w:val="1"/>
                <w:bCs w:val="1"/>
                <w:color w:val="auto"/>
                <w:w w:val="88"/>
              </w:rPr>
              <w:t>Rate</w:t>
            </w:r>
            <w:r>
              <w:rPr>
                <w:rFonts w:ascii="Arial" w:cs="Arial" w:eastAsia="Arial" w:hAnsi="Arial"/>
                <w:sz w:val="18"/>
                <w:szCs w:val="18"/>
                <w:b w:val="1"/>
                <w:bCs w:val="1"/>
                <w:color w:val="auto"/>
                <w:w w:val="88"/>
                <w:vertAlign w:val="superscript"/>
              </w:rPr>
              <w:t>(1)</w:t>
            </w:r>
          </w:p>
        </w:tc>
        <w:tc>
          <w:tcPr>
            <w:tcW w:w="60" w:type="dxa"/>
            <w:vAlign w:val="bottom"/>
          </w:tcPr>
          <w:p>
            <w:pPr>
              <w:spacing w:after="0"/>
              <w:rPr>
                <w:sz w:val="14"/>
                <w:szCs w:val="14"/>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Average Balance</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4"/>
                <w:szCs w:val="14"/>
                <w:b w:val="1"/>
                <w:bCs w:val="1"/>
                <w:color w:val="auto"/>
                <w:w w:val="88"/>
              </w:rPr>
              <w:t>Rate</w:t>
            </w:r>
            <w:r>
              <w:rPr>
                <w:rFonts w:ascii="Arial" w:cs="Arial" w:eastAsia="Arial" w:hAnsi="Arial"/>
                <w:sz w:val="18"/>
                <w:szCs w:val="18"/>
                <w:b w:val="1"/>
                <w:bCs w:val="1"/>
                <w:color w:val="auto"/>
                <w:w w:val="88"/>
                <w:vertAlign w:val="superscript"/>
              </w:rPr>
              <w:t>(1)</w:t>
            </w:r>
          </w:p>
        </w:tc>
      </w:tr>
    </w:tbl>
    <w:p>
      <w:pPr>
        <w:spacing w:after="0" w:line="25" w:lineRule="exact"/>
        <w:rPr>
          <w:sz w:val="20"/>
          <w:szCs w:val="20"/>
          <w:color w:val="auto"/>
        </w:rPr>
      </w:pPr>
    </w:p>
    <w:p>
      <w:pPr>
        <w:ind w:left="6400"/>
        <w:spacing w:after="0"/>
        <w:rPr>
          <w:sz w:val="20"/>
          <w:szCs w:val="20"/>
          <w:color w:val="auto"/>
        </w:rPr>
      </w:pPr>
      <w:r>
        <w:rPr>
          <w:rFonts w:ascii="Arial" w:cs="Arial" w:eastAsia="Arial" w:hAnsi="Arial"/>
          <w:sz w:val="13"/>
          <w:szCs w:val="13"/>
          <w:i w:val="1"/>
          <w:iCs w:val="1"/>
          <w:color w:val="auto"/>
        </w:rPr>
        <w:t>(Dollars in thousands)</w:t>
      </w:r>
    </w:p>
    <w:p>
      <w:pPr>
        <w:sectPr>
          <w:pgSz w:w="11900" w:h="16838" w:orient="portrait"/>
          <w:cols w:equalWidth="0" w:num="1">
            <w:col w:w="10500"/>
          </w:cols>
          <w:pgMar w:left="780" w:top="407" w:right="619" w:bottom="1440" w:gutter="0" w:footer="0" w:header="0"/>
        </w:sectPr>
      </w:pPr>
    </w:p>
    <w:p>
      <w:pPr>
        <w:spacing w:after="0" w:line="3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Interest-earning assets:</w:t>
      </w:r>
    </w:p>
    <w:p>
      <w:pPr>
        <w:spacing w:after="0" w:line="3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Securities - taxable</w:t>
      </w:r>
    </w:p>
    <w:p>
      <w:pPr>
        <w:spacing w:after="0" w:line="4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(2)</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Interest-bearing deposits in other banks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Gross loans, net of unearned income</w:t>
      </w:r>
      <w:r>
        <w:rPr>
          <w:rFonts w:ascii="Arial" w:cs="Arial" w:eastAsia="Arial" w:hAnsi="Arial"/>
          <w:sz w:val="18"/>
          <w:szCs w:val="18"/>
          <w:color w:val="auto"/>
          <w:vertAlign w:val="superscript"/>
        </w:rPr>
        <w:t>(3)(4)</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(2)</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Allowance for credit losses</w:t>
      </w:r>
    </w:p>
    <w:p>
      <w:pPr>
        <w:spacing w:after="0" w:line="19" w:lineRule="exact"/>
        <w:rPr>
          <w:sz w:val="20"/>
          <w:szCs w:val="20"/>
          <w:color w:val="auto"/>
        </w:rPr>
      </w:pPr>
    </w:p>
    <w:p>
      <w:pPr>
        <w:ind w:left="120" w:right="1240" w:firstLine="192"/>
        <w:spacing w:after="0" w:line="314" w:lineRule="auto"/>
        <w:rPr>
          <w:sz w:val="20"/>
          <w:szCs w:val="20"/>
          <w:color w:val="auto"/>
        </w:rPr>
      </w:pPr>
      <w:r>
        <w:rPr>
          <w:rFonts w:ascii="Arial" w:cs="Arial" w:eastAsia="Arial" w:hAnsi="Arial"/>
          <w:sz w:val="14"/>
          <w:szCs w:val="14"/>
          <w:color w:val="auto"/>
        </w:rPr>
        <w:t>Other non-interest-earning assets Total assets</w:t>
      </w:r>
    </w:p>
    <w:p>
      <w:pPr>
        <w:spacing w:after="0" w:line="1" w:lineRule="exact"/>
        <w:rPr>
          <w:sz w:val="20"/>
          <w:szCs w:val="20"/>
          <w:color w:val="auto"/>
        </w:rPr>
      </w:pPr>
    </w:p>
    <w:p>
      <w:pPr>
        <w:jc w:val="center"/>
        <w:ind w:right="1620"/>
        <w:spacing w:after="0"/>
        <w:rPr>
          <w:sz w:val="20"/>
          <w:szCs w:val="20"/>
          <w:color w:val="auto"/>
        </w:rPr>
      </w:pPr>
      <w:r>
        <w:rPr>
          <w:rFonts w:ascii="Arial" w:cs="Arial" w:eastAsia="Arial" w:hAnsi="Arial"/>
          <w:sz w:val="12"/>
          <w:szCs w:val="12"/>
          <w:b w:val="1"/>
          <w:bCs w:val="1"/>
          <w:color w:val="auto"/>
        </w:rPr>
        <w:t>Interest-bearing liabilities</w:t>
      </w:r>
    </w:p>
    <w:p>
      <w:pPr>
        <w:spacing w:after="0" w:line="58" w:lineRule="exact"/>
        <w:rPr>
          <w:sz w:val="20"/>
          <w:szCs w:val="20"/>
          <w:color w:val="auto"/>
        </w:rPr>
      </w:pPr>
    </w:p>
    <w:p>
      <w:pPr>
        <w:jc w:val="center"/>
        <w:ind w:right="1640"/>
        <w:spacing w:after="0"/>
        <w:rPr>
          <w:sz w:val="20"/>
          <w:szCs w:val="20"/>
          <w:color w:val="auto"/>
        </w:rPr>
      </w:pPr>
      <w:r>
        <w:rPr>
          <w:rFonts w:ascii="Arial" w:cs="Arial" w:eastAsia="Arial" w:hAnsi="Arial"/>
          <w:sz w:val="14"/>
          <w:szCs w:val="14"/>
          <w:color w:val="auto"/>
        </w:rPr>
        <w:t>Transaction deposits</w:t>
      </w:r>
    </w:p>
    <w:p>
      <w:pPr>
        <w:spacing w:after="0" w:line="20" w:lineRule="exact"/>
        <w:rPr>
          <w:sz w:val="20"/>
          <w:szCs w:val="20"/>
          <w:color w:val="auto"/>
        </w:rPr>
      </w:pPr>
    </w:p>
    <w:p>
      <w:pPr>
        <w:ind w:left="320" w:right="1060"/>
        <w:spacing w:after="0" w:line="286" w:lineRule="auto"/>
        <w:rPr>
          <w:sz w:val="20"/>
          <w:szCs w:val="20"/>
          <w:color w:val="auto"/>
        </w:rPr>
      </w:pPr>
      <w:r>
        <w:rPr>
          <w:rFonts w:ascii="Arial" w:cs="Arial" w:eastAsia="Arial" w:hAnsi="Arial"/>
          <w:sz w:val="14"/>
          <w:szCs w:val="14"/>
          <w:color w:val="auto"/>
        </w:rPr>
        <w:t>Savings and money market deposits Time deposits</w:t>
      </w:r>
    </w:p>
    <w:p>
      <w:pPr>
        <w:ind w:left="320" w:right="1200"/>
        <w:spacing w:after="0" w:line="299" w:lineRule="auto"/>
        <w:rPr>
          <w:sz w:val="20"/>
          <w:szCs w:val="20"/>
          <w:color w:val="auto"/>
        </w:rPr>
      </w:pPr>
      <w:r>
        <w:rPr>
          <w:rFonts w:ascii="Arial" w:cs="Arial" w:eastAsia="Arial" w:hAnsi="Arial"/>
          <w:sz w:val="13"/>
          <w:szCs w:val="13"/>
          <w:color w:val="auto"/>
        </w:rPr>
        <w:t>Total interest-bearing deposits FHLB and short-term borrowings</w:t>
      </w:r>
    </w:p>
    <w:p>
      <w:pPr>
        <w:spacing w:after="0" w:line="1" w:lineRule="exact"/>
        <w:rPr>
          <w:sz w:val="20"/>
          <w:szCs w:val="20"/>
          <w:color w:val="auto"/>
        </w:rPr>
      </w:pPr>
    </w:p>
    <w:p>
      <w:pPr>
        <w:ind w:left="320"/>
        <w:spacing w:after="0" w:line="286" w:lineRule="auto"/>
        <w:rPr>
          <w:sz w:val="20"/>
          <w:szCs w:val="20"/>
          <w:color w:val="auto"/>
        </w:rPr>
      </w:pPr>
      <w:r>
        <w:rPr>
          <w:rFonts w:ascii="Arial" w:cs="Arial" w:eastAsia="Arial" w:hAnsi="Arial"/>
          <w:sz w:val="14"/>
          <w:szCs w:val="14"/>
          <w:color w:val="auto"/>
        </w:rPr>
        <w:t>Trust preferred securities, net of fair value adjustments Non-interest-bearing deposits</w:t>
      </w:r>
    </w:p>
    <w:p>
      <w:pPr>
        <w:ind w:left="320"/>
        <w:spacing w:after="0"/>
        <w:rPr>
          <w:sz w:val="20"/>
          <w:szCs w:val="20"/>
          <w:color w:val="auto"/>
        </w:rPr>
      </w:pPr>
      <w:r>
        <w:rPr>
          <w:rFonts w:ascii="Arial" w:cs="Arial" w:eastAsia="Arial" w:hAnsi="Arial"/>
          <w:sz w:val="14"/>
          <w:szCs w:val="14"/>
          <w:color w:val="auto"/>
        </w:rPr>
        <w:t>Cost of funds</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Other liabilities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Stockholders’ equity</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220,763</w:t>
            </w:r>
          </w:p>
        </w:tc>
        <w:tc>
          <w:tcPr>
            <w:tcW w:w="8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1,299</w:t>
            </w:r>
          </w:p>
        </w:tc>
        <w:tc>
          <w:tcPr>
            <w:tcW w:w="40" w:type="dxa"/>
            <w:vAlign w:val="bottom"/>
          </w:tcPr>
          <w:p>
            <w:pPr>
              <w:spacing w:after="0"/>
              <w:rPr>
                <w:sz w:val="16"/>
                <w:szCs w:val="16"/>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color w:val="auto"/>
              </w:rPr>
              <w:t>2.35 %</w:t>
            </w:r>
          </w:p>
        </w:tc>
        <w:tc>
          <w:tcPr>
            <w:tcW w:w="6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207,835</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1,031</w:t>
            </w:r>
          </w:p>
        </w:tc>
        <w:tc>
          <w:tcPr>
            <w:tcW w:w="4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w w:val="91"/>
              </w:rPr>
              <w:t>1.99 %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40" w:type="dxa"/>
            <w:vAlign w:val="bottom"/>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90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553,960</w:t>
            </w: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4,653</w:t>
            </w:r>
          </w:p>
        </w:tc>
        <w:tc>
          <w:tcPr>
            <w:tcW w:w="40" w:type="dxa"/>
            <w:vAlign w:val="bottom"/>
          </w:tcPr>
          <w:p>
            <w:pPr>
              <w:spacing w:after="0"/>
              <w:rPr>
                <w:sz w:val="13"/>
                <w:szCs w:val="13"/>
                <w:color w:val="auto"/>
              </w:rPr>
            </w:pPr>
          </w:p>
        </w:tc>
        <w:tc>
          <w:tcPr>
            <w:tcW w:w="9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3.36</w:t>
            </w:r>
          </w:p>
        </w:tc>
        <w:tc>
          <w:tcPr>
            <w:tcW w:w="40" w:type="dxa"/>
            <w:vAlign w:val="bottom"/>
            <w:vMerge w:val="continue"/>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478,334</w:t>
            </w: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line="119" w:lineRule="exact"/>
              <w:rPr>
                <w:sz w:val="20"/>
                <w:szCs w:val="20"/>
                <w:color w:val="auto"/>
              </w:rPr>
            </w:pPr>
            <w:r>
              <w:rPr>
                <w:rFonts w:ascii="Arial" w:cs="Arial" w:eastAsia="Arial" w:hAnsi="Arial"/>
                <w:sz w:val="13"/>
                <w:szCs w:val="13"/>
                <w:color w:val="auto"/>
              </w:rPr>
              <w:t>4,231</w:t>
            </w:r>
          </w:p>
        </w:tc>
        <w:tc>
          <w:tcPr>
            <w:tcW w:w="40" w:type="dxa"/>
            <w:vAlign w:val="bottom"/>
          </w:tcPr>
          <w:p>
            <w:pPr>
              <w:spacing w:after="0"/>
              <w:rPr>
                <w:sz w:val="13"/>
                <w:szCs w:val="13"/>
                <w:color w:val="auto"/>
              </w:rPr>
            </w:pPr>
          </w:p>
        </w:tc>
        <w:tc>
          <w:tcPr>
            <w:tcW w:w="980" w:type="dxa"/>
            <w:vAlign w:val="bottom"/>
            <w:gridSpan w:val="2"/>
            <w:shd w:val="clear" w:color="auto" w:fill="CCEEFF"/>
          </w:tcPr>
          <w:p>
            <w:pPr>
              <w:ind w:left="740"/>
              <w:spacing w:after="0" w:line="119" w:lineRule="exact"/>
              <w:rPr>
                <w:sz w:val="20"/>
                <w:szCs w:val="20"/>
                <w:color w:val="auto"/>
              </w:rPr>
            </w:pPr>
            <w:r>
              <w:rPr>
                <w:rFonts w:ascii="Arial" w:cs="Arial" w:eastAsia="Arial" w:hAnsi="Arial"/>
                <w:sz w:val="13"/>
                <w:szCs w:val="13"/>
                <w:color w:val="auto"/>
                <w:w w:val="86"/>
              </w:rPr>
              <w:t>3.54</w:t>
            </w: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198,210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369</w:t>
            </w:r>
          </w:p>
        </w:tc>
        <w:tc>
          <w:tcPr>
            <w:tcW w:w="4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0.75</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407,801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110</w:t>
            </w:r>
          </w:p>
        </w:tc>
        <w:tc>
          <w:tcPr>
            <w:tcW w:w="980" w:type="dxa"/>
            <w:vAlign w:val="bottom"/>
            <w:gridSpan w:val="2"/>
          </w:tcPr>
          <w:p>
            <w:pPr>
              <w:ind w:left="740"/>
              <w:spacing w:after="0"/>
              <w:rPr>
                <w:sz w:val="20"/>
                <w:szCs w:val="20"/>
                <w:color w:val="auto"/>
              </w:rPr>
            </w:pPr>
            <w:r>
              <w:rPr>
                <w:rFonts w:ascii="Arial" w:cs="Arial" w:eastAsia="Arial" w:hAnsi="Arial"/>
                <w:sz w:val="14"/>
                <w:szCs w:val="14"/>
                <w:color w:val="auto"/>
                <w:w w:val="80"/>
              </w:rPr>
              <w:t>0.11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4,437,917</w:t>
            </w:r>
          </w:p>
        </w:tc>
        <w:tc>
          <w:tcPr>
            <w:tcW w:w="4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47,327</w:t>
            </w:r>
          </w:p>
        </w:tc>
        <w:tc>
          <w:tcPr>
            <w:tcW w:w="40" w:type="dxa"/>
            <w:vAlign w:val="bottom"/>
          </w:tcPr>
          <w:p>
            <w:pPr>
              <w:spacing w:after="0"/>
              <w:rPr>
                <w:sz w:val="12"/>
                <w:szCs w:val="12"/>
                <w:color w:val="auto"/>
              </w:rPr>
            </w:pPr>
          </w:p>
        </w:tc>
        <w:tc>
          <w:tcPr>
            <w:tcW w:w="9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rPr>
              <w:t>4.28</w:t>
            </w:r>
          </w:p>
        </w:tc>
        <w:tc>
          <w:tcPr>
            <w:tcW w:w="40" w:type="dxa"/>
            <w:vAlign w:val="bottom"/>
            <w:vMerge w:val="continue"/>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4,409,280</w:t>
            </w:r>
          </w:p>
        </w:tc>
        <w:tc>
          <w:tcPr>
            <w:tcW w:w="4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43,846</w:t>
            </w:r>
          </w:p>
        </w:tc>
        <w:tc>
          <w:tcPr>
            <w:tcW w:w="40" w:type="dxa"/>
            <w:vAlign w:val="bottom"/>
          </w:tcPr>
          <w:p>
            <w:pPr>
              <w:spacing w:after="0"/>
              <w:rPr>
                <w:sz w:val="12"/>
                <w:szCs w:val="12"/>
                <w:color w:val="auto"/>
              </w:rPr>
            </w:pPr>
          </w:p>
        </w:tc>
        <w:tc>
          <w:tcPr>
            <w:tcW w:w="980" w:type="dxa"/>
            <w:vAlign w:val="bottom"/>
            <w:gridSpan w:val="2"/>
            <w:shd w:val="clear" w:color="auto" w:fill="CCEEFF"/>
          </w:tcPr>
          <w:p>
            <w:pPr>
              <w:ind w:left="740"/>
              <w:spacing w:after="0" w:line="108" w:lineRule="exact"/>
              <w:rPr>
                <w:sz w:val="20"/>
                <w:szCs w:val="20"/>
                <w:color w:val="auto"/>
              </w:rPr>
            </w:pPr>
            <w:r>
              <w:rPr>
                <w:rFonts w:ascii="Arial" w:cs="Arial" w:eastAsia="Arial" w:hAnsi="Arial"/>
                <w:sz w:val="12"/>
                <w:szCs w:val="12"/>
                <w:color w:val="auto"/>
                <w:w w:val="93"/>
              </w:rPr>
              <w:t>3.99</w:t>
            </w: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5,410,850</w:t>
            </w:r>
          </w:p>
        </w:tc>
        <w:tc>
          <w:tcPr>
            <w:tcW w:w="80" w:type="dxa"/>
            <w:vAlign w:val="bottom"/>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53,648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3.98 %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5,503,250</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49,218</w:t>
            </w: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w w:val="91"/>
              </w:rPr>
              <w:t>3.59 %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940" w:type="dxa"/>
            <w:vAlign w:val="bottom"/>
            <w:gridSpan w:val="2"/>
          </w:tcPr>
          <w:p>
            <w:pPr>
              <w:jc w:val="right"/>
              <w:spacing w:after="0"/>
              <w:rPr>
                <w:sz w:val="20"/>
                <w:szCs w:val="20"/>
                <w:color w:val="auto"/>
              </w:rPr>
            </w:pPr>
            <w:r>
              <w:rPr>
                <w:rFonts w:ascii="Arial" w:cs="Arial" w:eastAsia="Arial" w:hAnsi="Arial"/>
                <w:sz w:val="14"/>
                <w:szCs w:val="14"/>
                <w:color w:val="auto"/>
              </w:rPr>
              <w:t>(56,732)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(76,741)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191,539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247,129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940" w:type="dxa"/>
            <w:vAlign w:val="bottom"/>
            <w:gridSpan w:val="2"/>
          </w:tcPr>
          <w:p>
            <w:pPr>
              <w:jc w:val="right"/>
              <w:ind w:right="40"/>
              <w:spacing w:after="0" w:line="152" w:lineRule="exact"/>
              <w:rPr>
                <w:sz w:val="20"/>
                <w:szCs w:val="20"/>
                <w:color w:val="auto"/>
              </w:rPr>
            </w:pPr>
            <w:r>
              <w:rPr>
                <w:rFonts w:ascii="Arial" w:cs="Arial" w:eastAsia="Arial" w:hAnsi="Arial"/>
                <w:sz w:val="14"/>
                <w:szCs w:val="14"/>
                <w:color w:val="auto"/>
              </w:rPr>
              <w:t>5,545,657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9"/>
              <w:spacing w:after="0" w:line="15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line="152" w:lineRule="exact"/>
              <w:rPr>
                <w:sz w:val="20"/>
                <w:szCs w:val="20"/>
                <w:color w:val="auto"/>
              </w:rPr>
            </w:pPr>
            <w:r>
              <w:rPr>
                <w:rFonts w:ascii="Arial" w:cs="Arial" w:eastAsia="Arial" w:hAnsi="Arial"/>
                <w:sz w:val="14"/>
                <w:szCs w:val="14"/>
                <w:color w:val="auto"/>
              </w:rPr>
              <w:t>5,673,638</w:t>
            </w:r>
          </w:p>
        </w:tc>
        <w:tc>
          <w:tcPr>
            <w:tcW w:w="40" w:type="dxa"/>
            <w:vAlign w:val="bottom"/>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508,403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40" w:type="dxa"/>
            <w:vAlign w:val="bottom"/>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40" w:type="dxa"/>
            <w:vAlign w:val="bottom"/>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664,552</w:t>
            </w:r>
          </w:p>
        </w:tc>
        <w:tc>
          <w:tcPr>
            <w:tcW w:w="40" w:type="dxa"/>
            <w:vAlign w:val="bottom"/>
          </w:tcPr>
          <w:p>
            <w:pPr>
              <w:spacing w:after="0"/>
              <w:rPr>
                <w:sz w:val="14"/>
                <w:szCs w:val="14"/>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40" w:type="dxa"/>
            <w:vAlign w:val="bottom"/>
          </w:tcPr>
          <w:p>
            <w:pPr>
              <w:spacing w:after="0"/>
              <w:rPr>
                <w:sz w:val="14"/>
                <w:szCs w:val="14"/>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w w:val="80"/>
              </w:rPr>
              <w:t>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2,334,103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2,869</w:t>
            </w:r>
          </w:p>
        </w:tc>
        <w:tc>
          <w:tcPr>
            <w:tcW w:w="4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0.49</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2,385,074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2,107</w:t>
            </w:r>
          </w:p>
        </w:tc>
        <w:tc>
          <w:tcPr>
            <w:tcW w:w="4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rPr>
              <w:t>0.35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0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559,708</w:t>
            </w:r>
          </w:p>
        </w:tc>
        <w:tc>
          <w:tcPr>
            <w:tcW w:w="40" w:type="dxa"/>
            <w:vAlign w:val="bottom"/>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1,489</w:t>
            </w:r>
          </w:p>
        </w:tc>
        <w:tc>
          <w:tcPr>
            <w:tcW w:w="40" w:type="dxa"/>
            <w:vAlign w:val="bottom"/>
          </w:tcPr>
          <w:p>
            <w:pPr>
              <w:spacing w:after="0"/>
              <w:rPr>
                <w:sz w:val="14"/>
                <w:szCs w:val="14"/>
                <w:color w:val="auto"/>
              </w:rPr>
            </w:pPr>
          </w:p>
        </w:tc>
        <w:tc>
          <w:tcPr>
            <w:tcW w:w="980" w:type="dxa"/>
            <w:vAlign w:val="bottom"/>
            <w:tcBorders>
              <w:top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40" w:type="dxa"/>
            <w:vAlign w:val="bottom"/>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869,176</w:t>
            </w:r>
          </w:p>
        </w:tc>
        <w:tc>
          <w:tcPr>
            <w:tcW w:w="40" w:type="dxa"/>
            <w:vAlign w:val="bottom"/>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2,430</w:t>
            </w:r>
          </w:p>
        </w:tc>
        <w:tc>
          <w:tcPr>
            <w:tcW w:w="40" w:type="dxa"/>
            <w:vAlign w:val="bottom"/>
          </w:tcPr>
          <w:p>
            <w:pPr>
              <w:spacing w:after="0"/>
              <w:rPr>
                <w:sz w:val="14"/>
                <w:szCs w:val="14"/>
                <w:color w:val="auto"/>
              </w:rPr>
            </w:pPr>
          </w:p>
        </w:tc>
        <w:tc>
          <w:tcPr>
            <w:tcW w:w="980" w:type="dxa"/>
            <w:vAlign w:val="bottom"/>
            <w:tcBorders>
              <w:top w:val="single" w:sz="8" w:color="CCEEFF"/>
            </w:tcBorders>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w w:val="80"/>
              </w:rPr>
              <w:t>1.12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3,402,214</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4,732</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0.56</w:t>
            </w:r>
          </w:p>
        </w:tc>
        <w:tc>
          <w:tcPr>
            <w:tcW w:w="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3,918,802</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4,850</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top w:val="single" w:sz="8" w:color="auto"/>
            </w:tcBorders>
            <w:gridSpan w:val="2"/>
          </w:tcPr>
          <w:p>
            <w:pPr>
              <w:ind w:left="660"/>
              <w:spacing w:after="0"/>
              <w:rPr>
                <w:sz w:val="20"/>
                <w:szCs w:val="20"/>
                <w:color w:val="auto"/>
              </w:rPr>
            </w:pPr>
            <w:r>
              <w:rPr>
                <w:rFonts w:ascii="Arial" w:cs="Arial" w:eastAsia="Arial" w:hAnsi="Arial"/>
                <w:sz w:val="14"/>
                <w:szCs w:val="14"/>
                <w:color w:val="auto"/>
              </w:rPr>
              <w:t>0.50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330,064</w:t>
            </w:r>
          </w:p>
        </w:tc>
        <w:tc>
          <w:tcPr>
            <w:tcW w:w="40" w:type="dxa"/>
            <w:vAlign w:val="bottom"/>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w:t>
            </w:r>
          </w:p>
        </w:tc>
        <w:tc>
          <w:tcPr>
            <w:tcW w:w="40" w:type="dxa"/>
            <w:vAlign w:val="bottom"/>
          </w:tcPr>
          <w:p>
            <w:pPr>
              <w:spacing w:after="0"/>
              <w:rPr>
                <w:sz w:val="13"/>
                <w:szCs w:val="13"/>
                <w:color w:val="auto"/>
              </w:rPr>
            </w:pPr>
          </w:p>
        </w:tc>
        <w:tc>
          <w:tcPr>
            <w:tcW w:w="980" w:type="dxa"/>
            <w:vAlign w:val="bottom"/>
            <w:tcBorders>
              <w:top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4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287,904</w:t>
            </w:r>
          </w:p>
        </w:tc>
        <w:tc>
          <w:tcPr>
            <w:tcW w:w="40" w:type="dxa"/>
            <w:vAlign w:val="bottom"/>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w:t>
            </w:r>
          </w:p>
        </w:tc>
        <w:tc>
          <w:tcPr>
            <w:tcW w:w="40" w:type="dxa"/>
            <w:vAlign w:val="bottom"/>
          </w:tcPr>
          <w:p>
            <w:pPr>
              <w:spacing w:after="0"/>
              <w:rPr>
                <w:sz w:val="13"/>
                <w:szCs w:val="13"/>
                <w:color w:val="auto"/>
              </w:rPr>
            </w:pPr>
          </w:p>
        </w:tc>
        <w:tc>
          <w:tcPr>
            <w:tcW w:w="980" w:type="dxa"/>
            <w:vAlign w:val="bottom"/>
            <w:tcBorders>
              <w:top w:val="single" w:sz="8" w:color="CCEEFF"/>
            </w:tcBorders>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w w:val="80"/>
              </w:rPr>
              <w:t>1.79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900" w:type="dxa"/>
            <w:vAlign w:val="bottom"/>
          </w:tcPr>
          <w:p>
            <w:pPr>
              <w:jc w:val="right"/>
              <w:spacing w:after="0"/>
              <w:rPr>
                <w:sz w:val="20"/>
                <w:szCs w:val="20"/>
                <w:color w:val="auto"/>
              </w:rPr>
            </w:pPr>
            <w:r>
              <w:rPr>
                <w:rFonts w:ascii="Arial" w:cs="Arial" w:eastAsia="Arial" w:hAnsi="Arial"/>
                <w:sz w:val="14"/>
                <w:szCs w:val="14"/>
                <w:color w:val="auto"/>
              </w:rPr>
              <w:t>1,024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29</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11.94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rPr>
              <w:t>9.82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1,149,654</w:t>
            </w: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801,591</w:t>
            </w: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4,882,956</w:t>
            </w:r>
          </w:p>
        </w:tc>
        <w:tc>
          <w:tcPr>
            <w:tcW w:w="8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6,129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0.50 %</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5,009,273</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6,156</w:t>
            </w:r>
          </w:p>
        </w:tc>
        <w:tc>
          <w:tcPr>
            <w:tcW w:w="40" w:type="dxa"/>
            <w:vAlign w:val="bottom"/>
          </w:tcPr>
          <w:p>
            <w:pPr>
              <w:spacing w:after="0"/>
              <w:rPr>
                <w:sz w:val="15"/>
                <w:szCs w:val="15"/>
                <w:color w:val="auto"/>
              </w:rPr>
            </w:pP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w w:val="91"/>
              </w:rPr>
              <w:t>0.49 %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48,160</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30,948</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614,541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633,417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3420" w:space="60"/>
            <w:col w:w="80" w:space="140"/>
            <w:col w:w="6800"/>
          </w:cols>
          <w:pgMar w:left="780" w:top="407" w:right="619" w:bottom="1440" w:gutter="0" w:footer="0" w:header="0"/>
          <w:type w:val="continuous"/>
        </w:sectPr>
      </w:pPr>
    </w:p>
    <w:tbl>
      <w:tblPr>
        <w:tblLayout w:type="fixed"/>
        <w:tblInd w:w="120" w:type="dxa"/>
        <w:tblCellMar>
          <w:top w:w="0" w:type="dxa"/>
          <w:left w:w="0" w:type="dxa"/>
          <w:bottom w:w="0" w:type="dxa"/>
          <w:right w:w="0" w:type="dxa"/>
        </w:tblCellMar>
      </w:tblPr>
      <w:tr>
        <w:trPr>
          <w:trHeight w:val="185"/>
        </w:trPr>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5,545,657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5,673,638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20" w:type="dxa"/>
            <w:vAlign w:val="bottom"/>
          </w:tcPr>
          <w:p>
            <w:pPr>
              <w:spacing w:after="0" w:line="154" w:lineRule="exact"/>
              <w:rPr>
                <w:sz w:val="20"/>
                <w:szCs w:val="20"/>
                <w:color w:val="auto"/>
              </w:rPr>
            </w:pPr>
            <w:r>
              <w:rPr>
                <w:rFonts w:ascii="Arial" w:cs="Arial" w:eastAsia="Arial" w:hAnsi="Arial"/>
                <w:sz w:val="13"/>
                <w:szCs w:val="13"/>
                <w:color w:val="auto"/>
              </w:rPr>
              <w:t>Net interest income - tax-equivalent</w:t>
            </w:r>
            <w:r>
              <w:rPr>
                <w:rFonts w:ascii="Arial" w:cs="Arial" w:eastAsia="Arial" w:hAnsi="Arial"/>
                <w:sz w:val="17"/>
                <w:szCs w:val="17"/>
                <w:color w:val="auto"/>
                <w:vertAlign w:val="superscript"/>
              </w:rPr>
              <w:t>(2)</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47,519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43,062</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3"/>
                <w:szCs w:val="13"/>
                <w:color w:val="auto"/>
              </w:rPr>
              <w:t xml:space="preserve">Net interest spread - tax-equivalent </w:t>
            </w:r>
            <w:r>
              <w:rPr>
                <w:rFonts w:ascii="Arial" w:cs="Arial" w:eastAsia="Arial" w:hAnsi="Arial"/>
                <w:sz w:val="17"/>
                <w:szCs w:val="17"/>
                <w:color w:val="auto"/>
                <w:vertAlign w:val="superscript"/>
              </w:rPr>
              <w:t>(2)</w:t>
            </w:r>
          </w:p>
        </w:tc>
        <w:tc>
          <w:tcPr>
            <w:tcW w:w="5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3.48</w:t>
            </w:r>
          </w:p>
        </w:tc>
        <w:tc>
          <w:tcPr>
            <w:tcW w:w="2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3.10</w:t>
            </w:r>
          </w:p>
        </w:tc>
        <w:tc>
          <w:tcPr>
            <w:tcW w:w="1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line="194" w:lineRule="exact"/>
              <w:rPr>
                <w:sz w:val="20"/>
                <w:szCs w:val="20"/>
                <w:color w:val="auto"/>
              </w:rPr>
            </w:pPr>
            <w:r>
              <w:rPr>
                <w:rFonts w:ascii="Arial" w:cs="Arial" w:eastAsia="Arial" w:hAnsi="Arial"/>
                <w:sz w:val="14"/>
                <w:szCs w:val="14"/>
                <w:color w:val="auto"/>
              </w:rPr>
              <w:t>Net interest margin - tax-equivalent</w:t>
            </w:r>
            <w:r>
              <w:rPr>
                <w:rFonts w:ascii="Arial" w:cs="Arial" w:eastAsia="Arial" w:hAnsi="Arial"/>
                <w:sz w:val="18"/>
                <w:szCs w:val="18"/>
                <w:color w:val="auto"/>
                <w:vertAlign w:val="superscript"/>
              </w:rPr>
              <w:t>(2)</w:t>
            </w: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8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3.52 %</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3.14 %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360" w:hanging="237"/>
        <w:spacing w:after="0"/>
        <w:tabs>
          <w:tab w:leader="none" w:pos="360" w:val="left"/>
        </w:tabs>
        <w:numPr>
          <w:ilvl w:val="0"/>
          <w:numId w:val="23"/>
        </w:numPr>
        <w:rPr>
          <w:rFonts w:ascii="Arial" w:cs="Arial" w:eastAsia="Arial" w:hAnsi="Arial"/>
          <w:sz w:val="15"/>
          <w:szCs w:val="15"/>
          <w:color w:val="auto"/>
          <w:vertAlign w:val="superscript"/>
        </w:rPr>
      </w:pPr>
      <w:r>
        <w:rPr>
          <w:rFonts w:ascii="Arial" w:cs="Arial" w:eastAsia="Arial" w:hAnsi="Arial"/>
          <w:sz w:val="11"/>
          <w:szCs w:val="11"/>
          <w:color w:val="auto"/>
        </w:rPr>
        <w:t>Actual unrounded values are used to calculate the reported yield or rate. Accordingly, recalculations using the amounts in thousands as disclosed in this report may not produce the same amounts.</w:t>
      </w:r>
    </w:p>
    <w:p>
      <w:pPr>
        <w:spacing w:after="0" w:line="39" w:lineRule="exact"/>
        <w:rPr>
          <w:rFonts w:ascii="Arial" w:cs="Arial" w:eastAsia="Arial" w:hAnsi="Arial"/>
          <w:sz w:val="15"/>
          <w:szCs w:val="15"/>
          <w:color w:val="auto"/>
          <w:vertAlign w:val="superscript"/>
        </w:rPr>
      </w:pPr>
    </w:p>
    <w:p>
      <w:pPr>
        <w:ind w:left="360" w:hanging="237"/>
        <w:spacing w:after="0" w:line="180" w:lineRule="auto"/>
        <w:tabs>
          <w:tab w:leader="none" w:pos="360" w:val="left"/>
        </w:tabs>
        <w:numPr>
          <w:ilvl w:val="0"/>
          <w:numId w:val="23"/>
        </w:numPr>
        <w:rPr>
          <w:rFonts w:ascii="Arial" w:cs="Arial" w:eastAsia="Arial" w:hAnsi="Arial"/>
          <w:sz w:val="16"/>
          <w:szCs w:val="16"/>
          <w:color w:val="auto"/>
          <w:vertAlign w:val="superscript"/>
        </w:rPr>
      </w:pPr>
      <w:r>
        <w:rPr>
          <w:rFonts w:ascii="Arial" w:cs="Arial" w:eastAsia="Arial" w:hAnsi="Arial"/>
          <w:sz w:val="12"/>
          <w:szCs w:val="12"/>
          <w:color w:val="auto"/>
        </w:rPr>
        <w:t>Tax exempt income is calculated on a tax equivalent basis. Tax-free municipal securities are exempt from Federal income taxes. The incremental tax rate used is 21.0%.</w:t>
      </w:r>
    </w:p>
    <w:p>
      <w:pPr>
        <w:ind w:left="360" w:hanging="237"/>
        <w:spacing w:after="0"/>
        <w:tabs>
          <w:tab w:leader="none" w:pos="360" w:val="left"/>
        </w:tabs>
        <w:numPr>
          <w:ilvl w:val="0"/>
          <w:numId w:val="23"/>
        </w:numPr>
        <w:rPr>
          <w:rFonts w:ascii="Arial" w:cs="Arial" w:eastAsia="Arial" w:hAnsi="Arial"/>
          <w:sz w:val="9"/>
          <w:szCs w:val="9"/>
          <w:color w:val="auto"/>
        </w:rPr>
      </w:pPr>
      <w:r>
        <w:rPr>
          <w:rFonts w:ascii="Arial" w:cs="Arial" w:eastAsia="Arial" w:hAnsi="Arial"/>
          <w:sz w:val="13"/>
          <w:szCs w:val="13"/>
          <w:color w:val="auto"/>
        </w:rPr>
        <w:t>Loans, net of unearned income include non-accrual loans of $28 million and $55 million as of June 30, 2022 and 2021, respectively.</w:t>
      </w:r>
    </w:p>
    <w:p>
      <w:pPr>
        <w:spacing w:after="0" w:line="2" w:lineRule="exact"/>
        <w:rPr>
          <w:rFonts w:ascii="Arial" w:cs="Arial" w:eastAsia="Arial" w:hAnsi="Arial"/>
          <w:sz w:val="9"/>
          <w:szCs w:val="9"/>
          <w:color w:val="auto"/>
        </w:rPr>
      </w:pPr>
    </w:p>
    <w:p>
      <w:pPr>
        <w:ind w:left="360" w:hanging="237"/>
        <w:spacing w:after="0" w:line="210" w:lineRule="auto"/>
        <w:tabs>
          <w:tab w:leader="none" w:pos="360" w:val="left"/>
        </w:tabs>
        <w:numPr>
          <w:ilvl w:val="0"/>
          <w:numId w:val="23"/>
        </w:numPr>
        <w:rPr>
          <w:rFonts w:ascii="Arial" w:cs="Arial" w:eastAsia="Arial" w:hAnsi="Arial"/>
          <w:sz w:val="18"/>
          <w:szCs w:val="18"/>
          <w:color w:val="auto"/>
          <w:vertAlign w:val="superscript"/>
        </w:rPr>
      </w:pPr>
      <w:r>
        <w:rPr>
          <w:rFonts w:ascii="Arial" w:cs="Arial" w:eastAsia="Arial" w:hAnsi="Arial"/>
          <w:sz w:val="13"/>
          <w:szCs w:val="13"/>
          <w:color w:val="auto"/>
        </w:rPr>
        <w:t>Loan interest income includes loan fees of $3 million and $5 million for the three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500"/>
          </w:cols>
          <w:pgMar w:left="780" w:top="407" w:right="61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315" w:lineRule="exact"/>
        <w:rPr>
          <w:sz w:val="20"/>
          <w:szCs w:val="20"/>
          <w:color w:val="auto"/>
        </w:rPr>
      </w:pPr>
    </w:p>
    <w:p>
      <w:pPr>
        <w:ind w:left="6420"/>
        <w:spacing w:after="0"/>
        <w:rPr>
          <w:sz w:val="20"/>
          <w:szCs w:val="20"/>
          <w:color w:val="auto"/>
        </w:rPr>
      </w:pPr>
      <w:r>
        <w:rPr>
          <w:rFonts w:ascii="Arial" w:cs="Arial" w:eastAsia="Arial" w:hAnsi="Arial"/>
          <w:sz w:val="14"/>
          <w:szCs w:val="14"/>
          <w:b w:val="1"/>
          <w:bCs w:val="1"/>
          <w:color w:val="auto"/>
        </w:rPr>
        <w:t>Six Months Ended</w:t>
      </w:r>
    </w:p>
    <w:p>
      <w:pPr>
        <w:spacing w:after="0" w:line="63" w:lineRule="exact"/>
        <w:rPr>
          <w:sz w:val="20"/>
          <w:szCs w:val="20"/>
          <w:color w:val="auto"/>
        </w:rPr>
      </w:pPr>
    </w:p>
    <w:tbl>
      <w:tblPr>
        <w:tblLayout w:type="fixed"/>
        <w:tblInd w:w="3480" w:type="dxa"/>
        <w:tblCellMar>
          <w:top w:w="0" w:type="dxa"/>
          <w:left w:w="0" w:type="dxa"/>
          <w:bottom w:w="0" w:type="dxa"/>
          <w:right w:w="0" w:type="dxa"/>
        </w:tblCellMar>
      </w:tblPr>
      <w:tr>
        <w:trPr>
          <w:trHeight w:val="190"/>
        </w:trPr>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2022</w:t>
            </w: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June 30, 2021</w:t>
            </w: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35"/>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Income /</w:t>
            </w:r>
          </w:p>
        </w:tc>
        <w:tc>
          <w:tcPr>
            <w:tcW w:w="8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Yield /</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Income /</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Average Yield /</w:t>
            </w:r>
          </w:p>
        </w:tc>
      </w:tr>
      <w:tr>
        <w:trPr>
          <w:trHeight w:val="167"/>
        </w:trPr>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Average Balance</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4"/>
                <w:szCs w:val="14"/>
                <w:b w:val="1"/>
                <w:bCs w:val="1"/>
                <w:color w:val="auto"/>
                <w:w w:val="88"/>
              </w:rPr>
              <w:t>Rate</w:t>
            </w:r>
            <w:r>
              <w:rPr>
                <w:rFonts w:ascii="Arial" w:cs="Arial" w:eastAsia="Arial" w:hAnsi="Arial"/>
                <w:sz w:val="18"/>
                <w:szCs w:val="18"/>
                <w:b w:val="1"/>
                <w:bCs w:val="1"/>
                <w:color w:val="auto"/>
                <w:w w:val="88"/>
                <w:vertAlign w:val="superscript"/>
              </w:rPr>
              <w:t>(1)</w:t>
            </w:r>
          </w:p>
        </w:tc>
        <w:tc>
          <w:tcPr>
            <w:tcW w:w="60" w:type="dxa"/>
            <w:vAlign w:val="bottom"/>
          </w:tcPr>
          <w:p>
            <w:pPr>
              <w:spacing w:after="0"/>
              <w:rPr>
                <w:sz w:val="14"/>
                <w:szCs w:val="14"/>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Average Balance</w:t>
            </w:r>
          </w:p>
        </w:tc>
        <w:tc>
          <w:tcPr>
            <w:tcW w:w="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Expense</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4"/>
                <w:szCs w:val="14"/>
                <w:b w:val="1"/>
                <w:bCs w:val="1"/>
                <w:color w:val="auto"/>
                <w:w w:val="88"/>
              </w:rPr>
              <w:t>Rate</w:t>
            </w:r>
            <w:r>
              <w:rPr>
                <w:rFonts w:ascii="Arial" w:cs="Arial" w:eastAsia="Arial" w:hAnsi="Arial"/>
                <w:sz w:val="18"/>
                <w:szCs w:val="18"/>
                <w:b w:val="1"/>
                <w:bCs w:val="1"/>
                <w:color w:val="auto"/>
                <w:w w:val="88"/>
                <w:vertAlign w:val="superscript"/>
              </w:rPr>
              <w:t>(1)</w:t>
            </w:r>
          </w:p>
        </w:tc>
      </w:tr>
    </w:tbl>
    <w:p>
      <w:pPr>
        <w:spacing w:after="0" w:line="25" w:lineRule="exact"/>
        <w:rPr>
          <w:sz w:val="20"/>
          <w:szCs w:val="20"/>
          <w:color w:val="auto"/>
        </w:rPr>
      </w:pPr>
    </w:p>
    <w:p>
      <w:pPr>
        <w:ind w:left="6400"/>
        <w:spacing w:after="0"/>
        <w:rPr>
          <w:sz w:val="20"/>
          <w:szCs w:val="20"/>
          <w:color w:val="auto"/>
        </w:rPr>
      </w:pPr>
      <w:r>
        <w:rPr>
          <w:rFonts w:ascii="Arial" w:cs="Arial" w:eastAsia="Arial" w:hAnsi="Arial"/>
          <w:sz w:val="13"/>
          <w:szCs w:val="13"/>
          <w:i w:val="1"/>
          <w:iCs w:val="1"/>
          <w:color w:val="auto"/>
        </w:rPr>
        <w:t>(Dollars in thousands)</w:t>
      </w:r>
    </w:p>
    <w:p>
      <w:pPr>
        <w:sectPr>
          <w:pgSz w:w="11900" w:h="16838" w:orient="portrait"/>
          <w:cols w:equalWidth="0" w:num="1">
            <w:col w:w="10500"/>
          </w:cols>
          <w:pgMar w:left="780" w:top="407" w:right="619" w:bottom="1440" w:gutter="0" w:footer="0" w:header="0"/>
        </w:sectPr>
      </w:pP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Interest-earning assets: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20" w:type="dxa"/>
            <w:vAlign w:val="bottom"/>
            <w:gridSpan w:val="2"/>
          </w:tcPr>
          <w:p>
            <w:pPr>
              <w:ind w:left="200"/>
              <w:spacing w:after="0"/>
              <w:rPr>
                <w:sz w:val="20"/>
                <w:szCs w:val="20"/>
                <w:color w:val="auto"/>
              </w:rPr>
            </w:pPr>
            <w:r>
              <w:rPr>
                <w:rFonts w:ascii="Arial" w:cs="Arial" w:eastAsia="Arial" w:hAnsi="Arial"/>
                <w:sz w:val="14"/>
                <w:szCs w:val="14"/>
                <w:color w:val="auto"/>
              </w:rPr>
              <w:t>Securities - taxable</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20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vMerge w:val="continue"/>
          </w:tcPr>
          <w:p>
            <w:pPr>
              <w:spacing w:after="0"/>
              <w:rPr>
                <w:sz w:val="13"/>
                <w:szCs w:val="13"/>
                <w:color w:val="auto"/>
              </w:rPr>
            </w:pPr>
          </w:p>
        </w:tc>
        <w:tc>
          <w:tcPr>
            <w:tcW w:w="27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(2)</w:t>
            </w:r>
          </w:p>
        </w:tc>
        <w:tc>
          <w:tcPr>
            <w:tcW w:w="4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920" w:type="dxa"/>
            <w:vAlign w:val="bottom"/>
            <w:gridSpan w:val="2"/>
          </w:tcPr>
          <w:p>
            <w:pPr>
              <w:ind w:left="200"/>
              <w:spacing w:after="0"/>
              <w:rPr>
                <w:sz w:val="20"/>
                <w:szCs w:val="20"/>
                <w:color w:val="auto"/>
              </w:rPr>
            </w:pPr>
            <w:r>
              <w:rPr>
                <w:rFonts w:ascii="Arial" w:cs="Arial" w:eastAsia="Arial" w:hAnsi="Arial"/>
                <w:sz w:val="14"/>
                <w:szCs w:val="14"/>
                <w:color w:val="auto"/>
              </w:rPr>
              <w:t>Interest-bearing deposits in other banks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vMerge w:val="continue"/>
          </w:tcPr>
          <w:p>
            <w:pPr>
              <w:spacing w:after="0"/>
              <w:rPr>
                <w:sz w:val="13"/>
                <w:szCs w:val="13"/>
                <w:color w:val="auto"/>
              </w:rPr>
            </w:pPr>
          </w:p>
        </w:tc>
        <w:tc>
          <w:tcPr>
            <w:tcW w:w="2720" w:type="dxa"/>
            <w:vAlign w:val="bottom"/>
            <w:shd w:val="clear" w:color="auto" w:fill="CCEEFF"/>
          </w:tcPr>
          <w:p>
            <w:pPr>
              <w:spacing w:after="0" w:line="160" w:lineRule="exact"/>
              <w:rPr>
                <w:sz w:val="20"/>
                <w:szCs w:val="20"/>
                <w:color w:val="auto"/>
              </w:rPr>
            </w:pPr>
            <w:r>
              <w:rPr>
                <w:rFonts w:ascii="Arial" w:cs="Arial" w:eastAsia="Arial" w:hAnsi="Arial"/>
                <w:sz w:val="14"/>
                <w:szCs w:val="14"/>
                <w:color w:val="auto"/>
              </w:rPr>
              <w:t>Gross loans, net of unearned income</w:t>
            </w:r>
            <w:r>
              <w:rPr>
                <w:rFonts w:ascii="Arial" w:cs="Arial" w:eastAsia="Arial" w:hAnsi="Arial"/>
                <w:sz w:val="18"/>
                <w:szCs w:val="18"/>
                <w:color w:val="auto"/>
                <w:vertAlign w:val="superscript"/>
              </w:rPr>
              <w:t>(3)(4)</w:t>
            </w:r>
          </w:p>
        </w:tc>
        <w:tc>
          <w:tcPr>
            <w:tcW w:w="4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920" w:type="dxa"/>
            <w:vAlign w:val="bottom"/>
            <w:gridSpan w:val="2"/>
          </w:tcPr>
          <w:p>
            <w:pPr>
              <w:ind w:left="200"/>
              <w:spacing w:after="0"/>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(2)</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4"/>
                <w:szCs w:val="14"/>
                <w:color w:val="auto"/>
              </w:rPr>
              <w:t>Allowance for credit losses</w:t>
            </w:r>
          </w:p>
        </w:tc>
        <w:tc>
          <w:tcPr>
            <w:tcW w:w="44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920" w:type="dxa"/>
            <w:vAlign w:val="bottom"/>
            <w:gridSpan w:val="2"/>
          </w:tcPr>
          <w:p>
            <w:pPr>
              <w:ind w:left="200"/>
              <w:spacing w:after="0"/>
              <w:rPr>
                <w:sz w:val="20"/>
                <w:szCs w:val="20"/>
                <w:color w:val="auto"/>
              </w:rPr>
            </w:pPr>
            <w:r>
              <w:rPr>
                <w:rFonts w:ascii="Arial" w:cs="Arial" w:eastAsia="Arial" w:hAnsi="Arial"/>
                <w:sz w:val="14"/>
                <w:szCs w:val="14"/>
                <w:color w:val="auto"/>
              </w:rPr>
              <w:t>Other non-interest-earning assets</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440" w:type="dxa"/>
            <w:vAlign w:val="bottom"/>
            <w:shd w:val="clear" w:color="auto" w:fill="CCEEFF"/>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Interest-bearing liabilities</w:t>
      </w:r>
    </w:p>
    <w:p>
      <w:pPr>
        <w:spacing w:after="0" w:line="35" w:lineRule="exact"/>
        <w:rPr>
          <w:sz w:val="20"/>
          <w:szCs w:val="20"/>
          <w:color w:val="auto"/>
        </w:rPr>
      </w:pPr>
    </w:p>
    <w:p>
      <w:pPr>
        <w:ind w:left="320"/>
        <w:spacing w:after="0" w:line="278" w:lineRule="auto"/>
        <w:rPr>
          <w:sz w:val="20"/>
          <w:szCs w:val="20"/>
          <w:color w:val="auto"/>
        </w:rPr>
      </w:pPr>
      <w:r>
        <w:rPr>
          <w:rFonts w:ascii="Arial" w:cs="Arial" w:eastAsia="Arial" w:hAnsi="Arial"/>
          <w:sz w:val="14"/>
          <w:szCs w:val="14"/>
          <w:color w:val="auto"/>
        </w:rPr>
        <w:t>Transaction deposits $ Savings and money market deposits</w:t>
      </w:r>
    </w:p>
    <w:p>
      <w:pPr>
        <w:ind w:left="320"/>
        <w:spacing w:after="0"/>
        <w:rPr>
          <w:sz w:val="20"/>
          <w:szCs w:val="20"/>
          <w:color w:val="auto"/>
        </w:rPr>
      </w:pPr>
      <w:r>
        <w:rPr>
          <w:rFonts w:ascii="Arial" w:cs="Arial" w:eastAsia="Arial" w:hAnsi="Arial"/>
          <w:sz w:val="14"/>
          <w:szCs w:val="14"/>
          <w:color w:val="auto"/>
        </w:rPr>
        <w:t>Time deposits</w:t>
      </w:r>
    </w:p>
    <w:p>
      <w:pPr>
        <w:spacing w:after="0" w:line="31" w:lineRule="exact"/>
        <w:rPr>
          <w:sz w:val="20"/>
          <w:szCs w:val="20"/>
          <w:color w:val="auto"/>
        </w:rPr>
      </w:pPr>
    </w:p>
    <w:p>
      <w:pPr>
        <w:ind w:left="320" w:right="1340"/>
        <w:spacing w:after="0" w:line="308" w:lineRule="auto"/>
        <w:rPr>
          <w:sz w:val="20"/>
          <w:szCs w:val="20"/>
          <w:color w:val="auto"/>
        </w:rPr>
      </w:pPr>
      <w:r>
        <w:rPr>
          <w:rFonts w:ascii="Arial" w:cs="Arial" w:eastAsia="Arial" w:hAnsi="Arial"/>
          <w:sz w:val="13"/>
          <w:szCs w:val="13"/>
          <w:color w:val="auto"/>
        </w:rPr>
        <w:t>Total interest-bearing deposits FHLB and short-term borrowings</w:t>
      </w:r>
    </w:p>
    <w:p>
      <w:pPr>
        <w:ind w:left="320"/>
        <w:spacing w:after="0"/>
        <w:rPr>
          <w:sz w:val="20"/>
          <w:szCs w:val="20"/>
          <w:color w:val="auto"/>
        </w:rPr>
      </w:pPr>
      <w:r>
        <w:rPr>
          <w:rFonts w:ascii="Arial" w:cs="Arial" w:eastAsia="Arial" w:hAnsi="Arial"/>
          <w:sz w:val="13"/>
          <w:szCs w:val="13"/>
          <w:color w:val="auto"/>
        </w:rPr>
        <w:t>Trust preferred securities, net of fair value adjustments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4"/>
          <w:szCs w:val="14"/>
          <w:color w:val="auto"/>
        </w:rPr>
        <w:t>Non-interest-bearing deposits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Cost of funds</w:t>
      </w:r>
    </w:p>
    <w:p>
      <w:pPr>
        <w:spacing w:after="0" w:line="2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Other liabilities</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Stockholders’ equity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220,783</w:t>
            </w:r>
          </w:p>
        </w:tc>
        <w:tc>
          <w:tcPr>
            <w:tcW w:w="8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2,487</w:t>
            </w:r>
          </w:p>
        </w:tc>
        <w:tc>
          <w:tcPr>
            <w:tcW w:w="40" w:type="dxa"/>
            <w:vAlign w:val="bottom"/>
          </w:tcPr>
          <w:p>
            <w:pPr>
              <w:spacing w:after="0"/>
              <w:rPr>
                <w:sz w:val="16"/>
                <w:szCs w:val="16"/>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color w:val="auto"/>
              </w:rPr>
              <w:t>2.26 %</w:t>
            </w:r>
          </w:p>
        </w:tc>
        <w:tc>
          <w:tcPr>
            <w:tcW w:w="6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209,730</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1,947</w:t>
            </w:r>
          </w:p>
        </w:tc>
        <w:tc>
          <w:tcPr>
            <w:tcW w:w="4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w w:val="91"/>
              </w:rPr>
              <w:t>1.86 %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vMerge w:val="restart"/>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543,873</w:t>
            </w:r>
          </w:p>
        </w:tc>
        <w:tc>
          <w:tcPr>
            <w:tcW w:w="4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9,120</w:t>
            </w:r>
          </w:p>
        </w:tc>
        <w:tc>
          <w:tcPr>
            <w:tcW w:w="40" w:type="dxa"/>
            <w:vAlign w:val="bottom"/>
          </w:tcPr>
          <w:p>
            <w:pPr>
              <w:spacing w:after="0"/>
              <w:rPr>
                <w:sz w:val="12"/>
                <w:szCs w:val="12"/>
                <w:color w:val="auto"/>
              </w:rPr>
            </w:pPr>
          </w:p>
        </w:tc>
        <w:tc>
          <w:tcPr>
            <w:tcW w:w="98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rPr>
              <w:t>3.35</w:t>
            </w:r>
          </w:p>
        </w:tc>
        <w:tc>
          <w:tcPr>
            <w:tcW w:w="40" w:type="dxa"/>
            <w:vAlign w:val="bottom"/>
            <w:vMerge w:val="continue"/>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464,208</w:t>
            </w:r>
          </w:p>
        </w:tc>
        <w:tc>
          <w:tcPr>
            <w:tcW w:w="40" w:type="dxa"/>
            <w:vAlign w:val="bottom"/>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8,286</w:t>
            </w:r>
          </w:p>
        </w:tc>
        <w:tc>
          <w:tcPr>
            <w:tcW w:w="40" w:type="dxa"/>
            <w:vAlign w:val="bottom"/>
          </w:tcPr>
          <w:p>
            <w:pPr>
              <w:spacing w:after="0"/>
              <w:rPr>
                <w:sz w:val="12"/>
                <w:szCs w:val="12"/>
                <w:color w:val="auto"/>
              </w:rPr>
            </w:pPr>
          </w:p>
        </w:tc>
        <w:tc>
          <w:tcPr>
            <w:tcW w:w="980" w:type="dxa"/>
            <w:vAlign w:val="bottom"/>
            <w:gridSpan w:val="2"/>
            <w:shd w:val="clear" w:color="auto" w:fill="CCEEFF"/>
          </w:tcPr>
          <w:p>
            <w:pPr>
              <w:ind w:left="740"/>
              <w:spacing w:after="0" w:line="108" w:lineRule="exact"/>
              <w:rPr>
                <w:sz w:val="20"/>
                <w:szCs w:val="20"/>
                <w:color w:val="auto"/>
              </w:rPr>
            </w:pPr>
            <w:r>
              <w:rPr>
                <w:rFonts w:ascii="Arial" w:cs="Arial" w:eastAsia="Arial" w:hAnsi="Arial"/>
                <w:sz w:val="12"/>
                <w:szCs w:val="12"/>
                <w:color w:val="auto"/>
                <w:w w:val="93"/>
              </w:rPr>
              <w:t>3.57</w:t>
            </w:r>
          </w:p>
        </w:tc>
        <w:tc>
          <w:tcPr>
            <w:tcW w:w="1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253,771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521</w:t>
            </w:r>
          </w:p>
        </w:tc>
        <w:tc>
          <w:tcPr>
            <w:tcW w:w="4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0.41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429,930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238</w:t>
            </w:r>
          </w:p>
        </w:tc>
        <w:tc>
          <w:tcPr>
            <w:tcW w:w="40" w:type="dxa"/>
            <w:vAlign w:val="bottom"/>
          </w:tcPr>
          <w:p>
            <w:pPr>
              <w:spacing w:after="0"/>
              <w:rPr>
                <w:sz w:val="16"/>
                <w:szCs w:val="16"/>
                <w:color w:val="auto"/>
              </w:rPr>
            </w:pPr>
          </w:p>
        </w:tc>
        <w:tc>
          <w:tcPr>
            <w:tcW w:w="980" w:type="dxa"/>
            <w:vAlign w:val="bottom"/>
            <w:gridSpan w:val="2"/>
          </w:tcPr>
          <w:p>
            <w:pPr>
              <w:ind w:left="740"/>
              <w:spacing w:after="0"/>
              <w:rPr>
                <w:sz w:val="20"/>
                <w:szCs w:val="20"/>
                <w:color w:val="auto"/>
              </w:rPr>
            </w:pPr>
            <w:r>
              <w:rPr>
                <w:rFonts w:ascii="Arial" w:cs="Arial" w:eastAsia="Arial" w:hAnsi="Arial"/>
                <w:sz w:val="14"/>
                <w:szCs w:val="14"/>
                <w:color w:val="auto"/>
                <w:w w:val="80"/>
              </w:rPr>
              <w:t>0.11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4,385,664</w:t>
            </w:r>
          </w:p>
        </w:tc>
        <w:tc>
          <w:tcPr>
            <w:tcW w:w="40" w:type="dxa"/>
            <w:vAlign w:val="bottom"/>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90,055</w:t>
            </w:r>
          </w:p>
        </w:tc>
        <w:tc>
          <w:tcPr>
            <w:tcW w:w="40" w:type="dxa"/>
            <w:vAlign w:val="bottom"/>
          </w:tcPr>
          <w:p>
            <w:pPr>
              <w:spacing w:after="0"/>
              <w:rPr>
                <w:sz w:val="12"/>
                <w:szCs w:val="12"/>
                <w:color w:val="auto"/>
              </w:rPr>
            </w:pPr>
          </w:p>
        </w:tc>
        <w:tc>
          <w:tcPr>
            <w:tcW w:w="980" w:type="dxa"/>
            <w:vAlign w:val="bottom"/>
            <w:tcBorders>
              <w:top w:val="single" w:sz="8" w:color="CCEEFF"/>
            </w:tcBorders>
            <w:gridSpan w:val="2"/>
            <w:shd w:val="clear" w:color="auto" w:fill="CCEEFF"/>
          </w:tcPr>
          <w:p>
            <w:pPr>
              <w:jc w:val="right"/>
              <w:spacing w:after="0" w:line="108" w:lineRule="exact"/>
              <w:rPr>
                <w:sz w:val="20"/>
                <w:szCs w:val="20"/>
                <w:color w:val="auto"/>
              </w:rPr>
            </w:pPr>
            <w:r>
              <w:rPr>
                <w:rFonts w:ascii="Arial" w:cs="Arial" w:eastAsia="Arial" w:hAnsi="Arial"/>
                <w:sz w:val="12"/>
                <w:szCs w:val="12"/>
                <w:color w:val="auto"/>
              </w:rPr>
              <w:t>4.14</w:t>
            </w:r>
          </w:p>
        </w:tc>
        <w:tc>
          <w:tcPr>
            <w:tcW w:w="40" w:type="dxa"/>
            <w:vAlign w:val="bottom"/>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4,457,792</w:t>
            </w:r>
          </w:p>
        </w:tc>
        <w:tc>
          <w:tcPr>
            <w:tcW w:w="40" w:type="dxa"/>
            <w:vAlign w:val="bottom"/>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87,604</w:t>
            </w:r>
          </w:p>
        </w:tc>
        <w:tc>
          <w:tcPr>
            <w:tcW w:w="40" w:type="dxa"/>
            <w:vAlign w:val="bottom"/>
          </w:tcPr>
          <w:p>
            <w:pPr>
              <w:spacing w:after="0"/>
              <w:rPr>
                <w:sz w:val="12"/>
                <w:szCs w:val="12"/>
                <w:color w:val="auto"/>
              </w:rPr>
            </w:pPr>
          </w:p>
        </w:tc>
        <w:tc>
          <w:tcPr>
            <w:tcW w:w="980" w:type="dxa"/>
            <w:vAlign w:val="bottom"/>
            <w:tcBorders>
              <w:top w:val="single" w:sz="8" w:color="CCEEFF"/>
            </w:tcBorders>
            <w:gridSpan w:val="2"/>
            <w:shd w:val="clear" w:color="auto" w:fill="CCEEFF"/>
          </w:tcPr>
          <w:p>
            <w:pPr>
              <w:ind w:left="740"/>
              <w:spacing w:after="0" w:line="108" w:lineRule="exact"/>
              <w:rPr>
                <w:sz w:val="20"/>
                <w:szCs w:val="20"/>
                <w:color w:val="auto"/>
              </w:rPr>
            </w:pPr>
            <w:r>
              <w:rPr>
                <w:rFonts w:ascii="Arial" w:cs="Arial" w:eastAsia="Arial" w:hAnsi="Arial"/>
                <w:sz w:val="12"/>
                <w:szCs w:val="12"/>
                <w:color w:val="auto"/>
                <w:w w:val="93"/>
              </w:rPr>
              <w:t>3.96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5,404,091</w:t>
            </w:r>
          </w:p>
        </w:tc>
        <w:tc>
          <w:tcPr>
            <w:tcW w:w="80" w:type="dxa"/>
            <w:vAlign w:val="bottom"/>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102,183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3.81 %</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5,561,660</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98,075</w:t>
            </w: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w w:val="91"/>
              </w:rPr>
              <w:t>3.55 %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940" w:type="dxa"/>
            <w:vAlign w:val="bottom"/>
            <w:gridSpan w:val="2"/>
          </w:tcPr>
          <w:p>
            <w:pPr>
              <w:jc w:val="right"/>
              <w:spacing w:after="0"/>
              <w:rPr>
                <w:sz w:val="20"/>
                <w:szCs w:val="20"/>
                <w:color w:val="auto"/>
              </w:rPr>
            </w:pPr>
            <w:r>
              <w:rPr>
                <w:rFonts w:ascii="Arial" w:cs="Arial" w:eastAsia="Arial" w:hAnsi="Arial"/>
                <w:sz w:val="14"/>
                <w:szCs w:val="14"/>
                <w:color w:val="auto"/>
              </w:rPr>
              <w:t>(57,324)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(77,552)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207,881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251,450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94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5,554,648</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49"/>
              <w:spacing w:after="0" w:line="141"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5,735,558</w:t>
            </w:r>
          </w:p>
        </w:tc>
        <w:tc>
          <w:tcPr>
            <w:tcW w:w="40" w:type="dxa"/>
            <w:vAlign w:val="bottom"/>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94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2"/>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546,982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40" w:type="dxa"/>
            <w:vAlign w:val="bottom"/>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0.22</w:t>
            </w:r>
          </w:p>
        </w:tc>
        <w:tc>
          <w:tcPr>
            <w:tcW w:w="40" w:type="dxa"/>
            <w:vAlign w:val="bottom"/>
            <w:vMerge w:val="continue"/>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690,514</w:t>
            </w:r>
          </w:p>
        </w:tc>
        <w:tc>
          <w:tcPr>
            <w:tcW w:w="40" w:type="dxa"/>
            <w:vAlign w:val="bottom"/>
          </w:tcPr>
          <w:p>
            <w:pPr>
              <w:spacing w:after="0"/>
              <w:rPr>
                <w:sz w:val="13"/>
                <w:szCs w:val="13"/>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40" w:type="dxa"/>
            <w:vAlign w:val="bottom"/>
          </w:tcPr>
          <w:p>
            <w:pPr>
              <w:spacing w:after="0"/>
              <w:rPr>
                <w:sz w:val="13"/>
                <w:szCs w:val="13"/>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w w:val="80"/>
              </w:rPr>
              <w:t>0.20</w:t>
            </w:r>
          </w:p>
        </w:tc>
        <w:tc>
          <w:tcPr>
            <w:tcW w:w="1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2,318,415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4,716</w:t>
            </w:r>
          </w:p>
        </w:tc>
        <w:tc>
          <w:tcPr>
            <w:tcW w:w="40" w:type="dxa"/>
            <w:vAlign w:val="bottom"/>
          </w:tcPr>
          <w:p>
            <w:pPr>
              <w:spacing w:after="0"/>
              <w:rPr>
                <w:sz w:val="16"/>
                <w:szCs w:val="16"/>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0.41</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2,403,318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4,495</w:t>
            </w:r>
          </w:p>
        </w:tc>
        <w:tc>
          <w:tcPr>
            <w:tcW w:w="40" w:type="dxa"/>
            <w:vAlign w:val="bottom"/>
          </w:tcPr>
          <w:p>
            <w:pPr>
              <w:spacing w:after="0"/>
              <w:rPr>
                <w:sz w:val="16"/>
                <w:szCs w:val="16"/>
                <w:color w:val="auto"/>
              </w:rPr>
            </w:pP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rPr>
              <w:t>0.38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573,503</w:t>
            </w:r>
          </w:p>
        </w:tc>
        <w:tc>
          <w:tcPr>
            <w:tcW w:w="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2,931</w:t>
            </w:r>
          </w:p>
        </w:tc>
        <w:tc>
          <w:tcPr>
            <w:tcW w:w="40" w:type="dxa"/>
            <w:vAlign w:val="bottom"/>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4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920,307</w:t>
            </w:r>
          </w:p>
        </w:tc>
        <w:tc>
          <w:tcPr>
            <w:tcW w:w="4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5,406</w:t>
            </w:r>
          </w:p>
        </w:tc>
        <w:tc>
          <w:tcPr>
            <w:tcW w:w="40" w:type="dxa"/>
            <w:vAlign w:val="bottom"/>
          </w:tcPr>
          <w:p>
            <w:pPr>
              <w:spacing w:after="0"/>
              <w:rPr>
                <w:sz w:val="15"/>
                <w:szCs w:val="15"/>
                <w:color w:val="auto"/>
              </w:rPr>
            </w:pPr>
          </w:p>
        </w:tc>
        <w:tc>
          <w:tcPr>
            <w:tcW w:w="98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w w:val="80"/>
              </w:rPr>
              <w:t>1.18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3,438,900</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8,243</w:t>
            </w:r>
          </w:p>
        </w:tc>
        <w:tc>
          <w:tcPr>
            <w:tcW w:w="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0.48</w:t>
            </w:r>
          </w:p>
        </w:tc>
        <w:tc>
          <w:tcPr>
            <w:tcW w:w="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4,014,139</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10,578</w:t>
            </w:r>
          </w:p>
        </w:tc>
        <w:tc>
          <w:tcPr>
            <w:tcW w:w="80" w:type="dxa"/>
            <w:vAlign w:val="bottom"/>
          </w:tcPr>
          <w:p>
            <w:pPr>
              <w:spacing w:after="0"/>
              <w:rPr>
                <w:sz w:val="15"/>
                <w:szCs w:val="15"/>
                <w:color w:val="auto"/>
              </w:rPr>
            </w:pPr>
          </w:p>
        </w:tc>
        <w:tc>
          <w:tcPr>
            <w:tcW w:w="1080" w:type="dxa"/>
            <w:vAlign w:val="bottom"/>
            <w:tcBorders>
              <w:top w:val="single" w:sz="8" w:color="auto"/>
            </w:tcBorders>
            <w:gridSpan w:val="2"/>
          </w:tcPr>
          <w:p>
            <w:pPr>
              <w:ind w:left="660"/>
              <w:spacing w:after="0"/>
              <w:rPr>
                <w:sz w:val="20"/>
                <w:szCs w:val="20"/>
                <w:color w:val="auto"/>
              </w:rPr>
            </w:pPr>
            <w:r>
              <w:rPr>
                <w:rFonts w:ascii="Arial" w:cs="Arial" w:eastAsia="Arial" w:hAnsi="Arial"/>
                <w:sz w:val="14"/>
                <w:szCs w:val="14"/>
                <w:color w:val="auto"/>
              </w:rPr>
              <w:t>0.53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280,883</w:t>
            </w:r>
          </w:p>
        </w:tc>
        <w:tc>
          <w:tcPr>
            <w:tcW w:w="40" w:type="dxa"/>
            <w:vAlign w:val="bottom"/>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2,477</w:t>
            </w:r>
          </w:p>
        </w:tc>
        <w:tc>
          <w:tcPr>
            <w:tcW w:w="40" w:type="dxa"/>
            <w:vAlign w:val="bottom"/>
          </w:tcPr>
          <w:p>
            <w:pPr>
              <w:spacing w:after="0"/>
              <w:rPr>
                <w:sz w:val="13"/>
                <w:szCs w:val="13"/>
                <w:color w:val="auto"/>
              </w:rPr>
            </w:pPr>
          </w:p>
        </w:tc>
        <w:tc>
          <w:tcPr>
            <w:tcW w:w="980" w:type="dxa"/>
            <w:vAlign w:val="bottom"/>
            <w:tcBorders>
              <w:top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40" w:type="dxa"/>
            <w:vAlign w:val="bottom"/>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289,039</w:t>
            </w:r>
          </w:p>
        </w:tc>
        <w:tc>
          <w:tcPr>
            <w:tcW w:w="40" w:type="dxa"/>
            <w:vAlign w:val="bottom"/>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2,566</w:t>
            </w:r>
          </w:p>
        </w:tc>
        <w:tc>
          <w:tcPr>
            <w:tcW w:w="40" w:type="dxa"/>
            <w:vAlign w:val="bottom"/>
          </w:tcPr>
          <w:p>
            <w:pPr>
              <w:spacing w:after="0"/>
              <w:rPr>
                <w:sz w:val="13"/>
                <w:szCs w:val="13"/>
                <w:color w:val="auto"/>
              </w:rPr>
            </w:pPr>
          </w:p>
        </w:tc>
        <w:tc>
          <w:tcPr>
            <w:tcW w:w="980" w:type="dxa"/>
            <w:vAlign w:val="bottom"/>
            <w:tcBorders>
              <w:top w:val="single" w:sz="8" w:color="CCEEFF"/>
            </w:tcBorders>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w w:val="80"/>
              </w:rPr>
              <w:t>1.79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900" w:type="dxa"/>
            <w:vAlign w:val="bottom"/>
          </w:tcPr>
          <w:p>
            <w:pPr>
              <w:jc w:val="right"/>
              <w:spacing w:after="0"/>
              <w:rPr>
                <w:sz w:val="20"/>
                <w:szCs w:val="20"/>
                <w:color w:val="auto"/>
              </w:rPr>
            </w:pPr>
            <w:r>
              <w:rPr>
                <w:rFonts w:ascii="Arial" w:cs="Arial" w:eastAsia="Arial" w:hAnsi="Arial"/>
                <w:sz w:val="14"/>
                <w:szCs w:val="14"/>
                <w:color w:val="auto"/>
              </w:rPr>
              <w:t>1,018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56</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11.11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48</w:t>
            </w: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rPr>
              <w:t>9.89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1,153,499</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766,725</w:t>
            </w:r>
          </w:p>
        </w:tc>
        <w:tc>
          <w:tcPr>
            <w:tcW w:w="40" w:type="dxa"/>
            <w:vAlign w:val="bottom"/>
            <w:tcBorders>
              <w:bottom w:val="single" w:sz="8" w:color="auto"/>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4,874,300</w:t>
            </w:r>
          </w:p>
        </w:tc>
        <w:tc>
          <w:tcPr>
            <w:tcW w:w="80" w:type="dxa"/>
            <w:vAlign w:val="bottom"/>
          </w:tcPr>
          <w:p>
            <w:pPr>
              <w:spacing w:after="0"/>
              <w:rPr>
                <w:sz w:val="16"/>
                <w:szCs w:val="16"/>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10,776</w:t>
            </w:r>
          </w:p>
        </w:tc>
        <w:tc>
          <w:tcPr>
            <w:tcW w:w="40" w:type="dxa"/>
            <w:vAlign w:val="bottom"/>
          </w:tcPr>
          <w:p>
            <w:pPr>
              <w:spacing w:after="0"/>
              <w:rPr>
                <w:sz w:val="16"/>
                <w:szCs w:val="16"/>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color w:val="auto"/>
              </w:rPr>
              <w:t>0.44 %</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5,070,874</w:t>
            </w: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13,192</w:t>
            </w:r>
          </w:p>
        </w:tc>
        <w:tc>
          <w:tcPr>
            <w:tcW w:w="1160" w:type="dxa"/>
            <w:vAlign w:val="bottom"/>
            <w:gridSpan w:val="3"/>
          </w:tcPr>
          <w:p>
            <w:pPr>
              <w:ind w:left="740"/>
              <w:spacing w:after="0"/>
              <w:rPr>
                <w:sz w:val="20"/>
                <w:szCs w:val="20"/>
                <w:color w:val="auto"/>
              </w:rPr>
            </w:pPr>
            <w:r>
              <w:rPr>
                <w:rFonts w:ascii="Arial" w:cs="Arial" w:eastAsia="Arial" w:hAnsi="Arial"/>
                <w:sz w:val="14"/>
                <w:szCs w:val="14"/>
                <w:color w:val="auto"/>
                <w:w w:val="91"/>
              </w:rPr>
              <w:t>0.52 %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46,312</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35,017</w:t>
            </w: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634,036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629,667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560" w:space="140"/>
            <w:col w:w="6800"/>
          </w:cols>
          <w:pgMar w:left="780" w:top="407" w:right="619" w:bottom="1440" w:gutter="0" w:footer="0" w:header="0"/>
          <w:type w:val="continuous"/>
        </w:sectPr>
      </w:pPr>
    </w:p>
    <w:tbl>
      <w:tblPr>
        <w:tblLayout w:type="fixed"/>
        <w:tblInd w:w="120" w:type="dxa"/>
        <w:tblCellMar>
          <w:top w:w="0" w:type="dxa"/>
          <w:left w:w="0" w:type="dxa"/>
          <w:bottom w:w="0" w:type="dxa"/>
          <w:right w:w="0" w:type="dxa"/>
        </w:tblCellMar>
      </w:tblPr>
      <w:tr>
        <w:trPr>
          <w:trHeight w:val="185"/>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 and stockholders’ equity</w:t>
            </w: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5,554,648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auto"/>
            </w:tcBorders>
            <w:shd w:val="clear" w:color="auto" w:fill="CCEEFF"/>
          </w:tcPr>
          <w:p>
            <w:pPr>
              <w:spacing w:after="0"/>
              <w:rPr>
                <w:sz w:val="16"/>
                <w:szCs w:val="16"/>
                <w:color w:val="auto"/>
              </w:rPr>
            </w:pPr>
          </w:p>
        </w:tc>
        <w:tc>
          <w:tcPr>
            <w:tcW w:w="94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5,735,558</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auto"/>
            </w:tcBorders>
            <w:shd w:val="clear" w:color="auto" w:fill="CCEEFF"/>
          </w:tcPr>
          <w:p>
            <w:pPr>
              <w:spacing w:after="0"/>
              <w:rPr>
                <w:sz w:val="16"/>
                <w:szCs w:val="16"/>
                <w:color w:val="auto"/>
              </w:rPr>
            </w:pPr>
          </w:p>
        </w:tc>
        <w:tc>
          <w:tcPr>
            <w:tcW w:w="940" w:type="dxa"/>
            <w:vAlign w:val="bottom"/>
            <w:tcBorders>
              <w:top w:val="single" w:sz="8" w:color="CCEEFF"/>
              <w:bottom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820" w:type="dxa"/>
            <w:vAlign w:val="bottom"/>
          </w:tcPr>
          <w:p>
            <w:pPr>
              <w:spacing w:after="0" w:line="154" w:lineRule="exact"/>
              <w:rPr>
                <w:sz w:val="20"/>
                <w:szCs w:val="20"/>
                <w:color w:val="auto"/>
              </w:rPr>
            </w:pPr>
            <w:r>
              <w:rPr>
                <w:rFonts w:ascii="Arial" w:cs="Arial" w:eastAsia="Arial" w:hAnsi="Arial"/>
                <w:sz w:val="13"/>
                <w:szCs w:val="13"/>
                <w:color w:val="auto"/>
              </w:rPr>
              <w:t>Net interest income - tax-equivalent</w:t>
            </w:r>
            <w:r>
              <w:rPr>
                <w:rFonts w:ascii="Arial" w:cs="Arial" w:eastAsia="Arial" w:hAnsi="Arial"/>
                <w:sz w:val="17"/>
                <w:szCs w:val="17"/>
                <w:color w:val="auto"/>
                <w:vertAlign w:val="superscript"/>
              </w:rPr>
              <w:t>(2)</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91,407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3" w:lineRule="exact"/>
              <w:rPr>
                <w:sz w:val="20"/>
                <w:szCs w:val="20"/>
                <w:color w:val="auto"/>
              </w:rPr>
            </w:pPr>
            <w:r>
              <w:rPr>
                <w:rFonts w:ascii="Arial" w:cs="Arial" w:eastAsia="Arial" w:hAnsi="Arial"/>
                <w:sz w:val="14"/>
                <w:szCs w:val="14"/>
                <w:color w:val="auto"/>
              </w:rPr>
              <w:t>84,883</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2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3"/>
                <w:szCs w:val="13"/>
                <w:color w:val="auto"/>
              </w:rPr>
              <w:t xml:space="preserve">Net interest spread - tax-equivalent </w:t>
            </w:r>
            <w:r>
              <w:rPr>
                <w:rFonts w:ascii="Arial" w:cs="Arial" w:eastAsia="Arial" w:hAnsi="Arial"/>
                <w:sz w:val="17"/>
                <w:szCs w:val="17"/>
                <w:color w:val="auto"/>
                <w:vertAlign w:val="superscript"/>
              </w:rPr>
              <w:t>(2)</w:t>
            </w:r>
          </w:p>
        </w:tc>
        <w:tc>
          <w:tcPr>
            <w:tcW w:w="5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3.37</w:t>
            </w:r>
          </w:p>
        </w:tc>
        <w:tc>
          <w:tcPr>
            <w:tcW w:w="2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3.03</w:t>
            </w:r>
          </w:p>
        </w:tc>
        <w:tc>
          <w:tcPr>
            <w:tcW w:w="180" w:type="dxa"/>
            <w:vAlign w:val="bottom"/>
            <w:tcBorders>
              <w:top w:val="single" w:sz="8" w:color="auto"/>
              <w:bottom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line="194" w:lineRule="exact"/>
              <w:rPr>
                <w:sz w:val="20"/>
                <w:szCs w:val="20"/>
                <w:color w:val="auto"/>
              </w:rPr>
            </w:pPr>
            <w:r>
              <w:rPr>
                <w:rFonts w:ascii="Arial" w:cs="Arial" w:eastAsia="Arial" w:hAnsi="Arial"/>
                <w:sz w:val="14"/>
                <w:szCs w:val="14"/>
                <w:color w:val="auto"/>
              </w:rPr>
              <w:t>Net interest margin - tax-equivalent</w:t>
            </w:r>
            <w:r>
              <w:rPr>
                <w:rFonts w:ascii="Arial" w:cs="Arial" w:eastAsia="Arial" w:hAnsi="Arial"/>
                <w:sz w:val="18"/>
                <w:szCs w:val="18"/>
                <w:color w:val="auto"/>
                <w:vertAlign w:val="superscript"/>
              </w:rPr>
              <w:t>(2)</w:t>
            </w: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82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3.41 %</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gridSpan w:val="4"/>
          </w:tcPr>
          <w:p>
            <w:pPr>
              <w:jc w:val="right"/>
              <w:spacing w:after="0" w:line="153" w:lineRule="exact"/>
              <w:rPr>
                <w:sz w:val="20"/>
                <w:szCs w:val="20"/>
                <w:color w:val="auto"/>
              </w:rPr>
            </w:pPr>
            <w:r>
              <w:rPr>
                <w:rFonts w:ascii="Arial" w:cs="Arial" w:eastAsia="Arial" w:hAnsi="Arial"/>
                <w:sz w:val="14"/>
                <w:szCs w:val="14"/>
                <w:color w:val="auto"/>
              </w:rPr>
              <w:t>3.07 %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360" w:hanging="237"/>
        <w:spacing w:after="0"/>
        <w:tabs>
          <w:tab w:leader="none" w:pos="360" w:val="left"/>
        </w:tabs>
        <w:numPr>
          <w:ilvl w:val="0"/>
          <w:numId w:val="24"/>
        </w:numPr>
        <w:rPr>
          <w:rFonts w:ascii="Arial" w:cs="Arial" w:eastAsia="Arial" w:hAnsi="Arial"/>
          <w:sz w:val="15"/>
          <w:szCs w:val="15"/>
          <w:color w:val="auto"/>
          <w:vertAlign w:val="superscript"/>
        </w:rPr>
      </w:pPr>
      <w:r>
        <w:rPr>
          <w:rFonts w:ascii="Arial" w:cs="Arial" w:eastAsia="Arial" w:hAnsi="Arial"/>
          <w:sz w:val="11"/>
          <w:szCs w:val="11"/>
          <w:color w:val="auto"/>
        </w:rPr>
        <w:t>Actual unrounded values are used to calculate the reported yield or rate. Accordingly, recalculations using the amounts in thousands as disclosed in this report may not produce the same amounts.</w:t>
      </w:r>
    </w:p>
    <w:p>
      <w:pPr>
        <w:spacing w:after="0" w:line="39" w:lineRule="exact"/>
        <w:rPr>
          <w:rFonts w:ascii="Arial" w:cs="Arial" w:eastAsia="Arial" w:hAnsi="Arial"/>
          <w:sz w:val="15"/>
          <w:szCs w:val="15"/>
          <w:color w:val="auto"/>
          <w:vertAlign w:val="superscript"/>
        </w:rPr>
      </w:pPr>
    </w:p>
    <w:p>
      <w:pPr>
        <w:ind w:left="360" w:hanging="237"/>
        <w:spacing w:after="0" w:line="186" w:lineRule="auto"/>
        <w:tabs>
          <w:tab w:leader="none" w:pos="360" w:val="left"/>
        </w:tabs>
        <w:numPr>
          <w:ilvl w:val="0"/>
          <w:numId w:val="24"/>
        </w:numPr>
        <w:rPr>
          <w:rFonts w:ascii="Arial" w:cs="Arial" w:eastAsia="Arial" w:hAnsi="Arial"/>
          <w:sz w:val="17"/>
          <w:szCs w:val="17"/>
          <w:color w:val="auto"/>
          <w:vertAlign w:val="superscript"/>
        </w:rPr>
      </w:pPr>
      <w:r>
        <w:rPr>
          <w:rFonts w:ascii="Arial" w:cs="Arial" w:eastAsia="Arial" w:hAnsi="Arial"/>
          <w:sz w:val="12"/>
          <w:szCs w:val="12"/>
          <w:color w:val="auto"/>
        </w:rPr>
        <w:t>Tax exempt income is calculated on a tax equivalent basis. Tax-free municipal securities are exempt from Federal income taxes. The incremental tax rate used is 21.0%.</w:t>
      </w:r>
    </w:p>
    <w:p>
      <w:pPr>
        <w:spacing w:after="0" w:line="29" w:lineRule="exact"/>
        <w:rPr>
          <w:rFonts w:ascii="Arial" w:cs="Arial" w:eastAsia="Arial" w:hAnsi="Arial"/>
          <w:sz w:val="17"/>
          <w:szCs w:val="17"/>
          <w:color w:val="auto"/>
          <w:vertAlign w:val="superscript"/>
        </w:rPr>
      </w:pPr>
    </w:p>
    <w:p>
      <w:pPr>
        <w:ind w:left="360" w:hanging="237"/>
        <w:spacing w:after="0" w:line="186" w:lineRule="auto"/>
        <w:tabs>
          <w:tab w:leader="none" w:pos="360" w:val="left"/>
        </w:tabs>
        <w:numPr>
          <w:ilvl w:val="0"/>
          <w:numId w:val="24"/>
        </w:numPr>
        <w:rPr>
          <w:rFonts w:ascii="Arial" w:cs="Arial" w:eastAsia="Arial" w:hAnsi="Arial"/>
          <w:sz w:val="17"/>
          <w:szCs w:val="17"/>
          <w:color w:val="auto"/>
          <w:vertAlign w:val="superscript"/>
        </w:rPr>
      </w:pPr>
      <w:r>
        <w:rPr>
          <w:rFonts w:ascii="Arial" w:cs="Arial" w:eastAsia="Arial" w:hAnsi="Arial"/>
          <w:sz w:val="12"/>
          <w:szCs w:val="12"/>
          <w:color w:val="auto"/>
        </w:rPr>
        <w:t>Loans, net of unearned income include non-accrual loans of $28 million and $55 million as of June 30, 2022 and 2021, respectively.</w:t>
      </w:r>
    </w:p>
    <w:p>
      <w:pPr>
        <w:spacing w:after="0" w:line="29" w:lineRule="exact"/>
        <w:rPr>
          <w:rFonts w:ascii="Arial" w:cs="Arial" w:eastAsia="Arial" w:hAnsi="Arial"/>
          <w:sz w:val="17"/>
          <w:szCs w:val="17"/>
          <w:color w:val="auto"/>
          <w:vertAlign w:val="superscript"/>
        </w:rPr>
      </w:pPr>
    </w:p>
    <w:p>
      <w:pPr>
        <w:ind w:left="360" w:hanging="237"/>
        <w:spacing w:after="0" w:line="186" w:lineRule="auto"/>
        <w:tabs>
          <w:tab w:leader="none" w:pos="360" w:val="left"/>
        </w:tabs>
        <w:numPr>
          <w:ilvl w:val="0"/>
          <w:numId w:val="24"/>
        </w:numPr>
        <w:rPr>
          <w:rFonts w:ascii="Arial" w:cs="Arial" w:eastAsia="Arial" w:hAnsi="Arial"/>
          <w:sz w:val="17"/>
          <w:szCs w:val="17"/>
          <w:color w:val="auto"/>
          <w:vertAlign w:val="superscript"/>
        </w:rPr>
      </w:pPr>
      <w:r>
        <w:rPr>
          <w:rFonts w:ascii="Arial" w:cs="Arial" w:eastAsia="Arial" w:hAnsi="Arial"/>
          <w:sz w:val="12"/>
          <w:szCs w:val="12"/>
          <w:color w:val="auto"/>
        </w:rPr>
        <w:t>Loan interest income includes loan fees of $7 million and $9 million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500"/>
          </w:cols>
          <w:pgMar w:left="780" w:top="407" w:right="619" w:bottom="1440" w:gutter="0" w:footer="0" w:header="0"/>
          <w:type w:val="continuous"/>
        </w:sectPr>
      </w:pPr>
    </w:p>
    <w:bookmarkStart w:id="53" w:name="page54"/>
    <w:bookmarkEnd w:id="53"/>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jc w:val="both"/>
        <w:ind w:left="140" w:right="100" w:firstLine="384"/>
        <w:spacing w:after="0" w:line="300" w:lineRule="auto"/>
        <w:rPr>
          <w:sz w:val="20"/>
          <w:szCs w:val="20"/>
          <w:color w:val="auto"/>
        </w:rPr>
      </w:pPr>
      <w:r>
        <w:rPr>
          <w:rFonts w:ascii="Arial" w:cs="Arial" w:eastAsia="Arial" w:hAnsi="Arial"/>
          <w:sz w:val="14"/>
          <w:szCs w:val="14"/>
          <w:color w:val="auto"/>
        </w:rPr>
        <w:t>Changes in interest income and interest expense result from changes in average balances (volume) of interest earning assets and interest-bearing liabilities, as well as changes in average interest rates. The following table sets forth the effects of changing rates and volumes on our net interest income during the periods shown. Information is provided with respect to: (i) changes in volume (change in volume times old rate); (ii) changes in rates (change in rate times old volume); and (iii) changes in rate/volume (change in rate times the change in volume).</w:t>
      </w:r>
    </w:p>
    <w:p>
      <w:pPr>
        <w:spacing w:after="0" w:line="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20" w:type="dxa"/>
            <w:vAlign w:val="bottom"/>
            <w:gridSpan w:val="7"/>
          </w:tcPr>
          <w:p>
            <w:pPr>
              <w:jc w:val="center"/>
              <w:ind w:right="29"/>
              <w:spacing w:after="0"/>
              <w:rPr>
                <w:sz w:val="20"/>
                <w:szCs w:val="20"/>
                <w:color w:val="auto"/>
              </w:rPr>
            </w:pPr>
            <w:r>
              <w:rPr>
                <w:rFonts w:ascii="Arial" w:cs="Arial" w:eastAsia="Arial" w:hAnsi="Arial"/>
                <w:sz w:val="14"/>
                <w:szCs w:val="14"/>
                <w:b w:val="1"/>
                <w:bCs w:val="1"/>
                <w:color w:val="auto"/>
                <w:w w:val="93"/>
              </w:rPr>
              <w:t>Three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8"/>
          </w:tcPr>
          <w:p>
            <w:pPr>
              <w:jc w:val="center"/>
              <w:ind w:left="789"/>
              <w:spacing w:after="0"/>
              <w:rPr>
                <w:sz w:val="20"/>
                <w:szCs w:val="20"/>
                <w:color w:val="auto"/>
              </w:rPr>
            </w:pPr>
            <w:r>
              <w:rPr>
                <w:rFonts w:ascii="Arial" w:cs="Arial" w:eastAsia="Arial" w:hAnsi="Arial"/>
                <w:sz w:val="14"/>
                <w:szCs w:val="14"/>
                <w:b w:val="1"/>
                <w:bCs w:val="1"/>
                <w:color w:val="auto"/>
                <w:w w:val="90"/>
              </w:rPr>
              <w:t>June 30, 2022 over 2021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left="289"/>
              <w:spacing w:after="0"/>
              <w:rPr>
                <w:sz w:val="20"/>
                <w:szCs w:val="20"/>
                <w:color w:val="auto"/>
              </w:rPr>
            </w:pPr>
            <w:r>
              <w:rPr>
                <w:rFonts w:ascii="Arial" w:cs="Arial" w:eastAsia="Arial" w:hAnsi="Arial"/>
                <w:sz w:val="14"/>
                <w:szCs w:val="14"/>
                <w:b w:val="1"/>
                <w:bCs w:val="1"/>
                <w:color w:val="auto"/>
                <w:w w:val="90"/>
              </w:rPr>
              <w:t>June 30, 2022 over 2021</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Average Volume</w:t>
            </w:r>
          </w:p>
        </w:tc>
        <w:tc>
          <w:tcPr>
            <w:tcW w:w="10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89"/>
              <w:spacing w:after="0"/>
              <w:rPr>
                <w:sz w:val="20"/>
                <w:szCs w:val="20"/>
                <w:color w:val="auto"/>
              </w:rPr>
            </w:pPr>
            <w:r>
              <w:rPr>
                <w:rFonts w:ascii="Arial" w:cs="Arial" w:eastAsia="Arial" w:hAnsi="Arial"/>
                <w:sz w:val="14"/>
                <w:szCs w:val="14"/>
                <w:b w:val="1"/>
                <w:bCs w:val="1"/>
                <w:color w:val="auto"/>
                <w:w w:val="94"/>
              </w:rPr>
              <w:t>Yield/Rate</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86"/>
              </w:rPr>
              <w:t>Net Change</w:t>
            </w:r>
            <w:r>
              <w:rPr>
                <w:rFonts w:ascii="Arial" w:cs="Arial" w:eastAsia="Arial" w:hAnsi="Arial"/>
                <w:sz w:val="18"/>
                <w:szCs w:val="18"/>
                <w:b w:val="1"/>
                <w:bCs w:val="1"/>
                <w:color w:val="auto"/>
                <w:w w:val="86"/>
                <w:vertAlign w:val="superscript"/>
              </w:rPr>
              <w:t>(1)</w:t>
            </w:r>
          </w:p>
        </w:tc>
        <w:tc>
          <w:tcPr>
            <w:tcW w:w="80" w:type="dxa"/>
            <w:vAlign w:val="bottom"/>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Average Volume</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4"/>
              </w:rPr>
              <w:t>Yield/Rate</w:t>
            </w:r>
          </w:p>
        </w:tc>
        <w:tc>
          <w:tcPr>
            <w:tcW w:w="8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88"/>
              </w:rPr>
              <w:t>Net Change</w:t>
            </w:r>
            <w:r>
              <w:rPr>
                <w:rFonts w:ascii="Arial" w:cs="Arial" w:eastAsia="Arial" w:hAnsi="Arial"/>
                <w:sz w:val="18"/>
                <w:szCs w:val="18"/>
                <w:b w:val="1"/>
                <w:bCs w:val="1"/>
                <w:color w:val="auto"/>
                <w:w w:val="88"/>
                <w:vertAlign w:val="superscript"/>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3"/>
                <w:szCs w:val="13"/>
                <w:i w:val="1"/>
                <w:iCs w:val="1"/>
                <w:color w:val="auto"/>
              </w:rPr>
              <w:t>(Dollars in thousands)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20" w:type="dxa"/>
            <w:vAlign w:val="bottom"/>
            <w:tcBorders>
              <w:left w:val="single" w:sz="8" w:color="CCEEFF"/>
            </w:tcBorders>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Securities - taxable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107</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Securities - tax-exempt</w:t>
            </w:r>
            <w:r>
              <w:rPr>
                <w:rFonts w:ascii="Arial" w:cs="Arial" w:eastAsia="Arial" w:hAnsi="Arial"/>
                <w:sz w:val="18"/>
                <w:szCs w:val="18"/>
                <w:color w:val="auto"/>
                <w:vertAlign w:val="superscript"/>
              </w:rPr>
              <w:t>(2)</w:t>
            </w:r>
          </w:p>
        </w:tc>
        <w:tc>
          <w:tcPr>
            <w:tcW w:w="120" w:type="dxa"/>
            <w:vAlign w:val="bottom"/>
            <w:tcBorders>
              <w:left w:val="single" w:sz="8" w:color="CCEEFF"/>
            </w:tcBorders>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8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(153)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Interest-bearing deposits in other banks</w:t>
            </w:r>
          </w:p>
        </w:tc>
        <w:tc>
          <w:tcPr>
            <w:tcW w:w="120" w:type="dxa"/>
            <w:vAlign w:val="bottom"/>
          </w:tcPr>
          <w:p>
            <w:pPr>
              <w:spacing w:after="0"/>
              <w:rPr>
                <w:sz w:val="17"/>
                <w:szCs w:val="17"/>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Gross loans, net of unearned income</w:t>
            </w:r>
          </w:p>
        </w:tc>
        <w:tc>
          <w:tcPr>
            <w:tcW w:w="120" w:type="dxa"/>
            <w:vAlign w:val="bottom"/>
            <w:tcBorders>
              <w:left w:val="single" w:sz="8" w:color="CCEEFF"/>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3,481</w:t>
            </w:r>
          </w:p>
        </w:tc>
        <w:tc>
          <w:tcPr>
            <w:tcW w:w="8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(1,434)</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Total interest income</w:t>
            </w:r>
            <w:r>
              <w:rPr>
                <w:rFonts w:ascii="Arial" w:cs="Arial" w:eastAsia="Arial" w:hAnsi="Arial"/>
                <w:sz w:val="18"/>
                <w:szCs w:val="18"/>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3,517</w:t>
            </w:r>
          </w:p>
        </w:tc>
        <w:tc>
          <w:tcPr>
            <w:tcW w:w="80" w:type="dxa"/>
            <w:vAlign w:val="bottom"/>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4,430</w:t>
            </w:r>
          </w:p>
        </w:tc>
        <w:tc>
          <w:tcPr>
            <w:tcW w:w="80" w:type="dxa"/>
            <w:vAlign w:val="bottom"/>
          </w:tcPr>
          <w:p>
            <w:pPr>
              <w:spacing w:after="0"/>
              <w:rPr>
                <w:sz w:val="19"/>
                <w:szCs w:val="19"/>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(472)</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4,580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4,108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Transaction deposits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3"/>
          </w:tcPr>
          <w:p>
            <w:pPr>
              <w:jc w:val="right"/>
              <w:ind w:right="2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147</w:t>
            </w:r>
          </w:p>
        </w:tc>
        <w:tc>
          <w:tcPr>
            <w:tcW w:w="8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7"/>
                <w:szCs w:val="17"/>
                <w:color w:val="auto"/>
              </w:rPr>
            </w:pPr>
          </w:p>
        </w:tc>
        <w:tc>
          <w:tcPr>
            <w:tcW w:w="600" w:type="dxa"/>
            <w:vAlign w:val="bottom"/>
          </w:tcPr>
          <w:p>
            <w:pPr>
              <w:jc w:val="right"/>
              <w:ind w:right="449"/>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(151)</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Savings and money market deposits</w:t>
            </w:r>
          </w:p>
        </w:tc>
        <w:tc>
          <w:tcPr>
            <w:tcW w:w="120" w:type="dxa"/>
            <w:vAlign w:val="bottom"/>
            <w:tcBorders>
              <w:left w:val="single" w:sz="8" w:color="CCEEFF"/>
            </w:tcBorders>
            <w:shd w:val="clear" w:color="auto" w:fill="CCEEFF"/>
          </w:tcPr>
          <w:p>
            <w:pPr>
              <w:spacing w:after="0"/>
              <w:rPr>
                <w:sz w:val="17"/>
                <w:szCs w:val="17"/>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(46)</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w:t>
            </w:r>
          </w:p>
        </w:tc>
        <w:tc>
          <w:tcPr>
            <w:tcW w:w="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Time deposits</w:t>
            </w:r>
          </w:p>
        </w:tc>
        <w:tc>
          <w:tcPr>
            <w:tcW w:w="1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(827)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(941)</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(1,840)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(635)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3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Total interest-bearing deposits</w:t>
            </w:r>
          </w:p>
        </w:tc>
        <w:tc>
          <w:tcPr>
            <w:tcW w:w="120" w:type="dxa"/>
            <w:vAlign w:val="bottom"/>
            <w:tcBorders>
              <w:top w:val="single" w:sz="8" w:color="auto"/>
              <w:left w:val="single" w:sz="8" w:color="CCEEFF"/>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3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left w:val="single" w:sz="8" w:color="CCEEFF"/>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841</w:t>
            </w: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80" w:type="dxa"/>
            <w:vAlign w:val="bottom"/>
            <w:tcBorders>
              <w:bottom w:val="single" w:sz="8" w:color="CCEEFF"/>
              <w:right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(2,154)</w:t>
            </w: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(181)</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tcPr>
          <w:p>
            <w:pPr>
              <w:ind w:left="80"/>
              <w:spacing w:after="0"/>
              <w:rPr>
                <w:sz w:val="20"/>
                <w:szCs w:val="20"/>
                <w:color w:val="auto"/>
              </w:rPr>
            </w:pPr>
            <w:r>
              <w:rPr>
                <w:rFonts w:ascii="Arial" w:cs="Arial" w:eastAsia="Arial" w:hAnsi="Arial"/>
                <w:sz w:val="14"/>
                <w:szCs w:val="14"/>
                <w:color w:val="auto"/>
              </w:rPr>
              <w:t>FHLB and short-term borrowings</w:t>
            </w:r>
          </w:p>
        </w:tc>
        <w:tc>
          <w:tcPr>
            <w:tcW w:w="1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8"/>
              </w:rPr>
              <w:t>Trust preferred securities, net of fair value adjustments</w:t>
            </w:r>
          </w:p>
        </w:tc>
        <w:tc>
          <w:tcPr>
            <w:tcW w:w="120" w:type="dxa"/>
            <w:vAlign w:val="bottom"/>
            <w:tcBorders>
              <w:left w:val="single" w:sz="8" w:color="CCEEFF"/>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gridSpan w:val="2"/>
            <w:vMerge w:val="restart"/>
          </w:tcPr>
          <w:p>
            <w:pPr>
              <w:ind w:left="80"/>
              <w:spacing w:after="0"/>
              <w:rPr>
                <w:sz w:val="20"/>
                <w:szCs w:val="20"/>
                <w:color w:val="auto"/>
              </w:rPr>
            </w:pPr>
            <w:r>
              <w:rPr>
                <w:rFonts w:ascii="Arial" w:cs="Arial" w:eastAsia="Arial" w:hAnsi="Arial"/>
                <w:sz w:val="14"/>
                <w:szCs w:val="14"/>
                <w:color w:val="auto"/>
              </w:rPr>
              <w:t>Total interest expense</w:t>
            </w: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4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(779)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(193)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(2,416)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line="206" w:lineRule="exact"/>
              <w:rPr>
                <w:sz w:val="20"/>
                <w:szCs w:val="20"/>
                <w:color w:val="auto"/>
              </w:rPr>
            </w:pPr>
            <w:r>
              <w:rPr>
                <w:rFonts w:ascii="Arial" w:cs="Arial" w:eastAsia="Arial" w:hAnsi="Arial"/>
                <w:sz w:val="14"/>
                <w:szCs w:val="14"/>
                <w:color w:val="auto"/>
              </w:rPr>
              <w:t>Net interest income</w:t>
            </w:r>
            <w:r>
              <w:rPr>
                <w:rFonts w:ascii="Arial" w:cs="Arial" w:eastAsia="Arial" w:hAnsi="Arial"/>
                <w:sz w:val="18"/>
                <w:szCs w:val="18"/>
                <w:color w:val="auto"/>
                <w:vertAlign w:val="superscript"/>
              </w:rPr>
              <w:t>(2)</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2,765</w:t>
            </w: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ind w:right="44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exact"/>
        <w:rPr>
          <w:sz w:val="20"/>
          <w:szCs w:val="20"/>
          <w:color w:val="auto"/>
        </w:rPr>
      </w:pPr>
    </w:p>
    <w:p>
      <w:pPr>
        <w:ind w:left="260" w:hanging="137"/>
        <w:spacing w:after="0"/>
        <w:tabs>
          <w:tab w:leader="none" w:pos="26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The change in interest not due solely to volume or rate has been allocated in proportion to the respective absolute dollar amounts of the change in volume or rate.</w:t>
      </w:r>
    </w:p>
    <w:p>
      <w:pPr>
        <w:spacing w:after="0" w:line="29" w:lineRule="exact"/>
        <w:rPr>
          <w:rFonts w:ascii="Arial" w:cs="Arial" w:eastAsia="Arial" w:hAnsi="Arial"/>
          <w:sz w:val="16"/>
          <w:szCs w:val="16"/>
          <w:color w:val="auto"/>
          <w:vertAlign w:val="superscript"/>
        </w:rPr>
      </w:pPr>
    </w:p>
    <w:p>
      <w:pPr>
        <w:ind w:left="260" w:hanging="137"/>
        <w:spacing w:after="0" w:line="198" w:lineRule="auto"/>
        <w:tabs>
          <w:tab w:leader="none" w:pos="260" w:val="left"/>
        </w:tabs>
        <w:numPr>
          <w:ilvl w:val="0"/>
          <w:numId w:val="25"/>
        </w:numPr>
        <w:rPr>
          <w:rFonts w:ascii="Arial" w:cs="Arial" w:eastAsia="Arial" w:hAnsi="Arial"/>
          <w:sz w:val="16"/>
          <w:szCs w:val="16"/>
          <w:color w:val="auto"/>
          <w:vertAlign w:val="superscript"/>
        </w:rPr>
      </w:pPr>
      <w:r>
        <w:rPr>
          <w:rFonts w:ascii="Arial" w:cs="Arial" w:eastAsia="Arial" w:hAnsi="Arial"/>
          <w:sz w:val="12"/>
          <w:szCs w:val="12"/>
          <w:color w:val="auto"/>
        </w:rPr>
        <w:t>Tax exempt income is calculated on a tax equivalent basis. Tax-free municipal securities are exempt from Federal income taxes. The incremental tax rate used is 21.0%.</w:t>
      </w:r>
    </w:p>
    <w:p>
      <w:pPr>
        <w:spacing w:after="0" w:line="140" w:lineRule="exact"/>
        <w:rPr>
          <w:sz w:val="20"/>
          <w:szCs w:val="20"/>
          <w:color w:val="auto"/>
        </w:rPr>
      </w:pPr>
    </w:p>
    <w:p>
      <w:pPr>
        <w:ind w:left="140" w:right="60"/>
        <w:spacing w:after="0" w:line="326" w:lineRule="auto"/>
        <w:rPr>
          <w:sz w:val="20"/>
          <w:szCs w:val="20"/>
          <w:color w:val="auto"/>
        </w:rPr>
      </w:pPr>
      <w:r>
        <w:rPr>
          <w:rFonts w:ascii="Arial" w:cs="Arial" w:eastAsia="Arial" w:hAnsi="Arial"/>
          <w:sz w:val="13"/>
          <w:szCs w:val="13"/>
          <w:b w:val="1"/>
          <w:bCs w:val="1"/>
          <w:u w:val="single" w:color="auto"/>
          <w:color w:val="auto"/>
        </w:rPr>
        <w:t>Interest income</w:t>
      </w:r>
      <w:r>
        <w:rPr>
          <w:rFonts w:ascii="Arial" w:cs="Arial" w:eastAsia="Arial" w:hAnsi="Arial"/>
          <w:sz w:val="13"/>
          <w:szCs w:val="13"/>
          <w:b w:val="1"/>
          <w:bCs w:val="1"/>
          <w:color w:val="auto"/>
        </w:rPr>
        <w:t xml:space="preserve"> - </w:t>
      </w:r>
      <w:r>
        <w:rPr>
          <w:rFonts w:ascii="Arial" w:cs="Arial" w:eastAsia="Arial" w:hAnsi="Arial"/>
          <w:sz w:val="13"/>
          <w:szCs w:val="13"/>
          <w:color w:val="auto"/>
        </w:rPr>
        <w:t>Interest income increased for the three- and six-month periods ended June 30, 2022 compared to the same periods in 2021 driven by higher interest rates. The yield</w:t>
      </w:r>
      <w:r>
        <w:rPr>
          <w:rFonts w:ascii="Arial" w:cs="Arial" w:eastAsia="Arial" w:hAnsi="Arial"/>
          <w:sz w:val="13"/>
          <w:szCs w:val="13"/>
          <w:b w:val="1"/>
          <w:bCs w:val="1"/>
          <w:color w:val="auto"/>
        </w:rPr>
        <w:t xml:space="preserve"> </w:t>
      </w:r>
      <w:r>
        <w:rPr>
          <w:rFonts w:ascii="Arial" w:cs="Arial" w:eastAsia="Arial" w:hAnsi="Arial"/>
          <w:sz w:val="13"/>
          <w:szCs w:val="13"/>
          <w:color w:val="auto"/>
        </w:rPr>
        <w:t>on taxable securities benefited from a slowdown in mortgage-backed securities (“MBS”) prepayments that reduced the premium amortization on MBS by $265 thousand and $509 thousand for the three- and six-month periods ended June 30, 2022, respectively. The loan yield for the three-month period ended June 30, 2022, benefited from $492 thousand in interest income related to recoveries of interest income and loans placed back on accrual status. Loan yields for the three- and six-month periods ended June 30, 2022 compared to the corresponding periods in 2021 were partially offset by lower PPP loan fees of $1.7 million and $3.2 million, respectively.</w:t>
      </w:r>
    </w:p>
    <w:p>
      <w:pPr>
        <w:spacing w:after="0" w:line="98" w:lineRule="exact"/>
        <w:rPr>
          <w:sz w:val="20"/>
          <w:szCs w:val="20"/>
          <w:color w:val="auto"/>
        </w:rPr>
      </w:pPr>
    </w:p>
    <w:p>
      <w:pPr>
        <w:ind w:left="140" w:right="120"/>
        <w:spacing w:after="0" w:line="308" w:lineRule="auto"/>
        <w:rPr>
          <w:sz w:val="20"/>
          <w:szCs w:val="20"/>
          <w:color w:val="auto"/>
        </w:rPr>
      </w:pPr>
      <w:r>
        <w:rPr>
          <w:rFonts w:ascii="Arial" w:cs="Arial" w:eastAsia="Arial" w:hAnsi="Arial"/>
          <w:sz w:val="14"/>
          <w:szCs w:val="14"/>
          <w:color w:val="auto"/>
        </w:rPr>
        <w:t>Average earning assets totaled $5.4 billion for the three- and six-month periods ended June 30, 2022, a decrease of $92 million or 2% and $158 million or 3%, respectively from the same periods in 2021. The decrease was driven by a reduction of $210 million and $176 million in average interest-bearing deposits in other banks for the three- and six-month periods ended June 30, 2022 compared to the corresponding periods in 2021.</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500"/>
          </w:cols>
          <w:pgMar w:left="780" w:top="407" w:right="619" w:bottom="1440" w:gutter="0" w:footer="0" w:header="0"/>
        </w:sectPr>
      </w:pPr>
    </w:p>
    <w:bookmarkStart w:id="54" w:name="page55"/>
    <w:bookmarkEnd w:id="54"/>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4" w:lineRule="exact"/>
        <w:rPr>
          <w:sz w:val="20"/>
          <w:szCs w:val="20"/>
          <w:color w:val="auto"/>
        </w:rPr>
      </w:pPr>
    </w:p>
    <w:p>
      <w:pPr>
        <w:ind w:left="140" w:right="180"/>
        <w:spacing w:after="0" w:line="364" w:lineRule="auto"/>
        <w:rPr>
          <w:sz w:val="20"/>
          <w:szCs w:val="20"/>
          <w:color w:val="auto"/>
        </w:rPr>
      </w:pPr>
      <w:r>
        <w:rPr>
          <w:rFonts w:ascii="Arial" w:cs="Arial" w:eastAsia="Arial" w:hAnsi="Arial"/>
          <w:sz w:val="13"/>
          <w:szCs w:val="13"/>
          <w:b w:val="1"/>
          <w:bCs w:val="1"/>
          <w:u w:val="single" w:color="auto"/>
          <w:color w:val="auto"/>
        </w:rPr>
        <w:t>Interest expense</w:t>
      </w:r>
      <w:r>
        <w:rPr>
          <w:rFonts w:ascii="Arial" w:cs="Arial" w:eastAsia="Arial" w:hAnsi="Arial"/>
          <w:sz w:val="13"/>
          <w:szCs w:val="13"/>
          <w:b w:val="1"/>
          <w:bCs w:val="1"/>
          <w:color w:val="auto"/>
        </w:rPr>
        <w:t xml:space="preserve"> </w:t>
      </w:r>
      <w:r>
        <w:rPr>
          <w:rFonts w:ascii="Arial" w:cs="Arial" w:eastAsia="Arial" w:hAnsi="Arial"/>
          <w:sz w:val="13"/>
          <w:szCs w:val="13"/>
          <w:color w:val="auto"/>
        </w:rPr>
        <w:t>- Interest expense declined for the three- and six-month periods ended June 30, 2022 compared to the same periods in 2021 as higher-rate time deposits continued</w:t>
      </w:r>
      <w:r>
        <w:rPr>
          <w:rFonts w:ascii="Arial" w:cs="Arial" w:eastAsia="Arial" w:hAnsi="Arial"/>
          <w:sz w:val="13"/>
          <w:szCs w:val="13"/>
          <w:b w:val="1"/>
          <w:bCs w:val="1"/>
          <w:color w:val="auto"/>
        </w:rPr>
        <w:t xml:space="preserve"> </w:t>
      </w:r>
      <w:r>
        <w:rPr>
          <w:rFonts w:ascii="Arial" w:cs="Arial" w:eastAsia="Arial" w:hAnsi="Arial"/>
          <w:sz w:val="13"/>
          <w:szCs w:val="13"/>
          <w:color w:val="auto"/>
        </w:rPr>
        <w:t>to mature, decreasing the cost of time deposits. In addition, the Company was able to lag the rising interest rate environment with a limited impact to liquidity.</w:t>
      </w:r>
    </w:p>
    <w:p>
      <w:pPr>
        <w:spacing w:after="0" w:line="31" w:lineRule="exact"/>
        <w:rPr>
          <w:sz w:val="20"/>
          <w:szCs w:val="20"/>
          <w:color w:val="auto"/>
        </w:rPr>
      </w:pPr>
    </w:p>
    <w:p>
      <w:pPr>
        <w:jc w:val="both"/>
        <w:ind w:left="140" w:right="40"/>
        <w:spacing w:after="0" w:line="300" w:lineRule="auto"/>
        <w:rPr>
          <w:sz w:val="20"/>
          <w:szCs w:val="20"/>
          <w:color w:val="auto"/>
        </w:rPr>
      </w:pPr>
      <w:r>
        <w:rPr>
          <w:rFonts w:ascii="Arial" w:cs="Arial" w:eastAsia="Arial" w:hAnsi="Arial"/>
          <w:sz w:val="14"/>
          <w:szCs w:val="14"/>
          <w:color w:val="auto"/>
        </w:rPr>
        <w:t>Average interest-bearing deposits for the three- and six-month periods ending June 30, 2022 decreased $517 million or 13% and $575 million or 14% compared to the same period in the prior year, respectively. The decline was partially offset by a $348 million or 43% and $387 million or 50% increase in non-interest-bearing deposits for the three- and six-month periods ended June 30, 2022 compared to the corresponding periods in 2021.</w:t>
      </w:r>
    </w:p>
    <w:p>
      <w:pPr>
        <w:spacing w:after="0" w:line="64" w:lineRule="exact"/>
        <w:rPr>
          <w:sz w:val="20"/>
          <w:szCs w:val="20"/>
          <w:color w:val="auto"/>
        </w:rPr>
      </w:pPr>
    </w:p>
    <w:p>
      <w:pPr>
        <w:ind w:left="140" w:right="40"/>
        <w:spacing w:after="0" w:line="302" w:lineRule="auto"/>
        <w:rPr>
          <w:sz w:val="20"/>
          <w:szCs w:val="20"/>
          <w:color w:val="auto"/>
        </w:rPr>
      </w:pPr>
      <w:r>
        <w:rPr>
          <w:rFonts w:ascii="Arial" w:cs="Arial" w:eastAsia="Arial" w:hAnsi="Arial"/>
          <w:sz w:val="14"/>
          <w:szCs w:val="14"/>
          <w:b w:val="1"/>
          <w:bCs w:val="1"/>
          <w:u w:val="single" w:color="auto"/>
          <w:color w:val="auto"/>
        </w:rPr>
        <w:t>Net interest income</w:t>
      </w:r>
      <w:r>
        <w:rPr>
          <w:rFonts w:ascii="Arial" w:cs="Arial" w:eastAsia="Arial" w:hAnsi="Arial"/>
          <w:sz w:val="14"/>
          <w:szCs w:val="14"/>
          <w:b w:val="1"/>
          <w:bCs w:val="1"/>
          <w:color w:val="auto"/>
        </w:rPr>
        <w:t xml:space="preserve"> </w:t>
      </w:r>
      <w:r>
        <w:rPr>
          <w:rFonts w:ascii="Arial" w:cs="Arial" w:eastAsia="Arial" w:hAnsi="Arial"/>
          <w:sz w:val="14"/>
          <w:szCs w:val="14"/>
          <w:color w:val="auto"/>
        </w:rPr>
        <w:t>- Net interest income increased for the three- and six-month periods ended June 30, 2022 compared to the same periods in 2021 driven by interest-earning assets</w:t>
      </w:r>
      <w:r>
        <w:rPr>
          <w:rFonts w:ascii="Arial" w:cs="Arial" w:eastAsia="Arial" w:hAnsi="Arial"/>
          <w:sz w:val="14"/>
          <w:szCs w:val="14"/>
          <w:b w:val="1"/>
          <w:bCs w:val="1"/>
          <w:color w:val="auto"/>
        </w:rPr>
        <w:t xml:space="preserve"> </w:t>
      </w:r>
      <w:r>
        <w:rPr>
          <w:rFonts w:ascii="Arial" w:cs="Arial" w:eastAsia="Arial" w:hAnsi="Arial"/>
          <w:sz w:val="14"/>
          <w:szCs w:val="14"/>
          <w:color w:val="auto"/>
        </w:rPr>
        <w:t>repricing quicker than the cost of interest-bearing liabilities as variable rate loans tied to 30-day London Interbank Offered Rate (“LIBOR”) and Secured Overnight Financing Rate (“SOFR”) rates were rising faster than the Company’s deposit rates that are typically adjusted when the federal funds rate changes. The Company currently anticipates net interest margin to stay in the upper end of the range that the Company has experienced in 2022 because of the Company’s variable-rate assets and the rising rate environment, although deposit migration and remaining pressure on loan pricing are expected to be headwinds.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Impact of Transition Away from LIBOR</w:t>
      </w:r>
    </w:p>
    <w:p>
      <w:pPr>
        <w:spacing w:after="0" w:line="159" w:lineRule="exact"/>
        <w:rPr>
          <w:sz w:val="20"/>
          <w:szCs w:val="20"/>
          <w:color w:val="auto"/>
        </w:rPr>
      </w:pPr>
    </w:p>
    <w:p>
      <w:pPr>
        <w:ind w:left="140" w:right="40" w:firstLine="384"/>
        <w:spacing w:after="0" w:line="298" w:lineRule="auto"/>
        <w:rPr>
          <w:sz w:val="20"/>
          <w:szCs w:val="20"/>
          <w:color w:val="auto"/>
        </w:rPr>
      </w:pPr>
      <w:r>
        <w:rPr>
          <w:rFonts w:ascii="Arial" w:cs="Arial" w:eastAsia="Arial" w:hAnsi="Arial"/>
          <w:sz w:val="14"/>
          <w:szCs w:val="14"/>
          <w:color w:val="auto"/>
        </w:rPr>
        <w:t>The Company had $897 million in loans tied to LIBOR at June 30, 2022. Starting in October 2021, the Company began limiting loans originated using the LIBOR index. For current borrowers, the Company is modifying loan document language to account for the transition away from LIBOR as loans renew or originate. The Company plans to replace LIBOR-based loans with the Secured Overnight Financing Rate (“SOFR”). At June 30, 2022, the Company had approximately $537 million in loans tied to SOFR. The Company adopted Accounting Standards Update (“ASU”) 2020-04 “Reference Rate Reform (Topic 848): Facilitation of the Effects of Reference Rate Reform on Financial Reporting” in 2020. The ASU allows the Company to recognize the modification related to LIBOR as a continuation of the old contract, rather than a cancellation of the old contract resulting in a write-off of unamortized fees and creation of a new contract.</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Non-Interest Income</w:t>
      </w:r>
    </w:p>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70" w:type="dxa"/>
            <w:vAlign w:val="bottom"/>
            <w:tcBorders>
              <w:bottom w:val="single" w:sz="8" w:color="auto"/>
            </w:tcBorders>
          </w:tcPr>
          <w:p>
            <w:pPr>
              <w:spacing w:after="0"/>
              <w:rPr>
                <w:sz w:val="17"/>
                <w:szCs w:val="17"/>
                <w:color w:val="auto"/>
              </w:rPr>
            </w:pPr>
          </w:p>
        </w:tc>
        <w:tc>
          <w:tcPr>
            <w:tcW w:w="157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4"/>
              </w:rPr>
              <w:t>For the Quarter Ended</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auto"/>
                <w:w w:val="98"/>
              </w:rPr>
              <w:t>For the Six Months Ended</w:t>
            </w:r>
          </w:p>
        </w:tc>
        <w:tc>
          <w:tcPr>
            <w:tcW w:w="20" w:type="dxa"/>
            <w:vAlign w:val="bottom"/>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89"/>
              <w:spacing w:after="0"/>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69"/>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7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2022</w:t>
            </w:r>
          </w:p>
        </w:tc>
        <w:tc>
          <w:tcPr>
            <w:tcW w:w="21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0" w:type="dxa"/>
            <w:vAlign w:val="bottom"/>
          </w:tcPr>
          <w:p>
            <w:pPr>
              <w:spacing w:after="0"/>
              <w:rPr>
                <w:sz w:val="16"/>
                <w:szCs w:val="16"/>
                <w:color w:val="auto"/>
              </w:rPr>
            </w:pPr>
          </w:p>
        </w:tc>
        <w:tc>
          <w:tcPr>
            <w:tcW w:w="21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gridSpan w:val="6"/>
          </w:tcPr>
          <w:p>
            <w:pPr>
              <w:jc w:val="center"/>
              <w:ind w:right="60"/>
              <w:spacing w:after="0"/>
              <w:rPr>
                <w:sz w:val="20"/>
                <w:szCs w:val="20"/>
                <w:color w:val="auto"/>
              </w:rPr>
            </w:pPr>
            <w:r>
              <w:rPr>
                <w:rFonts w:ascii="Arial" w:cs="Arial" w:eastAsia="Arial" w:hAnsi="Arial"/>
                <w:sz w:val="13"/>
                <w:szCs w:val="13"/>
                <w:i w:val="1"/>
                <w:iCs w:val="1"/>
                <w:color w:val="auto"/>
                <w:w w:val="91"/>
              </w:rPr>
              <w:t>(Dollars in thousands)</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4"/>
                <w:szCs w:val="14"/>
                <w:color w:val="auto"/>
              </w:rPr>
              <w:t>Total non-interest income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4,201</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w:t>
            </w:r>
          </w:p>
        </w:tc>
        <w:tc>
          <w:tcPr>
            <w:tcW w:w="21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4,796</w:t>
            </w:r>
          </w:p>
        </w:tc>
        <w:tc>
          <w:tcPr>
            <w:tcW w:w="340" w:type="dxa"/>
            <w:vAlign w:val="bottom"/>
            <w:gridSpan w:val="3"/>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(1,105)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5,825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9,143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9,969</w:t>
            </w:r>
          </w:p>
        </w:tc>
        <w:tc>
          <w:tcPr>
            <w:tcW w:w="20" w:type="dxa"/>
            <w:vAlign w:val="bottom"/>
            <w:shd w:val="clear" w:color="auto" w:fill="CCEEFF"/>
          </w:tcPr>
          <w:p>
            <w:pPr>
              <w:spacing w:after="0"/>
              <w:rPr>
                <w:sz w:val="15"/>
                <w:szCs w:val="15"/>
                <w:color w:val="auto"/>
              </w:rPr>
            </w:pPr>
          </w:p>
        </w:tc>
      </w:tr>
      <w:tr>
        <w:trPr>
          <w:trHeight w:val="267"/>
        </w:trPr>
        <w:tc>
          <w:tcPr>
            <w:tcW w:w="3020" w:type="dxa"/>
            <w:vAlign w:val="bottom"/>
            <w:gridSpan w:val="2"/>
          </w:tcPr>
          <w:p>
            <w:pPr>
              <w:spacing w:after="0"/>
              <w:rPr>
                <w:sz w:val="20"/>
                <w:szCs w:val="20"/>
                <w:color w:val="auto"/>
              </w:rPr>
            </w:pPr>
            <w:r>
              <w:rPr>
                <w:rFonts w:ascii="Arial" w:cs="Arial" w:eastAsia="Arial" w:hAnsi="Arial"/>
                <w:sz w:val="14"/>
                <w:szCs w:val="14"/>
                <w:color w:val="auto"/>
                <w:w w:val="92"/>
              </w:rPr>
              <w:t xml:space="preserve">Non-interest income (expense) to average assets </w:t>
            </w:r>
            <w:r>
              <w:rPr>
                <w:rFonts w:ascii="Arial" w:cs="Arial" w:eastAsia="Arial" w:hAnsi="Arial"/>
                <w:sz w:val="18"/>
                <w:szCs w:val="18"/>
                <w:color w:val="auto"/>
                <w:w w:val="92"/>
                <w:vertAlign w:val="superscript"/>
              </w:rPr>
              <w:t>(1)</w:t>
            </w: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0.30 %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2"/>
          </w:tcPr>
          <w:p>
            <w:pPr>
              <w:jc w:val="right"/>
              <w:ind w:right="9"/>
              <w:spacing w:after="0"/>
              <w:rPr>
                <w:sz w:val="20"/>
                <w:szCs w:val="20"/>
                <w:color w:val="auto"/>
              </w:rPr>
            </w:pPr>
            <w:r>
              <w:rPr>
                <w:rFonts w:ascii="Arial" w:cs="Arial" w:eastAsia="Arial" w:hAnsi="Arial"/>
                <w:sz w:val="14"/>
                <w:szCs w:val="14"/>
                <w:color w:val="auto"/>
              </w:rPr>
              <w:t>0.36 %</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0.34 %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(0.08)%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0.41 %</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0.33 %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0.35 %</w:t>
            </w:r>
          </w:p>
        </w:tc>
        <w:tc>
          <w:tcPr>
            <w:tcW w:w="20" w:type="dxa"/>
            <w:vAlign w:val="bottom"/>
          </w:tcPr>
          <w:p>
            <w:pPr>
              <w:spacing w:after="0"/>
              <w:rPr>
                <w:sz w:val="23"/>
                <w:szCs w:val="23"/>
                <w:color w:val="auto"/>
              </w:rPr>
            </w:pPr>
          </w:p>
        </w:tc>
      </w:tr>
    </w:tbl>
    <w:p>
      <w:pPr>
        <w:ind w:left="260" w:hanging="137"/>
        <w:spacing w:after="0" w:line="230" w:lineRule="auto"/>
        <w:tabs>
          <w:tab w:leader="none" w:pos="260" w:val="left"/>
        </w:tabs>
        <w:numPr>
          <w:ilvl w:val="0"/>
          <w:numId w:val="26"/>
        </w:numPr>
        <w:rPr>
          <w:rFonts w:ascii="Arial" w:cs="Arial" w:eastAsia="Arial" w:hAnsi="Arial"/>
          <w:sz w:val="16"/>
          <w:szCs w:val="16"/>
          <w:color w:val="auto"/>
          <w:vertAlign w:val="superscript"/>
        </w:rPr>
      </w:pPr>
      <w:r>
        <w:rPr>
          <w:rFonts w:ascii="Arial" w:cs="Arial" w:eastAsia="Arial" w:hAnsi="Arial"/>
          <w:sz w:val="12"/>
          <w:szCs w:val="12"/>
          <w:color w:val="auto"/>
        </w:rPr>
        <w:t>Interim periods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0500"/>
          </w:cols>
          <w:pgMar w:left="780" w:top="407" w:right="6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gridSpan w:val="2"/>
          </w:tcPr>
          <w:p>
            <w:pPr>
              <w:spacing w:after="0"/>
              <w:rPr>
                <w:rFonts w:ascii="Arial" w:cs="Arial" w:eastAsia="Arial" w:hAnsi="Arial"/>
                <w:sz w:val="14"/>
                <w:szCs w:val="14"/>
                <w:color w:val="0000FF"/>
                <w:w w:val="88"/>
              </w:rPr>
            </w:pPr>
            <w:hyperlink w:anchor="page2">
              <w:r>
                <w:rPr>
                  <w:rFonts w:ascii="Arial" w:cs="Arial" w:eastAsia="Arial" w:hAnsi="Arial"/>
                  <w:sz w:val="14"/>
                  <w:szCs w:val="14"/>
                  <w:color w:val="0000FF"/>
                  <w:w w:val="88"/>
                </w:rPr>
                <w:t>Table of Contents</w:t>
              </w:r>
            </w:hyperlink>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70"/>
        </w:trPr>
        <w:tc>
          <w:tcPr>
            <w:tcW w:w="140" w:type="dxa"/>
            <w:vAlign w:val="bottom"/>
          </w:tcPr>
          <w:p>
            <w:pPr>
              <w:spacing w:after="0"/>
              <w:rPr>
                <w:sz w:val="24"/>
                <w:szCs w:val="24"/>
                <w:color w:val="auto"/>
              </w:rPr>
            </w:pPr>
          </w:p>
        </w:tc>
        <w:tc>
          <w:tcPr>
            <w:tcW w:w="5220" w:type="dxa"/>
            <w:vAlign w:val="bottom"/>
            <w:gridSpan w:val="8"/>
          </w:tcPr>
          <w:p>
            <w:pPr>
              <w:ind w:left="380"/>
              <w:spacing w:after="0"/>
              <w:rPr>
                <w:sz w:val="20"/>
                <w:szCs w:val="20"/>
                <w:color w:val="auto"/>
              </w:rPr>
            </w:pPr>
            <w:r>
              <w:rPr>
                <w:rFonts w:ascii="Arial" w:cs="Arial" w:eastAsia="Arial" w:hAnsi="Arial"/>
                <w:sz w:val="14"/>
                <w:szCs w:val="14"/>
                <w:color w:val="auto"/>
                <w:w w:val="98"/>
              </w:rPr>
              <w:t>The components of non-interest income were as follows for the periods shown:</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0"/>
        </w:trPr>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7"/>
          </w:tcPr>
          <w:p>
            <w:pPr>
              <w:ind w:left="120"/>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5"/>
        </w:trPr>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9"/>
              </w:rPr>
              <w:t>Change</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40" w:type="dxa"/>
            <w:vAlign w:val="bottom"/>
            <w:gridSpan w:val="7"/>
          </w:tcPr>
          <w:p>
            <w:pPr>
              <w:ind w:left="2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140" w:type="dxa"/>
            <w:vAlign w:val="bottom"/>
          </w:tcPr>
          <w:p>
            <w:pPr>
              <w:spacing w:after="0"/>
              <w:rPr>
                <w:sz w:val="16"/>
                <w:szCs w:val="16"/>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Service charges and fees on customer accounts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1,177</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r>
      <w:tr>
        <w:trPr>
          <w:trHeight w:val="192"/>
        </w:trPr>
        <w:tc>
          <w:tcPr>
            <w:tcW w:w="3640" w:type="dxa"/>
            <w:vAlign w:val="bottom"/>
            <w:gridSpan w:val="3"/>
          </w:tcPr>
          <w:p>
            <w:pPr>
              <w:ind w:left="120"/>
              <w:spacing w:after="0"/>
              <w:rPr>
                <w:sz w:val="20"/>
                <w:szCs w:val="20"/>
                <w:color w:val="auto"/>
              </w:rPr>
            </w:pPr>
            <w:r>
              <w:rPr>
                <w:rFonts w:ascii="Arial" w:cs="Arial" w:eastAsia="Arial" w:hAnsi="Arial"/>
                <w:sz w:val="14"/>
                <w:szCs w:val="14"/>
                <w:color w:val="auto"/>
              </w:rPr>
              <w:t>Realized losses on available-for-sale securities</w:t>
            </w:r>
          </w:p>
        </w:tc>
        <w:tc>
          <w:tcPr>
            <w:tcW w:w="1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1"/>
              </w:rPr>
              <w:t>1,167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Unrealized gains (losses), net on equity securities</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3640" w:type="dxa"/>
            <w:vAlign w:val="bottom"/>
            <w:gridSpan w:val="3"/>
          </w:tcPr>
          <w:p>
            <w:pPr>
              <w:ind w:left="120"/>
              <w:spacing w:after="0"/>
              <w:rPr>
                <w:sz w:val="20"/>
                <w:szCs w:val="20"/>
                <w:color w:val="auto"/>
              </w:rPr>
            </w:pPr>
            <w:r>
              <w:rPr>
                <w:rFonts w:ascii="Arial" w:cs="Arial" w:eastAsia="Arial" w:hAnsi="Arial"/>
                <w:sz w:val="14"/>
                <w:szCs w:val="14"/>
                <w:color w:val="auto"/>
              </w:rPr>
              <w:t>Income from bank-owned life insurance</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2,245</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(1,838)</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2,661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(1,866)</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109"/>
              <w:spacing w:after="0"/>
              <w:rPr>
                <w:sz w:val="20"/>
                <w:szCs w:val="20"/>
                <w:color w:val="auto"/>
              </w:rPr>
            </w:pPr>
            <w:r>
              <w:rPr>
                <w:rFonts w:ascii="Arial" w:cs="Arial" w:eastAsia="Arial" w:hAnsi="Arial"/>
                <w:sz w:val="14"/>
                <w:szCs w:val="14"/>
                <w:color w:val="auto"/>
              </w:rPr>
              <w:t>(70)</w:t>
            </w:r>
          </w:p>
        </w:tc>
        <w:tc>
          <w:tcPr>
            <w:tcW w:w="20" w:type="dxa"/>
            <w:vAlign w:val="bottom"/>
          </w:tcPr>
          <w:p>
            <w:pPr>
              <w:spacing w:after="0"/>
              <w:rPr>
                <w:sz w:val="16"/>
                <w:szCs w:val="16"/>
                <w:color w:val="auto"/>
              </w:rPr>
            </w:pPr>
          </w:p>
        </w:tc>
      </w:tr>
      <w:tr>
        <w:trPr>
          <w:trHeight w:val="181"/>
        </w:trPr>
        <w:tc>
          <w:tcPr>
            <w:tcW w:w="140" w:type="dxa"/>
            <w:vAlign w:val="bottom"/>
          </w:tcPr>
          <w:p>
            <w:pPr>
              <w:spacing w:after="0"/>
              <w:rPr>
                <w:sz w:val="15"/>
                <w:szCs w:val="15"/>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Swap fees and credit valuation adjustments, net</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3640" w:type="dxa"/>
            <w:vAlign w:val="bottom"/>
            <w:gridSpan w:val="3"/>
          </w:tcPr>
          <w:p>
            <w:pPr>
              <w:ind w:left="120"/>
              <w:spacing w:after="0"/>
              <w:rPr>
                <w:sz w:val="20"/>
                <w:szCs w:val="20"/>
                <w:color w:val="auto"/>
              </w:rPr>
            </w:pPr>
            <w:r>
              <w:rPr>
                <w:rFonts w:ascii="Arial" w:cs="Arial" w:eastAsia="Arial" w:hAnsi="Arial"/>
                <w:sz w:val="14"/>
                <w:szCs w:val="14"/>
                <w:color w:val="auto"/>
              </w:rPr>
              <w:t>ATM and credit card interchange income</w:t>
            </w: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1,521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1,506</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4,185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3,834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351</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140" w:type="dxa"/>
            <w:vAlign w:val="bottom"/>
          </w:tcPr>
          <w:p>
            <w:pPr>
              <w:spacing w:after="0"/>
              <w:rPr>
                <w:sz w:val="15"/>
                <w:szCs w:val="15"/>
                <w:color w:val="auto"/>
              </w:rPr>
            </w:pPr>
          </w:p>
        </w:tc>
        <w:tc>
          <w:tcPr>
            <w:tcW w:w="3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Other non-interest income</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w:t>
            </w:r>
          </w:p>
        </w:tc>
        <w:tc>
          <w:tcPr>
            <w:tcW w:w="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99"/>
        </w:trPr>
        <w:tc>
          <w:tcPr>
            <w:tcW w:w="140" w:type="dxa"/>
            <w:vAlign w:val="bottom"/>
          </w:tcPr>
          <w:p>
            <w:pPr>
              <w:spacing w:after="0"/>
              <w:rPr>
                <w:sz w:val="17"/>
                <w:szCs w:val="17"/>
                <w:color w:val="auto"/>
              </w:rPr>
            </w:pPr>
          </w:p>
        </w:tc>
        <w:tc>
          <w:tcPr>
            <w:tcW w:w="3500" w:type="dxa"/>
            <w:vAlign w:val="bottom"/>
            <w:gridSpan w:val="2"/>
          </w:tcPr>
          <w:p>
            <w:pPr>
              <w:ind w:left="80"/>
              <w:spacing w:after="0"/>
              <w:rPr>
                <w:sz w:val="20"/>
                <w:szCs w:val="20"/>
                <w:color w:val="auto"/>
              </w:rPr>
            </w:pPr>
            <w:r>
              <w:rPr>
                <w:rFonts w:ascii="Arial" w:cs="Arial" w:eastAsia="Arial" w:hAnsi="Arial"/>
                <w:sz w:val="14"/>
                <w:szCs w:val="14"/>
                <w:color w:val="auto"/>
              </w:rPr>
              <w:t>Total non-interest income</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4,201</w:t>
            </w:r>
          </w:p>
        </w:tc>
        <w:tc>
          <w:tcPr>
            <w:tcW w:w="60" w:type="dxa"/>
            <w:vAlign w:val="bottom"/>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5,825</w:t>
            </w:r>
          </w:p>
        </w:tc>
        <w:tc>
          <w:tcPr>
            <w:tcW w:w="60" w:type="dxa"/>
            <w:vAlign w:val="bottom"/>
          </w:tcPr>
          <w:p>
            <w:pPr>
              <w:spacing w:after="0"/>
              <w:rPr>
                <w:sz w:val="17"/>
                <w:szCs w:val="17"/>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(1,624)</w:t>
            </w:r>
          </w:p>
        </w:tc>
        <w:tc>
          <w:tcPr>
            <w:tcW w:w="40" w:type="dxa"/>
            <w:vAlign w:val="bottom"/>
          </w:tcPr>
          <w:p>
            <w:pPr>
              <w:spacing w:after="0"/>
              <w:rPr>
                <w:sz w:val="17"/>
                <w:szCs w:val="17"/>
                <w:color w:val="auto"/>
              </w:rPr>
            </w:pPr>
          </w:p>
        </w:tc>
        <w:tc>
          <w:tcPr>
            <w:tcW w:w="840" w:type="dxa"/>
            <w:vAlign w:val="bottom"/>
            <w:gridSpan w:val="2"/>
          </w:tcPr>
          <w:p>
            <w:pPr>
              <w:jc w:val="right"/>
              <w:ind w:right="19"/>
              <w:spacing w:after="0"/>
              <w:rPr>
                <w:sz w:val="20"/>
                <w:szCs w:val="20"/>
                <w:color w:val="auto"/>
              </w:rPr>
            </w:pPr>
            <w:r>
              <w:rPr>
                <w:rFonts w:ascii="Arial" w:cs="Arial" w:eastAsia="Arial" w:hAnsi="Arial"/>
                <w:sz w:val="14"/>
                <w:szCs w:val="14"/>
                <w:color w:val="auto"/>
              </w:rPr>
              <w:t>(28)%</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9,143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9,969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(826)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4"/>
          <w:szCs w:val="14"/>
          <w:color w:val="auto"/>
        </w:rPr>
        <w:t>The changes in non-interest income were driven primarily by the following:</w:t>
      </w:r>
    </w:p>
    <w:p>
      <w:pPr>
        <w:spacing w:after="0" w:line="166" w:lineRule="exact"/>
        <w:rPr>
          <w:sz w:val="20"/>
          <w:szCs w:val="20"/>
          <w:color w:val="auto"/>
        </w:rPr>
      </w:pPr>
    </w:p>
    <w:p>
      <w:pPr>
        <w:ind w:left="140" w:right="160"/>
        <w:spacing w:after="0" w:line="303" w:lineRule="auto"/>
        <w:rPr>
          <w:sz w:val="20"/>
          <w:szCs w:val="20"/>
          <w:color w:val="auto"/>
        </w:rPr>
      </w:pPr>
      <w:r>
        <w:rPr>
          <w:rFonts w:ascii="Arial" w:cs="Arial" w:eastAsia="Arial" w:hAnsi="Arial"/>
          <w:sz w:val="14"/>
          <w:szCs w:val="14"/>
          <w:b w:val="1"/>
          <w:bCs w:val="1"/>
          <w:u w:val="single" w:color="auto"/>
          <w:color w:val="auto"/>
        </w:rPr>
        <w:t>Service charges and fees on customer accounts</w:t>
      </w:r>
      <w:r>
        <w:rPr>
          <w:rFonts w:ascii="Arial" w:cs="Arial" w:eastAsia="Arial" w:hAnsi="Arial"/>
          <w:sz w:val="14"/>
          <w:szCs w:val="14"/>
          <w:b w:val="1"/>
          <w:bCs w:val="1"/>
          <w:color w:val="auto"/>
        </w:rPr>
        <w:t xml:space="preserve"> </w:t>
      </w:r>
      <w:r>
        <w:rPr>
          <w:rFonts w:ascii="Arial" w:cs="Arial" w:eastAsia="Arial" w:hAnsi="Arial"/>
          <w:sz w:val="14"/>
          <w:szCs w:val="14"/>
          <w:color w:val="auto"/>
        </w:rPr>
        <w:t>- This category includes account analysis fees offset by a customer rebate program. The increase for the three- and six-month</w:t>
      </w:r>
      <w:r>
        <w:rPr>
          <w:rFonts w:ascii="Arial" w:cs="Arial" w:eastAsia="Arial" w:hAnsi="Arial"/>
          <w:sz w:val="14"/>
          <w:szCs w:val="14"/>
          <w:b w:val="1"/>
          <w:bCs w:val="1"/>
          <w:color w:val="auto"/>
        </w:rPr>
        <w:t xml:space="preserve"> </w:t>
      </w:r>
      <w:r>
        <w:rPr>
          <w:rFonts w:ascii="Arial" w:cs="Arial" w:eastAsia="Arial" w:hAnsi="Arial"/>
          <w:sz w:val="14"/>
          <w:szCs w:val="14"/>
          <w:color w:val="auto"/>
        </w:rPr>
        <w:t>periods ended June 30, 2022 compared to the corresponding periods in 2021 was driven primarily by a $352 thousand and $783 thousand increase, respectively, in account analysis fees due to customer growth, an increase in outstanding balances, and adjustments to the Company’s fee structure.</w:t>
      </w:r>
    </w:p>
    <w:p>
      <w:pPr>
        <w:spacing w:after="0" w:line="105" w:lineRule="exact"/>
        <w:rPr>
          <w:sz w:val="20"/>
          <w:szCs w:val="20"/>
          <w:color w:val="auto"/>
        </w:rPr>
      </w:pPr>
    </w:p>
    <w:p>
      <w:pPr>
        <w:ind w:left="140" w:right="180"/>
        <w:spacing w:after="0" w:line="320" w:lineRule="auto"/>
        <w:rPr>
          <w:sz w:val="20"/>
          <w:szCs w:val="20"/>
          <w:color w:val="auto"/>
        </w:rPr>
      </w:pPr>
      <w:r>
        <w:rPr>
          <w:rFonts w:ascii="Arial" w:cs="Arial" w:eastAsia="Arial" w:hAnsi="Arial"/>
          <w:sz w:val="14"/>
          <w:szCs w:val="14"/>
          <w:b w:val="1"/>
          <w:bCs w:val="1"/>
          <w:u w:val="single" w:color="auto"/>
          <w:color w:val="auto"/>
        </w:rPr>
        <w:t>Income from bank-owned life insurance (“BOLI”)</w:t>
      </w:r>
      <w:r>
        <w:rPr>
          <w:rFonts w:ascii="Arial" w:cs="Arial" w:eastAsia="Arial" w:hAnsi="Arial"/>
          <w:sz w:val="14"/>
          <w:szCs w:val="14"/>
          <w:b w:val="1"/>
          <w:bCs w:val="1"/>
          <w:color w:val="auto"/>
        </w:rPr>
        <w:t xml:space="preserve"> </w:t>
      </w:r>
      <w:r>
        <w:rPr>
          <w:rFonts w:ascii="Arial" w:cs="Arial" w:eastAsia="Arial" w:hAnsi="Arial"/>
          <w:sz w:val="14"/>
          <w:szCs w:val="14"/>
          <w:color w:val="auto"/>
        </w:rPr>
        <w:t>– The decline in BOLI income related to the recognition of $1.8 million in tax-free death benefits from a BOLI policy during</w:t>
      </w:r>
      <w:r>
        <w:rPr>
          <w:rFonts w:ascii="Arial" w:cs="Arial" w:eastAsia="Arial" w:hAnsi="Arial"/>
          <w:sz w:val="14"/>
          <w:szCs w:val="14"/>
          <w:b w:val="1"/>
          <w:bCs w:val="1"/>
          <w:color w:val="auto"/>
        </w:rPr>
        <w:t xml:space="preserve"> </w:t>
      </w:r>
      <w:r>
        <w:rPr>
          <w:rFonts w:ascii="Arial" w:cs="Arial" w:eastAsia="Arial" w:hAnsi="Arial"/>
          <w:sz w:val="14"/>
          <w:szCs w:val="14"/>
          <w:color w:val="auto"/>
        </w:rPr>
        <w:t>the quarter ended June 30, 2021 compared to $0 such proceeds for the three- and six-month periods ended June 30, 2022.</w:t>
      </w:r>
    </w:p>
    <w:p>
      <w:pPr>
        <w:spacing w:after="0" w:line="93" w:lineRule="exact"/>
        <w:rPr>
          <w:sz w:val="20"/>
          <w:szCs w:val="20"/>
          <w:color w:val="auto"/>
        </w:rPr>
      </w:pPr>
    </w:p>
    <w:p>
      <w:pPr>
        <w:jc w:val="both"/>
        <w:ind w:left="140" w:right="280"/>
        <w:spacing w:after="0" w:line="303" w:lineRule="auto"/>
        <w:rPr>
          <w:sz w:val="20"/>
          <w:szCs w:val="20"/>
          <w:color w:val="auto"/>
        </w:rPr>
      </w:pPr>
      <w:r>
        <w:rPr>
          <w:rFonts w:ascii="Arial" w:cs="Arial" w:eastAsia="Arial" w:hAnsi="Arial"/>
          <w:sz w:val="14"/>
          <w:szCs w:val="14"/>
          <w:b w:val="1"/>
          <w:bCs w:val="1"/>
          <w:u w:val="single" w:color="auto"/>
          <w:color w:val="auto"/>
        </w:rPr>
        <w:t>ATM and credit card interchange income</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in ATM and credit card interchange income for the three- and six-month periods ended June 30, 2022 compared to the</w:t>
      </w:r>
      <w:r>
        <w:rPr>
          <w:rFonts w:ascii="Arial" w:cs="Arial" w:eastAsia="Arial" w:hAnsi="Arial"/>
          <w:sz w:val="14"/>
          <w:szCs w:val="14"/>
          <w:b w:val="1"/>
          <w:bCs w:val="1"/>
          <w:color w:val="auto"/>
        </w:rPr>
        <w:t xml:space="preserve"> </w:t>
      </w:r>
      <w:r>
        <w:rPr>
          <w:rFonts w:ascii="Arial" w:cs="Arial" w:eastAsia="Arial" w:hAnsi="Arial"/>
          <w:sz w:val="14"/>
          <w:szCs w:val="14"/>
          <w:color w:val="auto"/>
        </w:rPr>
        <w:t>same periods in 2021 was driven by customer growth, partially offset by a $334 thousand and $331 thousand decrease in credit card interest income, respectively, associated with customers that mobilized their workforce during the COVID-19 pandemic in 2021.</w:t>
      </w:r>
    </w:p>
    <w:p>
      <w:pPr>
        <w:spacing w:after="0" w:line="105" w:lineRule="exact"/>
        <w:rPr>
          <w:sz w:val="20"/>
          <w:szCs w:val="20"/>
          <w:color w:val="auto"/>
        </w:rPr>
      </w:pPr>
    </w:p>
    <w:p>
      <w:pPr>
        <w:ind w:left="140" w:right="120"/>
        <w:spacing w:after="0" w:line="344" w:lineRule="auto"/>
        <w:rPr>
          <w:sz w:val="20"/>
          <w:szCs w:val="20"/>
          <w:color w:val="auto"/>
        </w:rPr>
      </w:pPr>
      <w:r>
        <w:rPr>
          <w:rFonts w:ascii="Arial" w:cs="Arial" w:eastAsia="Arial" w:hAnsi="Arial"/>
          <w:sz w:val="13"/>
          <w:szCs w:val="13"/>
          <w:b w:val="1"/>
          <w:bCs w:val="1"/>
          <w:u w:val="single" w:color="auto"/>
          <w:color w:val="auto"/>
        </w:rPr>
        <w:t>Other non-interest income</w:t>
      </w:r>
      <w:r>
        <w:rPr>
          <w:rFonts w:ascii="Arial" w:cs="Arial" w:eastAsia="Arial" w:hAnsi="Arial"/>
          <w:sz w:val="13"/>
          <w:szCs w:val="13"/>
          <w:b w:val="1"/>
          <w:bCs w:val="1"/>
          <w:color w:val="auto"/>
        </w:rPr>
        <w:t xml:space="preserve"> </w:t>
      </w:r>
      <w:r>
        <w:rPr>
          <w:rFonts w:ascii="Arial" w:cs="Arial" w:eastAsia="Arial" w:hAnsi="Arial"/>
          <w:sz w:val="13"/>
          <w:szCs w:val="13"/>
          <w:color w:val="auto"/>
        </w:rPr>
        <w:t>– The decrease in other non-interest income for the three-month period ended June 30, 2022 compared to the same period in 2021 was primarily related</w:t>
      </w:r>
      <w:r>
        <w:rPr>
          <w:rFonts w:ascii="Arial" w:cs="Arial" w:eastAsia="Arial" w:hAnsi="Arial"/>
          <w:sz w:val="13"/>
          <w:szCs w:val="13"/>
          <w:b w:val="1"/>
          <w:bCs w:val="1"/>
          <w:color w:val="auto"/>
        </w:rPr>
        <w:t xml:space="preserve"> </w:t>
      </w:r>
      <w:r>
        <w:rPr>
          <w:rFonts w:ascii="Arial" w:cs="Arial" w:eastAsia="Arial" w:hAnsi="Arial"/>
          <w:sz w:val="13"/>
          <w:szCs w:val="13"/>
          <w:color w:val="auto"/>
        </w:rPr>
        <w:t>to $120 thousand in multiple state employment incentives received in the second quarter of 2022 compared to $243 thousand in the second quarter of 2021. For the six-month periods ended June 30, 2022 and 2021, multiple state employment incentives recognized were $246 thousand and $243 thousand,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0500"/>
          </w:cols>
          <w:pgMar w:left="780" w:top="395" w:right="619" w:bottom="1440" w:gutter="0" w:footer="0" w:header="0"/>
        </w:sectPr>
      </w:pPr>
    </w:p>
    <w:bookmarkStart w:id="56" w:name="page57"/>
    <w:bookmarkEnd w:id="56"/>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Non-Interest Expense</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center"/>
              <w:ind w:right="509"/>
              <w:spacing w:after="0"/>
              <w:rPr>
                <w:sz w:val="20"/>
                <w:szCs w:val="20"/>
                <w:color w:val="auto"/>
              </w:rPr>
            </w:pPr>
            <w:r>
              <w:rPr>
                <w:rFonts w:ascii="Arial" w:cs="Arial" w:eastAsia="Arial" w:hAnsi="Arial"/>
                <w:sz w:val="14"/>
                <w:szCs w:val="14"/>
                <w:b w:val="1"/>
                <w:bCs w:val="1"/>
                <w:color w:val="auto"/>
                <w:w w:val="94"/>
              </w:rPr>
              <w:t>For the Quarter Ended</w:t>
            </w: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right"/>
              <w:ind w:right="189"/>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29"/>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89"/>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2020</w:t>
            </w:r>
            <w:r>
              <w:rPr>
                <w:rFonts w:ascii="Arial" w:cs="Arial" w:eastAsia="Arial" w:hAnsi="Arial"/>
                <w:sz w:val="18"/>
                <w:szCs w:val="18"/>
                <w:b w:val="1"/>
                <w:bCs w:val="1"/>
                <w:color w:val="auto"/>
                <w:vertAlign w:val="superscript"/>
              </w:rPr>
              <w:t>(1)</w:t>
            </w:r>
          </w:p>
        </w:tc>
        <w:tc>
          <w:tcPr>
            <w:tcW w:w="20" w:type="dxa"/>
            <w:vAlign w:val="bottom"/>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gridSpan w:val="7"/>
          </w:tcPr>
          <w:p>
            <w:pPr>
              <w:jc w:val="center"/>
              <w:ind w:right="60"/>
              <w:spacing w:after="0"/>
              <w:rPr>
                <w:sz w:val="20"/>
                <w:szCs w:val="20"/>
                <w:color w:val="auto"/>
              </w:rPr>
            </w:pPr>
            <w:r>
              <w:rPr>
                <w:rFonts w:ascii="Arial" w:cs="Arial" w:eastAsia="Arial" w:hAnsi="Arial"/>
                <w:sz w:val="14"/>
                <w:szCs w:val="14"/>
                <w:i w:val="1"/>
                <w:iCs w:val="1"/>
                <w:color w:val="auto"/>
                <w:w w:val="93"/>
              </w:rPr>
              <w:t>(Dollars in thousands)</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Total non-interest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29,203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27,666</w:t>
            </w:r>
          </w:p>
        </w:tc>
        <w:tc>
          <w:tcPr>
            <w:tcW w:w="20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26,715</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24,036</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25,813</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56,869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48,631</w:t>
            </w:r>
          </w:p>
        </w:tc>
        <w:tc>
          <w:tcPr>
            <w:tcW w:w="20" w:type="dxa"/>
            <w:vAlign w:val="bottom"/>
            <w:shd w:val="clear" w:color="auto" w:fill="CCEEFF"/>
          </w:tcPr>
          <w:p>
            <w:pPr>
              <w:spacing w:after="0"/>
              <w:rPr>
                <w:sz w:val="16"/>
                <w:szCs w:val="16"/>
                <w:color w:val="auto"/>
              </w:rPr>
            </w:pPr>
          </w:p>
        </w:tc>
      </w:tr>
      <w:tr>
        <w:trPr>
          <w:trHeight w:val="267"/>
        </w:trPr>
        <w:tc>
          <w:tcPr>
            <w:tcW w:w="2720" w:type="dxa"/>
            <w:vAlign w:val="bottom"/>
            <w:gridSpan w:val="2"/>
          </w:tcPr>
          <w:p>
            <w:pPr>
              <w:spacing w:after="0"/>
              <w:rPr>
                <w:sz w:val="20"/>
                <w:szCs w:val="20"/>
                <w:color w:val="auto"/>
              </w:rPr>
            </w:pPr>
            <w:r>
              <w:rPr>
                <w:rFonts w:ascii="Arial" w:cs="Arial" w:eastAsia="Arial" w:hAnsi="Arial"/>
                <w:sz w:val="14"/>
                <w:szCs w:val="14"/>
                <w:color w:val="auto"/>
              </w:rPr>
              <w:t>Non-interest expense to average assets</w:t>
            </w:r>
            <w:r>
              <w:rPr>
                <w:rFonts w:ascii="Arial" w:cs="Arial" w:eastAsia="Arial" w:hAnsi="Arial"/>
                <w:sz w:val="18"/>
                <w:szCs w:val="18"/>
                <w:color w:val="auto"/>
                <w:vertAlign w:val="superscript"/>
              </w:rPr>
              <w:t>(1)</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2.11 %</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2.02 %</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1.93 %</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2.06</w:t>
            </w:r>
          </w:p>
        </w:tc>
        <w:tc>
          <w:tcPr>
            <w:tcW w:w="20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1.71 %</w:t>
            </w:r>
          </w:p>
        </w:tc>
        <w:tc>
          <w:tcPr>
            <w:tcW w:w="20" w:type="dxa"/>
            <w:vAlign w:val="bottom"/>
          </w:tcPr>
          <w:p>
            <w:pPr>
              <w:spacing w:after="0"/>
              <w:rPr>
                <w:sz w:val="23"/>
                <w:szCs w:val="23"/>
                <w:color w:val="auto"/>
              </w:rPr>
            </w:pPr>
          </w:p>
        </w:tc>
      </w:tr>
    </w:tbl>
    <w:p>
      <w:pPr>
        <w:ind w:left="260" w:hanging="137"/>
        <w:spacing w:after="0" w:line="216" w:lineRule="auto"/>
        <w:tabs>
          <w:tab w:leader="none" w:pos="260" w:val="left"/>
        </w:tabs>
        <w:numPr>
          <w:ilvl w:val="0"/>
          <w:numId w:val="27"/>
        </w:numPr>
        <w:rPr>
          <w:rFonts w:ascii="Arial" w:cs="Arial" w:eastAsia="Arial" w:hAnsi="Arial"/>
          <w:sz w:val="16"/>
          <w:szCs w:val="16"/>
          <w:color w:val="auto"/>
          <w:vertAlign w:val="superscript"/>
        </w:rPr>
      </w:pPr>
      <w:r>
        <w:rPr>
          <w:rFonts w:ascii="Arial" w:cs="Arial" w:eastAsia="Arial" w:hAnsi="Arial"/>
          <w:sz w:val="12"/>
          <w:szCs w:val="12"/>
          <w:color w:val="auto"/>
        </w:rPr>
        <w:t>Interim periods annualized.</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components of non-interest expense were as follows for the periods indicated:</w:t>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8"/>
          </w:tcPr>
          <w:p>
            <w:pPr>
              <w:ind w:left="120"/>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Change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w w:val="76"/>
              </w:rPr>
              <w:t>$</w:t>
            </w:r>
          </w:p>
        </w:tc>
        <w:tc>
          <w:tcPr>
            <w:tcW w:w="40" w:type="dxa"/>
            <w:vAlign w:val="bottom"/>
          </w:tcPr>
          <w:p>
            <w:pPr>
              <w:spacing w:after="0"/>
              <w:rPr>
                <w:sz w:val="14"/>
                <w:szCs w:val="14"/>
                <w:color w:val="auto"/>
              </w:rPr>
            </w:pPr>
          </w:p>
        </w:tc>
        <w:tc>
          <w:tcPr>
            <w:tcW w:w="6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40" w:type="dxa"/>
            <w:vAlign w:val="bottom"/>
            <w:gridSpan w:val="8"/>
          </w:tcPr>
          <w:p>
            <w:pPr>
              <w:ind w:left="2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Salary and employee benefits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17,095</w:t>
            </w:r>
          </w:p>
        </w:tc>
        <w:tc>
          <w:tcPr>
            <w:tcW w:w="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15,660</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80" w:type="dxa"/>
            <w:vAlign w:val="bottom"/>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35,036</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29,213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5,823</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shd w:val="clear" w:color="auto" w:fill="CCEEFF"/>
          </w:tcPr>
          <w:p>
            <w:pPr>
              <w:spacing w:after="0"/>
              <w:rPr>
                <w:sz w:val="15"/>
                <w:szCs w:val="15"/>
                <w:color w:val="auto"/>
              </w:rPr>
            </w:pPr>
          </w:p>
        </w:tc>
      </w:tr>
      <w:tr>
        <w:trPr>
          <w:trHeight w:val="192"/>
        </w:trPr>
        <w:tc>
          <w:tcPr>
            <w:tcW w:w="3520" w:type="dxa"/>
            <w:vAlign w:val="bottom"/>
            <w:gridSpan w:val="2"/>
          </w:tcPr>
          <w:p>
            <w:pPr>
              <w:spacing w:after="0"/>
              <w:rPr>
                <w:sz w:val="20"/>
                <w:szCs w:val="20"/>
                <w:color w:val="auto"/>
              </w:rPr>
            </w:pPr>
            <w:r>
              <w:rPr>
                <w:rFonts w:ascii="Arial" w:cs="Arial" w:eastAsia="Arial" w:hAnsi="Arial"/>
                <w:sz w:val="14"/>
                <w:szCs w:val="14"/>
                <w:color w:val="auto"/>
              </w:rPr>
              <w:t>Occupancy</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2,622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2,397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225</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5,115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4,891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224</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Professional fees</w:t>
            </w:r>
          </w:p>
        </w:tc>
        <w:tc>
          <w:tcPr>
            <w:tcW w:w="180" w:type="dxa"/>
            <w:vAlign w:val="bottom"/>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1,068</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72"/>
        </w:trPr>
        <w:tc>
          <w:tcPr>
            <w:tcW w:w="3520" w:type="dxa"/>
            <w:vAlign w:val="bottom"/>
            <w:gridSpan w:val="2"/>
          </w:tcPr>
          <w:p>
            <w:pPr>
              <w:spacing w:after="0"/>
              <w:rPr>
                <w:sz w:val="20"/>
                <w:szCs w:val="20"/>
                <w:color w:val="auto"/>
              </w:rPr>
            </w:pPr>
            <w:r>
              <w:rPr>
                <w:rFonts w:ascii="Arial" w:cs="Arial" w:eastAsia="Arial" w:hAnsi="Arial"/>
                <w:sz w:val="14"/>
                <w:szCs w:val="14"/>
                <w:color w:val="auto"/>
              </w:rPr>
              <w:t>Deposit insurance premiums</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917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(204)</w:t>
            </w:r>
          </w:p>
        </w:tc>
        <w:tc>
          <w:tcPr>
            <w:tcW w:w="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1,450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2,068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(618)</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Data processing</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1"/>
        </w:trPr>
        <w:tc>
          <w:tcPr>
            <w:tcW w:w="3520" w:type="dxa"/>
            <w:vAlign w:val="bottom"/>
            <w:gridSpan w:val="2"/>
          </w:tcPr>
          <w:p>
            <w:pPr>
              <w:spacing w:after="0"/>
              <w:rPr>
                <w:sz w:val="20"/>
                <w:szCs w:val="20"/>
                <w:color w:val="auto"/>
              </w:rPr>
            </w:pPr>
            <w:r>
              <w:rPr>
                <w:rFonts w:ascii="Arial" w:cs="Arial" w:eastAsia="Arial" w:hAnsi="Arial"/>
                <w:sz w:val="14"/>
                <w:szCs w:val="14"/>
                <w:color w:val="auto"/>
              </w:rPr>
              <w:t>Advertising</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435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322</w:t>
            </w:r>
          </w:p>
        </w:tc>
        <w:tc>
          <w:tcPr>
            <w:tcW w:w="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711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Software and communication</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2"/>
        </w:trPr>
        <w:tc>
          <w:tcPr>
            <w:tcW w:w="3520" w:type="dxa"/>
            <w:vAlign w:val="bottom"/>
            <w:gridSpan w:val="2"/>
          </w:tcPr>
          <w:p>
            <w:pPr>
              <w:spacing w:after="0"/>
              <w:rPr>
                <w:sz w:val="20"/>
                <w:szCs w:val="20"/>
                <w:color w:val="auto"/>
              </w:rPr>
            </w:pPr>
            <w:r>
              <w:rPr>
                <w:rFonts w:ascii="Arial" w:cs="Arial" w:eastAsia="Arial" w:hAnsi="Arial"/>
                <w:sz w:val="14"/>
                <w:szCs w:val="14"/>
                <w:color w:val="auto"/>
              </w:rPr>
              <w:t>Foreclosed assets, net</w:t>
            </w: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(650)</w:t>
            </w:r>
          </w:p>
        </w:tc>
        <w:tc>
          <w:tcPr>
            <w:tcW w:w="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(38)</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715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(753)</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Other non-interest expense</w:t>
            </w: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4,575</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w:t>
            </w:r>
          </w:p>
        </w:tc>
        <w:tc>
          <w:tcPr>
            <w:tcW w:w="4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8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7,544</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5,551</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1,993</w:t>
            </w:r>
          </w:p>
        </w:tc>
        <w:tc>
          <w:tcPr>
            <w:tcW w:w="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3500" w:type="dxa"/>
            <w:vAlign w:val="bottom"/>
          </w:tcPr>
          <w:p>
            <w:pPr>
              <w:ind w:left="80"/>
              <w:spacing w:after="0"/>
              <w:rPr>
                <w:sz w:val="20"/>
                <w:szCs w:val="20"/>
                <w:color w:val="auto"/>
              </w:rPr>
            </w:pPr>
            <w:r>
              <w:rPr>
                <w:rFonts w:ascii="Arial" w:cs="Arial" w:eastAsia="Arial" w:hAnsi="Arial"/>
                <w:sz w:val="14"/>
                <w:szCs w:val="14"/>
                <w:color w:val="auto"/>
              </w:rPr>
              <w:t>Total non-interest expense</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29,203</w:t>
            </w:r>
          </w:p>
        </w:tc>
        <w:tc>
          <w:tcPr>
            <w:tcW w:w="20" w:type="dxa"/>
            <w:vAlign w:val="bottom"/>
          </w:tcPr>
          <w:p>
            <w:pPr>
              <w:spacing w:after="0"/>
              <w:rPr>
                <w:sz w:val="16"/>
                <w:szCs w:val="16"/>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25,813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3,390</w:t>
            </w:r>
          </w:p>
        </w:tc>
        <w:tc>
          <w:tcPr>
            <w:tcW w:w="40" w:type="dxa"/>
            <w:vAlign w:val="bottom"/>
          </w:tcPr>
          <w:p>
            <w:pPr>
              <w:spacing w:after="0"/>
              <w:rPr>
                <w:sz w:val="16"/>
                <w:szCs w:val="16"/>
                <w:color w:val="auto"/>
              </w:rPr>
            </w:pPr>
          </w:p>
        </w:tc>
        <w:tc>
          <w:tcPr>
            <w:tcW w:w="840" w:type="dxa"/>
            <w:vAlign w:val="bottom"/>
            <w:gridSpan w:val="2"/>
          </w:tcPr>
          <w:p>
            <w:pPr>
              <w:jc w:val="right"/>
              <w:ind w:right="19"/>
              <w:spacing w:after="0"/>
              <w:rPr>
                <w:sz w:val="20"/>
                <w:szCs w:val="20"/>
                <w:color w:val="auto"/>
              </w:rPr>
            </w:pPr>
            <w:r>
              <w:rPr>
                <w:rFonts w:ascii="Arial" w:cs="Arial" w:eastAsia="Arial" w:hAnsi="Arial"/>
                <w:sz w:val="14"/>
                <w:szCs w:val="14"/>
                <w:color w:val="auto"/>
              </w:rPr>
              <w:t>13 %</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56,869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48,631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8,238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17</w:t>
            </w:r>
          </w:p>
        </w:tc>
        <w:tc>
          <w:tcPr>
            <w:tcW w:w="18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changes in non-interest expense were driven primarily by the following:</w:t>
      </w:r>
    </w:p>
    <w:p>
      <w:pPr>
        <w:spacing w:after="0" w:line="155" w:lineRule="exact"/>
        <w:rPr>
          <w:sz w:val="20"/>
          <w:szCs w:val="20"/>
          <w:color w:val="auto"/>
        </w:rPr>
      </w:pPr>
    </w:p>
    <w:p>
      <w:pPr>
        <w:jc w:val="both"/>
        <w:ind w:left="140" w:right="440"/>
        <w:spacing w:after="0" w:line="311" w:lineRule="auto"/>
        <w:rPr>
          <w:sz w:val="20"/>
          <w:szCs w:val="20"/>
          <w:color w:val="auto"/>
        </w:rPr>
      </w:pPr>
      <w:r>
        <w:rPr>
          <w:rFonts w:ascii="Arial" w:cs="Arial" w:eastAsia="Arial" w:hAnsi="Arial"/>
          <w:sz w:val="14"/>
          <w:szCs w:val="14"/>
          <w:b w:val="1"/>
          <w:bCs w:val="1"/>
          <w:u w:val="single" w:color="auto"/>
          <w:color w:val="auto"/>
        </w:rPr>
        <w:t>Salary and Employee Benefits</w:t>
      </w:r>
      <w:r>
        <w:rPr>
          <w:rFonts w:ascii="Arial" w:cs="Arial" w:eastAsia="Arial" w:hAnsi="Arial"/>
          <w:sz w:val="14"/>
          <w:szCs w:val="14"/>
          <w:b w:val="1"/>
          <w:bCs w:val="1"/>
          <w:color w:val="auto"/>
        </w:rPr>
        <w:t xml:space="preserve"> </w:t>
      </w:r>
      <w:r>
        <w:rPr>
          <w:rFonts w:ascii="Arial" w:cs="Arial" w:eastAsia="Arial" w:hAnsi="Arial"/>
          <w:sz w:val="14"/>
          <w:szCs w:val="14"/>
          <w:color w:val="auto"/>
        </w:rPr>
        <w:t>- Salary and employee benefit costs increased for the three- and six-month periods ended June 30, 2022 compared to the same periods in 2021</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due to the impact of continued hiring for production talent in a competitive environment, annual merit increases, and an increase related to a change in the maximum 401(k) plan match from 3.5% in 2021 to 5.0% in 2022.</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For three-month period ended June 30, 2022 compared to the same period in 2021, the increase was partially offset by a $465 thousand decline in stock-based compensation.</w:t>
      </w:r>
    </w:p>
    <w:p>
      <w:pPr>
        <w:spacing w:after="0" w:line="181" w:lineRule="exact"/>
        <w:rPr>
          <w:sz w:val="20"/>
          <w:szCs w:val="20"/>
          <w:color w:val="auto"/>
        </w:rPr>
      </w:pPr>
    </w:p>
    <w:p>
      <w:pPr>
        <w:ind w:left="140" w:right="260"/>
        <w:spacing w:after="0" w:line="314" w:lineRule="auto"/>
        <w:rPr>
          <w:sz w:val="20"/>
          <w:szCs w:val="20"/>
          <w:color w:val="auto"/>
        </w:rPr>
      </w:pPr>
      <w:r>
        <w:rPr>
          <w:rFonts w:ascii="Arial" w:cs="Arial" w:eastAsia="Arial" w:hAnsi="Arial"/>
          <w:sz w:val="14"/>
          <w:szCs w:val="14"/>
          <w:color w:val="auto"/>
        </w:rPr>
        <w:t>For the six-month period ended June 30, 2022 compared to the same period in 2021, the increase included larger expected payouts on performance -based awards and higher taxes and benefits due to incentive payouts.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3"/>
          <w:szCs w:val="13"/>
          <w:b w:val="1"/>
          <w:bCs w:val="1"/>
          <w:u w:val="single" w:color="auto"/>
          <w:color w:val="auto"/>
        </w:rPr>
        <w:t>Occupancy</w:t>
      </w:r>
      <w:r>
        <w:rPr>
          <w:rFonts w:ascii="Arial" w:cs="Arial" w:eastAsia="Arial" w:hAnsi="Arial"/>
          <w:sz w:val="13"/>
          <w:szCs w:val="13"/>
          <w:b w:val="1"/>
          <w:bCs w:val="1"/>
          <w:color w:val="auto"/>
        </w:rPr>
        <w:t xml:space="preserve"> </w:t>
      </w:r>
      <w:r>
        <w:rPr>
          <w:rFonts w:ascii="Arial" w:cs="Arial" w:eastAsia="Arial" w:hAnsi="Arial"/>
          <w:sz w:val="13"/>
          <w:szCs w:val="13"/>
          <w:color w:val="auto"/>
        </w:rPr>
        <w:t>– The increase in occupancy costs was driven by the Company’s expansion into Arizona in July 2021 and the addition of a second location in Dallas, Texas.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0500"/>
          </w:cols>
          <w:pgMar w:left="780" w:top="407" w:right="619" w:bottom="1440" w:gutter="0" w:footer="0" w:header="0"/>
        </w:sectPr>
      </w:pPr>
    </w:p>
    <w:bookmarkStart w:id="57" w:name="page58"/>
    <w:bookmarkEnd w:id="57"/>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4" w:lineRule="exact"/>
        <w:rPr>
          <w:sz w:val="20"/>
          <w:szCs w:val="20"/>
          <w:color w:val="auto"/>
        </w:rPr>
      </w:pPr>
    </w:p>
    <w:p>
      <w:pPr>
        <w:ind w:left="140" w:right="80"/>
        <w:spacing w:after="0" w:line="344" w:lineRule="auto"/>
        <w:rPr>
          <w:sz w:val="20"/>
          <w:szCs w:val="20"/>
          <w:color w:val="auto"/>
        </w:rPr>
      </w:pPr>
      <w:r>
        <w:rPr>
          <w:rFonts w:ascii="Arial" w:cs="Arial" w:eastAsia="Arial" w:hAnsi="Arial"/>
          <w:sz w:val="13"/>
          <w:szCs w:val="13"/>
          <w:b w:val="1"/>
          <w:bCs w:val="1"/>
          <w:u w:val="single" w:color="auto"/>
          <w:color w:val="auto"/>
        </w:rPr>
        <w:t>Deposit Insurance Premiums</w:t>
      </w:r>
      <w:r>
        <w:rPr>
          <w:rFonts w:ascii="Arial" w:cs="Arial" w:eastAsia="Arial" w:hAnsi="Arial"/>
          <w:sz w:val="13"/>
          <w:szCs w:val="13"/>
          <w:b w:val="1"/>
          <w:bCs w:val="1"/>
          <w:color w:val="auto"/>
        </w:rPr>
        <w:t xml:space="preserve"> </w:t>
      </w:r>
      <w:r>
        <w:rPr>
          <w:rFonts w:ascii="Arial" w:cs="Arial" w:eastAsia="Arial" w:hAnsi="Arial"/>
          <w:sz w:val="13"/>
          <w:szCs w:val="13"/>
          <w:color w:val="auto"/>
        </w:rPr>
        <w:t>- The FDIC uses a risk-based premium system to calculate the quarterly fee. Our premium costs decreased for the three- and six-month periods ended</w:t>
      </w:r>
      <w:r>
        <w:rPr>
          <w:rFonts w:ascii="Arial" w:cs="Arial" w:eastAsia="Arial" w:hAnsi="Arial"/>
          <w:sz w:val="13"/>
          <w:szCs w:val="13"/>
          <w:b w:val="1"/>
          <w:bCs w:val="1"/>
          <w:color w:val="auto"/>
        </w:rPr>
        <w:t xml:space="preserve"> </w:t>
      </w:r>
      <w:r>
        <w:rPr>
          <w:rFonts w:ascii="Arial" w:cs="Arial" w:eastAsia="Arial" w:hAnsi="Arial"/>
          <w:sz w:val="13"/>
          <w:szCs w:val="13"/>
          <w:color w:val="auto"/>
        </w:rPr>
        <w:t>June 30, 2022 compared to the same periods in 2021 as a result of asset balance changes, changes in asset quality and changes in capital ratios. We currently anticipate deposit insurance premiums will increase over the next quarter because of expected loan growth and the common stock repurchase program.</w:t>
      </w:r>
    </w:p>
    <w:p>
      <w:pPr>
        <w:spacing w:after="0" w:line="72"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Data Processing</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in data processing costs was driven primarily by increased costs associated with the Company's digital client interface conversion.</w:t>
      </w:r>
    </w:p>
    <w:p>
      <w:pPr>
        <w:spacing w:after="0" w:line="159" w:lineRule="exact"/>
        <w:rPr>
          <w:sz w:val="20"/>
          <w:szCs w:val="20"/>
          <w:color w:val="auto"/>
        </w:rPr>
      </w:pPr>
    </w:p>
    <w:p>
      <w:pPr>
        <w:ind w:left="140" w:right="160"/>
        <w:spacing w:after="0" w:line="336" w:lineRule="auto"/>
        <w:rPr>
          <w:sz w:val="20"/>
          <w:szCs w:val="20"/>
          <w:color w:val="auto"/>
        </w:rPr>
      </w:pPr>
      <w:r>
        <w:rPr>
          <w:rFonts w:ascii="Arial" w:cs="Arial" w:eastAsia="Arial" w:hAnsi="Arial"/>
          <w:sz w:val="14"/>
          <w:szCs w:val="14"/>
          <w:b w:val="1"/>
          <w:bCs w:val="1"/>
          <w:u w:val="single" w:color="auto"/>
          <w:color w:val="auto"/>
        </w:rPr>
        <w:t>Advertising</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in advertising costs was driven by increased in-person events for the three- and six-month periods ended June 30, 2022 compared to the same periods in</w:t>
      </w:r>
      <w:r>
        <w:rPr>
          <w:rFonts w:ascii="Arial" w:cs="Arial" w:eastAsia="Arial" w:hAnsi="Arial"/>
          <w:sz w:val="14"/>
          <w:szCs w:val="14"/>
          <w:b w:val="1"/>
          <w:bCs w:val="1"/>
          <w:color w:val="auto"/>
        </w:rPr>
        <w:t xml:space="preserve"> </w:t>
      </w:r>
      <w:r>
        <w:rPr>
          <w:rFonts w:ascii="Arial" w:cs="Arial" w:eastAsia="Arial" w:hAnsi="Arial"/>
          <w:sz w:val="14"/>
          <w:szCs w:val="14"/>
          <w:color w:val="auto"/>
        </w:rPr>
        <w:t>2021 because of COVID-19 pandemic restrictions being lifted.</w:t>
      </w:r>
    </w:p>
    <w:p>
      <w:pPr>
        <w:spacing w:after="0" w:line="72" w:lineRule="exact"/>
        <w:rPr>
          <w:sz w:val="20"/>
          <w:szCs w:val="20"/>
          <w:color w:val="auto"/>
        </w:rPr>
      </w:pPr>
    </w:p>
    <w:p>
      <w:pPr>
        <w:ind w:left="140" w:right="220"/>
        <w:spacing w:after="0" w:line="308" w:lineRule="auto"/>
        <w:rPr>
          <w:sz w:val="20"/>
          <w:szCs w:val="20"/>
          <w:color w:val="auto"/>
        </w:rPr>
      </w:pPr>
      <w:r>
        <w:rPr>
          <w:rFonts w:ascii="Arial" w:cs="Arial" w:eastAsia="Arial" w:hAnsi="Arial"/>
          <w:sz w:val="14"/>
          <w:szCs w:val="14"/>
          <w:b w:val="1"/>
          <w:bCs w:val="1"/>
          <w:u w:val="single" w:color="auto"/>
          <w:color w:val="auto"/>
        </w:rPr>
        <w:t>Software and Communication</w:t>
      </w:r>
      <w:r>
        <w:rPr>
          <w:rFonts w:ascii="Arial" w:cs="Arial" w:eastAsia="Arial" w:hAnsi="Arial"/>
          <w:sz w:val="14"/>
          <w:szCs w:val="14"/>
          <w:b w:val="1"/>
          <w:bCs w:val="1"/>
          <w:color w:val="auto"/>
        </w:rPr>
        <w:t xml:space="preserve"> </w:t>
      </w:r>
      <w:r>
        <w:rPr>
          <w:rFonts w:ascii="Arial" w:cs="Arial" w:eastAsia="Arial" w:hAnsi="Arial"/>
          <w:sz w:val="14"/>
          <w:szCs w:val="14"/>
          <w:color w:val="auto"/>
        </w:rPr>
        <w:t>- The increase was driven by our continued strategy to invest in technologies that allow us to cover beginning-to-end loan originations, provide</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customers with a suite of online tools and analyze operational trends. In addition to the growing number of technologies implemented, a portion of the increase in costs was due to our growth. We currently anticipate our software and communication costs to continue to increase in 2022 as we continue adding and implementing new software products that improve our customers’ experience.</w:t>
      </w:r>
    </w:p>
    <w:p>
      <w:pPr>
        <w:spacing w:after="0" w:line="91" w:lineRule="exact"/>
        <w:rPr>
          <w:sz w:val="20"/>
          <w:szCs w:val="20"/>
          <w:color w:val="auto"/>
        </w:rPr>
      </w:pPr>
    </w:p>
    <w:p>
      <w:pPr>
        <w:ind w:left="140" w:right="240"/>
        <w:spacing w:after="0" w:line="320" w:lineRule="auto"/>
        <w:rPr>
          <w:sz w:val="20"/>
          <w:szCs w:val="20"/>
          <w:color w:val="auto"/>
        </w:rPr>
      </w:pPr>
      <w:r>
        <w:rPr>
          <w:rFonts w:ascii="Arial" w:cs="Arial" w:eastAsia="Arial" w:hAnsi="Arial"/>
          <w:sz w:val="14"/>
          <w:szCs w:val="14"/>
          <w:b w:val="1"/>
          <w:bCs w:val="1"/>
          <w:u w:val="single" w:color="auto"/>
          <w:color w:val="auto"/>
        </w:rPr>
        <w:t>Foreclosed Assets, net</w:t>
      </w:r>
      <w:r>
        <w:rPr>
          <w:rFonts w:ascii="Arial" w:cs="Arial" w:eastAsia="Arial" w:hAnsi="Arial"/>
          <w:sz w:val="14"/>
          <w:szCs w:val="14"/>
          <w:b w:val="1"/>
          <w:bCs w:val="1"/>
          <w:color w:val="auto"/>
        </w:rPr>
        <w:t xml:space="preserve"> </w:t>
      </w:r>
      <w:r>
        <w:rPr>
          <w:rFonts w:ascii="Arial" w:cs="Arial" w:eastAsia="Arial" w:hAnsi="Arial"/>
          <w:sz w:val="14"/>
          <w:szCs w:val="14"/>
          <w:color w:val="auto"/>
        </w:rPr>
        <w:t>– The decrease was due to a $630 thousand write-down in value of a commercial use facility foreclosed upon in 2020 during the three-month period ended</w:t>
      </w:r>
      <w:r>
        <w:rPr>
          <w:rFonts w:ascii="Arial" w:cs="Arial" w:eastAsia="Arial" w:hAnsi="Arial"/>
          <w:sz w:val="14"/>
          <w:szCs w:val="14"/>
          <w:b w:val="1"/>
          <w:bCs w:val="1"/>
          <w:color w:val="auto"/>
        </w:rPr>
        <w:t xml:space="preserve"> </w:t>
      </w:r>
      <w:r>
        <w:rPr>
          <w:rFonts w:ascii="Arial" w:cs="Arial" w:eastAsia="Arial" w:hAnsi="Arial"/>
          <w:sz w:val="14"/>
          <w:szCs w:val="14"/>
          <w:color w:val="auto"/>
        </w:rPr>
        <w:t>June 30, 2021.</w:t>
      </w:r>
    </w:p>
    <w:p>
      <w:pPr>
        <w:spacing w:after="0" w:line="93" w:lineRule="exact"/>
        <w:rPr>
          <w:sz w:val="20"/>
          <w:szCs w:val="20"/>
          <w:color w:val="auto"/>
        </w:rPr>
      </w:pPr>
    </w:p>
    <w:p>
      <w:pPr>
        <w:jc w:val="both"/>
        <w:ind w:left="140" w:right="40"/>
        <w:spacing w:after="0" w:line="311" w:lineRule="auto"/>
        <w:rPr>
          <w:sz w:val="20"/>
          <w:szCs w:val="20"/>
          <w:color w:val="auto"/>
        </w:rPr>
      </w:pPr>
      <w:r>
        <w:rPr>
          <w:rFonts w:ascii="Arial" w:cs="Arial" w:eastAsia="Arial" w:hAnsi="Arial"/>
          <w:sz w:val="14"/>
          <w:szCs w:val="14"/>
          <w:b w:val="1"/>
          <w:bCs w:val="1"/>
          <w:u w:val="single" w:color="auto"/>
          <w:color w:val="auto"/>
        </w:rPr>
        <w:t>Other Non-interest Expense</w:t>
      </w:r>
      <w:r>
        <w:rPr>
          <w:rFonts w:ascii="Arial" w:cs="Arial" w:eastAsia="Arial" w:hAnsi="Arial"/>
          <w:sz w:val="14"/>
          <w:szCs w:val="14"/>
          <w:b w:val="1"/>
          <w:bCs w:val="1"/>
          <w:color w:val="auto"/>
        </w:rPr>
        <w:t xml:space="preserve"> </w:t>
      </w:r>
      <w:r>
        <w:rPr>
          <w:rFonts w:ascii="Arial" w:cs="Arial" w:eastAsia="Arial" w:hAnsi="Arial"/>
          <w:sz w:val="14"/>
          <w:szCs w:val="14"/>
          <w:color w:val="auto"/>
        </w:rPr>
        <w:t>- Other non-interest expense increased for the three- and six-month periods ended June 30, 2022 compared to the same periods in 2021 driven by $1.1</w:t>
      </w:r>
      <w:r>
        <w:rPr>
          <w:rFonts w:ascii="Arial" w:cs="Arial" w:eastAsia="Arial" w:hAnsi="Arial"/>
          <w:sz w:val="14"/>
          <w:szCs w:val="14"/>
          <w:b w:val="1"/>
          <w:bCs w:val="1"/>
          <w:color w:val="auto"/>
        </w:rPr>
        <w:t xml:space="preserve"> </w:t>
      </w:r>
      <w:r>
        <w:rPr>
          <w:rFonts w:ascii="Arial" w:cs="Arial" w:eastAsia="Arial" w:hAnsi="Arial"/>
          <w:sz w:val="14"/>
          <w:szCs w:val="14"/>
          <w:color w:val="auto"/>
        </w:rPr>
        <w:t>million in employee separation costs. In addition, commercial card costs increased $225 thousand for the six-month period ended June 30, 2022 compared to the same period in 2021 as a result of increased use by current customers and customer growth.</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Income Taxes</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10"/>
          </w:tcPr>
          <w:p>
            <w:pPr>
              <w:jc w:val="center"/>
              <w:ind w:right="749"/>
              <w:spacing w:after="0"/>
              <w:rPr>
                <w:sz w:val="20"/>
                <w:szCs w:val="20"/>
                <w:color w:val="auto"/>
              </w:rPr>
            </w:pPr>
            <w:r>
              <w:rPr>
                <w:rFonts w:ascii="Arial" w:cs="Arial" w:eastAsia="Arial" w:hAnsi="Arial"/>
                <w:sz w:val="14"/>
                <w:szCs w:val="14"/>
                <w:b w:val="1"/>
                <w:bCs w:val="1"/>
                <w:color w:val="auto"/>
                <w:w w:val="94"/>
              </w:rPr>
              <w:t>For the Quarter Ended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7"/>
          </w:tcPr>
          <w:p>
            <w:pPr>
              <w:jc w:val="center"/>
              <w:ind w:right="60"/>
              <w:spacing w:after="0"/>
              <w:rPr>
                <w:sz w:val="20"/>
                <w:szCs w:val="20"/>
                <w:color w:val="auto"/>
              </w:rPr>
            </w:pPr>
            <w:r>
              <w:rPr>
                <w:rFonts w:ascii="Arial" w:cs="Arial" w:eastAsia="Arial" w:hAnsi="Arial"/>
                <w:sz w:val="14"/>
                <w:szCs w:val="14"/>
                <w:i w:val="1"/>
                <w:iCs w:val="1"/>
                <w:color w:val="auto"/>
                <w:w w:val="93"/>
              </w:rPr>
              <w:t>(Dollars in thousands)</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4,027</w:t>
            </w: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4,188</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5,725</w:t>
            </w:r>
          </w:p>
        </w:tc>
        <w:tc>
          <w:tcPr>
            <w:tcW w:w="14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5,660</w:t>
            </w: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w:t>
            </w:r>
          </w:p>
        </w:tc>
        <w:tc>
          <w:tcPr>
            <w:tcW w:w="2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8,215</w:t>
            </w:r>
          </w:p>
        </w:tc>
        <w:tc>
          <w:tcPr>
            <w:tcW w:w="2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92"/>
        </w:trPr>
        <w:tc>
          <w:tcPr>
            <w:tcW w:w="27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19,572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21,016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26,526</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26,660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18,840</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40,588</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33,783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Effective tax rate</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r>
    </w:tbl>
    <w:p>
      <w:pPr>
        <w:spacing w:after="0" w:line="160" w:lineRule="exact"/>
        <w:rPr>
          <w:sz w:val="20"/>
          <w:szCs w:val="20"/>
          <w:color w:val="auto"/>
        </w:rPr>
      </w:pPr>
    </w:p>
    <w:p>
      <w:pPr>
        <w:ind w:left="140" w:right="200" w:firstLine="384"/>
        <w:spacing w:after="0" w:line="341" w:lineRule="auto"/>
        <w:rPr>
          <w:sz w:val="20"/>
          <w:szCs w:val="20"/>
          <w:color w:val="auto"/>
        </w:rPr>
      </w:pPr>
      <w:r>
        <w:rPr>
          <w:rFonts w:ascii="Arial" w:cs="Arial" w:eastAsia="Arial" w:hAnsi="Arial"/>
          <w:sz w:val="13"/>
          <w:szCs w:val="13"/>
          <w:color w:val="auto"/>
        </w:rPr>
        <w:t>Our income tax expense differs from the amount that would be calculated using the federal statutory tax rate, primarily from investments in tax advantaged assets, including BOLI and tax-exempt municipal securities; state tax credits; and permanent tax differences from equity-based compensation. Refer to “Note 10: Income Tax” within the Notes to Condensed Consolidated Financial Statements (unaudited) for a reconciliation of the statutory rate to the Company’s actual income tax expense.</w:t>
      </w:r>
    </w:p>
    <w:p>
      <w:pPr>
        <w:spacing w:after="0" w:line="78" w:lineRule="exact"/>
        <w:rPr>
          <w:sz w:val="20"/>
          <w:szCs w:val="20"/>
          <w:color w:val="auto"/>
        </w:rPr>
      </w:pPr>
    </w:p>
    <w:p>
      <w:pPr>
        <w:ind w:left="140" w:right="480" w:firstLine="384"/>
        <w:spacing w:after="0" w:line="308" w:lineRule="auto"/>
        <w:rPr>
          <w:sz w:val="20"/>
          <w:szCs w:val="20"/>
          <w:color w:val="auto"/>
        </w:rPr>
      </w:pPr>
      <w:r>
        <w:rPr>
          <w:rFonts w:ascii="Arial" w:cs="Arial" w:eastAsia="Arial" w:hAnsi="Arial"/>
          <w:sz w:val="14"/>
          <w:szCs w:val="14"/>
          <w:color w:val="auto"/>
        </w:rPr>
        <w:t>During the three- and six-month periods ended June 30, 2022, the Company’s effective tax rate benefited from permanent tax differences related to tax-exempt interest. During the three- and six-month periods ended June 30, 2021, the Company benefited from permanent tax differences related to tax-exempt interest and $2 million in BOLI settlement benefits that reduced income taxes by $387 thousand and reduced the effective tax rate by approximately 2%.</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currently anticipate the Company’s effective tax rate to remain within the 20% to 23% range in the near term.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0500"/>
          </w:cols>
          <w:pgMar w:left="780" w:top="407" w:right="619" w:bottom="1440" w:gutter="0" w:footer="0" w:header="0"/>
        </w:sectPr>
      </w:pPr>
    </w:p>
    <w:bookmarkStart w:id="58" w:name="page59"/>
    <w:bookmarkEnd w:id="58"/>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Analysis of Financial Condition</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Securities Portfolio</w:t>
      </w:r>
    </w:p>
    <w:p>
      <w:pPr>
        <w:spacing w:after="0" w:line="162" w:lineRule="exact"/>
        <w:rPr>
          <w:sz w:val="20"/>
          <w:szCs w:val="20"/>
          <w:color w:val="auto"/>
        </w:rPr>
      </w:pPr>
    </w:p>
    <w:p>
      <w:pPr>
        <w:ind w:left="680" w:right="579" w:firstLine="384"/>
        <w:spacing w:after="0" w:line="301" w:lineRule="auto"/>
        <w:rPr>
          <w:sz w:val="20"/>
          <w:szCs w:val="20"/>
          <w:color w:val="auto"/>
        </w:rPr>
      </w:pPr>
      <w:r>
        <w:rPr>
          <w:rFonts w:ascii="Arial" w:cs="Arial" w:eastAsia="Arial" w:hAnsi="Arial"/>
          <w:sz w:val="14"/>
          <w:szCs w:val="14"/>
          <w:color w:val="auto"/>
        </w:rPr>
        <w:t>The securities portfolio is maintained to serve as a contingent, on-balance sheet source of liquidity. The objective of the investment portfolio is to optimize earnings, manage credit and interest rate risk, ensure adequate liquidity, and meet pledging and regulatory capital requirements. As of June 30, 2022, available-for-sale investments totaled $696 million, a decrease of $50 million from December 31, 2021.</w:t>
      </w:r>
    </w:p>
    <w:p>
      <w:pPr>
        <w:spacing w:after="0" w:line="110" w:lineRule="exact"/>
        <w:rPr>
          <w:sz w:val="20"/>
          <w:szCs w:val="20"/>
          <w:color w:val="auto"/>
        </w:rPr>
      </w:pPr>
    </w:p>
    <w:p>
      <w:pPr>
        <w:ind w:left="680" w:right="679" w:firstLine="384"/>
        <w:spacing w:after="0" w:line="297" w:lineRule="auto"/>
        <w:rPr>
          <w:sz w:val="20"/>
          <w:szCs w:val="20"/>
          <w:color w:val="auto"/>
        </w:rPr>
      </w:pPr>
      <w:r>
        <w:rPr>
          <w:rFonts w:ascii="Arial" w:cs="Arial" w:eastAsia="Arial" w:hAnsi="Arial"/>
          <w:sz w:val="14"/>
          <w:szCs w:val="14"/>
          <w:color w:val="auto"/>
        </w:rPr>
        <w:t>The decline in the securities portfolio was driven by a $98 million decline in the unrealized gain (loss) on available-for-sale securities. The decline was partially offset by the purchase of $41 million in tax-exempt municipal securities and $31 million in mortgage-backed securities. The Company currently anticipates continuing to grow the securities portfolio in proportion to the growth of the balance sheet. For additional information, see “Note 3: Securities” in the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9019"/>
          </w:cols>
          <w:pgMar w:left="1440" w:top="407" w:right="1440" w:bottom="1440" w:gutter="0" w:footer="0" w:header="0"/>
        </w:sectPr>
      </w:pPr>
    </w:p>
    <w:bookmarkStart w:id="59" w:name="page60"/>
    <w:bookmarkEnd w:id="59"/>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Loan Portfolio</w:t>
      </w:r>
    </w:p>
    <w:p>
      <w:pPr>
        <w:spacing w:after="0" w:line="162" w:lineRule="exact"/>
        <w:rPr>
          <w:sz w:val="20"/>
          <w:szCs w:val="20"/>
          <w:color w:val="auto"/>
        </w:rPr>
      </w:pPr>
    </w:p>
    <w:p>
      <w:pPr>
        <w:jc w:val="both"/>
        <w:ind w:left="140" w:right="500" w:firstLine="512"/>
        <w:spacing w:after="0" w:line="308" w:lineRule="auto"/>
        <w:rPr>
          <w:sz w:val="20"/>
          <w:szCs w:val="20"/>
          <w:color w:val="auto"/>
        </w:rPr>
      </w:pPr>
      <w:r>
        <w:rPr>
          <w:rFonts w:ascii="Arial" w:cs="Arial" w:eastAsia="Arial" w:hAnsi="Arial"/>
          <w:sz w:val="14"/>
          <w:szCs w:val="14"/>
          <w:color w:val="auto"/>
        </w:rPr>
        <w:t>Refer to “Note 4: Loans and Allowance for Credit Losses” within the Notes to Condensed Consolidated Financial Statements (unaudited) for additional information regarding the Company’s loan portfolio. As of June 30, 2022, gross loans, net of unearned fees increased $272 million or 6% from December 31, 2021 and was driven by the following:</w:t>
      </w:r>
    </w:p>
    <w:p>
      <w:pPr>
        <w:spacing w:after="0" w:line="91" w:lineRule="exact"/>
        <w:rPr>
          <w:sz w:val="20"/>
          <w:szCs w:val="20"/>
          <w:color w:val="auto"/>
        </w:rPr>
      </w:pPr>
    </w:p>
    <w:p>
      <w:pPr>
        <w:ind w:left="140" w:right="300"/>
        <w:spacing w:after="0" w:line="336" w:lineRule="auto"/>
        <w:rPr>
          <w:sz w:val="20"/>
          <w:szCs w:val="20"/>
          <w:color w:val="auto"/>
        </w:rPr>
      </w:pPr>
      <w:r>
        <w:rPr>
          <w:rFonts w:ascii="Arial" w:cs="Arial" w:eastAsia="Arial" w:hAnsi="Arial"/>
          <w:sz w:val="14"/>
          <w:szCs w:val="14"/>
          <w:b w:val="1"/>
          <w:bCs w:val="1"/>
          <w:u w:val="single" w:color="auto"/>
          <w:color w:val="auto"/>
        </w:rPr>
        <w:t>Commercial and Industrial</w:t>
      </w:r>
      <w:r>
        <w:rPr>
          <w:rFonts w:ascii="Arial" w:cs="Arial" w:eastAsia="Arial" w:hAnsi="Arial"/>
          <w:sz w:val="14"/>
          <w:szCs w:val="14"/>
          <w:b w:val="1"/>
          <w:bCs w:val="1"/>
          <w:color w:val="auto"/>
        </w:rPr>
        <w:t xml:space="preserve"> </w:t>
      </w:r>
      <w:r>
        <w:rPr>
          <w:rFonts w:ascii="Arial" w:cs="Arial" w:eastAsia="Arial" w:hAnsi="Arial"/>
          <w:sz w:val="14"/>
          <w:szCs w:val="14"/>
          <w:color w:val="auto"/>
        </w:rPr>
        <w:t>- The $31 million or 5% decline in commercial loans was driven by $49 million of PPP forgiveness. As of June 30, 2022, $14 million of PPP loans</w:t>
      </w:r>
      <w:r>
        <w:rPr>
          <w:rFonts w:ascii="Arial" w:cs="Arial" w:eastAsia="Arial" w:hAnsi="Arial"/>
          <w:sz w:val="14"/>
          <w:szCs w:val="14"/>
          <w:b w:val="1"/>
          <w:bCs w:val="1"/>
          <w:color w:val="auto"/>
        </w:rPr>
        <w:t xml:space="preserve"> </w:t>
      </w:r>
      <w:r>
        <w:rPr>
          <w:rFonts w:ascii="Arial" w:cs="Arial" w:eastAsia="Arial" w:hAnsi="Arial"/>
          <w:sz w:val="14"/>
          <w:szCs w:val="14"/>
          <w:color w:val="auto"/>
        </w:rPr>
        <w:t>remained outstanding.</w:t>
      </w:r>
    </w:p>
    <w:p>
      <w:pPr>
        <w:spacing w:after="0" w:line="72" w:lineRule="exact"/>
        <w:rPr>
          <w:sz w:val="20"/>
          <w:szCs w:val="20"/>
          <w:color w:val="auto"/>
        </w:rPr>
      </w:pPr>
    </w:p>
    <w:p>
      <w:pPr>
        <w:ind w:left="140"/>
        <w:spacing w:after="0" w:line="320" w:lineRule="auto"/>
        <w:rPr>
          <w:sz w:val="20"/>
          <w:szCs w:val="20"/>
          <w:color w:val="auto"/>
        </w:rPr>
      </w:pPr>
      <w:r>
        <w:rPr>
          <w:rFonts w:ascii="Arial" w:cs="Arial" w:eastAsia="Arial" w:hAnsi="Arial"/>
          <w:sz w:val="14"/>
          <w:szCs w:val="14"/>
          <w:b w:val="1"/>
          <w:bCs w:val="1"/>
          <w:u w:val="single" w:color="auto"/>
          <w:color w:val="auto"/>
        </w:rPr>
        <w:t>Commercial and Industrial Lines of Credit</w:t>
      </w:r>
      <w:r>
        <w:rPr>
          <w:rFonts w:ascii="Arial" w:cs="Arial" w:eastAsia="Arial" w:hAnsi="Arial"/>
          <w:sz w:val="14"/>
          <w:szCs w:val="14"/>
          <w:b w:val="1"/>
          <w:bCs w:val="1"/>
          <w:color w:val="auto"/>
        </w:rPr>
        <w:t xml:space="preserve"> </w:t>
      </w:r>
      <w:r>
        <w:rPr>
          <w:rFonts w:ascii="Arial" w:cs="Arial" w:eastAsia="Arial" w:hAnsi="Arial"/>
          <w:sz w:val="14"/>
          <w:szCs w:val="14"/>
          <w:color w:val="auto"/>
        </w:rPr>
        <w:t>- The $170 million or 28% increase in commercial lines of credit was driven by approximately $126 million in loan originations and an</w:t>
      </w:r>
      <w:r>
        <w:rPr>
          <w:rFonts w:ascii="Arial" w:cs="Arial" w:eastAsia="Arial" w:hAnsi="Arial"/>
          <w:sz w:val="14"/>
          <w:szCs w:val="14"/>
          <w:b w:val="1"/>
          <w:bCs w:val="1"/>
          <w:color w:val="auto"/>
        </w:rPr>
        <w:t xml:space="preserve"> </w:t>
      </w:r>
      <w:r>
        <w:rPr>
          <w:rFonts w:ascii="Arial" w:cs="Arial" w:eastAsia="Arial" w:hAnsi="Arial"/>
          <w:sz w:val="14"/>
          <w:szCs w:val="14"/>
          <w:color w:val="auto"/>
        </w:rPr>
        <w:t>increase in the line of credit utilization rates from 44% to 47%.</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Energy</w:t>
      </w:r>
      <w:r>
        <w:rPr>
          <w:rFonts w:ascii="Arial" w:cs="Arial" w:eastAsia="Arial" w:hAnsi="Arial"/>
          <w:sz w:val="14"/>
          <w:szCs w:val="14"/>
          <w:b w:val="1"/>
          <w:bCs w:val="1"/>
          <w:color w:val="auto"/>
        </w:rPr>
        <w:t xml:space="preserve"> </w:t>
      </w:r>
      <w:r>
        <w:rPr>
          <w:rFonts w:ascii="Arial" w:cs="Arial" w:eastAsia="Arial" w:hAnsi="Arial"/>
          <w:sz w:val="14"/>
          <w:szCs w:val="14"/>
          <w:color w:val="auto"/>
        </w:rPr>
        <w:t>- Our energy portfolio decreased $46 million or 16% from December 31, 2021 primarily due to $43 million in loans paying off.</w:t>
      </w:r>
    </w:p>
    <w:p>
      <w:pPr>
        <w:spacing w:after="0" w:line="159" w:lineRule="exact"/>
        <w:rPr>
          <w:sz w:val="20"/>
          <w:szCs w:val="20"/>
          <w:color w:val="auto"/>
        </w:rPr>
      </w:pPr>
    </w:p>
    <w:p>
      <w:pPr>
        <w:ind w:left="140"/>
        <w:spacing w:after="0"/>
        <w:rPr>
          <w:sz w:val="20"/>
          <w:szCs w:val="20"/>
          <w:color w:val="auto"/>
        </w:rPr>
      </w:pPr>
      <w:r>
        <w:rPr>
          <w:rFonts w:ascii="Arial" w:cs="Arial" w:eastAsia="Arial" w:hAnsi="Arial"/>
          <w:sz w:val="14"/>
          <w:szCs w:val="14"/>
          <w:b w:val="1"/>
          <w:bCs w:val="1"/>
          <w:u w:val="single" w:color="auto"/>
          <w:color w:val="auto"/>
        </w:rPr>
        <w:t>Commercial Real Estate</w:t>
      </w:r>
      <w:r>
        <w:rPr>
          <w:rFonts w:ascii="Arial" w:cs="Arial" w:eastAsia="Arial" w:hAnsi="Arial"/>
          <w:sz w:val="14"/>
          <w:szCs w:val="14"/>
          <w:b w:val="1"/>
          <w:bCs w:val="1"/>
          <w:color w:val="auto"/>
        </w:rPr>
        <w:t xml:space="preserve"> </w:t>
      </w:r>
      <w:r>
        <w:rPr>
          <w:rFonts w:ascii="Arial" w:cs="Arial" w:eastAsia="Arial" w:hAnsi="Arial"/>
          <w:sz w:val="14"/>
          <w:szCs w:val="14"/>
          <w:color w:val="auto"/>
        </w:rPr>
        <w:t>- The $157 million or 12% increase was driven by $312 million in loan originations, partially offset by $145 million in payoffs.</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following table shows the contractual maturities of our gross loans and sensitivity to interest rate changes: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8"/>
          </w:tcPr>
          <w:p>
            <w:pPr>
              <w:jc w:val="center"/>
              <w:ind w:left="389"/>
              <w:spacing w:after="0"/>
              <w:rPr>
                <w:sz w:val="20"/>
                <w:szCs w:val="20"/>
                <w:color w:val="auto"/>
              </w:rPr>
            </w:pPr>
            <w:r>
              <w:rPr>
                <w:rFonts w:ascii="Arial" w:cs="Arial" w:eastAsia="Arial" w:hAnsi="Arial"/>
                <w:sz w:val="14"/>
                <w:szCs w:val="14"/>
                <w:b w:val="1"/>
                <w:bCs w:val="1"/>
                <w:color w:val="auto"/>
                <w:w w:val="89"/>
              </w:rPr>
              <w:t>As of June 30, 2022</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3"/>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gridSpan w:val="4"/>
          </w:tcPr>
          <w:p>
            <w:pPr>
              <w:jc w:val="right"/>
              <w:ind w:right="89"/>
              <w:spacing w:after="0"/>
              <w:rPr>
                <w:sz w:val="20"/>
                <w:szCs w:val="20"/>
                <w:color w:val="auto"/>
              </w:rPr>
            </w:pPr>
            <w:r>
              <w:rPr>
                <w:rFonts w:ascii="Arial" w:cs="Arial" w:eastAsia="Arial" w:hAnsi="Arial"/>
                <w:sz w:val="14"/>
                <w:szCs w:val="14"/>
                <w:b w:val="1"/>
                <w:bCs w:val="1"/>
                <w:color w:val="auto"/>
                <w:w w:val="95"/>
              </w:rPr>
              <w:t>Due in One Year through</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7"/>
          </w:tcPr>
          <w:p>
            <w:pPr>
              <w:jc w:val="right"/>
              <w:spacing w:after="0"/>
              <w:rPr>
                <w:sz w:val="20"/>
                <w:szCs w:val="20"/>
                <w:color w:val="auto"/>
              </w:rPr>
            </w:pPr>
            <w:r>
              <w:rPr>
                <w:rFonts w:ascii="Arial" w:cs="Arial" w:eastAsia="Arial" w:hAnsi="Arial"/>
                <w:sz w:val="14"/>
                <w:szCs w:val="14"/>
                <w:b w:val="1"/>
                <w:bCs w:val="1"/>
                <w:color w:val="auto"/>
                <w:w w:val="95"/>
              </w:rPr>
              <w:t>Due in Five Year through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4"/>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w w:val="96"/>
              </w:rPr>
              <w:t>Due in One Year or Less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529"/>
              <w:spacing w:after="0"/>
              <w:rPr>
                <w:sz w:val="20"/>
                <w:szCs w:val="20"/>
                <w:color w:val="auto"/>
              </w:rPr>
            </w:pPr>
            <w:r>
              <w:rPr>
                <w:rFonts w:ascii="Arial" w:cs="Arial" w:eastAsia="Arial" w:hAnsi="Arial"/>
                <w:sz w:val="14"/>
                <w:szCs w:val="14"/>
                <w:b w:val="1"/>
                <w:bCs w:val="1"/>
                <w:color w:val="auto"/>
              </w:rPr>
              <w:t>Five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349"/>
              <w:spacing w:after="0"/>
              <w:rPr>
                <w:sz w:val="20"/>
                <w:szCs w:val="20"/>
                <w:color w:val="auto"/>
              </w:rPr>
            </w:pPr>
            <w:r>
              <w:rPr>
                <w:rFonts w:ascii="Arial" w:cs="Arial" w:eastAsia="Arial" w:hAnsi="Arial"/>
                <w:sz w:val="14"/>
                <w:szCs w:val="14"/>
                <w:b w:val="1"/>
                <w:bCs w:val="1"/>
                <w:color w:val="auto"/>
              </w:rPr>
              <w:t>Fifteen Years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49"/>
              <w:spacing w:after="0"/>
              <w:rPr>
                <w:sz w:val="20"/>
                <w:szCs w:val="20"/>
                <w:color w:val="auto"/>
              </w:rPr>
            </w:pPr>
            <w:r>
              <w:rPr>
                <w:rFonts w:ascii="Arial" w:cs="Arial" w:eastAsia="Arial" w:hAnsi="Arial"/>
                <w:sz w:val="14"/>
                <w:szCs w:val="14"/>
                <w:b w:val="1"/>
                <w:bCs w:val="1"/>
                <w:color w:val="auto"/>
                <w:w w:val="91"/>
              </w:rPr>
              <w:t>Due after Fifteen Years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w w:val="92"/>
              </w:rPr>
              <w:t>Adjustable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w w:val="92"/>
              </w:rPr>
              <w:t>Adjustable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Adjustable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Adjustable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3"/>
              </w:rPr>
              <w:t>Fixed Rate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3"/>
              </w:rPr>
              <w:t>Fixed Rate</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Fixed Rate</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Rate</w:t>
            </w: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Fixed Rate</w:t>
            </w: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72"/>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8"/>
          </w:tcPr>
          <w:p>
            <w:pPr>
              <w:jc w:val="center"/>
              <w:ind w:left="389"/>
              <w:spacing w:after="0"/>
              <w:rPr>
                <w:sz w:val="20"/>
                <w:szCs w:val="20"/>
                <w:color w:val="auto"/>
              </w:rPr>
            </w:pPr>
            <w:r>
              <w:rPr>
                <w:rFonts w:ascii="Arial" w:cs="Arial" w:eastAsia="Arial" w:hAnsi="Arial"/>
                <w:sz w:val="14"/>
                <w:szCs w:val="14"/>
                <w:i w:val="1"/>
                <w:iCs w:val="1"/>
                <w:color w:val="auto"/>
                <w:w w:val="93"/>
              </w:rPr>
              <w:t>(Dollars in thousands)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283,848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352,124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68,742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19,669</w:t>
            </w:r>
          </w:p>
        </w:tc>
        <w:tc>
          <w:tcPr>
            <w:tcW w:w="1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812,411</w:t>
            </w:r>
          </w:p>
        </w:tc>
        <w:tc>
          <w:tcPr>
            <w:tcW w:w="20" w:type="dxa"/>
            <w:vAlign w:val="bottom"/>
            <w:shd w:val="clear" w:color="auto" w:fill="CCEEFF"/>
          </w:tcPr>
          <w:p>
            <w:pPr>
              <w:spacing w:after="0"/>
              <w:rPr>
                <w:sz w:val="15"/>
                <w:szCs w:val="15"/>
                <w:color w:val="auto"/>
              </w:rPr>
            </w:pPr>
          </w:p>
        </w:tc>
      </w:tr>
      <w:tr>
        <w:trPr>
          <w:trHeight w:val="214"/>
        </w:trPr>
        <w:tc>
          <w:tcPr>
            <w:tcW w:w="2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0"/>
        </w:trPr>
        <w:tc>
          <w:tcPr>
            <w:tcW w:w="2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lines of credit</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52,195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303,078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396,523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15,368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787,664</w:t>
            </w:r>
          </w:p>
        </w:tc>
        <w:tc>
          <w:tcPr>
            <w:tcW w:w="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170,698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233,000</w:t>
            </w:r>
          </w:p>
        </w:tc>
        <w:tc>
          <w:tcPr>
            <w:tcW w:w="20" w:type="dxa"/>
            <w:vAlign w:val="bottom"/>
            <w:shd w:val="clear" w:color="auto" w:fill="CCEE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43,562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216,978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413,908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378,706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165,949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202,118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14,672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1,435,893</w:t>
            </w:r>
          </w:p>
        </w:tc>
        <w:tc>
          <w:tcPr>
            <w:tcW w:w="2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0"/>
        </w:trPr>
        <w:tc>
          <w:tcPr>
            <w:tcW w:w="20" w:type="dxa"/>
            <w:vAlign w:val="bottom"/>
          </w:tcPr>
          <w:p>
            <w:pPr>
              <w:spacing w:after="0"/>
              <w:rPr>
                <w:sz w:val="13"/>
                <w:szCs w:val="13"/>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16,308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54,881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403,022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16,905</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21,255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1,293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32,668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584,415</w:t>
            </w:r>
          </w:p>
        </w:tc>
        <w:tc>
          <w:tcPr>
            <w:tcW w:w="20" w:type="dxa"/>
            <w:vAlign w:val="bottom"/>
            <w:shd w:val="clear" w:color="auto" w:fill="CCEEFF"/>
          </w:tcPr>
          <w:p>
            <w:pPr>
              <w:spacing w:after="0"/>
              <w:rPr>
                <w:sz w:val="13"/>
                <w:szCs w:val="13"/>
                <w:color w:val="auto"/>
              </w:rPr>
            </w:pPr>
          </w:p>
        </w:tc>
      </w:tr>
      <w:tr>
        <w:trPr>
          <w:trHeight w:val="192"/>
        </w:trPr>
        <w:tc>
          <w:tcPr>
            <w:tcW w:w="20" w:type="dxa"/>
            <w:vAlign w:val="bottom"/>
          </w:tcPr>
          <w:p>
            <w:pPr>
              <w:spacing w:after="0"/>
              <w:rPr>
                <w:sz w:val="16"/>
                <w:szCs w:val="16"/>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Residential real estate</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81,011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1,357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270,357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371,337</w:t>
            </w:r>
          </w:p>
        </w:tc>
        <w:tc>
          <w:tcPr>
            <w:tcW w:w="2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98,137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249,641</w:t>
            </w:r>
          </w:p>
        </w:tc>
        <w:tc>
          <w:tcPr>
            <w:tcW w:w="20" w:type="dxa"/>
            <w:vAlign w:val="bottom"/>
            <w:shd w:val="clear" w:color="auto" w:fill="CCEEFF"/>
          </w:tcPr>
          <w:p>
            <w:pPr>
              <w:spacing w:after="0"/>
              <w:rPr>
                <w:sz w:val="15"/>
                <w:szCs w:val="15"/>
                <w:color w:val="auto"/>
              </w:rPr>
            </w:pPr>
          </w:p>
        </w:tc>
      </w:tr>
      <w:tr>
        <w:trPr>
          <w:trHeight w:val="201"/>
        </w:trPr>
        <w:tc>
          <w:tcPr>
            <w:tcW w:w="20" w:type="dxa"/>
            <w:vAlign w:val="bottom"/>
            <w:tcBorders>
              <w:bottom w:val="single" w:sz="8" w:color="CCEEFF"/>
            </w:tcBorders>
          </w:tcPr>
          <w:p>
            <w:pPr>
              <w:spacing w:after="0"/>
              <w:rPr>
                <w:sz w:val="17"/>
                <w:szCs w:val="17"/>
                <w:color w:val="auto"/>
              </w:rPr>
            </w:pPr>
          </w:p>
        </w:tc>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Consumer</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19,437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4,081</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20,062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53,873</w:t>
            </w:r>
          </w:p>
        </w:tc>
        <w:tc>
          <w:tcPr>
            <w:tcW w:w="20" w:type="dxa"/>
            <w:vAlign w:val="bottom"/>
          </w:tcPr>
          <w:p>
            <w:pPr>
              <w:spacing w:after="0"/>
              <w:rPr>
                <w:sz w:val="17"/>
                <w:szCs w:val="17"/>
                <w:color w:val="auto"/>
              </w:rPr>
            </w:pPr>
          </w:p>
        </w:tc>
      </w:tr>
      <w:tr>
        <w:trPr>
          <w:trHeight w:val="173"/>
        </w:trPr>
        <w:tc>
          <w:tcPr>
            <w:tcW w:w="20" w:type="dxa"/>
            <w:vAlign w:val="bottom"/>
          </w:tcPr>
          <w:p>
            <w:pPr>
              <w:spacing w:after="0"/>
              <w:rPr>
                <w:sz w:val="15"/>
                <w:szCs w:val="15"/>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154,887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733,969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843,227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1,804,899</w:t>
            </w:r>
          </w:p>
        </w:tc>
        <w:tc>
          <w:tcPr>
            <w:tcW w:w="100" w:type="dxa"/>
            <w:vAlign w:val="bottom"/>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327,184</w:t>
            </w:r>
          </w:p>
        </w:tc>
        <w:tc>
          <w:tcPr>
            <w:tcW w:w="20" w:type="dxa"/>
            <w:vAlign w:val="bottom"/>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322,295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22,319</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319,454</w:t>
            </w:r>
          </w:p>
        </w:tc>
        <w:tc>
          <w:tcPr>
            <w:tcW w:w="100" w:type="dxa"/>
            <w:vAlign w:val="bottom"/>
            <w:gridSpan w:val="2"/>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4,528,234</w:t>
            </w:r>
          </w:p>
        </w:tc>
        <w:tc>
          <w:tcPr>
            <w:tcW w:w="20" w:type="dxa"/>
            <w:vAlign w:val="bottom"/>
            <w:shd w:val="clear" w:color="auto" w:fill="CCEEFF"/>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Provision and Allowance for Credit Losses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Company implemented the CECL model as of January 1, 2022. Refer to “Note 1: Nature of Operations and Summary of Significant Accounting Policies” and “Note 4:</w:t>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3"/>
          <w:szCs w:val="13"/>
          <w:color w:val="auto"/>
        </w:rPr>
        <w:t>Loans and Allowance for Credit Losses” within the Notes to Condensed Consolidated Financial Statements (unaudited) for details regarding the transition, including the impact to</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0460"/>
          </w:cols>
          <w:pgMar w:left="780" w:top="407" w:right="659" w:bottom="1440" w:gutter="0" w:footer="0" w:header="0"/>
        </w:sectPr>
      </w:pPr>
    </w:p>
    <w:bookmarkStart w:id="60" w:name="page61"/>
    <w:bookmarkEnd w:id="60"/>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140" w:right="140"/>
        <w:spacing w:after="0" w:line="314" w:lineRule="auto"/>
        <w:rPr>
          <w:sz w:val="20"/>
          <w:szCs w:val="20"/>
          <w:color w:val="auto"/>
        </w:rPr>
      </w:pPr>
      <w:r>
        <w:rPr>
          <w:rFonts w:ascii="Arial" w:cs="Arial" w:eastAsia="Arial" w:hAnsi="Arial"/>
          <w:sz w:val="14"/>
          <w:szCs w:val="14"/>
          <w:color w:val="auto"/>
        </w:rPr>
        <w:t>the financial statements. The CECL model compared to the incurred loss model may accelerate the provision for credit losses if the Company’s loan portfolio continues to grow. In addition, positive (negative) forward-looking indicators may decrease (increase) the required provision for credit losses.</w:t>
      </w:r>
    </w:p>
    <w:p>
      <w:pPr>
        <w:spacing w:after="0" w:line="102" w:lineRule="exact"/>
        <w:rPr>
          <w:sz w:val="20"/>
          <w:szCs w:val="20"/>
          <w:color w:val="auto"/>
        </w:rPr>
      </w:pPr>
    </w:p>
    <w:p>
      <w:pPr>
        <w:ind w:left="140" w:right="180" w:firstLine="374"/>
        <w:spacing w:after="0" w:line="314" w:lineRule="auto"/>
        <w:rPr>
          <w:sz w:val="20"/>
          <w:szCs w:val="20"/>
          <w:color w:val="auto"/>
        </w:rPr>
      </w:pPr>
      <w:r>
        <w:rPr>
          <w:rFonts w:ascii="Arial" w:cs="Arial" w:eastAsia="Arial" w:hAnsi="Arial"/>
          <w:sz w:val="14"/>
          <w:szCs w:val="14"/>
          <w:color w:val="auto"/>
        </w:rPr>
        <w:t>The ACL at June 30, 2022 represents our best estimate of the expected credit losses in the Company’s loan portfolio and off-balance sheet commitments, measured over the contractual life of the underlying instrument.</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center"/>
              <w:ind w:left="629"/>
              <w:spacing w:after="0"/>
              <w:rPr>
                <w:sz w:val="20"/>
                <w:szCs w:val="20"/>
                <w:color w:val="auto"/>
              </w:rPr>
            </w:pPr>
            <w:r>
              <w:rPr>
                <w:rFonts w:ascii="Arial" w:cs="Arial" w:eastAsia="Arial" w:hAnsi="Arial"/>
                <w:sz w:val="14"/>
                <w:szCs w:val="14"/>
                <w:b w:val="1"/>
                <w:bCs w:val="1"/>
                <w:color w:val="auto"/>
                <w:w w:val="94"/>
              </w:rPr>
              <w:t>For the Quarter Ended</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w w:val="96"/>
              </w:rPr>
              <w:t>For the Six Months Ended</w:t>
            </w:r>
          </w:p>
        </w:tc>
      </w:tr>
      <w:tr>
        <w:trPr>
          <w:trHeight w:val="182"/>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149"/>
              <w:spacing w:after="0"/>
              <w:rPr>
                <w:sz w:val="20"/>
                <w:szCs w:val="20"/>
                <w:color w:val="auto"/>
              </w:rPr>
            </w:pPr>
            <w:r>
              <w:rPr>
                <w:rFonts w:ascii="Arial" w:cs="Arial" w:eastAsia="Arial" w:hAnsi="Arial"/>
                <w:sz w:val="14"/>
                <w:szCs w:val="14"/>
                <w:b w:val="1"/>
                <w:bCs w:val="1"/>
                <w:color w:val="auto"/>
              </w:rPr>
              <w:t>June 30,</w:t>
            </w:r>
          </w:p>
        </w:tc>
      </w:tr>
      <w:tr>
        <w:trPr>
          <w:trHeight w:val="182"/>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r>
      <w:tr>
        <w:trPr>
          <w:trHeight w:val="183"/>
        </w:trPr>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2"/>
        </w:trPr>
        <w:tc>
          <w:tcPr>
            <w:tcW w:w="1620" w:type="dxa"/>
            <w:vAlign w:val="bottom"/>
            <w:shd w:val="clear" w:color="auto" w:fill="CCEEFF"/>
          </w:tcPr>
          <w:p>
            <w:pPr>
              <w:ind w:left="20"/>
              <w:spacing w:after="0" w:line="192" w:lineRule="exact"/>
              <w:rPr>
                <w:sz w:val="20"/>
                <w:szCs w:val="20"/>
                <w:color w:val="auto"/>
              </w:rPr>
            </w:pPr>
            <w:r>
              <w:rPr>
                <w:rFonts w:ascii="Arial" w:cs="Arial" w:eastAsia="Arial" w:hAnsi="Arial"/>
                <w:sz w:val="14"/>
                <w:szCs w:val="14"/>
                <w:color w:val="auto"/>
                <w:w w:val="90"/>
              </w:rPr>
              <w:t>Provision for credit losses</w:t>
            </w:r>
            <w:r>
              <w:rPr>
                <w:rFonts w:ascii="Arial" w:cs="Arial" w:eastAsia="Arial" w:hAnsi="Arial"/>
                <w:sz w:val="18"/>
                <w:szCs w:val="18"/>
                <w:color w:val="auto"/>
                <w:w w:val="90"/>
                <w:vertAlign w:val="superscript"/>
              </w:rPr>
              <w:t>(1)</w:t>
            </w:r>
          </w:p>
        </w:tc>
        <w:tc>
          <w:tcPr>
            <w:tcW w:w="1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loans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11,000</w:t>
            </w:r>
          </w:p>
        </w:tc>
      </w:tr>
      <w:tr>
        <w:trPr>
          <w:trHeight w:val="192"/>
        </w:trPr>
        <w:tc>
          <w:tcPr>
            <w:tcW w:w="1620" w:type="dxa"/>
            <w:vAlign w:val="bottom"/>
          </w:tcPr>
          <w:p>
            <w:pPr>
              <w:ind w:left="20"/>
              <w:spacing w:after="0" w:line="192" w:lineRule="exact"/>
              <w:rPr>
                <w:sz w:val="20"/>
                <w:szCs w:val="20"/>
                <w:color w:val="auto"/>
              </w:rPr>
            </w:pPr>
            <w:r>
              <w:rPr>
                <w:rFonts w:ascii="Arial" w:cs="Arial" w:eastAsia="Arial" w:hAnsi="Arial"/>
                <w:sz w:val="14"/>
                <w:szCs w:val="14"/>
                <w:color w:val="auto"/>
                <w:w w:val="90"/>
              </w:rPr>
              <w:t>Provision for credit losses</w:t>
            </w:r>
            <w:r>
              <w:rPr>
                <w:rFonts w:ascii="Arial" w:cs="Arial" w:eastAsia="Arial" w:hAnsi="Arial"/>
                <w:sz w:val="18"/>
                <w:szCs w:val="18"/>
                <w:color w:val="auto"/>
                <w:w w:val="90"/>
                <w:vertAlign w:val="superscript"/>
              </w:rPr>
              <w:t>(1)</w:t>
            </w: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 off-balance sheet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92"/>
        </w:trPr>
        <w:tc>
          <w:tcPr>
            <w:tcW w:w="1700" w:type="dxa"/>
            <w:vAlign w:val="bottom"/>
            <w:gridSpan w:val="2"/>
            <w:shd w:val="clear" w:color="auto" w:fill="CCEEFF"/>
          </w:tcPr>
          <w:p>
            <w:pPr>
              <w:ind w:left="20"/>
              <w:spacing w:after="0" w:line="192" w:lineRule="exact"/>
              <w:rPr>
                <w:sz w:val="20"/>
                <w:szCs w:val="20"/>
                <w:color w:val="auto"/>
              </w:rPr>
            </w:pPr>
            <w:r>
              <w:rPr>
                <w:rFonts w:ascii="Arial" w:cs="Arial" w:eastAsia="Arial" w:hAnsi="Arial"/>
                <w:sz w:val="14"/>
                <w:szCs w:val="14"/>
                <w:color w:val="auto"/>
                <w:w w:val="92"/>
              </w:rPr>
              <w:t>Allowance for credit losses</w:t>
            </w:r>
            <w:r>
              <w:rPr>
                <w:rFonts w:ascii="Arial" w:cs="Arial" w:eastAsia="Arial" w:hAnsi="Arial"/>
                <w:sz w:val="18"/>
                <w:szCs w:val="18"/>
                <w:color w:val="auto"/>
                <w:w w:val="92"/>
                <w:vertAlign w:val="superscript"/>
              </w:rPr>
              <w:t>(2)</w:t>
            </w:r>
          </w:p>
        </w:tc>
        <w:tc>
          <w:tcPr>
            <w:tcW w:w="1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loans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55,231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58,375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64,152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55,817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75,493</w:t>
            </w:r>
          </w:p>
        </w:tc>
      </w:tr>
      <w:tr>
        <w:trPr>
          <w:trHeight w:val="192"/>
        </w:trPr>
        <w:tc>
          <w:tcPr>
            <w:tcW w:w="1700" w:type="dxa"/>
            <w:vAlign w:val="bottom"/>
            <w:gridSpan w:val="2"/>
          </w:tcPr>
          <w:p>
            <w:pPr>
              <w:ind w:left="20"/>
              <w:spacing w:after="0" w:line="192" w:lineRule="exact"/>
              <w:rPr>
                <w:sz w:val="20"/>
                <w:szCs w:val="20"/>
                <w:color w:val="auto"/>
              </w:rPr>
            </w:pPr>
            <w:r>
              <w:rPr>
                <w:rFonts w:ascii="Arial" w:cs="Arial" w:eastAsia="Arial" w:hAnsi="Arial"/>
                <w:sz w:val="14"/>
                <w:szCs w:val="14"/>
                <w:color w:val="auto"/>
                <w:w w:val="92"/>
              </w:rPr>
              <w:t>Allowance for credit losses</w:t>
            </w:r>
            <w:r>
              <w:rPr>
                <w:rFonts w:ascii="Arial" w:cs="Arial" w:eastAsia="Arial" w:hAnsi="Arial"/>
                <w:sz w:val="18"/>
                <w:szCs w:val="18"/>
                <w:color w:val="auto"/>
                <w:w w:val="92"/>
                <w:vertAlign w:val="superscript"/>
              </w:rPr>
              <w:t>(2)</w:t>
            </w:r>
          </w:p>
        </w:tc>
        <w:tc>
          <w:tcPr>
            <w:tcW w:w="1180" w:type="dxa"/>
            <w:vAlign w:val="bottom"/>
          </w:tcPr>
          <w:p>
            <w:pPr>
              <w:ind w:left="20"/>
              <w:spacing w:after="0"/>
              <w:rPr>
                <w:sz w:val="20"/>
                <w:szCs w:val="20"/>
                <w:color w:val="auto"/>
              </w:rPr>
            </w:pPr>
            <w:r>
              <w:rPr>
                <w:rFonts w:ascii="Arial" w:cs="Arial" w:eastAsia="Arial" w:hAnsi="Arial"/>
                <w:sz w:val="14"/>
                <w:szCs w:val="14"/>
                <w:color w:val="auto"/>
                <w:w w:val="98"/>
              </w:rPr>
              <w:t>- off-balance sheet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92"/>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charge-offs</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shd w:val="clear" w:color="auto" w:fill="CCEEFF"/>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10,802</w:t>
            </w:r>
          </w:p>
        </w:tc>
      </w:tr>
    </w:tbl>
    <w:p>
      <w:pPr>
        <w:ind w:left="380" w:hanging="257"/>
        <w:spacing w:after="0" w:line="209" w:lineRule="auto"/>
        <w:tabs>
          <w:tab w:leader="none" w:pos="38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Prior to March 31, 2022, this line represents the provision for loan losses</w:t>
      </w:r>
    </w:p>
    <w:p>
      <w:pPr>
        <w:spacing w:after="0" w:line="24" w:lineRule="exact"/>
        <w:rPr>
          <w:rFonts w:ascii="Arial" w:cs="Arial" w:eastAsia="Arial" w:hAnsi="Arial"/>
          <w:sz w:val="18"/>
          <w:szCs w:val="18"/>
          <w:color w:val="auto"/>
          <w:vertAlign w:val="superscript"/>
        </w:rPr>
      </w:pPr>
    </w:p>
    <w:p>
      <w:pPr>
        <w:ind w:left="380" w:hanging="257"/>
        <w:spacing w:after="0" w:line="195" w:lineRule="auto"/>
        <w:tabs>
          <w:tab w:leader="none" w:pos="38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Prior to March 31, 2022, this line represents the allowance for loan and lease losses</w:t>
      </w:r>
    </w:p>
    <w:p>
      <w:pPr>
        <w:spacing w:after="0" w:line="183" w:lineRule="exact"/>
        <w:rPr>
          <w:sz w:val="20"/>
          <w:szCs w:val="20"/>
          <w:color w:val="auto"/>
        </w:rPr>
      </w:pPr>
    </w:p>
    <w:p>
      <w:pPr>
        <w:ind w:left="140" w:firstLine="384"/>
        <w:spacing w:after="0" w:line="314" w:lineRule="auto"/>
        <w:rPr>
          <w:sz w:val="20"/>
          <w:szCs w:val="20"/>
          <w:color w:val="auto"/>
        </w:rPr>
      </w:pPr>
      <w:r>
        <w:rPr>
          <w:rFonts w:ascii="Arial" w:cs="Arial" w:eastAsia="Arial" w:hAnsi="Arial"/>
          <w:sz w:val="14"/>
          <w:szCs w:val="14"/>
          <w:color w:val="auto"/>
        </w:rPr>
        <w:t>January 1, 2022, the adoption date, is presented below instead of December 31, 2021 for comparability purposes. The allocation in one portfolio segment does not preclude its availability to absorb losses in other segments. The table below presents the allocation of the allowance for credit losses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0440"/>
          </w:cols>
          <w:pgMar w:left="780" w:top="407" w:right="67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1820" w:type="dxa"/>
            <w:vAlign w:val="bottom"/>
            <w:gridSpan w:val="3"/>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81"/>
        </w:trPr>
        <w:tc>
          <w:tcPr>
            <w:tcW w:w="10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June 30, 2022</w:t>
            </w:r>
          </w:p>
        </w:tc>
        <w:tc>
          <w:tcPr>
            <w:tcW w:w="630" w:type="dxa"/>
            <w:vAlign w:val="bottom"/>
            <w:tcBorders>
              <w:bottom w:val="single" w:sz="8" w:color="auto"/>
            </w:tcBorders>
          </w:tcPr>
          <w:p>
            <w:pPr>
              <w:spacing w:after="0"/>
              <w:rPr>
                <w:sz w:val="24"/>
                <w:szCs w:val="24"/>
                <w:color w:val="auto"/>
              </w:rPr>
            </w:pPr>
          </w:p>
        </w:tc>
        <w:tc>
          <w:tcPr>
            <w:tcW w:w="15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7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2"/>
              </w:rPr>
              <w:t>January 1, 2022</w:t>
            </w:r>
          </w:p>
        </w:tc>
        <w:tc>
          <w:tcPr>
            <w:tcW w:w="590" w:type="dxa"/>
            <w:vAlign w:val="bottom"/>
            <w:tcBorders>
              <w:bottom w:val="single" w:sz="8" w:color="auto"/>
            </w:tcBorders>
          </w:tcPr>
          <w:p>
            <w:pPr>
              <w:spacing w:after="0"/>
              <w:rPr>
                <w:sz w:val="24"/>
                <w:szCs w:val="24"/>
                <w:color w:val="auto"/>
              </w:rPr>
            </w:pPr>
          </w:p>
        </w:tc>
        <w:tc>
          <w:tcPr>
            <w:tcW w:w="13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ACL Amount</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7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6"/>
          </w:tcPr>
          <w:p>
            <w:pPr>
              <w:jc w:val="center"/>
              <w:ind w:right="9"/>
              <w:spacing w:after="0"/>
              <w:rPr>
                <w:sz w:val="20"/>
                <w:szCs w:val="20"/>
                <w:color w:val="auto"/>
              </w:rPr>
            </w:pPr>
            <w:r>
              <w:rPr>
                <w:rFonts w:ascii="Arial" w:cs="Arial" w:eastAsia="Arial" w:hAnsi="Arial"/>
                <w:sz w:val="14"/>
                <w:szCs w:val="14"/>
                <w:b w:val="1"/>
                <w:bCs w:val="1"/>
                <w:color w:val="auto"/>
                <w:w w:val="95"/>
              </w:rPr>
              <w:t>ACL Amount</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Off-</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6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center"/>
              <w:ind w:right="29"/>
              <w:spacing w:after="0"/>
              <w:rPr>
                <w:sz w:val="20"/>
                <w:szCs w:val="20"/>
                <w:color w:val="auto"/>
              </w:rPr>
            </w:pPr>
            <w:r>
              <w:rPr>
                <w:rFonts w:ascii="Arial" w:cs="Arial" w:eastAsia="Arial" w:hAnsi="Arial"/>
                <w:sz w:val="14"/>
                <w:szCs w:val="14"/>
                <w:b w:val="1"/>
                <w:bCs w:val="1"/>
                <w:color w:val="auto"/>
                <w:w w:val="96"/>
              </w:rPr>
              <w:t>Off-</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20" w:type="dxa"/>
            <w:vAlign w:val="bottom"/>
          </w:tcPr>
          <w:p>
            <w:pPr>
              <w:spacing w:after="0"/>
              <w:rPr>
                <w:sz w:val="21"/>
                <w:szCs w:val="21"/>
                <w:color w:val="auto"/>
              </w:rPr>
            </w:pPr>
          </w:p>
        </w:tc>
      </w:tr>
      <w:tr>
        <w:trPr>
          <w:trHeight w:val="160"/>
        </w:trPr>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30" w:type="dxa"/>
            <w:vAlign w:val="bottom"/>
          </w:tcPr>
          <w:p>
            <w:pPr>
              <w:jc w:val="center"/>
              <w:ind w:left="79"/>
              <w:spacing w:after="0"/>
              <w:rPr>
                <w:sz w:val="20"/>
                <w:szCs w:val="20"/>
                <w:color w:val="auto"/>
              </w:rPr>
            </w:pPr>
            <w:r>
              <w:rPr>
                <w:rFonts w:ascii="Arial" w:cs="Arial" w:eastAsia="Arial" w:hAnsi="Arial"/>
                <w:sz w:val="14"/>
                <w:szCs w:val="14"/>
                <w:b w:val="1"/>
                <w:bCs w:val="1"/>
                <w:color w:val="auto"/>
              </w:rPr>
              <w:t>ACL to</w:t>
            </w:r>
          </w:p>
        </w:tc>
        <w:tc>
          <w:tcPr>
            <w:tcW w:w="15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Loans to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29"/>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ACL to</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center"/>
              <w:ind w:left="49"/>
              <w:spacing w:after="0"/>
              <w:rPr>
                <w:sz w:val="20"/>
                <w:szCs w:val="20"/>
                <w:color w:val="auto"/>
              </w:rPr>
            </w:pPr>
            <w:r>
              <w:rPr>
                <w:rFonts w:ascii="Arial" w:cs="Arial" w:eastAsia="Arial" w:hAnsi="Arial"/>
                <w:sz w:val="14"/>
                <w:szCs w:val="14"/>
                <w:b w:val="1"/>
                <w:bCs w:val="1"/>
                <w:color w:val="auto"/>
                <w:w w:val="89"/>
              </w:rPr>
              <w:t>Loans to</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Loans</w:t>
            </w: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9"/>
              </w:rPr>
              <w:t>Sheet</w:t>
            </w:r>
          </w:p>
        </w:tc>
        <w:tc>
          <w:tcPr>
            <w:tcW w:w="60" w:type="dxa"/>
            <w:vAlign w:val="bottom"/>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Total ACL</w:t>
            </w:r>
          </w:p>
        </w:tc>
        <w:tc>
          <w:tcPr>
            <w:tcW w:w="6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Total Loans</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Loans</w:t>
            </w: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3"/>
              </w:rPr>
              <w:t>Sheet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Total ACL</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Total Loans</w:t>
            </w:r>
          </w:p>
        </w:tc>
        <w:tc>
          <w:tcPr>
            <w:tcW w:w="20" w:type="dxa"/>
            <w:vAlign w:val="bottom"/>
          </w:tcPr>
          <w:p>
            <w:pPr>
              <w:spacing w:after="0"/>
              <w:rPr>
                <w:sz w:val="15"/>
                <w:szCs w:val="15"/>
                <w:color w:val="auto"/>
              </w:rPr>
            </w:pPr>
          </w:p>
        </w:tc>
      </w:tr>
      <w:tr>
        <w:trPr>
          <w:trHeight w:val="172"/>
        </w:trPr>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6"/>
          </w:tcPr>
          <w:p>
            <w:pPr>
              <w:jc w:val="right"/>
              <w:ind w:right="89"/>
              <w:spacing w:after="0"/>
              <w:rPr>
                <w:sz w:val="20"/>
                <w:szCs w:val="20"/>
                <w:color w:val="auto"/>
              </w:rPr>
            </w:pPr>
            <w:r>
              <w:rPr>
                <w:rFonts w:ascii="Arial" w:cs="Arial" w:eastAsia="Arial" w:hAnsi="Arial"/>
                <w:sz w:val="14"/>
                <w:szCs w:val="14"/>
                <w:i w:val="1"/>
                <w:iCs w:val="1"/>
                <w:color w:val="auto"/>
              </w:rPr>
              <w:t>(Dollars in thousands)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 w:type="dxa"/>
            <w:vAlign w:val="bottom"/>
          </w:tcPr>
          <w:p>
            <w:pPr>
              <w:spacing w:after="0"/>
              <w:rPr>
                <w:sz w:val="14"/>
                <w:szCs w:val="14"/>
                <w:color w:val="auto"/>
              </w:rPr>
            </w:pP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100" w:type="dxa"/>
            <w:vAlign w:val="bottom"/>
          </w:tcPr>
          <w:p>
            <w:pPr>
              <w:spacing w:after="0"/>
              <w:rPr>
                <w:sz w:val="16"/>
                <w:szCs w:val="16"/>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10,983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5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60" w:type="dxa"/>
            <w:vAlign w:val="bottom"/>
            <w:shd w:val="clear" w:color="auto" w:fill="CCEEFF"/>
          </w:tcPr>
          <w:p>
            <w:pPr>
              <w:spacing w:after="0"/>
              <w:rPr>
                <w:sz w:val="16"/>
                <w:szCs w:val="16"/>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3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10,139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10,246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3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6"/>
                <w:szCs w:val="16"/>
                <w:color w:val="auto"/>
              </w:rPr>
            </w:pPr>
          </w:p>
        </w:tc>
      </w:tr>
      <w:tr>
        <w:trPr>
          <w:trHeight w:val="203"/>
        </w:trPr>
        <w:tc>
          <w:tcPr>
            <w:tcW w:w="100" w:type="dxa"/>
            <w:vAlign w:val="bottom"/>
          </w:tcPr>
          <w:p>
            <w:pPr>
              <w:spacing w:after="0"/>
              <w:rPr>
                <w:sz w:val="17"/>
                <w:szCs w:val="17"/>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3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7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9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0"/>
        </w:trPr>
        <w:tc>
          <w:tcPr>
            <w:tcW w:w="100" w:type="dxa"/>
            <w:vAlign w:val="bottom"/>
          </w:tcPr>
          <w:p>
            <w:pPr>
              <w:spacing w:after="0"/>
              <w:rPr>
                <w:sz w:val="14"/>
                <w:szCs w:val="14"/>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lines of credit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11,267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11,267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19</w:t>
            </w:r>
          </w:p>
        </w:tc>
        <w:tc>
          <w:tcPr>
            <w:tcW w:w="150" w:type="dxa"/>
            <w:vAlign w:val="bottom"/>
          </w:tcPr>
          <w:p>
            <w:pPr>
              <w:spacing w:after="0"/>
              <w:rPr>
                <w:sz w:val="14"/>
                <w:szCs w:val="14"/>
                <w:color w:val="auto"/>
              </w:rPr>
            </w:pPr>
          </w:p>
        </w:tc>
        <w:tc>
          <w:tcPr>
            <w:tcW w:w="73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13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8,866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14</w:t>
            </w:r>
          </w:p>
        </w:tc>
        <w:tc>
          <w:tcPr>
            <w:tcW w:w="13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2"/>
        </w:trPr>
        <w:tc>
          <w:tcPr>
            <w:tcW w:w="100" w:type="dxa"/>
            <w:vAlign w:val="bottom"/>
          </w:tcPr>
          <w:p>
            <w:pPr>
              <w:spacing w:after="0"/>
              <w:rPr>
                <w:sz w:val="16"/>
                <w:szCs w:val="16"/>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6,898</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5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3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9,190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3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92"/>
        </w:trPr>
        <w:tc>
          <w:tcPr>
            <w:tcW w:w="10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Commercial real estate</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17,042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17,699</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29</w:t>
            </w:r>
          </w:p>
        </w:tc>
        <w:tc>
          <w:tcPr>
            <w:tcW w:w="150" w:type="dxa"/>
            <w:vAlign w:val="bottom"/>
          </w:tcPr>
          <w:p>
            <w:pPr>
              <w:spacing w:after="0"/>
              <w:rPr>
                <w:sz w:val="16"/>
                <w:szCs w:val="16"/>
                <w:color w:val="auto"/>
              </w:rPr>
            </w:pPr>
          </w:p>
        </w:tc>
        <w:tc>
          <w:tcPr>
            <w:tcW w:w="730" w:type="dxa"/>
            <w:vAlign w:val="bottom"/>
            <w:gridSpan w:val="2"/>
          </w:tcPr>
          <w:p>
            <w:pPr>
              <w:jc w:val="right"/>
              <w:spacing w:after="0"/>
              <w:rPr>
                <w:sz w:val="20"/>
                <w:szCs w:val="20"/>
                <w:color w:val="auto"/>
              </w:rPr>
            </w:pPr>
            <w:r>
              <w:rPr>
                <w:rFonts w:ascii="Arial" w:cs="Arial" w:eastAsia="Arial" w:hAnsi="Arial"/>
                <w:sz w:val="14"/>
                <w:szCs w:val="14"/>
                <w:color w:val="auto"/>
              </w:rPr>
              <w:t>32</w:t>
            </w:r>
          </w:p>
        </w:tc>
        <w:tc>
          <w:tcPr>
            <w:tcW w:w="1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18,933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19,644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32</w:t>
            </w:r>
          </w:p>
        </w:tc>
        <w:tc>
          <w:tcPr>
            <w:tcW w:w="130" w:type="dxa"/>
            <w:vAlign w:val="bottom"/>
          </w:tcPr>
          <w:p>
            <w:pPr>
              <w:spacing w:after="0"/>
              <w:rPr>
                <w:sz w:val="16"/>
                <w:szCs w:val="16"/>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3"/>
        </w:trPr>
        <w:tc>
          <w:tcPr>
            <w:tcW w:w="100" w:type="dxa"/>
            <w:vAlign w:val="bottom"/>
          </w:tcPr>
          <w:p>
            <w:pPr>
              <w:spacing w:after="0"/>
              <w:rPr>
                <w:sz w:val="18"/>
                <w:szCs w:val="18"/>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Construction and land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3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90" w:type="dxa"/>
            <w:vAlign w:val="bottom"/>
            <w:shd w:val="clear" w:color="auto" w:fill="CCEEFF"/>
          </w:tcPr>
          <w:p>
            <w:pPr>
              <w:spacing w:after="0"/>
              <w:rPr>
                <w:sz w:val="18"/>
                <w:szCs w:val="18"/>
                <w:color w:val="auto"/>
              </w:rPr>
            </w:pPr>
          </w:p>
        </w:tc>
        <w:tc>
          <w:tcPr>
            <w:tcW w:w="13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61"/>
        </w:trPr>
        <w:tc>
          <w:tcPr>
            <w:tcW w:w="100" w:type="dxa"/>
            <w:vAlign w:val="bottom"/>
          </w:tcPr>
          <w:p>
            <w:pPr>
              <w:spacing w:after="0"/>
              <w:rPr>
                <w:sz w:val="13"/>
                <w:szCs w:val="13"/>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development</w:t>
            </w: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7,934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5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3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3,666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7,580</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3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1"/>
        </w:trPr>
        <w:tc>
          <w:tcPr>
            <w:tcW w:w="10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Residential real estate</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3,134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3,138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5</w:t>
            </w:r>
          </w:p>
        </w:tc>
        <w:tc>
          <w:tcPr>
            <w:tcW w:w="150" w:type="dxa"/>
            <w:vAlign w:val="bottom"/>
          </w:tcPr>
          <w:p>
            <w:pPr>
              <w:spacing w:after="0"/>
              <w:rPr>
                <w:sz w:val="15"/>
                <w:szCs w:val="15"/>
                <w:color w:val="auto"/>
              </w:rPr>
            </w:pPr>
          </w:p>
        </w:tc>
        <w:tc>
          <w:tcPr>
            <w:tcW w:w="73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3,046</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3,051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5</w:t>
            </w:r>
          </w:p>
        </w:tc>
        <w:tc>
          <w:tcPr>
            <w:tcW w:w="13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2"/>
        </w:trPr>
        <w:tc>
          <w:tcPr>
            <w:tcW w:w="100" w:type="dxa"/>
            <w:vAlign w:val="bottom"/>
          </w:tcPr>
          <w:p>
            <w:pPr>
              <w:spacing w:after="0"/>
              <w:rPr>
                <w:sz w:val="16"/>
                <w:szCs w:val="16"/>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2,536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5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3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2,465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3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181"/>
        </w:trPr>
        <w:tc>
          <w:tcPr>
            <w:tcW w:w="10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682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30" w:type="dxa"/>
            <w:vAlign w:val="bottom"/>
          </w:tcPr>
          <w:p>
            <w:pPr>
              <w:jc w:val="right"/>
              <w:spacing w:after="0"/>
              <w:rPr>
                <w:sz w:val="20"/>
                <w:szCs w:val="20"/>
                <w:color w:val="auto"/>
              </w:rPr>
            </w:pPr>
            <w:r>
              <w:rPr>
                <w:rFonts w:ascii="Arial" w:cs="Arial" w:eastAsia="Arial" w:hAnsi="Arial"/>
                <w:sz w:val="14"/>
                <w:szCs w:val="14"/>
                <w:color w:val="auto"/>
              </w:rPr>
              <w:t>1</w:t>
            </w:r>
          </w:p>
        </w:tc>
        <w:tc>
          <w:tcPr>
            <w:tcW w:w="150" w:type="dxa"/>
            <w:vAlign w:val="bottom"/>
          </w:tcPr>
          <w:p>
            <w:pPr>
              <w:spacing w:after="0"/>
              <w:rPr>
                <w:sz w:val="15"/>
                <w:szCs w:val="15"/>
                <w:color w:val="auto"/>
              </w:rPr>
            </w:pPr>
          </w:p>
        </w:tc>
        <w:tc>
          <w:tcPr>
            <w:tcW w:w="73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323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90" w:type="dxa"/>
            <w:vAlign w:val="bottom"/>
          </w:tcPr>
          <w:p>
            <w:pPr>
              <w:jc w:val="right"/>
              <w:spacing w:after="0"/>
              <w:rPr>
                <w:sz w:val="20"/>
                <w:szCs w:val="20"/>
                <w:color w:val="auto"/>
              </w:rPr>
            </w:pPr>
            <w:r>
              <w:rPr>
                <w:rFonts w:ascii="Arial" w:cs="Arial" w:eastAsia="Arial" w:hAnsi="Arial"/>
                <w:sz w:val="14"/>
                <w:szCs w:val="14"/>
                <w:color w:val="auto"/>
              </w:rPr>
              <w:t>1</w:t>
            </w:r>
          </w:p>
        </w:tc>
        <w:tc>
          <w:tcPr>
            <w:tcW w:w="13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00" w:type="dxa"/>
            <w:vAlign w:val="bottom"/>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30" w:type="dxa"/>
            <w:vAlign w:val="bottom"/>
            <w:tcBorders>
              <w:top w:val="single" w:sz="8" w:color="auto"/>
            </w:tcBorders>
          </w:tcPr>
          <w:p>
            <w:pPr>
              <w:spacing w:after="0" w:line="20" w:lineRule="exact"/>
              <w:rPr>
                <w:sz w:val="1"/>
                <w:szCs w:val="1"/>
                <w:color w:val="auto"/>
              </w:rPr>
            </w:pPr>
          </w:p>
        </w:tc>
        <w:tc>
          <w:tcPr>
            <w:tcW w:w="15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0" w:type="dxa"/>
            <w:vAlign w:val="bottom"/>
            <w:tcBorders>
              <w:top w:val="single" w:sz="8" w:color="auto"/>
            </w:tcBorders>
          </w:tcPr>
          <w:p>
            <w:pPr>
              <w:spacing w:after="0" w:line="20" w:lineRule="exact"/>
              <w:rPr>
                <w:sz w:val="1"/>
                <w:szCs w:val="1"/>
                <w:color w:val="auto"/>
              </w:rPr>
            </w:pPr>
          </w:p>
        </w:tc>
        <w:tc>
          <w:tcPr>
            <w:tcW w:w="13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90" w:type="dxa"/>
            <w:vAlign w:val="bottom"/>
            <w:tcBorders>
              <w:top w:val="single" w:sz="8" w:color="auto"/>
            </w:tcBorders>
          </w:tcPr>
          <w:p>
            <w:pPr>
              <w:spacing w:after="0" w:line="20" w:lineRule="exact"/>
              <w:rPr>
                <w:sz w:val="1"/>
                <w:szCs w:val="1"/>
                <w:color w:val="auto"/>
              </w:rPr>
            </w:pPr>
          </w:p>
        </w:tc>
        <w:tc>
          <w:tcPr>
            <w:tcW w:w="13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100" w:type="dxa"/>
            <w:vAlign w:val="bottom"/>
          </w:tcPr>
          <w:p>
            <w:pPr>
              <w:spacing w:after="0"/>
              <w:rPr>
                <w:sz w:val="14"/>
                <w:szCs w:val="14"/>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55,817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61,137</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3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5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shd w:val="clear" w:color="auto" w:fill="CCEEFF"/>
              </w:rPr>
              <w:t>%</w:t>
            </w:r>
          </w:p>
        </w:tc>
        <w:tc>
          <w:tcPr>
            <w:tcW w:w="60" w:type="dxa"/>
            <w:vAlign w:val="bottom"/>
            <w:shd w:val="clear" w:color="auto" w:fill="CCEEFF"/>
          </w:tcPr>
          <w:p>
            <w:pPr>
              <w:spacing w:after="0"/>
              <w:rPr>
                <w:sz w:val="14"/>
                <w:szCs w:val="14"/>
                <w:color w:val="auto"/>
              </w:rPr>
            </w:pPr>
          </w:p>
        </w:tc>
        <w:tc>
          <w:tcPr>
            <w:tcW w:w="67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3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56,628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5,184</w:t>
            </w:r>
          </w:p>
        </w:tc>
        <w:tc>
          <w:tcPr>
            <w:tcW w:w="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61,812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9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3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4"/>
                <w:shd w:val="clear" w:color="auto" w:fill="CCEEFF"/>
              </w:rPr>
              <w:t>%</w:t>
            </w:r>
          </w:p>
        </w:tc>
        <w:tc>
          <w:tcPr>
            <w:tcW w:w="20" w:type="dxa"/>
            <w:vAlign w:val="bottom"/>
            <w:shd w:val="clear" w:color="auto" w:fill="CCEEFF"/>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3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7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90" w:type="dxa"/>
            <w:vAlign w:val="bottom"/>
            <w:tcBorders>
              <w:top w:val="single" w:sz="8" w:color="auto"/>
              <w:bottom w:val="single" w:sz="8" w:color="auto"/>
            </w:tcBorders>
          </w:tcPr>
          <w:p>
            <w:pPr>
              <w:spacing w:after="0" w:line="20" w:lineRule="exact"/>
              <w:rPr>
                <w:sz w:val="1"/>
                <w:szCs w:val="1"/>
                <w:color w:val="auto"/>
              </w:rPr>
            </w:pPr>
          </w:p>
        </w:tc>
        <w:tc>
          <w:tcPr>
            <w:tcW w:w="13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ind w:left="140" w:right="60" w:firstLine="384"/>
        <w:spacing w:after="0" w:line="314" w:lineRule="auto"/>
        <w:rPr>
          <w:sz w:val="20"/>
          <w:szCs w:val="20"/>
          <w:color w:val="auto"/>
        </w:rPr>
      </w:pPr>
      <w:r>
        <w:rPr>
          <w:rFonts w:ascii="Arial" w:cs="Arial" w:eastAsia="Arial" w:hAnsi="Arial"/>
          <w:sz w:val="14"/>
          <w:szCs w:val="14"/>
          <w:color w:val="auto"/>
        </w:rPr>
        <w:t>Refer to “Note 4: Loans and Allowance for Credit Losses” within the Notes to the Condensed Consolidated Financial Statements (unaudited) for a summary of the changes in the ACL. Provided below is additional information regarding changes to the ACL:</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Impaired Loans:</w:t>
      </w:r>
    </w:p>
    <w:p>
      <w:pPr>
        <w:spacing w:after="0" w:line="173" w:lineRule="exact"/>
        <w:rPr>
          <w:sz w:val="20"/>
          <w:szCs w:val="20"/>
          <w:color w:val="auto"/>
        </w:rPr>
      </w:pPr>
    </w:p>
    <w:p>
      <w:pPr>
        <w:ind w:left="140" w:firstLine="384"/>
        <w:spacing w:after="0" w:line="324" w:lineRule="auto"/>
        <w:rPr>
          <w:sz w:val="20"/>
          <w:szCs w:val="20"/>
          <w:color w:val="auto"/>
        </w:rPr>
      </w:pPr>
      <w:r>
        <w:rPr>
          <w:rFonts w:ascii="Arial" w:cs="Arial" w:eastAsia="Arial" w:hAnsi="Arial"/>
          <w:sz w:val="13"/>
          <w:szCs w:val="13"/>
          <w:color w:val="auto"/>
        </w:rPr>
        <w:t>For the three- and six-month periods ended June 30, 2022, the impaired loan reserve decreased $2.2 million and $5.2 million, respectively. The decrease included a previously restructured commercial real estate loan with improved cash flow metrics that resulted in a $1 million reduction in the required reserve and two energy loans that were partially charged-off that decreased the required reserve by $790 thousand. For the six-month period ended June 30, 2022, the change included a commercial real estate loan with an improved collateral valuation that resulted in a $1 million reduction in the required reserve, a $628 thousand decline related to a commercial real estate loan charged down and two energy loans that paid down their outstanding balance, resulting in a $1 million decrease to the required reserve.</w:t>
      </w:r>
    </w:p>
    <w:p>
      <w:pPr>
        <w:spacing w:after="0" w:line="95"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Charge-offs and Recoveries:</w:t>
      </w:r>
    </w:p>
    <w:p>
      <w:pPr>
        <w:spacing w:after="0" w:line="162" w:lineRule="exact"/>
        <w:rPr>
          <w:sz w:val="20"/>
          <w:szCs w:val="20"/>
          <w:color w:val="auto"/>
        </w:rPr>
      </w:pPr>
    </w:p>
    <w:p>
      <w:pPr>
        <w:jc w:val="both"/>
        <w:ind w:left="140" w:right="300" w:firstLine="384"/>
        <w:spacing w:after="0" w:line="330" w:lineRule="auto"/>
        <w:rPr>
          <w:sz w:val="20"/>
          <w:szCs w:val="20"/>
          <w:color w:val="auto"/>
        </w:rPr>
      </w:pPr>
      <w:r>
        <w:rPr>
          <w:rFonts w:ascii="Arial" w:cs="Arial" w:eastAsia="Arial" w:hAnsi="Arial"/>
          <w:sz w:val="13"/>
          <w:szCs w:val="13"/>
          <w:color w:val="auto"/>
        </w:rPr>
        <w:t>Net charge-offs were $1 million and $2 million for the three- and six-month periods ended June 30, 2022, respectively. For the three-month period ended June 30, 2022 charge-offs included $2.9 million related to two collateral-dependent energy loans, $750 thousand related to a collateral-dependent medical practice, $582 thousand related to a commercial and industrial, SBA loan originated in 2018, and $217 thousand related to a junior lien on a residential real estate loan. Recoveries included $1.6 million related to a commercial real estate loan charged-off in 2020 and $1.7 million related to a commercial and industrial line of credit charged-off in 2020.</w:t>
      </w:r>
    </w:p>
    <w:p>
      <w:pPr>
        <w:spacing w:after="0" w:line="95" w:lineRule="exact"/>
        <w:rPr>
          <w:sz w:val="20"/>
          <w:szCs w:val="20"/>
          <w:color w:val="auto"/>
        </w:rPr>
      </w:pPr>
    </w:p>
    <w:p>
      <w:pPr>
        <w:ind w:left="140" w:right="20" w:firstLine="384"/>
        <w:spacing w:after="0" w:line="407" w:lineRule="auto"/>
        <w:rPr>
          <w:sz w:val="20"/>
          <w:szCs w:val="20"/>
          <w:color w:val="auto"/>
        </w:rPr>
      </w:pPr>
      <w:r>
        <w:rPr>
          <w:rFonts w:ascii="Arial" w:cs="Arial" w:eastAsia="Arial" w:hAnsi="Arial"/>
          <w:sz w:val="12"/>
          <w:szCs w:val="12"/>
          <w:color w:val="auto"/>
        </w:rPr>
        <w:t>For the six-month period ended June 30, 2022, charge-offs also included $1.2 million related to a commercial and industrial line of credit that originated in 2018 and started to deteriorate at the end of 2021, a $1 million charge-off related to an energy loan originated in 2016 that was significantly impacted by lower oil prices over the past few years, and a</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460"/>
          </w:cols>
          <w:pgMar w:left="780" w:top="395" w:right="659" w:bottom="1440" w:gutter="0" w:footer="0" w:header="0"/>
        </w:sectPr>
      </w:pPr>
    </w:p>
    <w:bookmarkStart w:id="62" w:name="page63"/>
    <w:bookmarkEnd w:id="62"/>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140" w:right="80"/>
        <w:spacing w:after="0" w:line="314" w:lineRule="auto"/>
        <w:rPr>
          <w:sz w:val="20"/>
          <w:szCs w:val="20"/>
          <w:color w:val="auto"/>
        </w:rPr>
      </w:pPr>
      <w:r>
        <w:rPr>
          <w:rFonts w:ascii="Arial" w:cs="Arial" w:eastAsia="Arial" w:hAnsi="Arial"/>
          <w:sz w:val="14"/>
          <w:szCs w:val="14"/>
          <w:color w:val="auto"/>
        </w:rPr>
        <w:t>$750 thousand charge-off on a commercial real estate project that originated in 2017 and started to deteriorate in 2020. Charge-offs were partially offset primarily by a $1.8 million recovery on an energy loan that was charged-off in 2020.</w:t>
      </w:r>
    </w:p>
    <w:p>
      <w:pPr>
        <w:spacing w:after="0" w:line="102" w:lineRule="exact"/>
        <w:rPr>
          <w:sz w:val="20"/>
          <w:szCs w:val="20"/>
          <w:color w:val="auto"/>
        </w:rPr>
      </w:pPr>
    </w:p>
    <w:p>
      <w:pPr>
        <w:ind w:left="140" w:right="20" w:firstLine="384"/>
        <w:spacing w:after="0" w:line="300" w:lineRule="auto"/>
        <w:rPr>
          <w:sz w:val="20"/>
          <w:szCs w:val="20"/>
          <w:color w:val="auto"/>
        </w:rPr>
      </w:pPr>
      <w:r>
        <w:rPr>
          <w:rFonts w:ascii="Arial" w:cs="Arial" w:eastAsia="Arial" w:hAnsi="Arial"/>
          <w:sz w:val="14"/>
          <w:szCs w:val="14"/>
          <w:color w:val="auto"/>
        </w:rPr>
        <w:t>During the three months ended June 30, 2021, charge-offs primarily related to a commercial and industrial borrower. The $3 million charged-off was greater than the reserved balance in the Allowance for Loan and Lease Loss at December 31, 2020 resulting in a $2 million increase in the provision during the three- and six-month periods ended June 30, 2021.</w:t>
      </w:r>
    </w:p>
    <w:p>
      <w:pPr>
        <w:spacing w:after="0" w:line="175" w:lineRule="exact"/>
        <w:rPr>
          <w:sz w:val="20"/>
          <w:szCs w:val="20"/>
          <w:color w:val="auto"/>
        </w:rPr>
      </w:pPr>
    </w:p>
    <w:p>
      <w:pPr>
        <w:ind w:left="140" w:right="40" w:firstLine="384"/>
        <w:spacing w:after="0" w:line="308" w:lineRule="auto"/>
        <w:rPr>
          <w:sz w:val="20"/>
          <w:szCs w:val="20"/>
          <w:color w:val="auto"/>
        </w:rPr>
      </w:pPr>
      <w:r>
        <w:rPr>
          <w:rFonts w:ascii="Arial" w:cs="Arial" w:eastAsia="Arial" w:hAnsi="Arial"/>
          <w:sz w:val="14"/>
          <w:szCs w:val="14"/>
          <w:color w:val="auto"/>
        </w:rPr>
        <w:t>During the three-months ended March 31, 2021, charge-offs primarily related to two commercial and industrial borrowers that were unable to support their debt obligations. The $8 million charged-off was greater than the reserved balance in the allowance for loan losses at December 31, 2020 resulting in a $5 million increase in the provision during the quarter ended March 31, 2021.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below table provides the ratio of net charge-offs (recoveries) to average loans outstanding based on our loan categories for the periods indicated:</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6"/>
          </w:tcPr>
          <w:p>
            <w:pPr>
              <w:jc w:val="center"/>
              <w:ind w:right="569"/>
              <w:spacing w:after="0"/>
              <w:rPr>
                <w:sz w:val="20"/>
                <w:szCs w:val="20"/>
                <w:color w:val="auto"/>
              </w:rPr>
            </w:pPr>
            <w:r>
              <w:rPr>
                <w:rFonts w:ascii="Arial" w:cs="Arial" w:eastAsia="Arial" w:hAnsi="Arial"/>
                <w:sz w:val="14"/>
                <w:szCs w:val="14"/>
                <w:b w:val="1"/>
                <w:bCs w:val="1"/>
                <w:color w:val="auto"/>
                <w:w w:val="94"/>
              </w:rPr>
              <w:t>For the Quarter Ended</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160" w:type="dxa"/>
            <w:vAlign w:val="bottom"/>
            <w:tcBorders>
              <w:bottom w:val="single" w:sz="8" w:color="auto"/>
            </w:tcBorders>
          </w:tcPr>
          <w:p>
            <w:pPr>
              <w:spacing w:after="0"/>
              <w:rPr>
                <w:sz w:val="15"/>
                <w:szCs w:val="15"/>
                <w:color w:val="auto"/>
              </w:rPr>
            </w:pPr>
          </w:p>
        </w:tc>
      </w:tr>
      <w:tr>
        <w:trPr>
          <w:trHeight w:val="193"/>
        </w:trPr>
        <w:tc>
          <w:tcPr>
            <w:tcW w:w="27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9"/>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r>
      <w:tr>
        <w:trPr>
          <w:trHeight w:val="194"/>
        </w:trPr>
        <w:tc>
          <w:tcPr>
            <w:tcW w:w="274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r>
      <w:tr>
        <w:trPr>
          <w:trHeight w:val="160"/>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Commercial and industrial lines of credit</w:t>
            </w:r>
          </w:p>
        </w:tc>
        <w:tc>
          <w:tcPr>
            <w:tcW w:w="800" w:type="dxa"/>
            <w:vAlign w:val="bottom"/>
          </w:tcPr>
          <w:p>
            <w:pPr>
              <w:jc w:val="right"/>
              <w:spacing w:after="0"/>
              <w:rPr>
                <w:sz w:val="20"/>
                <w:szCs w:val="20"/>
                <w:color w:val="auto"/>
              </w:rPr>
            </w:pPr>
            <w:r>
              <w:rPr>
                <w:rFonts w:ascii="Arial" w:cs="Arial" w:eastAsia="Arial" w:hAnsi="Arial"/>
                <w:sz w:val="14"/>
                <w:szCs w:val="14"/>
                <w:color w:val="auto"/>
              </w:rPr>
              <w:t>(0.56)</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0.76</w:t>
            </w:r>
          </w:p>
        </w:tc>
        <w:tc>
          <w:tcPr>
            <w:tcW w:w="1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0.04</w:t>
            </w:r>
          </w:p>
        </w:tc>
        <w:tc>
          <w:tcPr>
            <w:tcW w:w="1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0.62</w:t>
            </w:r>
          </w:p>
        </w:tc>
        <w:tc>
          <w:tcPr>
            <w:tcW w:w="14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2.20</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0.06</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4.57</w:t>
            </w:r>
          </w:p>
        </w:tc>
        <w:tc>
          <w:tcPr>
            <w:tcW w:w="160" w:type="dxa"/>
            <w:vAlign w:val="bottom"/>
          </w:tcPr>
          <w:p>
            <w:pPr>
              <w:spacing w:after="0"/>
              <w:rPr>
                <w:sz w:val="14"/>
                <w:szCs w:val="14"/>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Energy</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6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(1.02)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0.64</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Commercial real estate</w:t>
            </w:r>
          </w:p>
        </w:tc>
        <w:tc>
          <w:tcPr>
            <w:tcW w:w="800" w:type="dxa"/>
            <w:vAlign w:val="bottom"/>
          </w:tcPr>
          <w:p>
            <w:pPr>
              <w:jc w:val="right"/>
              <w:spacing w:after="0"/>
              <w:rPr>
                <w:sz w:val="20"/>
                <w:szCs w:val="20"/>
                <w:color w:val="auto"/>
              </w:rPr>
            </w:pPr>
            <w:r>
              <w:rPr>
                <w:rFonts w:ascii="Arial" w:cs="Arial" w:eastAsia="Arial" w:hAnsi="Arial"/>
                <w:sz w:val="14"/>
                <w:szCs w:val="14"/>
                <w:color w:val="auto"/>
              </w:rPr>
              <w:t>(0.45)</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180" w:type="dxa"/>
            <w:vAlign w:val="bottom"/>
          </w:tcPr>
          <w:p>
            <w:pPr>
              <w:spacing w:after="0"/>
              <w:rPr>
                <w:sz w:val="14"/>
                <w:szCs w:val="14"/>
                <w:color w:val="auto"/>
              </w:rPr>
            </w:pPr>
          </w:p>
        </w:tc>
        <w:tc>
          <w:tcPr>
            <w:tcW w:w="90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(0.07)</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Construction and land development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r>
      <w:tr>
        <w:trPr>
          <w:trHeight w:val="171"/>
        </w:trPr>
        <w:tc>
          <w:tcPr>
            <w:tcW w:w="2740" w:type="dxa"/>
            <w:vAlign w:val="bottom"/>
          </w:tcPr>
          <w:p>
            <w:pPr>
              <w:ind w:left="20"/>
              <w:spacing w:after="0"/>
              <w:rPr>
                <w:sz w:val="20"/>
                <w:szCs w:val="20"/>
                <w:color w:val="auto"/>
              </w:rPr>
            </w:pPr>
            <w:r>
              <w:rPr>
                <w:rFonts w:ascii="Arial" w:cs="Arial" w:eastAsia="Arial" w:hAnsi="Arial"/>
                <w:sz w:val="14"/>
                <w:szCs w:val="14"/>
                <w:color w:val="auto"/>
              </w:rPr>
              <w:t>Residential real estate</w:t>
            </w:r>
          </w:p>
        </w:tc>
        <w:tc>
          <w:tcPr>
            <w:tcW w:w="800" w:type="dxa"/>
            <w:vAlign w:val="bottom"/>
          </w:tcPr>
          <w:p>
            <w:pPr>
              <w:jc w:val="right"/>
              <w:spacing w:after="0"/>
              <w:rPr>
                <w:sz w:val="20"/>
                <w:szCs w:val="20"/>
                <w:color w:val="auto"/>
              </w:rPr>
            </w:pPr>
            <w:r>
              <w:rPr>
                <w:rFonts w:ascii="Arial" w:cs="Arial" w:eastAsia="Arial" w:hAnsi="Arial"/>
                <w:sz w:val="14"/>
                <w:szCs w:val="14"/>
                <w:color w:val="auto"/>
              </w:rPr>
              <w:t>0.21</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(0.32)</w:t>
            </w:r>
          </w:p>
        </w:tc>
        <w:tc>
          <w:tcPr>
            <w:tcW w:w="16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0.11</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r>
      <w:tr>
        <w:trPr>
          <w:trHeight w:val="171"/>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Multifamily real estate</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r>
      <w:tr>
        <w:trPr>
          <w:trHeight w:val="161"/>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Consumer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0.05</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160" w:type="dxa"/>
            <w:vAlign w:val="bottom"/>
            <w:tcBorders>
              <w:bottom w:val="single" w:sz="8" w:color="auto"/>
            </w:tcBorders>
          </w:tcPr>
          <w:p>
            <w:pPr>
              <w:spacing w:after="0"/>
              <w:rPr>
                <w:sz w:val="14"/>
                <w:szCs w:val="14"/>
                <w:color w:val="auto"/>
              </w:rPr>
            </w:pPr>
          </w:p>
        </w:tc>
      </w:tr>
      <w:tr>
        <w:trPr>
          <w:trHeight w:val="160"/>
        </w:trPr>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Total net charge-offs to average loans</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0.23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7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Non-performing Assets and Other Asset Quality Metrics</w:t>
      </w:r>
    </w:p>
    <w:p>
      <w:pPr>
        <w:spacing w:after="0" w:line="162" w:lineRule="exact"/>
        <w:rPr>
          <w:sz w:val="20"/>
          <w:szCs w:val="20"/>
          <w:color w:val="auto"/>
        </w:rPr>
      </w:pPr>
    </w:p>
    <w:p>
      <w:pPr>
        <w:ind w:left="140" w:right="220" w:firstLine="384"/>
        <w:spacing w:after="0" w:line="374" w:lineRule="auto"/>
        <w:rPr>
          <w:sz w:val="20"/>
          <w:szCs w:val="20"/>
          <w:color w:val="auto"/>
        </w:rPr>
      </w:pPr>
      <w:r>
        <w:rPr>
          <w:rFonts w:ascii="Arial" w:cs="Arial" w:eastAsia="Arial" w:hAnsi="Arial"/>
          <w:sz w:val="13"/>
          <w:szCs w:val="13"/>
          <w:color w:val="auto"/>
        </w:rPr>
        <w:t>Non-performing assets include: (i) non-performing loans - includes non-accrual loans, loans past due 90 days or more and still accruing interest, and loans modified under TDRs that are not performing in accordance with their modified terms; (ii) foreclosed assets held for sale; (iii) repossessed assets; and (iv) impaired debt securities.</w:t>
      </w:r>
    </w:p>
    <w:p>
      <w:pPr>
        <w:spacing w:after="0" w:line="57" w:lineRule="exact"/>
        <w:rPr>
          <w:sz w:val="20"/>
          <w:szCs w:val="20"/>
          <w:color w:val="auto"/>
        </w:rPr>
      </w:pPr>
    </w:p>
    <w:p>
      <w:pPr>
        <w:ind w:left="140" w:right="20" w:firstLine="384"/>
        <w:spacing w:after="0" w:line="330" w:lineRule="auto"/>
        <w:rPr>
          <w:sz w:val="20"/>
          <w:szCs w:val="20"/>
          <w:color w:val="auto"/>
        </w:rPr>
      </w:pPr>
      <w:r>
        <w:rPr>
          <w:rFonts w:ascii="Arial" w:cs="Arial" w:eastAsia="Arial" w:hAnsi="Arial"/>
          <w:sz w:val="14"/>
          <w:szCs w:val="14"/>
          <w:color w:val="auto"/>
        </w:rPr>
        <w:t>Non-performing assets decreased to $31 million as of June 30, 2022 due to a $5 million decrease in non-accrual loans. The decline was driven by $4 million in charge -offs on non-accrual loans. Improvements in credit metrics continue to be driven by upgrades in COVID-19 impacted segments and the energy portfolio.</w:t>
      </w:r>
    </w:p>
    <w:p>
      <w:pPr>
        <w:spacing w:after="0" w:line="80" w:lineRule="exact"/>
        <w:rPr>
          <w:sz w:val="20"/>
          <w:szCs w:val="20"/>
          <w:color w:val="auto"/>
        </w:rPr>
      </w:pPr>
    </w:p>
    <w:p>
      <w:pPr>
        <w:ind w:left="140" w:right="80" w:firstLine="384"/>
        <w:spacing w:after="0" w:line="308" w:lineRule="auto"/>
        <w:rPr>
          <w:sz w:val="20"/>
          <w:szCs w:val="20"/>
          <w:color w:val="auto"/>
        </w:rPr>
      </w:pPr>
      <w:r>
        <w:rPr>
          <w:rFonts w:ascii="Arial" w:cs="Arial" w:eastAsia="Arial" w:hAnsi="Arial"/>
          <w:sz w:val="14"/>
          <w:szCs w:val="14"/>
          <w:color w:val="auto"/>
        </w:rPr>
        <w:t>Non-performing assets increased slightly to $36 million or 0.64% of total assets as of March 31, 2022 primarily due to an $11 million, previously identified substandard commercial and industrial line of credit. The increase was partially offset by a $7 million decline in non-accrual energy loans due to $1 million in charge-offs, $3 million in payoffs and $3 million in loans placed back on accrual status. As of March 31, 2022, 25% of non-performing assets remained in the energy sector.</w:t>
      </w:r>
    </w:p>
    <w:p>
      <w:pPr>
        <w:spacing w:after="0" w:line="95" w:lineRule="exact"/>
        <w:rPr>
          <w:sz w:val="20"/>
          <w:szCs w:val="20"/>
          <w:color w:val="auto"/>
        </w:rPr>
      </w:pPr>
    </w:p>
    <w:p>
      <w:pPr>
        <w:ind w:left="140" w:firstLine="384"/>
        <w:spacing w:after="0" w:line="330" w:lineRule="auto"/>
        <w:rPr>
          <w:sz w:val="20"/>
          <w:szCs w:val="20"/>
          <w:color w:val="auto"/>
        </w:rPr>
      </w:pPr>
      <w:r>
        <w:rPr>
          <w:rFonts w:ascii="Arial" w:cs="Arial" w:eastAsia="Arial" w:hAnsi="Arial"/>
          <w:sz w:val="14"/>
          <w:szCs w:val="14"/>
          <w:color w:val="auto"/>
        </w:rPr>
        <w:t>During 2021, non-performing assets continued to decrease due primarily to upgrades and pay offs in the commercial and industrial and energy portfolios. As of December 31, 2021, 49% of non-performing assets related to energy credits that were significantly impacted by lower oil prices over the past few years.</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0420"/>
          </w:cols>
          <w:pgMar w:left="780" w:top="407" w:right="699" w:bottom="1440" w:gutter="0" w:footer="0" w:header="0"/>
        </w:sectPr>
      </w:pPr>
    </w:p>
    <w:bookmarkStart w:id="63" w:name="page64"/>
    <w:bookmarkEnd w:id="63"/>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Credit quality metrics were generally stable during the second quarter of 2022, reflecting consistency with the prior quarter and significant improvement over the prior year.</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table below summarizes our non-performing assets and related ratios as of the dates indicated: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4"/>
                <w:szCs w:val="14"/>
                <w:b w:val="1"/>
                <w:bCs w:val="1"/>
                <w:color w:val="auto"/>
                <w:w w:val="94"/>
              </w:rPr>
              <w:t>For the Quarter Ended</w:t>
            </w:r>
          </w:p>
        </w:tc>
        <w:tc>
          <w:tcPr>
            <w:tcW w:w="10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4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289"/>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center"/>
              <w:ind w:left="5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6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5"/>
          </w:tcPr>
          <w:p>
            <w:pPr>
              <w:jc w:val="center"/>
              <w:ind w:right="280"/>
              <w:spacing w:after="0"/>
              <w:rPr>
                <w:sz w:val="20"/>
                <w:szCs w:val="20"/>
                <w:color w:val="auto"/>
              </w:rPr>
            </w:pPr>
            <w:r>
              <w:rPr>
                <w:rFonts w:ascii="Arial" w:cs="Arial" w:eastAsia="Arial" w:hAnsi="Arial"/>
                <w:sz w:val="13"/>
                <w:szCs w:val="13"/>
                <w:i w:val="1"/>
                <w:iCs w:val="1"/>
                <w:color w:val="auto"/>
                <w:w w:val="91"/>
              </w:rPr>
              <w:t>(Dollars in thousands)</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Non-accrual loans</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27,698</w:t>
            </w:r>
          </w:p>
        </w:tc>
        <w:tc>
          <w:tcPr>
            <w:tcW w:w="4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33,071</w:t>
            </w: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31,432</w:t>
            </w:r>
          </w:p>
        </w:tc>
        <w:tc>
          <w:tcPr>
            <w:tcW w:w="4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48,147</w:t>
            </w:r>
          </w:p>
        </w:tc>
        <w:tc>
          <w:tcPr>
            <w:tcW w:w="40" w:type="dxa"/>
            <w:vAlign w:val="bottom"/>
            <w:shd w:val="clear" w:color="auto" w:fill="CCEEFF"/>
          </w:tcPr>
          <w:p>
            <w:pPr>
              <w:spacing w:after="0"/>
              <w:rPr>
                <w:sz w:val="14"/>
                <w:szCs w:val="14"/>
                <w:color w:val="auto"/>
              </w:rPr>
            </w:pPr>
          </w:p>
        </w:tc>
        <w:tc>
          <w:tcPr>
            <w:tcW w:w="3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54,652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Loans past due 90 days or more and still accruing</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2,163</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1,534</w:t>
            </w:r>
          </w:p>
        </w:tc>
        <w:tc>
          <w:tcPr>
            <w:tcW w:w="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342</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1,776</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non-performing loans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29,861</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34,605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48,489</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56,428</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Foreclosed assets held for sale</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973</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1,148</w:t>
            </w: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non-performing assets</w:t>
            </w: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30,834</w:t>
            </w:r>
          </w:p>
        </w:tc>
        <w:tc>
          <w:tcPr>
            <w:tcW w:w="4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35,578</w:t>
            </w: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32,670</w:t>
            </w:r>
          </w:p>
        </w:tc>
        <w:tc>
          <w:tcPr>
            <w:tcW w:w="4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49,637</w:t>
            </w:r>
          </w:p>
        </w:tc>
        <w:tc>
          <w:tcPr>
            <w:tcW w:w="4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58,146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vMerge w:val="restart"/>
          </w:tcPr>
          <w:p>
            <w:pPr>
              <w:ind w:left="80"/>
              <w:spacing w:after="0"/>
              <w:rPr>
                <w:sz w:val="20"/>
                <w:szCs w:val="20"/>
                <w:color w:val="auto"/>
              </w:rPr>
            </w:pPr>
            <w:r>
              <w:rPr>
                <w:rFonts w:ascii="Arial" w:cs="Arial" w:eastAsia="Arial" w:hAnsi="Arial"/>
                <w:sz w:val="14"/>
                <w:szCs w:val="14"/>
                <w:color w:val="auto"/>
              </w:rPr>
              <w:t>ACL to total loans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1.23 %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spacing w:after="0" w:line="143" w:lineRule="exact"/>
              <w:rPr>
                <w:sz w:val="20"/>
                <w:szCs w:val="20"/>
                <w:color w:val="auto"/>
              </w:rPr>
            </w:pPr>
            <w:r>
              <w:rPr>
                <w:rFonts w:ascii="Arial" w:cs="Arial" w:eastAsia="Arial" w:hAnsi="Arial"/>
                <w:sz w:val="14"/>
                <w:szCs w:val="14"/>
                <w:color w:val="auto"/>
              </w:rPr>
              <w:t>1.27 %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1.37 %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spacing w:after="0" w:line="143" w:lineRule="exact"/>
              <w:rPr>
                <w:sz w:val="20"/>
                <w:szCs w:val="20"/>
                <w:color w:val="auto"/>
              </w:rPr>
            </w:pPr>
            <w:r>
              <w:rPr>
                <w:rFonts w:ascii="Arial" w:cs="Arial" w:eastAsia="Arial" w:hAnsi="Arial"/>
                <w:sz w:val="14"/>
                <w:szCs w:val="14"/>
                <w:color w:val="auto"/>
              </w:rPr>
              <w:t>1.51 %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1.78 %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shd w:val="clear" w:color="auto" w:fill="CCEEFF"/>
          </w:tcPr>
          <w:p>
            <w:pPr>
              <w:ind w:left="80"/>
              <w:spacing w:after="0" w:line="170" w:lineRule="exact"/>
              <w:rPr>
                <w:sz w:val="20"/>
                <w:szCs w:val="20"/>
                <w:color w:val="auto"/>
              </w:rPr>
            </w:pPr>
            <w:r>
              <w:rPr>
                <w:rFonts w:ascii="Arial" w:cs="Arial" w:eastAsia="Arial" w:hAnsi="Arial"/>
                <w:sz w:val="14"/>
                <w:szCs w:val="14"/>
                <w:color w:val="auto"/>
              </w:rPr>
              <w:t>ACL + RUC to total loans</w:t>
            </w:r>
            <w:r>
              <w:rPr>
                <w:rFonts w:ascii="Arial" w:cs="Arial" w:eastAsia="Arial" w:hAnsi="Arial"/>
                <w:sz w:val="18"/>
                <w:szCs w:val="18"/>
                <w:color w:val="auto"/>
                <w:vertAlign w:val="superscript"/>
              </w:rPr>
              <w:t>(1)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N/A</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rPr>
              <w:t>ACL to non-accrual loans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167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109"/>
              <w:spacing w:after="0"/>
              <w:rPr>
                <w:sz w:val="20"/>
                <w:szCs w:val="20"/>
                <w:color w:val="auto"/>
              </w:rPr>
            </w:pPr>
            <w:r>
              <w:rPr>
                <w:rFonts w:ascii="Arial" w:cs="Arial" w:eastAsia="Arial" w:hAnsi="Arial"/>
                <w:sz w:val="14"/>
                <w:szCs w:val="14"/>
                <w:color w:val="auto"/>
              </w:rPr>
              <w:t>138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ACL to non-performing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134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rPr>
              <w:t>Non-accrual loans to total loans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0.76</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Non-performing loans to total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0.79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5"/>
                <w:szCs w:val="15"/>
                <w:color w:val="auto"/>
              </w:rPr>
            </w:pPr>
          </w:p>
        </w:tc>
        <w:tc>
          <w:tcPr>
            <w:tcW w:w="3320" w:type="dxa"/>
            <w:vAlign w:val="bottom"/>
          </w:tcPr>
          <w:p>
            <w:pPr>
              <w:ind w:left="80"/>
              <w:spacing w:after="0"/>
              <w:rPr>
                <w:sz w:val="20"/>
                <w:szCs w:val="20"/>
                <w:color w:val="auto"/>
              </w:rPr>
            </w:pPr>
            <w:r>
              <w:rPr>
                <w:rFonts w:ascii="Arial" w:cs="Arial" w:eastAsia="Arial" w:hAnsi="Arial"/>
                <w:sz w:val="14"/>
                <w:szCs w:val="14"/>
                <w:color w:val="auto"/>
              </w:rPr>
              <w:t>Non-performing assets to total assets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0.64 %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0.58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0.92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hanging="249"/>
        <w:spacing w:after="0" w:line="195" w:lineRule="auto"/>
        <w:tabs>
          <w:tab w:leader="none" w:pos="50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Includes the ACL on off-balance sheet credit exposure that resulted from CECL adoption on January 1, 2022.</w:t>
      </w:r>
    </w:p>
    <w:p>
      <w:pPr>
        <w:spacing w:after="0" w:line="151" w:lineRule="exact"/>
        <w:rPr>
          <w:sz w:val="20"/>
          <w:szCs w:val="20"/>
          <w:color w:val="auto"/>
        </w:rPr>
      </w:pPr>
    </w:p>
    <w:p>
      <w:pPr>
        <w:ind w:left="140" w:right="120" w:firstLine="384"/>
        <w:spacing w:after="0" w:line="301" w:lineRule="auto"/>
        <w:rPr>
          <w:sz w:val="20"/>
          <w:szCs w:val="20"/>
          <w:color w:val="auto"/>
        </w:rPr>
      </w:pPr>
      <w:r>
        <w:rPr>
          <w:rFonts w:ascii="Arial" w:cs="Arial" w:eastAsia="Arial" w:hAnsi="Arial"/>
          <w:sz w:val="14"/>
          <w:szCs w:val="14"/>
          <w:color w:val="auto"/>
        </w:rPr>
        <w:t>Other asset quality metrics management reviews include loans past due 30 - 89 days and classified, gross loans. The Company defines classified loans as loans categorized as substandard - performing, substandard – non-performing, doubtful, or loss. The definitions of substandard, doubtful and loss are provided in “Note 4: Loans and Allowance for Credit Losses” in the Notes to Condensed Consolidated Financial Statements (unaudited). The following table summarizes our loans past due 30 - 89 days, classified assets, and related ratios as of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0500"/>
          </w:cols>
          <w:pgMar w:left="780" w:top="407" w:right="6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3460" w:type="dxa"/>
            <w:vAlign w:val="bottom"/>
            <w:gridSpan w:val="6"/>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1"/>
        </w:trPr>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4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89"/>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center"/>
              <w:ind w:right="49"/>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169"/>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Loans Past Due Detail</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gridSpan w:val="4"/>
          </w:tcPr>
          <w:p>
            <w:pPr>
              <w:ind w:left="80"/>
              <w:spacing w:after="0"/>
              <w:rPr>
                <w:sz w:val="20"/>
                <w:szCs w:val="20"/>
                <w:color w:val="auto"/>
              </w:rPr>
            </w:pPr>
            <w:r>
              <w:rPr>
                <w:rFonts w:ascii="Arial" w:cs="Arial" w:eastAsia="Arial" w:hAnsi="Arial"/>
                <w:sz w:val="14"/>
                <w:szCs w:val="14"/>
                <w:color w:val="auto"/>
              </w:rPr>
              <w:t>30 - 59 days past due</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15,700</w:t>
            </w:r>
          </w:p>
        </w:tc>
        <w:tc>
          <w:tcPr>
            <w:tcW w:w="40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14,815</w:t>
            </w:r>
          </w:p>
        </w:tc>
        <w:tc>
          <w:tcPr>
            <w:tcW w:w="160" w:type="dxa"/>
            <w:vAlign w:val="bottom"/>
          </w:tcPr>
          <w:p>
            <w:pPr>
              <w:spacing w:after="0"/>
              <w:rPr>
                <w:sz w:val="15"/>
                <w:szCs w:val="15"/>
                <w:color w:val="auto"/>
              </w:rPr>
            </w:pPr>
          </w:p>
        </w:tc>
        <w:tc>
          <w:tcPr>
            <w:tcW w:w="1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1,671</w:t>
            </w:r>
          </w:p>
        </w:tc>
        <w:tc>
          <w:tcPr>
            <w:tcW w:w="160" w:type="dxa"/>
            <w:vAlign w:val="bottom"/>
          </w:tcPr>
          <w:p>
            <w:pPr>
              <w:spacing w:after="0"/>
              <w:rPr>
                <w:sz w:val="15"/>
                <w:szCs w:val="15"/>
                <w:color w:val="auto"/>
              </w:rPr>
            </w:pPr>
          </w:p>
        </w:tc>
        <w:tc>
          <w:tcPr>
            <w:tcW w:w="22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3,072</w:t>
            </w:r>
          </w:p>
        </w:tc>
        <w:tc>
          <w:tcPr>
            <w:tcW w:w="40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18,758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60 - 89 days past due</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935</w:t>
            </w:r>
          </w:p>
        </w:tc>
        <w:tc>
          <w:tcPr>
            <w:tcW w:w="1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1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w:t>
            </w:r>
          </w:p>
        </w:tc>
        <w:tc>
          <w:tcPr>
            <w:tcW w:w="16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34,528</w:t>
            </w:r>
          </w:p>
        </w:tc>
        <w:tc>
          <w:tcPr>
            <w:tcW w:w="1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40" w:type="dxa"/>
            <w:vAlign w:val="bottom"/>
            <w:gridSpan w:val="3"/>
          </w:tcPr>
          <w:p>
            <w:pPr>
              <w:ind w:left="100"/>
              <w:spacing w:after="0"/>
              <w:rPr>
                <w:sz w:val="20"/>
                <w:szCs w:val="20"/>
                <w:color w:val="auto"/>
              </w:rPr>
            </w:pPr>
            <w:r>
              <w:rPr>
                <w:rFonts w:ascii="Arial" w:cs="Arial" w:eastAsia="Arial" w:hAnsi="Arial"/>
                <w:sz w:val="14"/>
                <w:szCs w:val="14"/>
                <w:color w:val="auto"/>
              </w:rPr>
              <w:t>Total loans 30 - 89 days past due</w:t>
            </w:r>
          </w:p>
        </w:tc>
        <w:tc>
          <w:tcPr>
            <w:tcW w:w="140" w:type="dxa"/>
            <w:vAlign w:val="bottom"/>
            <w:gridSpan w:val="2"/>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16,635</w:t>
            </w:r>
          </w:p>
        </w:tc>
        <w:tc>
          <w:tcPr>
            <w:tcW w:w="40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15,950</w:t>
            </w:r>
          </w:p>
        </w:tc>
        <w:tc>
          <w:tcPr>
            <w:tcW w:w="160" w:type="dxa"/>
            <w:vAlign w:val="bottom"/>
          </w:tcPr>
          <w:p>
            <w:pPr>
              <w:spacing w:after="0"/>
              <w:rPr>
                <w:sz w:val="18"/>
                <w:szCs w:val="18"/>
                <w:color w:val="auto"/>
              </w:rPr>
            </w:pPr>
          </w:p>
        </w:tc>
        <w:tc>
          <w:tcPr>
            <w:tcW w:w="1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3,529</w:t>
            </w:r>
          </w:p>
        </w:tc>
        <w:tc>
          <w:tcPr>
            <w:tcW w:w="160" w:type="dxa"/>
            <w:vAlign w:val="bottom"/>
          </w:tcPr>
          <w:p>
            <w:pPr>
              <w:spacing w:after="0"/>
              <w:rPr>
                <w:sz w:val="18"/>
                <w:szCs w:val="18"/>
                <w:color w:val="auto"/>
              </w:rPr>
            </w:pPr>
          </w:p>
        </w:tc>
        <w:tc>
          <w:tcPr>
            <w:tcW w:w="22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37,600</w:t>
            </w:r>
          </w:p>
        </w:tc>
        <w:tc>
          <w:tcPr>
            <w:tcW w:w="400" w:type="dxa"/>
            <w:vAlign w:val="bottom"/>
            <w:gridSpan w:val="5"/>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18,768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CCEEFF"/>
            </w:tcBorders>
            <w:gridSpan w:val="2"/>
            <w:shd w:val="clear" w:color="auto" w:fill="CCEEFF"/>
          </w:tcPr>
          <w:p>
            <w:pPr>
              <w:spacing w:after="0" w:line="153" w:lineRule="exact"/>
              <w:rPr>
                <w:sz w:val="20"/>
                <w:szCs w:val="20"/>
                <w:color w:val="auto"/>
              </w:rPr>
            </w:pPr>
            <w:r>
              <w:rPr>
                <w:rFonts w:ascii="Arial" w:cs="Arial" w:eastAsia="Arial" w:hAnsi="Arial"/>
                <w:sz w:val="14"/>
                <w:szCs w:val="14"/>
                <w:color w:val="auto"/>
              </w:rPr>
              <w:t>Loans 30 - 89 days past due / loans</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0.37</w:t>
            </w:r>
          </w:p>
        </w:tc>
        <w:tc>
          <w:tcPr>
            <w:tcW w:w="1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0.37</w:t>
            </w:r>
          </w:p>
        </w:tc>
        <w:tc>
          <w:tcPr>
            <w:tcW w:w="1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0.08</w:t>
            </w:r>
          </w:p>
        </w:tc>
        <w:tc>
          <w:tcPr>
            <w:tcW w:w="16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w w:val="96"/>
              </w:rPr>
              <w:t>%</w:t>
            </w:r>
          </w:p>
        </w:tc>
        <w:tc>
          <w:tcPr>
            <w:tcW w:w="20" w:type="dxa"/>
            <w:vAlign w:val="bottom"/>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0.89</w:t>
            </w:r>
          </w:p>
        </w:tc>
        <w:tc>
          <w:tcPr>
            <w:tcW w:w="1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0.44</w:t>
            </w:r>
          </w:p>
        </w:tc>
        <w:tc>
          <w:tcPr>
            <w:tcW w:w="180" w:type="dxa"/>
            <w:vAlign w:val="bottom"/>
            <w:tcBorders>
              <w:top w:val="single" w:sz="8" w:color="auto"/>
            </w:tcBorders>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gridSpan w:val="4"/>
          </w:tcPr>
          <w:p>
            <w:pPr>
              <w:spacing w:after="0"/>
              <w:rPr>
                <w:sz w:val="20"/>
                <w:szCs w:val="20"/>
                <w:color w:val="auto"/>
              </w:rPr>
            </w:pPr>
            <w:r>
              <w:rPr>
                <w:rFonts w:ascii="Arial" w:cs="Arial" w:eastAsia="Arial" w:hAnsi="Arial"/>
                <w:sz w:val="14"/>
                <w:szCs w:val="14"/>
                <w:b w:val="1"/>
                <w:bCs w:val="1"/>
                <w:color w:val="auto"/>
              </w:rPr>
              <w:t>Classified Loans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Substandard - performing</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52,759</w:t>
            </w:r>
          </w:p>
        </w:tc>
        <w:tc>
          <w:tcPr>
            <w:tcW w:w="4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40,257</w:t>
            </w:r>
          </w:p>
        </w:tc>
        <w:tc>
          <w:tcPr>
            <w:tcW w:w="160" w:type="dxa"/>
            <w:vAlign w:val="bottom"/>
            <w:shd w:val="clear" w:color="auto" w:fill="CCEEFF"/>
          </w:tcPr>
          <w:p>
            <w:pPr>
              <w:spacing w:after="0"/>
              <w:rPr>
                <w:sz w:val="15"/>
                <w:szCs w:val="15"/>
                <w:color w:val="auto"/>
              </w:rPr>
            </w:pPr>
          </w:p>
        </w:tc>
        <w:tc>
          <w:tcPr>
            <w:tcW w:w="1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47,275</w:t>
            </w:r>
          </w:p>
        </w:tc>
        <w:tc>
          <w:tcPr>
            <w:tcW w:w="160" w:type="dxa"/>
            <w:vAlign w:val="bottom"/>
            <w:shd w:val="clear" w:color="auto" w:fill="CCEEFF"/>
          </w:tcPr>
          <w:p>
            <w:pPr>
              <w:spacing w:after="0"/>
              <w:rPr>
                <w:sz w:val="15"/>
                <w:szCs w:val="15"/>
                <w:color w:val="auto"/>
              </w:rPr>
            </w:pPr>
          </w:p>
        </w:tc>
        <w:tc>
          <w:tcPr>
            <w:tcW w:w="220" w:type="dxa"/>
            <w:vAlign w:val="bottom"/>
            <w:gridSpan w:val="4"/>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75,999</w:t>
            </w:r>
          </w:p>
        </w:tc>
        <w:tc>
          <w:tcPr>
            <w:tcW w:w="4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116,078</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gridSpan w:val="4"/>
          </w:tcPr>
          <w:p>
            <w:pPr>
              <w:ind w:left="80"/>
              <w:spacing w:after="0"/>
              <w:rPr>
                <w:sz w:val="20"/>
                <w:szCs w:val="20"/>
                <w:color w:val="auto"/>
              </w:rPr>
            </w:pPr>
            <w:r>
              <w:rPr>
                <w:rFonts w:ascii="Arial" w:cs="Arial" w:eastAsia="Arial" w:hAnsi="Arial"/>
                <w:sz w:val="14"/>
                <w:szCs w:val="14"/>
                <w:color w:val="auto"/>
              </w:rPr>
              <w:t>Substandard - non-performing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25,530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30,619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28,879</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45,063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49,300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Doubtful</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2,554</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3,084</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5,352</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20" w:type="dxa"/>
            <w:vAlign w:val="bottom"/>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320" w:type="dxa"/>
            <w:vAlign w:val="bottom"/>
            <w:tcBorders>
              <w:bottom w:val="single" w:sz="8" w:color="CCEEFF"/>
            </w:tcBorders>
            <w:gridSpan w:val="4"/>
          </w:tcPr>
          <w:p>
            <w:pPr>
              <w:ind w:left="80"/>
              <w:spacing w:after="0"/>
              <w:rPr>
                <w:sz w:val="20"/>
                <w:szCs w:val="20"/>
                <w:color w:val="auto"/>
              </w:rPr>
            </w:pPr>
            <w:r>
              <w:rPr>
                <w:rFonts w:ascii="Arial" w:cs="Arial" w:eastAsia="Arial" w:hAnsi="Arial"/>
                <w:sz w:val="14"/>
                <w:szCs w:val="14"/>
                <w:color w:val="auto"/>
              </w:rPr>
              <w:t>Loss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classified loans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80,433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73,327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78,708</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124,146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170,730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20" w:type="dxa"/>
            <w:vAlign w:val="bottom"/>
            <w:gridSpan w:val="4"/>
          </w:tcPr>
          <w:p>
            <w:pPr>
              <w:ind w:left="80"/>
              <w:spacing w:after="0"/>
              <w:rPr>
                <w:sz w:val="20"/>
                <w:szCs w:val="20"/>
                <w:color w:val="auto"/>
              </w:rPr>
            </w:pPr>
            <w:r>
              <w:rPr>
                <w:rFonts w:ascii="Arial" w:cs="Arial" w:eastAsia="Arial" w:hAnsi="Arial"/>
                <w:sz w:val="14"/>
                <w:szCs w:val="14"/>
                <w:color w:val="auto"/>
              </w:rPr>
              <w:t>Foreclosed assets held for sale</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1,148</w:t>
            </w:r>
          </w:p>
        </w:tc>
        <w:tc>
          <w:tcPr>
            <w:tcW w:w="1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1,148</w:t>
            </w: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1,718</w:t>
            </w:r>
          </w:p>
        </w:tc>
        <w:tc>
          <w:tcPr>
            <w:tcW w:w="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CCEEFF"/>
            </w:tcBorders>
            <w:gridSpan w:val="2"/>
            <w:shd w:val="clear" w:color="auto" w:fill="CCEEFF"/>
          </w:tcPr>
          <w:p>
            <w:pPr>
              <w:spacing w:after="0" w:line="152" w:lineRule="exact"/>
              <w:rPr>
                <w:sz w:val="20"/>
                <w:szCs w:val="20"/>
                <w:color w:val="auto"/>
              </w:rPr>
            </w:pPr>
            <w:r>
              <w:rPr>
                <w:rFonts w:ascii="Arial" w:cs="Arial" w:eastAsia="Arial" w:hAnsi="Arial"/>
                <w:sz w:val="14"/>
                <w:szCs w:val="14"/>
                <w:color w:val="auto"/>
              </w:rPr>
              <w:t>Total classified assets</w:t>
            </w: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81,406</w:t>
            </w:r>
          </w:p>
        </w:tc>
        <w:tc>
          <w:tcPr>
            <w:tcW w:w="400" w:type="dxa"/>
            <w:vAlign w:val="bottom"/>
            <w:gridSpan w:val="5"/>
            <w:shd w:val="clear" w:color="auto" w:fill="CCEEFF"/>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74,300</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79,856</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125,294</w:t>
            </w:r>
          </w:p>
        </w:tc>
        <w:tc>
          <w:tcPr>
            <w:tcW w:w="400" w:type="dxa"/>
            <w:vAlign w:val="bottom"/>
            <w:gridSpan w:val="5"/>
            <w:shd w:val="clear" w:color="auto" w:fill="CCEEFF"/>
          </w:tcPr>
          <w:p>
            <w:pPr>
              <w:jc w:val="right"/>
              <w:ind w:right="60"/>
              <w:spacing w:after="0" w:line="152"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2" w:lineRule="exact"/>
              <w:rPr>
                <w:sz w:val="20"/>
                <w:szCs w:val="20"/>
                <w:color w:val="auto"/>
              </w:rPr>
            </w:pPr>
            <w:r>
              <w:rPr>
                <w:rFonts w:ascii="Arial" w:cs="Arial" w:eastAsia="Arial" w:hAnsi="Arial"/>
                <w:sz w:val="14"/>
                <w:szCs w:val="14"/>
                <w:color w:val="auto"/>
              </w:rPr>
              <w:t>172,448</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40" w:type="dxa"/>
            <w:vAlign w:val="bottom"/>
            <w:gridSpan w:val="3"/>
            <w:vMerge w:val="restart"/>
          </w:tcPr>
          <w:p>
            <w:pPr>
              <w:ind w:left="100"/>
              <w:spacing w:after="0"/>
              <w:rPr>
                <w:sz w:val="20"/>
                <w:szCs w:val="20"/>
                <w:color w:val="auto"/>
              </w:rPr>
            </w:pPr>
            <w:r>
              <w:rPr>
                <w:rFonts w:ascii="Arial" w:cs="Arial" w:eastAsia="Arial" w:hAnsi="Arial"/>
                <w:sz w:val="14"/>
                <w:szCs w:val="14"/>
                <w:color w:val="auto"/>
              </w:rPr>
              <w:t>Classified loans / (total capital + ACL)</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10.8 %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10.8 %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140" w:type="dxa"/>
            <w:vAlign w:val="bottom"/>
            <w:gridSpan w:val="2"/>
            <w:shd w:val="clear" w:color="auto" w:fill="CCEEFF"/>
          </w:tcPr>
          <w:p>
            <w:pPr>
              <w:spacing w:after="0" w:line="170" w:lineRule="exact"/>
              <w:rPr>
                <w:sz w:val="20"/>
                <w:szCs w:val="20"/>
                <w:color w:val="auto"/>
              </w:rPr>
            </w:pPr>
            <w:r>
              <w:rPr>
                <w:rFonts w:ascii="Arial" w:cs="Arial" w:eastAsia="Arial" w:hAnsi="Arial"/>
                <w:sz w:val="14"/>
                <w:szCs w:val="14"/>
                <w:color w:val="auto"/>
              </w:rPr>
              <w:t>Classified loans / (total capital + ACL + RUC)</w:t>
            </w:r>
            <w:r>
              <w:rPr>
                <w:rFonts w:ascii="Arial" w:cs="Arial" w:eastAsia="Arial" w:hAnsi="Arial"/>
                <w:sz w:val="18"/>
                <w:szCs w:val="18"/>
                <w:color w:val="auto"/>
                <w:vertAlign w:val="superscript"/>
              </w:rPr>
              <w:t>(1)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N/A</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gridSpan w:val="3"/>
          </w:tcPr>
          <w:p>
            <w:pPr>
              <w:ind w:left="100"/>
              <w:spacing w:after="0"/>
              <w:rPr>
                <w:sz w:val="20"/>
                <w:szCs w:val="20"/>
                <w:color w:val="auto"/>
              </w:rPr>
            </w:pPr>
            <w:r>
              <w:rPr>
                <w:rFonts w:ascii="Arial" w:cs="Arial" w:eastAsia="Arial" w:hAnsi="Arial"/>
                <w:sz w:val="14"/>
                <w:szCs w:val="14"/>
                <w:color w:val="auto"/>
              </w:rPr>
              <w:t>Classified assets / (total capital + ACL)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11.0 %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11.0 %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249"/>
        <w:spacing w:after="0" w:line="205" w:lineRule="auto"/>
        <w:tabs>
          <w:tab w:leader="none" w:pos="500" w:val="left"/>
        </w:tabs>
        <w:numPr>
          <w:ilvl w:val="0"/>
          <w:numId w:val="30"/>
        </w:numPr>
        <w:rPr>
          <w:rFonts w:ascii="Arial" w:cs="Arial" w:eastAsia="Arial" w:hAnsi="Arial"/>
          <w:sz w:val="18"/>
          <w:szCs w:val="18"/>
          <w:color w:val="auto"/>
          <w:vertAlign w:val="super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t>Includes the ACL on off-balance sheet credit exposure that resulted from CECL adoption on January 1, 2022.</w:t>
      </w:r>
    </w:p>
    <w:p>
      <w:pPr>
        <w:spacing w:after="0" w:line="141" w:lineRule="exact"/>
        <w:rPr>
          <w:sz w:val="20"/>
          <w:szCs w:val="20"/>
          <w:color w:val="auto"/>
        </w:rPr>
      </w:pPr>
    </w:p>
    <w:p>
      <w:pPr>
        <w:jc w:val="both"/>
        <w:ind w:left="140" w:right="60" w:firstLine="384"/>
        <w:spacing w:after="0" w:line="308" w:lineRule="auto"/>
        <w:rPr>
          <w:sz w:val="20"/>
          <w:szCs w:val="20"/>
          <w:color w:val="auto"/>
        </w:rPr>
      </w:pPr>
      <w:r>
        <w:rPr>
          <w:rFonts w:ascii="Arial" w:cs="Arial" w:eastAsia="Arial" w:hAnsi="Arial"/>
          <w:sz w:val="14"/>
          <w:szCs w:val="14"/>
          <w:color w:val="auto"/>
        </w:rPr>
        <w:t>The increase in loans past due between 30 and 89 days as of June 30, 2022 was primarily driven by the 4% loan growth from the previous quarter. Loans past due between 30 and 89 days to loans remained at 0.37% compared to the prior quarter. Classified loans increased slightly during the second quarter attributable to downgrades in the commercial and industrial portfolio, but remained in an acceptable range at 12.1% of total capital plus the allowance for credit losses.</w:t>
      </w:r>
    </w:p>
    <w:p>
      <w:pPr>
        <w:spacing w:after="0" w:line="106" w:lineRule="exact"/>
        <w:rPr>
          <w:sz w:val="20"/>
          <w:szCs w:val="20"/>
          <w:color w:val="auto"/>
        </w:rPr>
      </w:pPr>
    </w:p>
    <w:p>
      <w:pPr>
        <w:ind w:left="140" w:right="120" w:firstLine="384"/>
        <w:spacing w:after="0" w:line="300" w:lineRule="auto"/>
        <w:rPr>
          <w:sz w:val="20"/>
          <w:szCs w:val="20"/>
          <w:color w:val="auto"/>
        </w:rPr>
      </w:pPr>
      <w:r>
        <w:rPr>
          <w:rFonts w:ascii="Arial" w:cs="Arial" w:eastAsia="Arial" w:hAnsi="Arial"/>
          <w:sz w:val="14"/>
          <w:szCs w:val="14"/>
          <w:color w:val="auto"/>
        </w:rPr>
        <w:t>The increase in loans past due between 30 and 89 days as of March 31, 2022 was primarily driven by an $11 million commercial and industrial line of credit. In the first quarter of 2022, we experienced improvement in our classified loan totals as classified loans decreased 7% during the quarter to $73 million. Classified totals in the energy portfolio decreased 24% to $16 million compared to the prior quarter and represent ed 22% of total classified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0500"/>
          </w:cols>
          <w:pgMar w:left="780" w:top="395" w:right="619" w:bottom="1440" w:gutter="0" w:footer="0" w:header="0"/>
        </w:sectPr>
      </w:pPr>
    </w:p>
    <w:bookmarkStart w:id="65" w:name="page66"/>
    <w:bookmarkEnd w:id="65"/>
    <w:p>
      <w:pPr>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3" w:lineRule="exact"/>
        <w:rPr>
          <w:sz w:val="20"/>
          <w:szCs w:val="20"/>
          <w:color w:val="auto"/>
        </w:rPr>
      </w:pPr>
    </w:p>
    <w:p>
      <w:pPr>
        <w:ind w:left="140"/>
        <w:spacing w:after="0"/>
        <w:rPr>
          <w:sz w:val="20"/>
          <w:szCs w:val="20"/>
          <w:color w:val="auto"/>
        </w:rPr>
      </w:pPr>
      <w:r>
        <w:rPr>
          <w:rFonts w:ascii="Arial" w:cs="Arial" w:eastAsia="Arial" w:hAnsi="Arial"/>
          <w:sz w:val="16"/>
          <w:szCs w:val="16"/>
          <w:u w:val="single" w:color="auto"/>
          <w:color w:val="auto"/>
        </w:rPr>
        <w:t>Deposits and Other Borrowings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sets forth the maturity of time deposits as of June 30, 2022:</w:t>
      </w:r>
    </w:p>
    <w:p>
      <w:pPr>
        <w:spacing w:after="0" w:line="48"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June 30, 2022</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right"/>
              <w:ind w:right="169"/>
              <w:spacing w:after="0"/>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Three to Six Months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jc w:val="center"/>
              <w:ind w:right="69"/>
              <w:spacing w:after="0"/>
              <w:rPr>
                <w:sz w:val="20"/>
                <w:szCs w:val="20"/>
                <w:color w:val="auto"/>
              </w:rPr>
            </w:pPr>
            <w:r>
              <w:rPr>
                <w:rFonts w:ascii="Arial" w:cs="Arial" w:eastAsia="Arial" w:hAnsi="Arial"/>
                <w:sz w:val="14"/>
                <w:szCs w:val="14"/>
                <w:b w:val="1"/>
                <w:bCs w:val="1"/>
                <w:color w:val="auto"/>
                <w:w w:val="90"/>
              </w:rPr>
              <w:t>Six to Twelve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After Twelve Months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vMerge w:val="restart"/>
          </w:tcPr>
          <w:p>
            <w:pPr>
              <w:jc w:val="right"/>
              <w:ind w:right="42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3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or Less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restart"/>
          </w:tcPr>
          <w:p>
            <w:pPr>
              <w:jc w:val="center"/>
              <w:ind w:right="69"/>
              <w:spacing w:after="0"/>
              <w:rPr>
                <w:sz w:val="20"/>
                <w:szCs w:val="20"/>
                <w:color w:val="auto"/>
              </w:rPr>
            </w:pPr>
            <w:r>
              <w:rPr>
                <w:rFonts w:ascii="Arial" w:cs="Arial" w:eastAsia="Arial" w:hAnsi="Arial"/>
                <w:sz w:val="14"/>
                <w:szCs w:val="14"/>
                <w:b w:val="1"/>
                <w:bCs w:val="1"/>
                <w:color w:val="auto"/>
                <w:w w:val="96"/>
              </w:rPr>
              <w:t>Months</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33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Arial" w:cs="Arial" w:eastAsia="Arial" w:hAnsi="Arial"/>
                <w:sz w:val="13"/>
                <w:szCs w:val="13"/>
                <w:i w:val="1"/>
                <w:iCs w:val="1"/>
                <w:color w:val="auto"/>
                <w:w w:val="91"/>
              </w:rPr>
              <w:t>(Dollars in thousands)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Time deposits in excess of FDIC insurance limit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88,627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39,662</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35,927</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16,959</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181,175</w:t>
            </w:r>
          </w:p>
        </w:tc>
        <w:tc>
          <w:tcPr>
            <w:tcW w:w="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Time deposits below FDIC insurance limit</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214,311</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144,247</w:t>
            </w:r>
          </w:p>
        </w:tc>
        <w:tc>
          <w:tcPr>
            <w:tcW w:w="20" w:type="dxa"/>
            <w:vAlign w:val="bottom"/>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131,539</w:t>
            </w:r>
          </w:p>
        </w:tc>
        <w:tc>
          <w:tcPr>
            <w:tcW w:w="20" w:type="dxa"/>
            <w:vAlign w:val="bottom"/>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61,799</w:t>
            </w: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551,896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302,938</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183,909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167,466</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78,758</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733,071</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0" w:lineRule="exact"/>
        <w:rPr>
          <w:sz w:val="20"/>
          <w:szCs w:val="20"/>
          <w:color w:val="auto"/>
        </w:rPr>
      </w:pPr>
    </w:p>
    <w:p>
      <w:pPr>
        <w:ind w:right="60" w:firstLine="395"/>
        <w:spacing w:after="0" w:line="301" w:lineRule="auto"/>
        <w:rPr>
          <w:sz w:val="20"/>
          <w:szCs w:val="20"/>
          <w:color w:val="auto"/>
        </w:rPr>
      </w:pPr>
      <w:r>
        <w:rPr>
          <w:rFonts w:ascii="Arial" w:cs="Arial" w:eastAsia="Arial" w:hAnsi="Arial"/>
          <w:sz w:val="14"/>
          <w:szCs w:val="14"/>
          <w:color w:val="auto"/>
        </w:rPr>
        <w:t>At June 30, 2022, our deposits totaled approximately $5 billion, an increase of $61 million or 1% from December 31, 2021. The increase included $109 million in time deposits, partially offset by a decrease of $48 million in money market, NOW and savings deposits. The increase in time deposits was the result of $221 million in wholesale funding to support current and expected loan growth through the end of 2022. The wholesale deposits have an average term of five months. The decrease in money market, NOW, and savings deposits was driven by a decline in business money market deposits due to competition.</w:t>
      </w:r>
    </w:p>
    <w:p>
      <w:pPr>
        <w:spacing w:after="0" w:line="99" w:lineRule="exact"/>
        <w:rPr>
          <w:sz w:val="20"/>
          <w:szCs w:val="20"/>
          <w:color w:val="auto"/>
        </w:rPr>
      </w:pPr>
    </w:p>
    <w:p>
      <w:pPr>
        <w:ind w:right="80" w:firstLine="395"/>
        <w:spacing w:after="0" w:line="301" w:lineRule="auto"/>
        <w:rPr>
          <w:sz w:val="20"/>
          <w:szCs w:val="20"/>
          <w:color w:val="auto"/>
        </w:rPr>
      </w:pPr>
      <w:r>
        <w:rPr>
          <w:rFonts w:ascii="Arial" w:cs="Arial" w:eastAsia="Arial" w:hAnsi="Arial"/>
          <w:sz w:val="14"/>
          <w:szCs w:val="14"/>
          <w:color w:val="auto"/>
        </w:rPr>
        <w:t>Other borrowings include Federal Home Loan Bank (“FHLB”) advances and our trust preferred security. At June 30, 2022, other borrowings totaled $298 million, a $60 million or 25% increase from December 31, 2021. During the six-month period ended June 30, 2022, $15 million of FHLB advances matured and $65 million was converted into a drawdown on the FHLB line of credit. The Company withdrew an additional $75 million on the FHLB line of credit to support loan growth and changes in deposits, resulting in $140 million on the FHLB line of credit at June 30, 2022.</w:t>
      </w:r>
    </w:p>
    <w:p>
      <w:pPr>
        <w:spacing w:after="0" w:line="110" w:lineRule="exact"/>
        <w:rPr>
          <w:sz w:val="20"/>
          <w:szCs w:val="20"/>
          <w:color w:val="auto"/>
        </w:rPr>
      </w:pPr>
    </w:p>
    <w:p>
      <w:pPr>
        <w:ind w:right="120" w:firstLine="395"/>
        <w:spacing w:after="0" w:line="357" w:lineRule="auto"/>
        <w:rPr>
          <w:sz w:val="20"/>
          <w:szCs w:val="20"/>
          <w:color w:val="auto"/>
        </w:rPr>
      </w:pPr>
      <w:r>
        <w:rPr>
          <w:rFonts w:ascii="Arial" w:cs="Arial" w:eastAsia="Arial" w:hAnsi="Arial"/>
          <w:sz w:val="13"/>
          <w:szCs w:val="13"/>
          <w:color w:val="auto"/>
        </w:rPr>
        <w:t>As of June 30, 2022, the Company had approximately $2.3 billion of uninsured deposits, which is an estimated amount based on the same methodologies and assumptions used for the Bank’s regulatory requirements. The Company believes that its current capital ratios and liquidity are sufficient to mitigate the risks of uninsured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500"/>
          </w:cols>
          <w:pgMar w:left="780" w:top="407" w:right="619" w:bottom="1440" w:gutter="0" w:footer="0" w:header="0"/>
        </w:sectPr>
      </w:pPr>
    </w:p>
    <w:bookmarkStart w:id="66" w:name="page67"/>
    <w:bookmarkEnd w:id="66"/>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Liquidity and Capital Resources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Contractual Obligations and Off-Balance Sheet Arrangements</w:t>
      </w:r>
    </w:p>
    <w:p>
      <w:pPr>
        <w:spacing w:after="0" w:line="162" w:lineRule="exact"/>
        <w:rPr>
          <w:sz w:val="20"/>
          <w:szCs w:val="20"/>
          <w:color w:val="auto"/>
        </w:rPr>
      </w:pPr>
    </w:p>
    <w:p>
      <w:pPr>
        <w:ind w:left="680" w:right="619" w:firstLine="384"/>
        <w:spacing w:after="0" w:line="301" w:lineRule="auto"/>
        <w:rPr>
          <w:sz w:val="20"/>
          <w:szCs w:val="20"/>
          <w:color w:val="auto"/>
        </w:rPr>
      </w:pPr>
      <w:r>
        <w:rPr>
          <w:rFonts w:ascii="Arial" w:cs="Arial" w:eastAsia="Arial" w:hAnsi="Arial"/>
          <w:sz w:val="14"/>
          <w:szCs w:val="14"/>
          <w:color w:val="auto"/>
        </w:rPr>
        <w:t>The Company is subject to contractual obligations made in the ordinary course of business. The obligations include deposit liabilities, other borrowed funds, and operating leases. Refer to “Note 6: Time Deposits and Other Borrowings” within the Notes to Condensed Consolidated Financial Statements (unaudited) for a listing of the Company’s significant contractual cash obligations. Refer to “Note 14: Leases” within the Notes to Condensed Consolidated Financial Statements (unaudited) for the Company’s contractual obligations to third parties on lease obligations.</w:t>
      </w:r>
    </w:p>
    <w:p>
      <w:pPr>
        <w:spacing w:after="0" w:line="175" w:lineRule="exact"/>
        <w:rPr>
          <w:sz w:val="20"/>
          <w:szCs w:val="20"/>
          <w:color w:val="auto"/>
        </w:rPr>
      </w:pPr>
    </w:p>
    <w:p>
      <w:pPr>
        <w:ind w:left="680" w:right="719" w:firstLine="384"/>
        <w:spacing w:after="0" w:line="330" w:lineRule="auto"/>
        <w:rPr>
          <w:sz w:val="20"/>
          <w:szCs w:val="20"/>
          <w:color w:val="auto"/>
        </w:rPr>
      </w:pPr>
      <w:r>
        <w:rPr>
          <w:rFonts w:ascii="Arial" w:cs="Arial" w:eastAsia="Arial" w:hAnsi="Arial"/>
          <w:sz w:val="13"/>
          <w:szCs w:val="13"/>
          <w:color w:val="auto"/>
        </w:rPr>
        <w:t>As a financial services provider, the Company is a party to various financial instruments with off-balance sheet risks, such as commitments to extend credit. Off-balance sheet arrangements represent the Company’s future cash requirements. However, a portion of these commitments may expire without being drawn upon. Refer to “Note 12: Commitments and Credit Risk” within the Notes to Condensed Consolidated Financial Statements (unaudited) for a listing of the Company’s off -balance sheet arrangements.</w:t>
      </w:r>
    </w:p>
    <w:p>
      <w:pPr>
        <w:spacing w:after="0" w:line="159" w:lineRule="exact"/>
        <w:rPr>
          <w:sz w:val="20"/>
          <w:szCs w:val="20"/>
          <w:color w:val="auto"/>
        </w:rPr>
      </w:pPr>
    </w:p>
    <w:p>
      <w:pPr>
        <w:ind w:left="680" w:right="979" w:firstLine="384"/>
        <w:spacing w:after="0" w:line="314" w:lineRule="auto"/>
        <w:rPr>
          <w:sz w:val="20"/>
          <w:szCs w:val="20"/>
          <w:color w:val="auto"/>
        </w:rPr>
      </w:pPr>
      <w:r>
        <w:rPr>
          <w:rFonts w:ascii="Arial" w:cs="Arial" w:eastAsia="Arial" w:hAnsi="Arial"/>
          <w:sz w:val="14"/>
          <w:szCs w:val="14"/>
          <w:color w:val="auto"/>
        </w:rPr>
        <w:t>The Company’s short-term and long -term contractual obligations, including off-balance sheet obligations, may be satisfied through the Company’s on-balance sheet and off-balance sheet liquidity discussed below.</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Liquidity</w:t>
      </w:r>
    </w:p>
    <w:p>
      <w:pPr>
        <w:spacing w:after="0" w:line="162" w:lineRule="exact"/>
        <w:rPr>
          <w:sz w:val="20"/>
          <w:szCs w:val="20"/>
          <w:color w:val="auto"/>
        </w:rPr>
      </w:pPr>
    </w:p>
    <w:p>
      <w:pPr>
        <w:ind w:left="680" w:right="679" w:firstLine="384"/>
        <w:spacing w:after="0" w:line="297" w:lineRule="auto"/>
        <w:rPr>
          <w:sz w:val="20"/>
          <w:szCs w:val="20"/>
          <w:color w:val="auto"/>
        </w:rPr>
      </w:pPr>
      <w:r>
        <w:rPr>
          <w:rFonts w:ascii="Arial" w:cs="Arial" w:eastAsia="Arial" w:hAnsi="Arial"/>
          <w:sz w:val="14"/>
          <w:szCs w:val="14"/>
          <w:color w:val="auto"/>
        </w:rPr>
        <w:t>The Company’s liquidity strategy is to maintain adequate, but not excessive, liquidity to meet the daily cash flow needs of its clients while attempting to achieve adequate earnings for its stockholders. The liquidity position is monitored continuously by the Company’s finance department. The Company's short-term and long-term liquidity requirements are primarily met through cash flow from operations, redeployment of prepaying and maturing balances in our loan portfolio and security portfolio, increases in client deposits and wholesale deposits. Liquidity resources can be derived from two sources: (i) on-balance sheet liquidity resources, which represent funds currently on the balance sheet and (ii) off-balance sheet liquidity resources, which represent funds available from third-party sources. The Company’s on-balance sheet and off-balance sheet liquidity resources consisted of the following as of the dates indicated:</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33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00" w:type="dxa"/>
            <w:vAlign w:val="bottom"/>
            <w:gridSpan w:val="5"/>
          </w:tcPr>
          <w:p>
            <w:pPr>
              <w:jc w:val="right"/>
              <w:ind w:right="1349"/>
              <w:spacing w:after="0"/>
              <w:rPr>
                <w:sz w:val="20"/>
                <w:szCs w:val="20"/>
                <w:color w:val="auto"/>
              </w:rPr>
            </w:pPr>
            <w:r>
              <w:rPr>
                <w:rFonts w:ascii="Arial" w:cs="Arial" w:eastAsia="Arial" w:hAnsi="Arial"/>
                <w:sz w:val="13"/>
                <w:szCs w:val="13"/>
                <w:i w:val="1"/>
                <w:iCs w:val="1"/>
                <w:color w:val="auto"/>
              </w:rPr>
              <w:t>(Dollars in thousands)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Total on-balance sheet liquidity</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971,874</w:t>
            </w:r>
          </w:p>
        </w:tc>
        <w:tc>
          <w:tcPr>
            <w:tcW w:w="42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1,224,253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off-balance sheet liquidity</w:t>
            </w: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740,131</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732,748</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liquidity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1,712,005</w:t>
            </w:r>
          </w:p>
        </w:tc>
        <w:tc>
          <w:tcPr>
            <w:tcW w:w="2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1,957,001</w:t>
            </w:r>
          </w:p>
        </w:tc>
        <w:tc>
          <w:tcPr>
            <w:tcW w:w="20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color w:val="auto"/>
              </w:rPr>
              <w:t>On-balance sheet liquidity as a percent of assets</w:t>
            </w: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right"/>
              <w:spacing w:after="0" w:line="153" w:lineRule="exact"/>
              <w:rPr>
                <w:sz w:val="20"/>
                <w:szCs w:val="20"/>
                <w:color w:val="auto"/>
              </w:rPr>
            </w:pPr>
            <w:r>
              <w:rPr>
                <w:rFonts w:ascii="Arial" w:cs="Arial" w:eastAsia="Arial" w:hAnsi="Arial"/>
                <w:sz w:val="14"/>
                <w:szCs w:val="14"/>
                <w:color w:val="auto"/>
              </w:rPr>
              <w:t>17</w:t>
            </w:r>
          </w:p>
        </w:tc>
        <w:tc>
          <w:tcPr>
            <w:tcW w:w="22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tcPr>
          <w:p>
            <w:pPr>
              <w:jc w:val="right"/>
              <w:spacing w:after="0" w:line="153" w:lineRule="exact"/>
              <w:rPr>
                <w:sz w:val="20"/>
                <w:szCs w:val="20"/>
                <w:color w:val="auto"/>
              </w:rPr>
            </w:pPr>
            <w:r>
              <w:rPr>
                <w:rFonts w:ascii="Arial" w:cs="Arial" w:eastAsia="Arial" w:hAnsi="Arial"/>
                <w:sz w:val="14"/>
                <w:szCs w:val="14"/>
                <w:color w:val="auto"/>
              </w:rPr>
              <w:t>22</w:t>
            </w:r>
          </w:p>
        </w:tc>
        <w:tc>
          <w:tcPr>
            <w:tcW w:w="200" w:type="dxa"/>
            <w:vAlign w:val="bottom"/>
          </w:tcPr>
          <w:p>
            <w:pPr>
              <w:jc w:val="right"/>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Total liquidity as a percent of assets</w:t>
            </w: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680" w:right="679" w:firstLine="384"/>
        <w:spacing w:after="0" w:line="324" w:lineRule="auto"/>
        <w:rPr>
          <w:sz w:val="20"/>
          <w:szCs w:val="20"/>
          <w:color w:val="auto"/>
        </w:rPr>
      </w:pPr>
      <w:r>
        <w:rPr>
          <w:rFonts w:ascii="Arial" w:cs="Arial" w:eastAsia="Arial" w:hAnsi="Arial"/>
          <w:sz w:val="13"/>
          <w:szCs w:val="13"/>
          <w:color w:val="auto"/>
        </w:rPr>
        <w:t>For the six-months ended June 30, 2022, the Company’s cash and cash equivalents declined $205 million from December 31, 2021 to $278 million, representing 5% of total assets. During the six-month period ended June 30, 2022, the Company increased the AFS securities portfolio on an amortized cost basis by $48 million, net of paydowns, maturities, and amortization, to improve the yield on interest-earning assets. In addition, the Company increased loan funding by $274 million, net of payoffs and charge-offs during the six-month period ended June 30, 2022 that reduced cash and cash equivalents.</w:t>
      </w:r>
    </w:p>
    <w:p>
      <w:pPr>
        <w:spacing w:after="0" w:line="165" w:lineRule="exact"/>
        <w:rPr>
          <w:sz w:val="20"/>
          <w:szCs w:val="20"/>
          <w:color w:val="auto"/>
        </w:rPr>
      </w:pPr>
    </w:p>
    <w:p>
      <w:pPr>
        <w:ind w:left="680" w:right="619" w:firstLine="384"/>
        <w:spacing w:after="0" w:line="330" w:lineRule="auto"/>
        <w:rPr>
          <w:sz w:val="20"/>
          <w:szCs w:val="20"/>
          <w:color w:val="auto"/>
        </w:rPr>
      </w:pPr>
      <w:r>
        <w:rPr>
          <w:rFonts w:ascii="Arial" w:cs="Arial" w:eastAsia="Arial" w:hAnsi="Arial"/>
          <w:sz w:val="13"/>
          <w:szCs w:val="13"/>
          <w:color w:val="auto"/>
        </w:rPr>
        <w:t>The Company’s time deposits increased by $109 million primarily from wholesale funding. The increase in time deposits was partially offset by a $48 million reduction in non-interest-bearing deposits, savings, and money market deposits as the Company’s larger depositors re-allocated their investments and made tax payments. Other borrowings increased $60 million during the six-month period ended June 30, 2022, as $15 million of FHLB advances matured and $75 million was drawn down on the FHLB line of credit.</w:t>
      </w:r>
    </w:p>
    <w:p>
      <w:pPr>
        <w:spacing w:after="0" w:line="159" w:lineRule="exact"/>
        <w:rPr>
          <w:sz w:val="20"/>
          <w:szCs w:val="20"/>
          <w:color w:val="auto"/>
        </w:rPr>
      </w:pPr>
    </w:p>
    <w:p>
      <w:pPr>
        <w:ind w:left="680" w:right="579" w:firstLine="384"/>
        <w:spacing w:after="0" w:line="380" w:lineRule="auto"/>
        <w:rPr>
          <w:sz w:val="20"/>
          <w:szCs w:val="20"/>
          <w:color w:val="auto"/>
        </w:rPr>
      </w:pPr>
      <w:r>
        <w:rPr>
          <w:rFonts w:ascii="Arial" w:cs="Arial" w:eastAsia="Arial" w:hAnsi="Arial"/>
          <w:sz w:val="12"/>
          <w:szCs w:val="12"/>
          <w:color w:val="auto"/>
        </w:rPr>
        <w:t>The Company continued its repurchase program, purchasing $20 million of common stock during the first six months of 2022. As of June 30, 2022, $31 million remains available for repurchase under our share repurchase programs. We will continue to repurchase shares under our share repurchase program, but the amount and timing of such repurchases will be dependent on a number of factors,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9019"/>
          </w:cols>
          <w:pgMar w:left="1440" w:top="407" w:right="1440" w:bottom="1440" w:gutter="0" w:footer="0" w:header="0"/>
        </w:sectPr>
      </w:pPr>
    </w:p>
    <w:bookmarkStart w:id="67" w:name="page68"/>
    <w:bookmarkEnd w:id="67"/>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680" w:right="659"/>
        <w:spacing w:after="0" w:line="314" w:lineRule="auto"/>
        <w:rPr>
          <w:sz w:val="20"/>
          <w:szCs w:val="20"/>
          <w:color w:val="auto"/>
        </w:rPr>
      </w:pPr>
      <w:r>
        <w:rPr>
          <w:rFonts w:ascii="Arial" w:cs="Arial" w:eastAsia="Arial" w:hAnsi="Arial"/>
          <w:sz w:val="14"/>
          <w:szCs w:val="14"/>
          <w:color w:val="auto"/>
        </w:rPr>
        <w:t>including the price of our common stock and other cash flow needs. There is no assurance that we will repurchase up to the full amount remaining under our program.</w:t>
      </w:r>
    </w:p>
    <w:p>
      <w:pPr>
        <w:spacing w:after="0" w:line="166" w:lineRule="exact"/>
        <w:rPr>
          <w:sz w:val="20"/>
          <w:szCs w:val="20"/>
          <w:color w:val="auto"/>
        </w:rPr>
      </w:pPr>
    </w:p>
    <w:p>
      <w:pPr>
        <w:ind w:left="680" w:right="779" w:firstLine="384"/>
        <w:spacing w:after="0" w:line="308" w:lineRule="auto"/>
        <w:rPr>
          <w:sz w:val="20"/>
          <w:szCs w:val="20"/>
          <w:color w:val="auto"/>
        </w:rPr>
      </w:pPr>
      <w:r>
        <w:rPr>
          <w:rFonts w:ascii="Arial" w:cs="Arial" w:eastAsia="Arial" w:hAnsi="Arial"/>
          <w:sz w:val="14"/>
          <w:szCs w:val="14"/>
          <w:color w:val="auto"/>
        </w:rPr>
        <w:t>The Company believes that its current liquidity will be sufficient to meet anticipated cash requirements for the next 12 months and thereafter. The Company has several on and off-balance sheet options to ensure any resulting reductions in cash and cash equivalents are appropriately offset to ensure appropriate liquidity.</w:t>
      </w:r>
    </w:p>
    <w:p>
      <w:pPr>
        <w:spacing w:after="0" w:line="325"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Capital Requirements</w:t>
      </w:r>
    </w:p>
    <w:p>
      <w:pPr>
        <w:spacing w:after="0" w:line="162" w:lineRule="exact"/>
        <w:rPr>
          <w:sz w:val="20"/>
          <w:szCs w:val="20"/>
          <w:color w:val="auto"/>
        </w:rPr>
      </w:pPr>
    </w:p>
    <w:p>
      <w:pPr>
        <w:ind w:left="680" w:right="599" w:firstLine="384"/>
        <w:spacing w:after="0" w:line="356" w:lineRule="auto"/>
        <w:rPr>
          <w:sz w:val="20"/>
          <w:szCs w:val="20"/>
          <w:color w:val="auto"/>
        </w:rPr>
      </w:pPr>
      <w:r>
        <w:rPr>
          <w:rFonts w:ascii="Arial" w:cs="Arial" w:eastAsia="Arial" w:hAnsi="Arial"/>
          <w:sz w:val="12"/>
          <w:szCs w:val="12"/>
          <w:color w:val="auto"/>
        </w:rPr>
        <w:t>The Company and the Bank are subject to various regulatory capital requirements administered by the federal banking agencies. The regulatory capital requirements involve quantitative measures of the Company’s assets, liabilities, select off-balance sheet items and equity. Failure to meet minimum capital requirements can initiate certain mandatory and possibly additional discretionary actions by regulators that, if undertaken, could have a direct material effect on the Company’s consolidated financial statements. Refer to “Note 8: Regulatory Matters” in the Notes to Condensed Consolidated Financial Statements (unaudited) for additional information. Management believes that as of June 30, 2022, the Company and the Bank met all capital adequacy requirements to which they are subject.</w:t>
      </w:r>
    </w:p>
    <w:p>
      <w:pPr>
        <w:spacing w:after="0" w:line="23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8" w:lineRule="exact"/>
        <w:rPr>
          <w:sz w:val="20"/>
          <w:szCs w:val="20"/>
          <w:color w:val="auto"/>
        </w:rPr>
      </w:pPr>
    </w:p>
    <w:p>
      <w:pPr>
        <w:ind w:left="680" w:right="659" w:firstLine="384"/>
        <w:spacing w:after="0" w:line="322" w:lineRule="auto"/>
        <w:rPr>
          <w:sz w:val="20"/>
          <w:szCs w:val="20"/>
          <w:color w:val="auto"/>
        </w:rPr>
      </w:pPr>
      <w:r>
        <w:rPr>
          <w:rFonts w:ascii="Arial" w:cs="Arial" w:eastAsia="Arial" w:hAnsi="Arial"/>
          <w:sz w:val="13"/>
          <w:szCs w:val="13"/>
          <w:color w:val="auto"/>
        </w:rPr>
        <w:t>Our consolidated financial statements are prepared in accordance with GAAP and with general practices within the financial services industry. Application of these principles requires management to make complex and subjective estimates and assumptions that affect the amounts reported in the financial statements and accompanying notes. The Company bases estimates on historical experience and on various other assumptions that it believes to be reasonable under current circumstances. These assumptions form the basis for management judgments about the carrying values of assets and liabilities that are not readily available from independent, objective sources. The Company evaluates estimates on an ongoing basis. Use of alternative assumptions may have resulted in significantly different estimates. Actual results may differ from these estimates.</w:t>
      </w:r>
    </w:p>
    <w:p>
      <w:pPr>
        <w:spacing w:after="0" w:line="164" w:lineRule="exact"/>
        <w:rPr>
          <w:sz w:val="20"/>
          <w:szCs w:val="20"/>
          <w:color w:val="auto"/>
        </w:rPr>
      </w:pPr>
    </w:p>
    <w:p>
      <w:pPr>
        <w:ind w:left="680" w:right="1359" w:firstLine="384"/>
        <w:spacing w:after="0" w:line="426" w:lineRule="auto"/>
        <w:rPr>
          <w:sz w:val="20"/>
          <w:szCs w:val="20"/>
          <w:color w:val="auto"/>
        </w:rPr>
      </w:pPr>
      <w:r>
        <w:rPr>
          <w:rFonts w:ascii="Arial" w:cs="Arial" w:eastAsia="Arial" w:hAnsi="Arial"/>
          <w:sz w:val="12"/>
          <w:szCs w:val="12"/>
          <w:color w:val="auto"/>
        </w:rPr>
        <w:t>A discussion of these policies can be found in the section captioned “Critical Accounting Policies and Estimates” in Management’s Discussion and Analysis of Financial Condition and Results of Operations included in the 2021 Form 10-K.</w:t>
      </w:r>
    </w:p>
    <w:p>
      <w:pPr>
        <w:spacing w:after="0" w:line="97" w:lineRule="exact"/>
        <w:rPr>
          <w:sz w:val="20"/>
          <w:szCs w:val="20"/>
          <w:color w:val="auto"/>
        </w:rPr>
      </w:pPr>
    </w:p>
    <w:p>
      <w:pPr>
        <w:ind w:left="680" w:right="599" w:firstLine="384"/>
        <w:spacing w:after="0" w:line="325" w:lineRule="auto"/>
        <w:rPr>
          <w:sz w:val="20"/>
          <w:szCs w:val="20"/>
          <w:color w:val="auto"/>
        </w:rPr>
      </w:pPr>
      <w:r>
        <w:rPr>
          <w:rFonts w:ascii="Arial" w:cs="Arial" w:eastAsia="Arial" w:hAnsi="Arial"/>
          <w:sz w:val="13"/>
          <w:szCs w:val="13"/>
          <w:color w:val="auto"/>
        </w:rPr>
        <w:t>On January 1, 2022, the Company adopted ASU 2016-13, Financial Instruments-Credit Losses (Topic 326): Measurement of Credit Losses on Financial Instruments. Refer to “Note 1: Nature of Operations and Summary of Significant Accounting Policies” and “Note 4: Loans and Allowance for Credit Losses” within the Notes to Condensed Consolidated Financial Statements (unaudited) for information regarding the Company’s ACL implementation and the ACL process. Determining the appropriateness of the ACL is complex and requires judgment by management about the effect of matters that are inherently uncertain. These critical estimates include significant use of the Company’s historical data and complex methods to interpret them.</w:t>
      </w:r>
    </w:p>
    <w:p>
      <w:pPr>
        <w:spacing w:after="0" w:line="162" w:lineRule="exact"/>
        <w:rPr>
          <w:sz w:val="20"/>
          <w:szCs w:val="20"/>
          <w:color w:val="auto"/>
        </w:rPr>
      </w:pPr>
    </w:p>
    <w:p>
      <w:pPr>
        <w:ind w:left="680" w:right="639" w:firstLine="384"/>
        <w:spacing w:after="0" w:line="336" w:lineRule="auto"/>
        <w:rPr>
          <w:sz w:val="20"/>
          <w:szCs w:val="20"/>
          <w:color w:val="auto"/>
        </w:rPr>
      </w:pPr>
      <w:r>
        <w:rPr>
          <w:rFonts w:ascii="Arial" w:cs="Arial" w:eastAsia="Arial" w:hAnsi="Arial"/>
          <w:sz w:val="13"/>
          <w:szCs w:val="13"/>
          <w:color w:val="auto"/>
        </w:rPr>
        <w:t>It is difficult to estimate how potential changes in any one input might affect the overall ACL because inputs may change at different rates and may not be consistent across the loan segments. In addition, changes in inputs may be directionally inconsistent such that one factor may offset deterioration in others. The Company identified the following estimates and assumptions as the main drivers in the required ACL for loans and the reserve for off-balance sheet commitments:</w:t>
      </w:r>
    </w:p>
    <w:p>
      <w:pPr>
        <w:spacing w:after="0" w:line="119" w:lineRule="exact"/>
        <w:rPr>
          <w:sz w:val="20"/>
          <w:szCs w:val="20"/>
          <w:color w:val="auto"/>
        </w:rPr>
      </w:pPr>
    </w:p>
    <w:p>
      <w:pPr>
        <w:ind w:left="1580" w:right="599"/>
        <w:spacing w:after="0" w:line="361" w:lineRule="auto"/>
        <w:rPr>
          <w:sz w:val="20"/>
          <w:szCs w:val="20"/>
          <w:color w:val="auto"/>
        </w:rPr>
      </w:pPr>
      <w:r>
        <w:rPr>
          <w:rFonts w:ascii="Arial" w:cs="Arial" w:eastAsia="Arial" w:hAnsi="Arial"/>
          <w:sz w:val="12"/>
          <w:szCs w:val="12"/>
          <w:b w:val="1"/>
          <w:bCs w:val="1"/>
          <w:u w:val="single" w:color="auto"/>
          <w:color w:val="auto"/>
        </w:rPr>
        <w:t>Fully exhausted loan pool</w:t>
      </w:r>
      <w:r>
        <w:rPr>
          <w:rFonts w:ascii="Arial" w:cs="Arial" w:eastAsia="Arial" w:hAnsi="Arial"/>
          <w:sz w:val="12"/>
          <w:szCs w:val="12"/>
          <w:b w:val="1"/>
          <w:bCs w:val="1"/>
          <w:color w:val="auto"/>
        </w:rPr>
        <w:t xml:space="preserve"> </w:t>
      </w:r>
      <w:r>
        <w:rPr>
          <w:rFonts w:ascii="Arial" w:cs="Arial" w:eastAsia="Arial" w:hAnsi="Arial"/>
          <w:sz w:val="12"/>
          <w:szCs w:val="12"/>
          <w:color w:val="auto"/>
        </w:rPr>
        <w:t>– The historical loss factor is calculated by identifying a group of loans at a point in time (a</w:t>
      </w:r>
      <w:r>
        <w:rPr>
          <w:rFonts w:ascii="Arial" w:cs="Arial" w:eastAsia="Arial" w:hAnsi="Arial"/>
          <w:sz w:val="12"/>
          <w:szCs w:val="12"/>
          <w:b w:val="1"/>
          <w:bCs w:val="1"/>
          <w:color w:val="auto"/>
        </w:rPr>
        <w:t xml:space="preserve"> </w:t>
      </w:r>
      <w:r>
        <w:rPr>
          <w:rFonts w:ascii="Arial" w:cs="Arial" w:eastAsia="Arial" w:hAnsi="Arial"/>
          <w:sz w:val="12"/>
          <w:szCs w:val="12"/>
          <w:color w:val="auto"/>
        </w:rPr>
        <w:t>“cohort”) and tracking the cohort’s charge-offs, net of recoveries, over a 10-year period (known as the estimated economic life). A charge-off rate for each cohort is calculated based on charge-offs, net of recoveries over the initial loan</w:t>
      </w:r>
    </w:p>
    <w:p>
      <w:pPr>
        <w:ind w:left="1580" w:right="699"/>
        <w:spacing w:after="0" w:line="314" w:lineRule="auto"/>
        <w:rPr>
          <w:sz w:val="20"/>
          <w:szCs w:val="20"/>
          <w:color w:val="auto"/>
        </w:rPr>
      </w:pPr>
      <w:r>
        <w:rPr>
          <w:rFonts w:ascii="Arial" w:cs="Arial" w:eastAsia="Arial" w:hAnsi="Arial"/>
          <w:sz w:val="14"/>
          <w:szCs w:val="14"/>
          <w:color w:val="auto"/>
        </w:rPr>
        <w:t>balance. The charge-off rate for a specific cohort is not included in the weighted average historical loss rate until “fully exhausted.”</w:t>
      </w:r>
    </w:p>
    <w:p>
      <w:pPr>
        <w:spacing w:after="0" w:line="165" w:lineRule="exact"/>
        <w:rPr>
          <w:sz w:val="20"/>
          <w:szCs w:val="20"/>
          <w:color w:val="auto"/>
        </w:rPr>
      </w:pPr>
    </w:p>
    <w:p>
      <w:pPr>
        <w:ind w:left="1580" w:right="579"/>
        <w:spacing w:after="0" w:line="380" w:lineRule="auto"/>
        <w:rPr>
          <w:sz w:val="20"/>
          <w:szCs w:val="20"/>
          <w:color w:val="auto"/>
        </w:rPr>
      </w:pPr>
      <w:r>
        <w:rPr>
          <w:rFonts w:ascii="Arial" w:cs="Arial" w:eastAsia="Arial" w:hAnsi="Arial"/>
          <w:sz w:val="12"/>
          <w:szCs w:val="12"/>
          <w:color w:val="auto"/>
        </w:rPr>
        <w:t>A cohort balance declines due to modifications, renewals, and paydowns. The Company requires the remaining cohort balance to be less than 15% of its original cohort balance before being included in the historical loss factor. The 15% represents the exhaustion rate. Changes to the assumed exhaustion rate could increase or decrease the historical loss rates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9019"/>
          </w:cols>
          <w:pgMar w:left="1440" w:top="407" w:right="1440" w:bottom="1440" w:gutter="0" w:footer="0" w:header="0"/>
        </w:sectPr>
      </w:pPr>
    </w:p>
    <w:bookmarkStart w:id="68" w:name="page69"/>
    <w:bookmarkEnd w:id="68"/>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1580" w:right="639"/>
        <w:spacing w:after="0" w:line="308" w:lineRule="auto"/>
        <w:rPr>
          <w:sz w:val="20"/>
          <w:szCs w:val="20"/>
          <w:color w:val="auto"/>
        </w:rPr>
      </w:pPr>
      <w:r>
        <w:rPr>
          <w:rFonts w:ascii="Arial" w:cs="Arial" w:eastAsia="Arial" w:hAnsi="Arial"/>
          <w:sz w:val="14"/>
          <w:szCs w:val="14"/>
          <w:color w:val="auto"/>
        </w:rPr>
        <w:t>based on the timing of charge-offs, net of recoveries. For example, an exhaustion rate of 50% on the commercial and industrial segment would have reduced the required ACL by approximately $3 million for the three-month period ended June 30, 2022.</w:t>
      </w:r>
    </w:p>
    <w:p>
      <w:pPr>
        <w:spacing w:after="0" w:line="134" w:lineRule="exact"/>
        <w:rPr>
          <w:sz w:val="20"/>
          <w:szCs w:val="20"/>
          <w:color w:val="auto"/>
        </w:rPr>
      </w:pPr>
    </w:p>
    <w:p>
      <w:pPr>
        <w:ind w:left="1580" w:right="639" w:firstLine="32"/>
        <w:spacing w:after="0" w:line="308" w:lineRule="auto"/>
        <w:rPr>
          <w:sz w:val="20"/>
          <w:szCs w:val="20"/>
          <w:color w:val="auto"/>
        </w:rPr>
      </w:pPr>
      <w:r>
        <w:rPr>
          <w:rFonts w:ascii="Arial" w:cs="Arial" w:eastAsia="Arial" w:hAnsi="Arial"/>
          <w:sz w:val="14"/>
          <w:szCs w:val="14"/>
          <w:b w:val="1"/>
          <w:bCs w:val="1"/>
          <w:u w:val="single" w:color="auto"/>
          <w:color w:val="auto"/>
        </w:rPr>
        <w:t>Forward looking factors</w:t>
      </w:r>
      <w:r>
        <w:rPr>
          <w:rFonts w:ascii="Arial" w:cs="Arial" w:eastAsia="Arial" w:hAnsi="Arial"/>
          <w:sz w:val="14"/>
          <w:szCs w:val="14"/>
          <w:b w:val="1"/>
          <w:bCs w:val="1"/>
          <w:color w:val="auto"/>
        </w:rPr>
        <w:t xml:space="preserve"> </w:t>
      </w:r>
      <w:r>
        <w:rPr>
          <w:rFonts w:ascii="Arial" w:cs="Arial" w:eastAsia="Arial" w:hAnsi="Arial"/>
          <w:sz w:val="14"/>
          <w:szCs w:val="14"/>
          <w:color w:val="auto"/>
        </w:rPr>
        <w:t>– The Company uses the Federal Reserve Bank’s unemployment rate forecast to adjust</w:t>
      </w:r>
      <w:r>
        <w:rPr>
          <w:rFonts w:ascii="Arial" w:cs="Arial" w:eastAsia="Arial" w:hAnsi="Arial"/>
          <w:sz w:val="14"/>
          <w:szCs w:val="14"/>
          <w:b w:val="1"/>
          <w:bCs w:val="1"/>
          <w:color w:val="auto"/>
        </w:rPr>
        <w:t xml:space="preserve"> </w:t>
      </w:r>
      <w:r>
        <w:rPr>
          <w:rFonts w:ascii="Arial" w:cs="Arial" w:eastAsia="Arial" w:hAnsi="Arial"/>
          <w:sz w:val="14"/>
          <w:szCs w:val="14"/>
          <w:color w:val="auto"/>
        </w:rPr>
        <w:t>expected losses based on an economic outlook. The Company’s current methodology increases the ACL one basis point for each 1% increase in the average unemployment rate forecast. As of June 30, 2022, a 1% increase in the average unemployment rate would increase the ACL by approximately $453 thousand.</w:t>
      </w:r>
    </w:p>
    <w:p>
      <w:pPr>
        <w:spacing w:after="0" w:line="155" w:lineRule="exact"/>
        <w:rPr>
          <w:sz w:val="20"/>
          <w:szCs w:val="20"/>
          <w:color w:val="auto"/>
        </w:rPr>
      </w:pPr>
    </w:p>
    <w:p>
      <w:pPr>
        <w:ind w:left="1580" w:right="599"/>
        <w:spacing w:after="0" w:line="361" w:lineRule="auto"/>
        <w:rPr>
          <w:sz w:val="20"/>
          <w:szCs w:val="20"/>
          <w:color w:val="auto"/>
        </w:rPr>
      </w:pPr>
      <w:r>
        <w:rPr>
          <w:rFonts w:ascii="Arial" w:cs="Arial" w:eastAsia="Arial" w:hAnsi="Arial"/>
          <w:sz w:val="12"/>
          <w:szCs w:val="12"/>
          <w:b w:val="1"/>
          <w:bCs w:val="1"/>
          <w:u w:val="single" w:color="auto"/>
          <w:color w:val="auto"/>
        </w:rPr>
        <w:t>Changes in the assumed utilization rate of off-balance sheet commitments</w:t>
      </w:r>
      <w:r>
        <w:rPr>
          <w:rFonts w:ascii="Arial" w:cs="Arial" w:eastAsia="Arial" w:hAnsi="Arial"/>
          <w:sz w:val="12"/>
          <w:szCs w:val="12"/>
          <w:b w:val="1"/>
          <w:bCs w:val="1"/>
          <w:color w:val="auto"/>
        </w:rPr>
        <w:t xml:space="preserve"> </w:t>
      </w:r>
      <w:r>
        <w:rPr>
          <w:rFonts w:ascii="Arial" w:cs="Arial" w:eastAsia="Arial" w:hAnsi="Arial"/>
          <w:sz w:val="12"/>
          <w:szCs w:val="12"/>
          <w:color w:val="auto"/>
        </w:rPr>
        <w:t>– The Company uses a 12-month</w:t>
      </w:r>
      <w:r>
        <w:rPr>
          <w:rFonts w:ascii="Arial" w:cs="Arial" w:eastAsia="Arial" w:hAnsi="Arial"/>
          <w:sz w:val="12"/>
          <w:szCs w:val="12"/>
          <w:b w:val="1"/>
          <w:bCs w:val="1"/>
          <w:color w:val="auto"/>
        </w:rPr>
        <w:t xml:space="preserve"> </w:t>
      </w:r>
      <w:r>
        <w:rPr>
          <w:rFonts w:ascii="Arial" w:cs="Arial" w:eastAsia="Arial" w:hAnsi="Arial"/>
          <w:sz w:val="12"/>
          <w:szCs w:val="12"/>
          <w:color w:val="auto"/>
        </w:rPr>
        <w:t>historical utilization rate for all loan segments, excluding construction and development loans that use a higher utilization rate. An ACL on off-balance sheet commitments is required if the end of period utilization rate is less than the</w:t>
      </w:r>
    </w:p>
    <w:p>
      <w:pPr>
        <w:ind w:left="1580" w:right="619"/>
        <w:spacing w:after="0" w:line="343" w:lineRule="auto"/>
        <w:rPr>
          <w:sz w:val="20"/>
          <w:szCs w:val="20"/>
          <w:color w:val="auto"/>
        </w:rPr>
      </w:pPr>
      <w:r>
        <w:rPr>
          <w:rFonts w:ascii="Arial" w:cs="Arial" w:eastAsia="Arial" w:hAnsi="Arial"/>
          <w:sz w:val="12"/>
          <w:szCs w:val="12"/>
          <w:color w:val="auto"/>
        </w:rPr>
        <w:t>12-month historical utilization rate. For example, a 1% decrease in the utilization rate of commercial and industrial lines of credit at June 30, 2022 would not impact the required ACL, because the utilization rate would remain above the</w:t>
      </w:r>
    </w:p>
    <w:p>
      <w:pPr>
        <w:ind w:left="1580" w:right="979"/>
        <w:spacing w:after="0" w:line="314" w:lineRule="auto"/>
        <w:rPr>
          <w:sz w:val="20"/>
          <w:szCs w:val="20"/>
          <w:color w:val="auto"/>
        </w:rPr>
      </w:pPr>
      <w:r>
        <w:rPr>
          <w:rFonts w:ascii="Arial" w:cs="Arial" w:eastAsia="Arial" w:hAnsi="Arial"/>
          <w:sz w:val="14"/>
          <w:szCs w:val="14"/>
          <w:color w:val="auto"/>
        </w:rPr>
        <w:t>average utilization rate. However, if the utilization rate decreased 3% it would increase the required ACL by $236 thousand.</w:t>
      </w:r>
    </w:p>
    <w:p>
      <w:pPr>
        <w:spacing w:after="0" w:line="166" w:lineRule="exact"/>
        <w:rPr>
          <w:sz w:val="20"/>
          <w:szCs w:val="20"/>
          <w:color w:val="auto"/>
        </w:rPr>
      </w:pPr>
    </w:p>
    <w:p>
      <w:pPr>
        <w:ind w:left="680" w:right="699" w:firstLine="384"/>
        <w:spacing w:after="0" w:line="314" w:lineRule="auto"/>
        <w:rPr>
          <w:sz w:val="20"/>
          <w:szCs w:val="20"/>
          <w:color w:val="auto"/>
        </w:rPr>
      </w:pPr>
      <w:r>
        <w:rPr>
          <w:rFonts w:ascii="Arial" w:cs="Arial" w:eastAsia="Arial" w:hAnsi="Arial"/>
          <w:sz w:val="14"/>
          <w:szCs w:val="14"/>
          <w:color w:val="auto"/>
        </w:rPr>
        <w:t>Besides the ACL methodology mentioned above, there have been no additional changes in the Company’s application of critical accounting policies and estimates since December 31, 2021.</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Recent Accounting Pronouncements</w:t>
      </w:r>
    </w:p>
    <w:p>
      <w:pPr>
        <w:spacing w:after="0" w:line="178" w:lineRule="exact"/>
        <w:rPr>
          <w:sz w:val="20"/>
          <w:szCs w:val="20"/>
          <w:color w:val="auto"/>
        </w:rPr>
      </w:pPr>
    </w:p>
    <w:p>
      <w:pPr>
        <w:ind w:left="680" w:right="819" w:firstLine="384"/>
        <w:spacing w:after="0" w:line="314" w:lineRule="auto"/>
        <w:rPr>
          <w:sz w:val="20"/>
          <w:szCs w:val="20"/>
          <w:color w:val="auto"/>
        </w:rPr>
      </w:pPr>
      <w:r>
        <w:rPr>
          <w:rFonts w:ascii="Arial" w:cs="Arial" w:eastAsia="Arial" w:hAnsi="Arial"/>
          <w:sz w:val="14"/>
          <w:szCs w:val="14"/>
          <w:color w:val="auto"/>
        </w:rPr>
        <w:t>Refer to “Note 1: Nature of Operations and Summary of Significant Accounting Policies” included in the Notes to Condensed Consolidated Financial Statements (unaudited) included elsewhere in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9019"/>
          </w:cols>
          <w:pgMar w:left="1440" w:top="407" w:right="1440" w:bottom="1440" w:gutter="0" w:footer="0" w:header="0"/>
        </w:sectPr>
      </w:pPr>
    </w:p>
    <w:bookmarkStart w:id="69" w:name="page70"/>
    <w:bookmarkEnd w:id="69"/>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6"/>
          <w:szCs w:val="16"/>
          <w:u w:val="single" w:color="auto"/>
          <w:color w:val="auto"/>
        </w:rPr>
        <w:t>Interest Rate Risk</w:t>
      </w:r>
    </w:p>
    <w:p>
      <w:pPr>
        <w:spacing w:after="0" w:line="162" w:lineRule="exact"/>
        <w:rPr>
          <w:sz w:val="20"/>
          <w:szCs w:val="20"/>
          <w:color w:val="auto"/>
        </w:rPr>
      </w:pPr>
    </w:p>
    <w:p>
      <w:pPr>
        <w:ind w:left="680" w:right="599" w:firstLine="384"/>
        <w:spacing w:after="0" w:line="356" w:lineRule="auto"/>
        <w:rPr>
          <w:sz w:val="20"/>
          <w:szCs w:val="20"/>
          <w:color w:val="auto"/>
        </w:rPr>
      </w:pPr>
      <w:r>
        <w:rPr>
          <w:rFonts w:ascii="Arial" w:cs="Arial" w:eastAsia="Arial" w:hAnsi="Arial"/>
          <w:sz w:val="12"/>
          <w:szCs w:val="12"/>
          <w:color w:val="auto"/>
        </w:rPr>
        <w:t>A primary component of market risk is interest rate volatility. Interest rate risk management is a key element of the Company’s balance sheet management. Interest rate risk is the risk that net interest margins will erode over time due to changing market conditions. Many factors can cause margins to erode: (i) lower loan demand; (ii) increased competition for funds; (iii) weak pricing policies; (iv) balance sheet mismatches; and (v) changing liquidity demands. The objective is to maximize income while minimizing interest rate risk. The Company manages its sensitivity position using its interest rate risk policy. The management of interest rate risk is a three-step process and involves: (i) measuring the interest rate risk position; (ii) policy constraints; and (iii) strategic review and implementation.</w:t>
      </w:r>
    </w:p>
    <w:p>
      <w:pPr>
        <w:spacing w:after="0" w:line="84" w:lineRule="exact"/>
        <w:rPr>
          <w:sz w:val="20"/>
          <w:szCs w:val="20"/>
          <w:color w:val="auto"/>
        </w:rPr>
      </w:pPr>
    </w:p>
    <w:p>
      <w:pPr>
        <w:ind w:left="680" w:right="579" w:firstLine="384"/>
        <w:spacing w:after="0" w:line="297" w:lineRule="auto"/>
        <w:rPr>
          <w:sz w:val="20"/>
          <w:szCs w:val="20"/>
          <w:color w:val="auto"/>
        </w:rPr>
      </w:pPr>
      <w:r>
        <w:rPr>
          <w:rFonts w:ascii="Arial" w:cs="Arial" w:eastAsia="Arial" w:hAnsi="Arial"/>
          <w:sz w:val="14"/>
          <w:szCs w:val="14"/>
          <w:color w:val="auto"/>
        </w:rPr>
        <w:t>Our exposure to interest rate risk is managed by the Funds Management Committee (“FMC”). The FMC uses a combination of three systems to measure the balance sheet’s interest rate risk position. The three systems in combination are expected to provide a better overall result than a single system alone. The three systems include: (i) gap reports; (ii) earnings simulation; and (iii) economic value of equity. The FMC’s primary tools to change the interest rate risk position are: (i) investment portfolio duration; (ii) deposit and borrowing mix; and (iii) on balance sheet derivatives.</w:t>
      </w:r>
    </w:p>
    <w:p>
      <w:pPr>
        <w:spacing w:after="0" w:line="113" w:lineRule="exact"/>
        <w:rPr>
          <w:sz w:val="20"/>
          <w:szCs w:val="20"/>
          <w:color w:val="auto"/>
        </w:rPr>
      </w:pPr>
    </w:p>
    <w:p>
      <w:pPr>
        <w:ind w:left="680" w:right="719" w:firstLine="384"/>
        <w:spacing w:after="0" w:line="301" w:lineRule="auto"/>
        <w:rPr>
          <w:sz w:val="20"/>
          <w:szCs w:val="20"/>
          <w:color w:val="auto"/>
        </w:rPr>
      </w:pPr>
      <w:r>
        <w:rPr>
          <w:rFonts w:ascii="Arial" w:cs="Arial" w:eastAsia="Arial" w:hAnsi="Arial"/>
          <w:sz w:val="14"/>
          <w:szCs w:val="14"/>
          <w:color w:val="auto"/>
        </w:rPr>
        <w:t>The FMC evaluates interest rate risk using a rate shock method and rate ramp method. In a rate shock analysis, rates change immediately, and the change is sustained over the time horizon. In a rate ramp analysis, rate changes occur gradually over time. The following tables summarize the simulated changes in net interest income and fair value of equity over a 12-month horizon using a rate shock and rate ramp method as of the dates indicated: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Hypothetical Change in Interest Rate - Rate Shock</w:t>
      </w:r>
    </w:p>
    <w:p>
      <w:pPr>
        <w:spacing w:after="0" w:line="52"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tcBorders>
              <w:bottom w:val="single" w:sz="8" w:color="auto"/>
            </w:tcBorders>
            <w:gridSpan w:val="4"/>
          </w:tcPr>
          <w:p>
            <w:pPr>
              <w:jc w:val="right"/>
              <w:ind w:right="1069"/>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Pr>
          <w:p>
            <w:pPr>
              <w:spacing w:after="0"/>
              <w:rPr>
                <w:sz w:val="15"/>
                <w:szCs w:val="15"/>
                <w:color w:val="auto"/>
              </w:rPr>
            </w:pPr>
          </w:p>
        </w:tc>
        <w:tc>
          <w:tcPr>
            <w:tcW w:w="3080" w:type="dxa"/>
            <w:vAlign w:val="bottom"/>
            <w:tcBorders>
              <w:bottom w:val="single" w:sz="8" w:color="auto"/>
            </w:tcBorders>
            <w:gridSpan w:val="4"/>
          </w:tcPr>
          <w:p>
            <w:pPr>
              <w:jc w:val="right"/>
              <w:ind w:right="1057"/>
              <w:spacing w:after="0"/>
              <w:rPr>
                <w:sz w:val="20"/>
                <w:szCs w:val="20"/>
                <w:color w:val="auto"/>
              </w:rPr>
            </w:pPr>
            <w:r>
              <w:rPr>
                <w:rFonts w:ascii="Arial" w:cs="Arial" w:eastAsia="Arial" w:hAnsi="Arial"/>
                <w:sz w:val="14"/>
                <w:szCs w:val="14"/>
                <w:b w:val="1"/>
                <w:bCs w:val="1"/>
                <w:color w:val="auto"/>
              </w:rPr>
              <w:t>June 30, 2021</w:t>
            </w:r>
          </w:p>
        </w:tc>
      </w:tr>
      <w:tr>
        <w:trPr>
          <w:trHeight w:val="243"/>
        </w:trPr>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Change in Interest</w:t>
            </w:r>
          </w:p>
        </w:tc>
        <w:tc>
          <w:tcPr>
            <w:tcW w:w="14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3"/>
              </w:rPr>
              <w:t>Percent change in net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Percent change in fair</w:t>
            </w:r>
          </w:p>
        </w:tc>
        <w:tc>
          <w:tcPr>
            <w:tcW w:w="140" w:type="dxa"/>
            <w:vAlign w:val="bottom"/>
          </w:tcPr>
          <w:p>
            <w:pPr>
              <w:spacing w:after="0"/>
              <w:rPr>
                <w:sz w:val="21"/>
                <w:szCs w:val="21"/>
                <w:color w:val="auto"/>
              </w:rPr>
            </w:pPr>
          </w:p>
        </w:tc>
        <w:tc>
          <w:tcPr>
            <w:tcW w:w="14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3"/>
              </w:rPr>
              <w:t>Percent change in net</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w w:val="94"/>
              </w:rPr>
              <w:t>Percent change in fair</w:t>
            </w:r>
          </w:p>
        </w:tc>
      </w:tr>
      <w:tr>
        <w:trPr>
          <w:trHeight w:val="174"/>
        </w:trPr>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Rate (Basis Points)</w:t>
            </w:r>
          </w:p>
        </w:tc>
        <w:tc>
          <w:tcPr>
            <w:tcW w:w="146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interest income</w:t>
            </w:r>
          </w:p>
        </w:tc>
        <w:tc>
          <w:tcPr>
            <w:tcW w:w="140" w:type="dxa"/>
            <w:vAlign w:val="bottom"/>
          </w:tcPr>
          <w:p>
            <w:pPr>
              <w:spacing w:after="0"/>
              <w:rPr>
                <w:sz w:val="15"/>
                <w:szCs w:val="15"/>
                <w:color w:val="auto"/>
              </w:rPr>
            </w:pPr>
          </w:p>
        </w:tc>
        <w:tc>
          <w:tcPr>
            <w:tcW w:w="1460" w:type="dxa"/>
            <w:vAlign w:val="bottom"/>
          </w:tcPr>
          <w:p>
            <w:pPr>
              <w:jc w:val="right"/>
              <w:ind w:right="229"/>
              <w:spacing w:after="0"/>
              <w:rPr>
                <w:sz w:val="20"/>
                <w:szCs w:val="20"/>
                <w:color w:val="auto"/>
              </w:rPr>
            </w:pPr>
            <w:r>
              <w:rPr>
                <w:rFonts w:ascii="Arial" w:cs="Arial" w:eastAsia="Arial" w:hAnsi="Arial"/>
                <w:sz w:val="14"/>
                <w:szCs w:val="14"/>
                <w:b w:val="1"/>
                <w:bCs w:val="1"/>
                <w:color w:val="auto"/>
              </w:rPr>
              <w:t>value of equity</w:t>
            </w:r>
          </w:p>
        </w:tc>
        <w:tc>
          <w:tcPr>
            <w:tcW w:w="140" w:type="dxa"/>
            <w:vAlign w:val="bottom"/>
          </w:tcPr>
          <w:p>
            <w:pPr>
              <w:spacing w:after="0"/>
              <w:rPr>
                <w:sz w:val="15"/>
                <w:szCs w:val="15"/>
                <w:color w:val="auto"/>
              </w:rPr>
            </w:pPr>
          </w:p>
        </w:tc>
        <w:tc>
          <w:tcPr>
            <w:tcW w:w="1460" w:type="dxa"/>
            <w:vAlign w:val="bottom"/>
            <w:gridSpan w:val="2"/>
          </w:tcPr>
          <w:p>
            <w:pPr>
              <w:jc w:val="right"/>
              <w:ind w:right="209"/>
              <w:spacing w:after="0"/>
              <w:rPr>
                <w:sz w:val="20"/>
                <w:szCs w:val="20"/>
                <w:color w:val="auto"/>
              </w:rPr>
            </w:pPr>
            <w:r>
              <w:rPr>
                <w:rFonts w:ascii="Arial" w:cs="Arial" w:eastAsia="Arial" w:hAnsi="Arial"/>
                <w:sz w:val="14"/>
                <w:szCs w:val="14"/>
                <w:b w:val="1"/>
                <w:bCs w:val="1"/>
                <w:color w:val="auto"/>
              </w:rPr>
              <w:t>interest income</w:t>
            </w:r>
          </w:p>
        </w:tc>
        <w:tc>
          <w:tcPr>
            <w:tcW w:w="160" w:type="dxa"/>
            <w:vAlign w:val="bottom"/>
          </w:tcPr>
          <w:p>
            <w:pPr>
              <w:spacing w:after="0"/>
              <w:rPr>
                <w:sz w:val="15"/>
                <w:szCs w:val="15"/>
                <w:color w:val="auto"/>
              </w:rPr>
            </w:pPr>
          </w:p>
        </w:tc>
        <w:tc>
          <w:tcPr>
            <w:tcW w:w="1460" w:type="dxa"/>
            <w:vAlign w:val="bottom"/>
          </w:tcPr>
          <w:p>
            <w:pPr>
              <w:jc w:val="right"/>
              <w:ind w:right="217"/>
              <w:spacing w:after="0"/>
              <w:rPr>
                <w:sz w:val="20"/>
                <w:szCs w:val="20"/>
                <w:color w:val="auto"/>
              </w:rPr>
            </w:pPr>
            <w:r>
              <w:rPr>
                <w:rFonts w:ascii="Arial" w:cs="Arial" w:eastAsia="Arial" w:hAnsi="Arial"/>
                <w:sz w:val="14"/>
                <w:szCs w:val="14"/>
                <w:b w:val="1"/>
                <w:bCs w:val="1"/>
                <w:color w:val="auto"/>
              </w:rPr>
              <w:t>value of equity</w:t>
            </w:r>
          </w:p>
        </w:tc>
      </w:tr>
      <w:tr>
        <w:trPr>
          <w:trHeight w:val="152"/>
        </w:trPr>
        <w:tc>
          <w:tcPr>
            <w:tcW w:w="20" w:type="dxa"/>
            <w:vAlign w:val="bottom"/>
          </w:tcPr>
          <w:p>
            <w:pPr>
              <w:spacing w:after="0"/>
              <w:rPr>
                <w:sz w:val="13"/>
                <w:szCs w:val="13"/>
                <w:color w:val="auto"/>
              </w:rPr>
            </w:pPr>
          </w:p>
        </w:tc>
        <w:tc>
          <w:tcPr>
            <w:tcW w:w="1280" w:type="dxa"/>
            <w:vAlign w:val="bottom"/>
            <w:tcBorders>
              <w:top w:val="single" w:sz="8" w:color="auto"/>
              <w:bottom w:val="single" w:sz="8" w:color="CCEEFF"/>
            </w:tcBorders>
            <w:shd w:val="clear" w:color="auto" w:fill="CCEEFF"/>
          </w:tcPr>
          <w:p>
            <w:pPr>
              <w:spacing w:after="0" w:line="151" w:lineRule="exact"/>
              <w:rPr>
                <w:sz w:val="20"/>
                <w:szCs w:val="20"/>
                <w:color w:val="auto"/>
              </w:rPr>
            </w:pPr>
            <w:r>
              <w:rPr>
                <w:rFonts w:ascii="Arial" w:cs="Arial" w:eastAsia="Arial" w:hAnsi="Arial"/>
                <w:sz w:val="14"/>
                <w:szCs w:val="14"/>
                <w:color w:val="auto"/>
              </w:rPr>
              <w:t>+300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6.4</w:t>
            </w:r>
          </w:p>
        </w:tc>
        <w:tc>
          <w:tcPr>
            <w:tcW w:w="240" w:type="dxa"/>
            <w:vAlign w:val="bottom"/>
            <w:tcBorders>
              <w:top w:val="single" w:sz="8" w:color="auto"/>
              <w:bottom w:val="single" w:sz="8" w:color="CCEEFF"/>
            </w:tcBorders>
            <w:shd w:val="clear" w:color="auto" w:fill="CCEEFF"/>
          </w:tcPr>
          <w:p>
            <w:pPr>
              <w:jc w:val="right"/>
              <w:ind w:right="49"/>
              <w:spacing w:after="0" w:line="151" w:lineRule="exact"/>
              <w:rPr>
                <w:sz w:val="20"/>
                <w:szCs w:val="20"/>
                <w:color w:val="auto"/>
              </w:rPr>
            </w:pPr>
            <w:r>
              <w:rPr>
                <w:rFonts w:ascii="Arial" w:cs="Arial" w:eastAsia="Arial" w:hAnsi="Arial"/>
                <w:sz w:val="14"/>
                <w:szCs w:val="14"/>
                <w:color w:val="auto"/>
                <w:w w:val="79"/>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CCEEFF"/>
            </w:tcBorders>
            <w:shd w:val="clear" w:color="auto" w:fill="CCEEFF"/>
          </w:tcPr>
          <w:p>
            <w:pPr>
              <w:jc w:val="right"/>
              <w:ind w:right="49"/>
              <w:spacing w:after="0" w:line="151" w:lineRule="exact"/>
              <w:rPr>
                <w:sz w:val="20"/>
                <w:szCs w:val="20"/>
                <w:color w:val="auto"/>
              </w:rPr>
            </w:pPr>
            <w:r>
              <w:rPr>
                <w:rFonts w:ascii="Arial" w:cs="Arial" w:eastAsia="Arial" w:hAnsi="Arial"/>
                <w:sz w:val="14"/>
                <w:szCs w:val="14"/>
                <w:color w:val="auto"/>
              </w:rPr>
              <w:t>(9.2)%</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CCEEFF"/>
            </w:tcBorders>
            <w:shd w:val="clear" w:color="auto" w:fill="CCEEFF"/>
          </w:tcPr>
          <w:p>
            <w:pPr>
              <w:jc w:val="right"/>
              <w:spacing w:after="0" w:line="151" w:lineRule="exact"/>
              <w:rPr>
                <w:sz w:val="20"/>
                <w:szCs w:val="20"/>
                <w:color w:val="auto"/>
              </w:rPr>
            </w:pPr>
            <w:r>
              <w:rPr>
                <w:rFonts w:ascii="Arial" w:cs="Arial" w:eastAsia="Arial" w:hAnsi="Arial"/>
                <w:sz w:val="14"/>
                <w:szCs w:val="14"/>
                <w:color w:val="auto"/>
              </w:rPr>
              <w:t>2.9</w:t>
            </w:r>
          </w:p>
        </w:tc>
        <w:tc>
          <w:tcPr>
            <w:tcW w:w="240" w:type="dxa"/>
            <w:vAlign w:val="bottom"/>
            <w:tcBorders>
              <w:top w:val="single" w:sz="8" w:color="auto"/>
              <w:bottom w:val="single" w:sz="8" w:color="CCEEFF"/>
            </w:tcBorders>
            <w:shd w:val="clear" w:color="auto" w:fill="CCEEFF"/>
          </w:tcPr>
          <w:p>
            <w:pPr>
              <w:jc w:val="right"/>
              <w:ind w:right="49"/>
              <w:spacing w:after="0" w:line="151"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auto"/>
              <w:bottom w:val="single" w:sz="8" w:color="CCEEFF"/>
            </w:tcBorders>
            <w:shd w:val="clear" w:color="auto" w:fill="CCEEFF"/>
          </w:tcPr>
          <w:p>
            <w:pPr>
              <w:jc w:val="right"/>
              <w:ind w:right="37"/>
              <w:spacing w:after="0" w:line="151" w:lineRule="exact"/>
              <w:rPr>
                <w:sz w:val="20"/>
                <w:szCs w:val="20"/>
                <w:color w:val="auto"/>
              </w:rPr>
            </w:pPr>
            <w:r>
              <w:rPr>
                <w:rFonts w:ascii="Arial" w:cs="Arial" w:eastAsia="Arial" w:hAnsi="Arial"/>
                <w:sz w:val="14"/>
                <w:szCs w:val="14"/>
                <w:color w:val="auto"/>
              </w:rPr>
              <w:t>(10.0)%</w:t>
            </w:r>
          </w:p>
        </w:tc>
      </w:tr>
      <w:tr>
        <w:trPr>
          <w:trHeight w:val="191"/>
        </w:trPr>
        <w:tc>
          <w:tcPr>
            <w:tcW w:w="1300" w:type="dxa"/>
            <w:vAlign w:val="bottom"/>
            <w:gridSpan w:val="2"/>
          </w:tcPr>
          <w:p>
            <w:pPr>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6"/>
                <w:szCs w:val="16"/>
                <w:color w:val="auto"/>
              </w:rPr>
            </w:pPr>
          </w:p>
        </w:tc>
        <w:tc>
          <w:tcPr>
            <w:tcW w:w="1600" w:type="dxa"/>
            <w:vAlign w:val="bottom"/>
            <w:gridSpan w:val="2"/>
          </w:tcPr>
          <w:p>
            <w:pPr>
              <w:jc w:val="right"/>
              <w:ind w:right="169"/>
              <w:spacing w:after="0"/>
              <w:rPr>
                <w:sz w:val="20"/>
                <w:szCs w:val="20"/>
                <w:color w:val="auto"/>
              </w:rPr>
            </w:pPr>
            <w:r>
              <w:rPr>
                <w:rFonts w:ascii="Arial" w:cs="Arial" w:eastAsia="Arial" w:hAnsi="Arial"/>
                <w:sz w:val="14"/>
                <w:szCs w:val="14"/>
                <w:color w:val="auto"/>
              </w:rPr>
              <w:t>(5.8)</w:t>
            </w:r>
          </w:p>
        </w:tc>
        <w:tc>
          <w:tcPr>
            <w:tcW w:w="136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6"/>
                <w:szCs w:val="16"/>
                <w:color w:val="auto"/>
              </w:rPr>
            </w:pPr>
          </w:p>
        </w:tc>
        <w:tc>
          <w:tcPr>
            <w:tcW w:w="1620" w:type="dxa"/>
            <w:vAlign w:val="bottom"/>
            <w:gridSpan w:val="2"/>
          </w:tcPr>
          <w:p>
            <w:pPr>
              <w:jc w:val="right"/>
              <w:ind w:right="157"/>
              <w:spacing w:after="0"/>
              <w:rPr>
                <w:sz w:val="20"/>
                <w:szCs w:val="20"/>
                <w:color w:val="auto"/>
              </w:rPr>
            </w:pPr>
            <w:r>
              <w:rPr>
                <w:rFonts w:ascii="Arial" w:cs="Arial" w:eastAsia="Arial" w:hAnsi="Arial"/>
                <w:sz w:val="14"/>
                <w:szCs w:val="14"/>
                <w:color w:val="auto"/>
              </w:rPr>
              <w:t>(6.5)</w:t>
            </w:r>
          </w:p>
        </w:tc>
      </w:tr>
      <w:tr>
        <w:trPr>
          <w:trHeight w:val="173"/>
        </w:trPr>
        <w:tc>
          <w:tcPr>
            <w:tcW w:w="20" w:type="dxa"/>
            <w:vAlign w:val="bottom"/>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4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gridSpan w:val="2"/>
            <w:shd w:val="clear" w:color="auto" w:fill="CCEEFF"/>
          </w:tcPr>
          <w:p>
            <w:pPr>
              <w:jc w:val="right"/>
              <w:ind w:right="169"/>
              <w:spacing w:after="0"/>
              <w:rPr>
                <w:sz w:val="20"/>
                <w:szCs w:val="20"/>
                <w:color w:val="auto"/>
              </w:rPr>
            </w:pPr>
            <w:r>
              <w:rPr>
                <w:rFonts w:ascii="Arial" w:cs="Arial" w:eastAsia="Arial" w:hAnsi="Arial"/>
                <w:sz w:val="14"/>
                <w:szCs w:val="14"/>
                <w:color w:val="auto"/>
              </w:rPr>
              <w:t>(3.0)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2"/>
            <w:shd w:val="clear" w:color="auto" w:fill="CCEEFF"/>
          </w:tcPr>
          <w:p>
            <w:pPr>
              <w:jc w:val="right"/>
              <w:ind w:right="157"/>
              <w:spacing w:after="0"/>
              <w:rPr>
                <w:sz w:val="20"/>
                <w:szCs w:val="20"/>
                <w:color w:val="auto"/>
              </w:rPr>
            </w:pPr>
            <w:r>
              <w:rPr>
                <w:rFonts w:ascii="Arial" w:cs="Arial" w:eastAsia="Arial" w:hAnsi="Arial"/>
                <w:sz w:val="14"/>
                <w:szCs w:val="14"/>
                <w:color w:val="auto"/>
              </w:rPr>
              <w:t>(3.3)</w:t>
            </w:r>
          </w:p>
        </w:tc>
      </w:tr>
      <w:tr>
        <w:trPr>
          <w:trHeight w:val="181"/>
        </w:trPr>
        <w:tc>
          <w:tcPr>
            <w:tcW w:w="2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Arial" w:cs="Arial" w:eastAsia="Arial" w:hAnsi="Arial"/>
                <w:sz w:val="14"/>
                <w:szCs w:val="14"/>
                <w:color w:val="auto"/>
              </w:rPr>
              <w:t>Base</w:t>
            </w:r>
          </w:p>
        </w:tc>
        <w:tc>
          <w:tcPr>
            <w:tcW w:w="1460" w:type="dxa"/>
            <w:vAlign w:val="bottom"/>
            <w:gridSpan w:val="2"/>
          </w:tcPr>
          <w:p>
            <w:pPr>
              <w:jc w:val="right"/>
              <w:ind w:right="49"/>
              <w:spacing w:after="0"/>
              <w:rPr>
                <w:sz w:val="20"/>
                <w:szCs w:val="20"/>
                <w:color w:val="auto"/>
              </w:rPr>
            </w:pPr>
            <w:r>
              <w:rPr>
                <w:rFonts w:ascii="Arial" w:cs="Arial" w:eastAsia="Arial" w:hAnsi="Arial"/>
                <w:sz w:val="14"/>
                <w:szCs w:val="14"/>
                <w:color w:val="auto"/>
              </w:rPr>
              <w:t>- %</w:t>
            </w:r>
          </w:p>
        </w:tc>
        <w:tc>
          <w:tcPr>
            <w:tcW w:w="1600" w:type="dxa"/>
            <w:vAlign w:val="bottom"/>
            <w:gridSpan w:val="2"/>
          </w:tcPr>
          <w:p>
            <w:pPr>
              <w:jc w:val="right"/>
              <w:ind w:right="49"/>
              <w:spacing w:after="0"/>
              <w:rPr>
                <w:sz w:val="20"/>
                <w:szCs w:val="20"/>
                <w:color w:val="auto"/>
              </w:rPr>
            </w:pPr>
            <w:r>
              <w:rPr>
                <w:rFonts w:ascii="Arial" w:cs="Arial" w:eastAsia="Arial" w:hAnsi="Arial"/>
                <w:sz w:val="14"/>
                <w:szCs w:val="14"/>
                <w:color w:val="auto"/>
              </w:rPr>
              <w:t>- %</w:t>
            </w:r>
          </w:p>
        </w:tc>
        <w:tc>
          <w:tcPr>
            <w:tcW w:w="1600" w:type="dxa"/>
            <w:vAlign w:val="bottom"/>
            <w:gridSpan w:val="3"/>
          </w:tcPr>
          <w:p>
            <w:pPr>
              <w:jc w:val="right"/>
              <w:ind w:right="49"/>
              <w:spacing w:after="0"/>
              <w:rPr>
                <w:sz w:val="20"/>
                <w:szCs w:val="20"/>
                <w:color w:val="auto"/>
              </w:rPr>
            </w:pPr>
            <w:r>
              <w:rPr>
                <w:rFonts w:ascii="Arial" w:cs="Arial" w:eastAsia="Arial" w:hAnsi="Arial"/>
                <w:sz w:val="14"/>
                <w:szCs w:val="14"/>
                <w:color w:val="auto"/>
              </w:rPr>
              <w:t>- %</w:t>
            </w:r>
          </w:p>
        </w:tc>
        <w:tc>
          <w:tcPr>
            <w:tcW w:w="1620" w:type="dxa"/>
            <w:vAlign w:val="bottom"/>
            <w:gridSpan w:val="2"/>
          </w:tcPr>
          <w:p>
            <w:pPr>
              <w:jc w:val="right"/>
              <w:ind w:right="37"/>
              <w:spacing w:after="0"/>
              <w:rPr>
                <w:sz w:val="20"/>
                <w:szCs w:val="20"/>
                <w:color w:val="auto"/>
              </w:rPr>
            </w:pPr>
            <w:r>
              <w:rPr>
                <w:rFonts w:ascii="Arial" w:cs="Arial" w:eastAsia="Arial" w:hAnsi="Arial"/>
                <w:sz w:val="14"/>
                <w:szCs w:val="14"/>
                <w:color w:val="auto"/>
              </w:rPr>
              <w:t>- %</w:t>
            </w:r>
          </w:p>
        </w:tc>
      </w:tr>
      <w:tr>
        <w:trPr>
          <w:trHeight w:val="171"/>
        </w:trPr>
        <w:tc>
          <w:tcPr>
            <w:tcW w:w="20" w:type="dxa"/>
            <w:vAlign w:val="bottom"/>
          </w:tcPr>
          <w:p>
            <w:pPr>
              <w:spacing w:after="0"/>
              <w:rPr>
                <w:sz w:val="14"/>
                <w:szCs w:val="14"/>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2.7</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9"/>
              <w:spacing w:after="0" w:line="171" w:lineRule="exact"/>
              <w:rPr>
                <w:sz w:val="20"/>
                <w:szCs w:val="20"/>
                <w:color w:val="auto"/>
              </w:rPr>
            </w:pPr>
            <w:r>
              <w:rPr>
                <w:rFonts w:ascii="Arial" w:cs="Arial" w:eastAsia="Arial" w:hAnsi="Arial"/>
                <w:sz w:val="19"/>
                <w:szCs w:val="19"/>
                <w:color w:val="auto"/>
                <w:vertAlign w:val="subscript"/>
              </w:rPr>
              <w:t>NA</w:t>
            </w:r>
            <w:r>
              <w:rPr>
                <w:rFonts w:ascii="Arial" w:cs="Arial" w:eastAsia="Arial" w:hAnsi="Arial"/>
                <w:sz w:val="8"/>
                <w:szCs w:val="8"/>
                <w:color w:val="auto"/>
              </w:rPr>
              <w:t>(1)</w:t>
            </w: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77"/>
              <w:spacing w:after="0" w:line="171" w:lineRule="exact"/>
              <w:rPr>
                <w:sz w:val="20"/>
                <w:szCs w:val="20"/>
                <w:color w:val="auto"/>
              </w:rPr>
            </w:pPr>
            <w:r>
              <w:rPr>
                <w:rFonts w:ascii="Arial" w:cs="Arial" w:eastAsia="Arial" w:hAnsi="Arial"/>
                <w:sz w:val="19"/>
                <w:szCs w:val="19"/>
                <w:color w:val="auto"/>
                <w:vertAlign w:val="subscript"/>
              </w:rPr>
              <w:t>NA</w:t>
            </w:r>
            <w:r>
              <w:rPr>
                <w:rFonts w:ascii="Arial" w:cs="Arial" w:eastAsia="Arial" w:hAnsi="Arial"/>
                <w:sz w:val="8"/>
                <w:szCs w:val="8"/>
                <w:color w:val="auto"/>
              </w:rPr>
              <w:t>(1)</w:t>
            </w:r>
          </w:p>
        </w:tc>
      </w:tr>
      <w:tr>
        <w:trPr>
          <w:trHeight w:val="53"/>
        </w:trPr>
        <w:tc>
          <w:tcPr>
            <w:tcW w:w="20" w:type="dxa"/>
            <w:vAlign w:val="bottom"/>
          </w:tcPr>
          <w:p>
            <w:pPr>
              <w:spacing w:after="0"/>
              <w:rPr>
                <w:sz w:val="4"/>
                <w:szCs w:val="4"/>
                <w:color w:val="auto"/>
              </w:rPr>
            </w:pPr>
          </w:p>
        </w:tc>
        <w:tc>
          <w:tcPr>
            <w:tcW w:w="12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r>
    </w:tbl>
    <w:p>
      <w:pPr>
        <w:spacing w:after="0" w:line="14" w:lineRule="exact"/>
        <w:rPr>
          <w:sz w:val="20"/>
          <w:szCs w:val="20"/>
          <w:color w:val="auto"/>
        </w:rPr>
      </w:pPr>
    </w:p>
    <w:p>
      <w:pPr>
        <w:ind w:left="800" w:hanging="137"/>
        <w:spacing w:after="0"/>
        <w:tabs>
          <w:tab w:leader="none" w:pos="800" w:val="left"/>
        </w:tabs>
        <w:numPr>
          <w:ilvl w:val="0"/>
          <w:numId w:val="33"/>
        </w:numPr>
        <w:rPr>
          <w:rFonts w:ascii="Arial" w:cs="Arial" w:eastAsia="Arial" w:hAnsi="Arial"/>
          <w:sz w:val="16"/>
          <w:szCs w:val="16"/>
          <w:color w:val="auto"/>
          <w:vertAlign w:val="superscript"/>
        </w:rPr>
      </w:pPr>
      <w:r>
        <w:rPr>
          <w:rFonts w:ascii="Arial" w:cs="Arial" w:eastAsia="Arial" w:hAnsi="Arial"/>
          <w:sz w:val="12"/>
          <w:szCs w:val="12"/>
          <w:color w:val="auto"/>
        </w:rPr>
        <w:t>The Company decided to exclude the down rate environment from its analysis due to the already low interest rate environment.</w:t>
      </w: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Hypothetical Change in Interest Rate - Rate Ramp</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3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2022</w:t>
            </w:r>
          </w:p>
        </w:tc>
        <w:tc>
          <w:tcPr>
            <w:tcW w:w="180" w:type="dxa"/>
            <w:vAlign w:val="bottom"/>
          </w:tcPr>
          <w:p>
            <w:pPr>
              <w:spacing w:after="0"/>
              <w:rPr>
                <w:sz w:val="15"/>
                <w:szCs w:val="15"/>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June 30, 2021</w:t>
            </w:r>
          </w:p>
        </w:tc>
      </w:tr>
      <w:tr>
        <w:trPr>
          <w:trHeight w:val="190"/>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Change in Interest Rate</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 change in net interest</w:t>
            </w:r>
          </w:p>
        </w:tc>
        <w:tc>
          <w:tcPr>
            <w:tcW w:w="180" w:type="dxa"/>
            <w:vAlign w:val="bottom"/>
          </w:tcPr>
          <w:p>
            <w:pPr>
              <w:spacing w:after="0"/>
              <w:rPr>
                <w:sz w:val="16"/>
                <w:szCs w:val="16"/>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 change in net interest</w:t>
            </w:r>
          </w:p>
        </w:tc>
      </w:tr>
      <w:tr>
        <w:trPr>
          <w:trHeight w:val="184"/>
        </w:trPr>
        <w:tc>
          <w:tcPr>
            <w:tcW w:w="374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(Basis Points)</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5"/>
                <w:szCs w:val="15"/>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income</w:t>
            </w:r>
          </w:p>
        </w:tc>
      </w:tr>
      <w:tr>
        <w:trPr>
          <w:trHeight w:val="163"/>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+300</w:t>
            </w:r>
          </w:p>
        </w:tc>
        <w:tc>
          <w:tcPr>
            <w:tcW w:w="18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2"/>
                <w:szCs w:val="12"/>
                <w:color w:val="auto"/>
                <w:w w:val="74"/>
              </w:rPr>
              <w:t>%</w:t>
            </w:r>
          </w:p>
        </w:tc>
        <w:tc>
          <w:tcPr>
            <w:tcW w:w="1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3560" w:type="dxa"/>
            <w:vAlign w:val="bottom"/>
          </w:tcPr>
          <w:p>
            <w:pPr>
              <w:spacing w:after="0"/>
              <w:rPr>
                <w:sz w:val="20"/>
                <w:szCs w:val="20"/>
                <w:color w:val="auto"/>
              </w:rPr>
            </w:pPr>
            <w:r>
              <w:rPr>
                <w:rFonts w:ascii="Arial" w:cs="Arial" w:eastAsia="Arial" w:hAnsi="Arial"/>
                <w:sz w:val="14"/>
                <w:szCs w:val="14"/>
                <w:color w:val="auto"/>
              </w:rPr>
              <w:t>+200</w:t>
            </w:r>
          </w:p>
        </w:tc>
        <w:tc>
          <w:tcPr>
            <w:tcW w:w="18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6"/>
                <w:szCs w:val="16"/>
                <w:color w:val="auto"/>
              </w:rPr>
            </w:pPr>
          </w:p>
        </w:tc>
        <w:tc>
          <w:tcPr>
            <w:tcW w:w="2120" w:type="dxa"/>
            <w:vAlign w:val="bottom"/>
            <w:gridSpan w:val="3"/>
          </w:tcPr>
          <w:p>
            <w:pPr>
              <w:jc w:val="right"/>
              <w:ind w:right="149"/>
              <w:spacing w:after="0"/>
              <w:rPr>
                <w:sz w:val="20"/>
                <w:szCs w:val="20"/>
                <w:color w:val="auto"/>
              </w:rPr>
            </w:pPr>
            <w:r>
              <w:rPr>
                <w:rFonts w:ascii="Arial" w:cs="Arial" w:eastAsia="Arial" w:hAnsi="Arial"/>
                <w:sz w:val="14"/>
                <w:szCs w:val="14"/>
                <w:color w:val="auto"/>
              </w:rPr>
              <w:t>0.2</w:t>
            </w:r>
          </w:p>
        </w:tc>
      </w:tr>
      <w:tr>
        <w:trPr>
          <w:trHeight w:val="181"/>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5"/>
                <w:szCs w:val="15"/>
                <w:color w:val="auto"/>
              </w:rPr>
            </w:pPr>
          </w:p>
        </w:tc>
        <w:tc>
          <w:tcPr>
            <w:tcW w:w="212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(0.3)</w:t>
            </w:r>
          </w:p>
        </w:tc>
      </w:tr>
      <w:tr>
        <w:trPr>
          <w:trHeight w:val="192"/>
        </w:trPr>
        <w:tc>
          <w:tcPr>
            <w:tcW w:w="3740" w:type="dxa"/>
            <w:vAlign w:val="bottom"/>
            <w:gridSpan w:val="2"/>
          </w:tcPr>
          <w:p>
            <w:pPr>
              <w:spacing w:after="0"/>
              <w:rPr>
                <w:sz w:val="20"/>
                <w:szCs w:val="20"/>
                <w:color w:val="auto"/>
              </w:rPr>
            </w:pPr>
            <w:r>
              <w:rPr>
                <w:rFonts w:ascii="Arial" w:cs="Arial" w:eastAsia="Arial" w:hAnsi="Arial"/>
                <w:sz w:val="14"/>
                <w:szCs w:val="14"/>
                <w:color w:val="auto"/>
              </w:rPr>
              <w:t>Base</w:t>
            </w:r>
          </w:p>
        </w:tc>
        <w:tc>
          <w:tcPr>
            <w:tcW w:w="1940" w:type="dxa"/>
            <w:vAlign w:val="bottom"/>
            <w:gridSpan w:val="2"/>
          </w:tcPr>
          <w:p>
            <w:pPr>
              <w:jc w:val="right"/>
              <w:ind w:right="19"/>
              <w:spacing w:after="0"/>
              <w:rPr>
                <w:sz w:val="20"/>
                <w:szCs w:val="20"/>
                <w:color w:val="auto"/>
              </w:rPr>
            </w:pPr>
            <w:r>
              <w:rPr>
                <w:rFonts w:ascii="Arial" w:cs="Arial" w:eastAsia="Arial" w:hAnsi="Arial"/>
                <w:sz w:val="14"/>
                <w:szCs w:val="14"/>
                <w:color w:val="auto"/>
              </w:rPr>
              <w:t>- %</w:t>
            </w:r>
          </w:p>
        </w:tc>
        <w:tc>
          <w:tcPr>
            <w:tcW w:w="2120" w:type="dxa"/>
            <w:vAlign w:val="bottom"/>
            <w:gridSpan w:val="3"/>
          </w:tcPr>
          <w:p>
            <w:pPr>
              <w:jc w:val="right"/>
              <w:spacing w:after="0"/>
              <w:rPr>
                <w:sz w:val="20"/>
                <w:szCs w:val="20"/>
                <w:color w:val="auto"/>
              </w:rPr>
            </w:pPr>
            <w:r>
              <w:rPr>
                <w:rFonts w:ascii="Arial" w:cs="Arial" w:eastAsia="Arial" w:hAnsi="Arial"/>
                <w:sz w:val="14"/>
                <w:szCs w:val="14"/>
                <w:color w:val="auto"/>
              </w:rPr>
              <w:t>- %</w:t>
            </w:r>
          </w:p>
        </w:tc>
      </w:tr>
      <w:tr>
        <w:trPr>
          <w:trHeight w:val="224"/>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09"/>
              <w:spacing w:after="0" w:line="224" w:lineRule="exact"/>
              <w:rPr>
                <w:sz w:val="20"/>
                <w:szCs w:val="20"/>
                <w:color w:val="auto"/>
              </w:rPr>
            </w:pPr>
            <w:r>
              <w:rPr>
                <w:rFonts w:ascii="Arial" w:cs="Arial" w:eastAsia="Arial" w:hAnsi="Arial"/>
                <w:sz w:val="25"/>
                <w:szCs w:val="25"/>
                <w:color w:val="auto"/>
                <w:vertAlign w:val="subscript"/>
              </w:rPr>
              <w:t>NA</w:t>
            </w:r>
            <w:r>
              <w:rPr>
                <w:rFonts w:ascii="Arial" w:cs="Arial" w:eastAsia="Arial" w:hAnsi="Arial"/>
                <w:sz w:val="9"/>
                <w:szCs w:val="9"/>
                <w:color w:val="auto"/>
              </w:rPr>
              <w:t>(1)</w:t>
            </w:r>
          </w:p>
        </w:tc>
      </w:tr>
    </w:tbl>
    <w:p>
      <w:pPr>
        <w:spacing w:after="0" w:line="14" w:lineRule="exact"/>
        <w:rPr>
          <w:sz w:val="20"/>
          <w:szCs w:val="20"/>
          <w:color w:val="auto"/>
        </w:rPr>
      </w:pPr>
    </w:p>
    <w:p>
      <w:pPr>
        <w:ind w:left="800" w:hanging="137"/>
        <w:spacing w:after="0"/>
        <w:tabs>
          <w:tab w:leader="none" w:pos="800" w:val="left"/>
        </w:tabs>
        <w:numPr>
          <w:ilvl w:val="0"/>
          <w:numId w:val="34"/>
        </w:numPr>
        <w:rPr>
          <w:rFonts w:ascii="Arial" w:cs="Arial" w:eastAsia="Arial" w:hAnsi="Arial"/>
          <w:sz w:val="16"/>
          <w:szCs w:val="16"/>
          <w:color w:val="auto"/>
          <w:vertAlign w:val="superscript"/>
        </w:rPr>
      </w:pPr>
      <w:r>
        <w:rPr>
          <w:rFonts w:ascii="Arial" w:cs="Arial" w:eastAsia="Arial" w:hAnsi="Arial"/>
          <w:sz w:val="12"/>
          <w:szCs w:val="12"/>
          <w:color w:val="auto"/>
        </w:rPr>
        <w:t>The Company decided to exclude the down rate environment from its analysis due to the already low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9019"/>
          </w:cols>
          <w:pgMar w:left="1440" w:top="407" w:right="1440" w:bottom="1440" w:gutter="0" w:footer="0" w:header="0"/>
        </w:sectPr>
      </w:pPr>
    </w:p>
    <w:bookmarkStart w:id="70" w:name="page71"/>
    <w:bookmarkEnd w:id="70"/>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98" w:lineRule="exact"/>
        <w:rPr>
          <w:sz w:val="20"/>
          <w:szCs w:val="20"/>
          <w:color w:val="auto"/>
        </w:rPr>
      </w:pPr>
    </w:p>
    <w:p>
      <w:pPr>
        <w:ind w:left="680" w:right="579" w:firstLine="384"/>
        <w:spacing w:after="0" w:line="322" w:lineRule="auto"/>
        <w:rPr>
          <w:sz w:val="20"/>
          <w:szCs w:val="20"/>
          <w:color w:val="auto"/>
        </w:rPr>
      </w:pPr>
      <w:r>
        <w:rPr>
          <w:rFonts w:ascii="Arial" w:cs="Arial" w:eastAsia="Arial" w:hAnsi="Arial"/>
          <w:sz w:val="13"/>
          <w:szCs w:val="13"/>
          <w:color w:val="auto"/>
        </w:rPr>
        <w:t>The Company’s position is slightly asset sensitive as of June 30, 2022. The hypothetical positive change in net interest income as of June 30, 2022 in an up 100 basis point shock is mainly due to approximately $3.5 billion of the Company’s earning assets repricing or maturing within the first year, with $2.9 billion of that being in the first 90 days . In addition, $871 million of the Company’s time deposits and other borrowings mature or reprice within that same 12-month period. Due to rising interest rates a significant portion of loans with floors have moved above the floor rate. The Company currently anticipates that overall cost of funds will lag interest rate increases and will result in an increase to net interest income in all upward rate ramp and shock scenarios. In down rate scenarios, income is predicted to decrease. The Company is monitoring longer term interest rate expectations and is evaluating options to reduce the impact of any downward rate adjustments, including the use of hedges.</w:t>
      </w:r>
    </w:p>
    <w:p>
      <w:pPr>
        <w:spacing w:after="0" w:line="92" w:lineRule="exact"/>
        <w:rPr>
          <w:sz w:val="20"/>
          <w:szCs w:val="20"/>
          <w:color w:val="auto"/>
        </w:rPr>
      </w:pPr>
    </w:p>
    <w:p>
      <w:pPr>
        <w:ind w:left="680" w:right="599" w:firstLine="384"/>
        <w:spacing w:after="0" w:line="364" w:lineRule="auto"/>
        <w:rPr>
          <w:sz w:val="20"/>
          <w:szCs w:val="20"/>
          <w:color w:val="auto"/>
        </w:rPr>
      </w:pPr>
      <w:r>
        <w:rPr>
          <w:rFonts w:ascii="Arial" w:cs="Arial" w:eastAsia="Arial" w:hAnsi="Arial"/>
          <w:sz w:val="12"/>
          <w:szCs w:val="12"/>
          <w:color w:val="auto"/>
        </w:rPr>
        <w:t>The models the Company uses include assumptions regarding interest rates while balances remain unchanged. These assumptions are inherently uncertain and, as a result, the model cannot precisely estimate net interest income or precisely predict the impact of higher or lower interest rates on net interest income. Actual results will differ from simulated results due to timing, magnitude, and frequency of interest rate changes as well as changes in market conditions, customer behavior and management strategies, among other factors.</w:t>
      </w:r>
    </w:p>
    <w:p>
      <w:pPr>
        <w:spacing w:after="0" w:line="230"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4. CONTROLS AND PROCEDURES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78" w:lineRule="exact"/>
        <w:rPr>
          <w:sz w:val="20"/>
          <w:szCs w:val="20"/>
          <w:color w:val="auto"/>
        </w:rPr>
      </w:pPr>
    </w:p>
    <w:p>
      <w:pPr>
        <w:ind w:left="680" w:right="719" w:firstLine="384"/>
        <w:spacing w:after="0" w:line="330" w:lineRule="auto"/>
        <w:rPr>
          <w:sz w:val="20"/>
          <w:szCs w:val="20"/>
          <w:color w:val="auto"/>
        </w:rPr>
      </w:pPr>
      <w:r>
        <w:rPr>
          <w:rFonts w:ascii="Arial" w:cs="Arial" w:eastAsia="Arial" w:hAnsi="Arial"/>
          <w:sz w:val="13"/>
          <w:szCs w:val="13"/>
          <w:color w:val="auto"/>
        </w:rPr>
        <w:t>The Company’s management, with the participation of the Company’s Chief Executive Officer and Chief Financial Officer, has evaluated the effectiveness of the Company’s disclosure controls and procedures (as defined in Rule 13a-15(e) under the Securities Exchange Act of 1934 (“Exchange Act”)) as of June 30, 2022. Based on that evaluation, the Company’s Chief Executive Officer and Chief Financial Officer concluded that the Company’s disclosure controls and procedures were effective as of June 30, 2022.</w:t>
      </w:r>
    </w:p>
    <w:p>
      <w:pPr>
        <w:spacing w:after="0" w:line="85"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78" w:lineRule="exact"/>
        <w:rPr>
          <w:sz w:val="20"/>
          <w:szCs w:val="20"/>
          <w:color w:val="auto"/>
        </w:rPr>
      </w:pPr>
    </w:p>
    <w:p>
      <w:pPr>
        <w:ind w:left="680" w:right="619" w:firstLine="384"/>
        <w:spacing w:after="0" w:line="308" w:lineRule="auto"/>
        <w:rPr>
          <w:sz w:val="20"/>
          <w:szCs w:val="20"/>
          <w:color w:val="auto"/>
        </w:rPr>
      </w:pPr>
      <w:r>
        <w:rPr>
          <w:rFonts w:ascii="Arial" w:cs="Arial" w:eastAsia="Arial" w:hAnsi="Arial"/>
          <w:sz w:val="14"/>
          <w:szCs w:val="14"/>
          <w:color w:val="auto"/>
        </w:rPr>
        <w:t>The Company implemented internal controls to ensure the Company adequately calculated changes due to, and properly assessed the impact of, the accounting standard updates related to the adoption of ASC 326 on January 1, 2022. There were no significant changes to our internal control over financial reporting due to the adoption of the new standard.</w:t>
      </w:r>
    </w:p>
    <w:p>
      <w:pPr>
        <w:spacing w:after="0" w:line="95" w:lineRule="exact"/>
        <w:rPr>
          <w:sz w:val="20"/>
          <w:szCs w:val="20"/>
          <w:color w:val="auto"/>
        </w:rPr>
      </w:pPr>
    </w:p>
    <w:p>
      <w:pPr>
        <w:ind w:left="680" w:right="759" w:firstLine="384"/>
        <w:spacing w:after="0" w:line="308" w:lineRule="auto"/>
        <w:rPr>
          <w:sz w:val="20"/>
          <w:szCs w:val="20"/>
          <w:color w:val="auto"/>
        </w:rPr>
      </w:pPr>
      <w:r>
        <w:rPr>
          <w:rFonts w:ascii="Arial" w:cs="Arial" w:eastAsia="Arial" w:hAnsi="Arial"/>
          <w:sz w:val="14"/>
          <w:szCs w:val="14"/>
          <w:color w:val="auto"/>
        </w:rPr>
        <w:t>No change in the Company’s internal control over financial reporting (as such term is defined in Rule 13a-15(f) under the Exchange Act) that occurred during the second quarter of 2022 has materially affected, or is reasonably likely to materially affect, the Company’s internal control over financial reporting.</w:t>
      </w:r>
    </w:p>
    <w:p>
      <w:pPr>
        <w:spacing w:after="0" w:line="24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PART II - OTHER INFORMATION</w:t>
      </w:r>
    </w:p>
    <w:p>
      <w:pPr>
        <w:spacing w:after="0" w:line="174"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1. LEGAL PROCEEDINGS</w:t>
      </w:r>
    </w:p>
    <w:p>
      <w:pPr>
        <w:spacing w:after="0" w:line="178" w:lineRule="exact"/>
        <w:rPr>
          <w:sz w:val="20"/>
          <w:szCs w:val="20"/>
          <w:color w:val="auto"/>
        </w:rPr>
      </w:pPr>
    </w:p>
    <w:p>
      <w:pPr>
        <w:ind w:left="680" w:right="659" w:firstLine="384"/>
        <w:spacing w:after="0" w:line="325" w:lineRule="auto"/>
        <w:rPr>
          <w:sz w:val="20"/>
          <w:szCs w:val="20"/>
          <w:color w:val="auto"/>
        </w:rPr>
      </w:pPr>
      <w:r>
        <w:rPr>
          <w:rFonts w:ascii="Arial" w:cs="Arial" w:eastAsia="Arial" w:hAnsi="Arial"/>
          <w:sz w:val="13"/>
          <w:szCs w:val="13"/>
          <w:color w:val="auto"/>
        </w:rPr>
        <w:t>In the normal course of business, we are named or threatened to be named as a defendant in various lawsuits. Management, following consultation with legal counsel, does not expect the ultimate disposition of any or a combination of these matters to have a material adverse effect on our business, financial condition, results of operations, cash flows or growth prospects. However, given the nature, scope and complexity of the extensive legal and regulatory landscape applicable to our business (including laws and regulations governing consumer protection, fair lending, fair labor, privacy, information security and anti-money laundering and anti-terrorism laws), we, like all banking organizations, are subject to heightened legal and regulatory compliance and litigation risk.</w:t>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1A. RISK FACTORS</w:t>
      </w:r>
    </w:p>
    <w:p>
      <w:pPr>
        <w:spacing w:after="0" w:line="188" w:lineRule="exact"/>
        <w:rPr>
          <w:sz w:val="20"/>
          <w:szCs w:val="20"/>
          <w:color w:val="auto"/>
        </w:rPr>
      </w:pPr>
    </w:p>
    <w:p>
      <w:pPr>
        <w:ind w:left="540" w:right="739" w:firstLine="395"/>
        <w:spacing w:after="0" w:line="300" w:lineRule="auto"/>
        <w:rPr>
          <w:sz w:val="20"/>
          <w:szCs w:val="20"/>
          <w:color w:val="auto"/>
        </w:rPr>
      </w:pPr>
      <w:r>
        <w:rPr>
          <w:rFonts w:ascii="Arial" w:cs="Arial" w:eastAsia="Arial" w:hAnsi="Arial"/>
          <w:sz w:val="14"/>
          <w:szCs w:val="14"/>
          <w:color w:val="auto"/>
        </w:rPr>
        <w:t>In addition to the other information set forth in this report, you should carefully consider the factors discussed in Part I, "Item 1A. Risk Factors" in our 2021 Form 10-K, which could materially affect our business, financial condition or results of operations in future periods. There were no material changes from the risk factors disclosed in the 2021 Form 10-K.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9019"/>
          </w:cols>
          <w:pgMar w:left="1440" w:top="407" w:right="1440" w:bottom="1440" w:gutter="0" w:footer="0" w:header="0"/>
        </w:sectPr>
      </w:pPr>
    </w:p>
    <w:bookmarkStart w:id="71" w:name="page72"/>
    <w:bookmarkEnd w:id="71"/>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78" w:lineRule="exact"/>
        <w:rPr>
          <w:sz w:val="20"/>
          <w:szCs w:val="20"/>
          <w:color w:val="auto"/>
        </w:rPr>
      </w:pPr>
    </w:p>
    <w:p>
      <w:pPr>
        <w:ind w:left="920" w:hanging="246"/>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None.</w:t>
      </w:r>
    </w:p>
    <w:p>
      <w:pPr>
        <w:spacing w:after="0" w:line="233" w:lineRule="exact"/>
        <w:rPr>
          <w:rFonts w:ascii="Arial" w:cs="Arial" w:eastAsia="Arial" w:hAnsi="Arial"/>
          <w:sz w:val="14"/>
          <w:szCs w:val="14"/>
          <w:color w:val="auto"/>
        </w:rPr>
      </w:pPr>
    </w:p>
    <w:p>
      <w:pPr>
        <w:ind w:left="920" w:hanging="246"/>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233" w:lineRule="exact"/>
        <w:rPr>
          <w:rFonts w:ascii="Arial" w:cs="Arial" w:eastAsia="Arial" w:hAnsi="Arial"/>
          <w:sz w:val="14"/>
          <w:szCs w:val="14"/>
          <w:color w:val="auto"/>
        </w:rPr>
      </w:pPr>
    </w:p>
    <w:p>
      <w:pPr>
        <w:ind w:left="920" w:hanging="246"/>
        <w:spacing w:after="0"/>
        <w:tabs>
          <w:tab w:leader="none" w:pos="920" w:val="left"/>
        </w:tabs>
        <w:numPr>
          <w:ilvl w:val="0"/>
          <w:numId w:val="35"/>
        </w:numPr>
        <w:rPr>
          <w:rFonts w:ascii="Arial" w:cs="Arial" w:eastAsia="Arial" w:hAnsi="Arial"/>
          <w:sz w:val="14"/>
          <w:szCs w:val="14"/>
          <w:color w:val="auto"/>
        </w:rPr>
      </w:pPr>
      <w:r>
        <w:rPr>
          <w:rFonts w:ascii="Arial" w:cs="Arial" w:eastAsia="Arial" w:hAnsi="Arial"/>
          <w:sz w:val="14"/>
          <w:szCs w:val="14"/>
          <w:u w:val="single" w:color="auto"/>
          <w:color w:val="auto"/>
        </w:rPr>
        <w:t>Share Repurchase Program</w:t>
      </w:r>
    </w:p>
    <w:p>
      <w:pPr>
        <w:spacing w:after="0" w:line="31"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The following table summarizes our repurchases of our common shares for the three-months ended June 30, 2022:</w:t>
      </w:r>
    </w:p>
    <w:p>
      <w:pPr>
        <w:spacing w:after="0" w:line="336"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80" w:type="dxa"/>
            <w:vAlign w:val="bottom"/>
          </w:tcPr>
          <w:p>
            <w:pPr>
              <w:spacing w:after="0"/>
              <w:rPr>
                <w:sz w:val="14"/>
                <w:szCs w:val="14"/>
                <w:color w:val="auto"/>
              </w:rPr>
            </w:pPr>
          </w:p>
        </w:tc>
        <w:tc>
          <w:tcPr>
            <w:tcW w:w="2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Approximate Dollar Value of Shares that</w:t>
            </w:r>
          </w:p>
        </w:tc>
      </w:tr>
      <w:tr>
        <w:trPr>
          <w:trHeight w:val="16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80" w:type="dxa"/>
            <w:vAlign w:val="bottom"/>
          </w:tcPr>
          <w:p>
            <w:pPr>
              <w:spacing w:after="0"/>
              <w:rPr>
                <w:sz w:val="13"/>
                <w:szCs w:val="13"/>
                <w:color w:val="auto"/>
              </w:rPr>
            </w:pP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Average Price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 as Part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jc w:val="center"/>
              <w:ind w:right="89"/>
              <w:spacing w:after="0"/>
              <w:rPr>
                <w:sz w:val="20"/>
                <w:szCs w:val="20"/>
                <w:color w:val="auto"/>
              </w:rPr>
            </w:pPr>
            <w:r>
              <w:rPr>
                <w:rFonts w:ascii="Arial" w:cs="Arial" w:eastAsia="Arial" w:hAnsi="Arial"/>
                <w:sz w:val="14"/>
                <w:szCs w:val="14"/>
                <w:b w:val="1"/>
                <w:bCs w:val="1"/>
                <w:color w:val="auto"/>
                <w:w w:val="89"/>
              </w:rPr>
              <w:t>may yet be Purchased as Part of</w:t>
            </w:r>
          </w:p>
        </w:tc>
      </w:tr>
      <w:tr>
        <w:trPr>
          <w:trHeight w:val="160"/>
        </w:trPr>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Paid per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9"/>
              </w:rPr>
              <w:t>Publicly Announced Plans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80" w:type="dxa"/>
            <w:vAlign w:val="bottom"/>
          </w:tcPr>
          <w:p>
            <w:pPr>
              <w:jc w:val="center"/>
              <w:ind w:right="109"/>
              <w:spacing w:after="0"/>
              <w:rPr>
                <w:sz w:val="20"/>
                <w:szCs w:val="20"/>
                <w:color w:val="auto"/>
              </w:rPr>
            </w:pPr>
            <w:r>
              <w:rPr>
                <w:rFonts w:ascii="Arial" w:cs="Arial" w:eastAsia="Arial" w:hAnsi="Arial"/>
                <w:sz w:val="14"/>
                <w:szCs w:val="14"/>
                <w:b w:val="1"/>
                <w:bCs w:val="1"/>
                <w:color w:val="auto"/>
                <w:w w:val="90"/>
              </w:rPr>
              <w:t>Publicly Announced Plans or</w:t>
            </w:r>
          </w:p>
        </w:tc>
      </w:tr>
      <w:tr>
        <w:trPr>
          <w:trHeight w:val="174"/>
        </w:trPr>
        <w:tc>
          <w:tcPr>
            <w:tcW w:w="1200" w:type="dxa"/>
            <w:vAlign w:val="bottom"/>
          </w:tcPr>
          <w:p>
            <w:pPr>
              <w:ind w:left="40"/>
              <w:spacing w:after="0"/>
              <w:rPr>
                <w:sz w:val="20"/>
                <w:szCs w:val="20"/>
                <w:color w:val="auto"/>
              </w:rPr>
            </w:pPr>
            <w:r>
              <w:rPr>
                <w:rFonts w:ascii="Arial" w:cs="Arial" w:eastAsia="Arial" w:hAnsi="Arial"/>
                <w:sz w:val="14"/>
                <w:szCs w:val="14"/>
                <w:b w:val="1"/>
                <w:bCs w:val="1"/>
                <w:color w:val="auto"/>
              </w:rPr>
              <w:t>Calendar Month</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Repurchased</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Share</w:t>
            </w:r>
          </w:p>
        </w:tc>
        <w:tc>
          <w:tcPr>
            <w:tcW w:w="1680" w:type="dxa"/>
            <w:vAlign w:val="bottom"/>
          </w:tcPr>
          <w:p>
            <w:pPr>
              <w:jc w:val="center"/>
              <w:spacing w:after="0" w:line="175" w:lineRule="exact"/>
              <w:rPr>
                <w:sz w:val="20"/>
                <w:szCs w:val="20"/>
                <w:color w:val="auto"/>
              </w:rPr>
            </w:pPr>
            <w:r>
              <w:rPr>
                <w:rFonts w:ascii="Arial" w:cs="Arial" w:eastAsia="Arial" w:hAnsi="Arial"/>
                <w:sz w:val="14"/>
                <w:szCs w:val="14"/>
                <w:b w:val="1"/>
                <w:bCs w:val="1"/>
                <w:color w:val="auto"/>
                <w:w w:val="87"/>
              </w:rPr>
              <w:t>or Programs</w:t>
            </w:r>
            <w:r>
              <w:rPr>
                <w:rFonts w:ascii="Arial" w:cs="Arial" w:eastAsia="Arial" w:hAnsi="Arial"/>
                <w:sz w:val="18"/>
                <w:szCs w:val="18"/>
                <w:b w:val="1"/>
                <w:bCs w:val="1"/>
                <w:color w:val="auto"/>
                <w:w w:val="87"/>
                <w:vertAlign w:val="superscript"/>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tcPr>
          <w:p>
            <w:pPr>
              <w:jc w:val="center"/>
              <w:ind w:right="89"/>
              <w:spacing w:after="0" w:line="175" w:lineRule="exact"/>
              <w:rPr>
                <w:sz w:val="20"/>
                <w:szCs w:val="20"/>
                <w:color w:val="auto"/>
              </w:rPr>
            </w:pPr>
            <w:r>
              <w:rPr>
                <w:rFonts w:ascii="Arial" w:cs="Arial" w:eastAsia="Arial" w:hAnsi="Arial"/>
                <w:sz w:val="14"/>
                <w:szCs w:val="14"/>
                <w:b w:val="1"/>
                <w:bCs w:val="1"/>
                <w:color w:val="auto"/>
                <w:w w:val="87"/>
              </w:rPr>
              <w:t>Programs</w:t>
            </w:r>
            <w:r>
              <w:rPr>
                <w:rFonts w:ascii="Arial" w:cs="Arial" w:eastAsia="Arial" w:hAnsi="Arial"/>
                <w:sz w:val="18"/>
                <w:szCs w:val="18"/>
                <w:b w:val="1"/>
                <w:bCs w:val="1"/>
                <w:color w:val="auto"/>
                <w:w w:val="87"/>
                <w:vertAlign w:val="superscript"/>
              </w:rPr>
              <w:t>(1)</w:t>
            </w:r>
          </w:p>
        </w:tc>
      </w:tr>
      <w:tr>
        <w:trPr>
          <w:trHeight w:val="161"/>
        </w:trPr>
        <w:tc>
          <w:tcPr>
            <w:tcW w:w="1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April 1 - 30</w:t>
            </w:r>
          </w:p>
        </w:tc>
        <w:tc>
          <w:tcPr>
            <w:tcW w:w="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82,580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15.76</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82,580</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23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3,587,329</w:t>
            </w:r>
          </w:p>
        </w:tc>
      </w:tr>
      <w:tr>
        <w:trPr>
          <w:trHeight w:val="181"/>
        </w:trPr>
        <w:tc>
          <w:tcPr>
            <w:tcW w:w="1200" w:type="dxa"/>
            <w:vAlign w:val="bottom"/>
          </w:tcPr>
          <w:p>
            <w:pPr>
              <w:ind w:left="40"/>
              <w:spacing w:after="0"/>
              <w:rPr>
                <w:sz w:val="20"/>
                <w:szCs w:val="20"/>
                <w:color w:val="auto"/>
              </w:rPr>
            </w:pPr>
            <w:r>
              <w:rPr>
                <w:rFonts w:ascii="Arial" w:cs="Arial" w:eastAsia="Arial" w:hAnsi="Arial"/>
                <w:sz w:val="14"/>
                <w:szCs w:val="14"/>
                <w:color w:val="auto"/>
              </w:rPr>
              <w:t>May 1 - 31</w:t>
            </w:r>
          </w:p>
        </w:tc>
        <w:tc>
          <w:tcPr>
            <w:tcW w:w="1220" w:type="dxa"/>
            <w:vAlign w:val="bottom"/>
            <w:gridSpan w:val="3"/>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380" w:type="dxa"/>
            <w:vAlign w:val="bottom"/>
          </w:tcPr>
          <w:p>
            <w:pPr>
              <w:jc w:val="right"/>
              <w:ind w:right="9"/>
              <w:spacing w:after="0"/>
              <w:rPr>
                <w:sz w:val="20"/>
                <w:szCs w:val="20"/>
                <w:color w:val="auto"/>
              </w:rPr>
            </w:pPr>
            <w:r>
              <w:rPr>
                <w:rFonts w:ascii="Arial" w:cs="Arial" w:eastAsia="Arial" w:hAnsi="Arial"/>
                <w:sz w:val="14"/>
                <w:szCs w:val="14"/>
                <w:color w:val="auto"/>
              </w:rPr>
              <w:t>33,587,329</w:t>
            </w:r>
          </w:p>
        </w:tc>
      </w:tr>
      <w:tr>
        <w:trPr>
          <w:trHeight w:val="181"/>
        </w:trPr>
        <w:tc>
          <w:tcPr>
            <w:tcW w:w="1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June 1 - 30</w:t>
            </w:r>
          </w:p>
        </w:tc>
        <w:tc>
          <w:tcPr>
            <w:tcW w:w="160" w:type="dxa"/>
            <w:vAlign w:val="bottom"/>
            <w:gridSpan w:val="2"/>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155,413</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w:t>
            </w: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13.41</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155,413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shd w:val="clear" w:color="auto" w:fill="CCEEFF"/>
              </w:rPr>
              <w:t>$</w:t>
            </w:r>
          </w:p>
        </w:tc>
        <w:tc>
          <w:tcPr>
            <w:tcW w:w="23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31,499,143</w:t>
            </w:r>
          </w:p>
        </w:tc>
      </w:tr>
      <w:tr>
        <w:trPr>
          <w:trHeight w:val="172"/>
        </w:trPr>
        <w:tc>
          <w:tcPr>
            <w:tcW w:w="1200" w:type="dxa"/>
            <w:vAlign w:val="bottom"/>
          </w:tcPr>
          <w:p>
            <w:pPr>
              <w:ind w:left="140"/>
              <w:spacing w:after="0"/>
              <w:rPr>
                <w:sz w:val="20"/>
                <w:szCs w:val="20"/>
                <w:color w:val="auto"/>
              </w:rPr>
            </w:pPr>
            <w:r>
              <w:rPr>
                <w:rFonts w:ascii="Arial" w:cs="Arial" w:eastAsia="Arial" w:hAnsi="Arial"/>
                <w:sz w:val="14"/>
                <w:szCs w:val="14"/>
                <w:color w:val="auto"/>
              </w:rPr>
              <w:t>Total</w:t>
            </w: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237,993</w:t>
            </w:r>
          </w:p>
        </w:tc>
        <w:tc>
          <w:tcPr>
            <w:tcW w:w="2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14.23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237,993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0"/>
        </w:trPr>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321" w:lineRule="exact"/>
        <w:rPr>
          <w:sz w:val="20"/>
          <w:szCs w:val="20"/>
          <w:color w:val="auto"/>
        </w:rPr>
      </w:pPr>
    </w:p>
    <w:p>
      <w:pPr>
        <w:ind w:left="920" w:right="779" w:hanging="257"/>
        <w:spacing w:after="0" w:line="305" w:lineRule="auto"/>
        <w:tabs>
          <w:tab w:leader="none" w:pos="931" w:val="left"/>
        </w:tabs>
        <w:numPr>
          <w:ilvl w:val="0"/>
          <w:numId w:val="36"/>
        </w:numPr>
        <w:rPr>
          <w:rFonts w:ascii="Arial" w:cs="Arial" w:eastAsia="Arial" w:hAnsi="Arial"/>
          <w:sz w:val="15"/>
          <w:szCs w:val="15"/>
          <w:color w:val="auto"/>
          <w:vertAlign w:val="superscript"/>
        </w:rPr>
      </w:pPr>
      <w:r>
        <w:rPr>
          <w:rFonts w:ascii="Arial" w:cs="Arial" w:eastAsia="Arial" w:hAnsi="Arial"/>
          <w:sz w:val="12"/>
          <w:szCs w:val="12"/>
          <w:color w:val="auto"/>
        </w:rPr>
        <w:t>On October 18, 2021, the Company announced that its Board of Directors approved a share repurchase program under which the Company may repurchase up to $30 million of its common stock. On May 10, 2022, the Company announced that its Board of</w:t>
      </w:r>
    </w:p>
    <w:p>
      <w:pPr>
        <w:ind w:left="920" w:right="639"/>
        <w:spacing w:after="0" w:line="343" w:lineRule="auto"/>
        <w:rPr>
          <w:rFonts w:ascii="Arial" w:cs="Arial" w:eastAsia="Arial" w:hAnsi="Arial"/>
          <w:sz w:val="15"/>
          <w:szCs w:val="15"/>
          <w:color w:val="auto"/>
          <w:vertAlign w:val="superscript"/>
        </w:rPr>
      </w:pPr>
      <w:r>
        <w:rPr>
          <w:rFonts w:ascii="Arial" w:cs="Arial" w:eastAsia="Arial" w:hAnsi="Arial"/>
          <w:sz w:val="12"/>
          <w:szCs w:val="12"/>
          <w:color w:val="auto"/>
        </w:rPr>
        <w:t>Directors approved a second share repurchase program under which the Company may repurchase up to $30 million of its common stock. As of June 30, 2022, $31 million remains available for repurchase under our share repurchase programs. Repurchases under</w:t>
      </w:r>
    </w:p>
    <w:p>
      <w:pPr>
        <w:ind w:left="920" w:right="659"/>
        <w:spacing w:after="0" w:line="301" w:lineRule="auto"/>
        <w:rPr>
          <w:rFonts w:ascii="Arial" w:cs="Arial" w:eastAsia="Arial" w:hAnsi="Arial"/>
          <w:sz w:val="15"/>
          <w:szCs w:val="15"/>
          <w:color w:val="auto"/>
          <w:vertAlign w:val="superscript"/>
        </w:rPr>
      </w:pPr>
      <w:r>
        <w:rPr>
          <w:rFonts w:ascii="Arial" w:cs="Arial" w:eastAsia="Arial" w:hAnsi="Arial"/>
          <w:sz w:val="14"/>
          <w:szCs w:val="14"/>
          <w:color w:val="auto"/>
        </w:rPr>
        <w:t>the programs may be made in the open market or privately negotiated transactions in compliance with SEC Rule 10b-18, subject to market conditions, applicable legal requirements and other relevant factors. The program s do not obligate the Company to acquire any amount of common stock and may be suspended at any time at the Company's discretion. No time limit has been set for completion of the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9019"/>
          </w:cols>
          <w:pgMar w:left="1440" w:top="407" w:right="1440" w:bottom="1440" w:gutter="0" w:footer="0" w:header="0"/>
        </w:sectPr>
      </w:pPr>
    </w:p>
    <w:bookmarkStart w:id="72" w:name="page73"/>
    <w:bookmarkEnd w:id="72"/>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7"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ITEM 6. EXHIBITS</w:t>
      </w:r>
    </w:p>
    <w:p>
      <w:pPr>
        <w:spacing w:after="0" w:line="370" w:lineRule="exact"/>
        <w:rPr>
          <w:sz w:val="20"/>
          <w:szCs w:val="20"/>
          <w:color w:val="auto"/>
        </w:rPr>
      </w:pPr>
    </w:p>
    <w:tbl>
      <w:tblPr>
        <w:tblLayout w:type="fixed"/>
        <w:tblInd w:w="54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Number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22"/>
          </w:tcPr>
          <w:p>
            <w:pPr>
              <w:spacing w:after="0"/>
              <w:rPr>
                <w:sz w:val="20"/>
                <w:szCs w:val="20"/>
                <w:color w:val="auto"/>
              </w:rPr>
            </w:pPr>
            <w:r>
              <w:rPr>
                <w:rFonts w:ascii="Arial" w:cs="Arial" w:eastAsia="Arial" w:hAnsi="Arial"/>
                <w:sz w:val="14"/>
                <w:szCs w:val="14"/>
                <w:color w:val="auto"/>
              </w:rPr>
              <w:t>Exhibit Description</w:t>
            </w: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29"/>
        </w:trPr>
        <w:tc>
          <w:tcPr>
            <w:tcW w:w="220" w:type="dxa"/>
            <w:vAlign w:val="bottom"/>
            <w:gridSpan w:val="2"/>
          </w:tcPr>
          <w:p>
            <w:pPr>
              <w:ind w:left="40"/>
              <w:spacing w:after="0" w:line="129" w:lineRule="exact"/>
              <w:rPr>
                <w:rFonts w:ascii="Arial" w:cs="Arial" w:eastAsia="Arial" w:hAnsi="Arial"/>
                <w:sz w:val="14"/>
                <w:szCs w:val="14"/>
                <w:color w:val="0000FF"/>
                <w:w w:val="71"/>
              </w:rPr>
            </w:pPr>
            <w:hyperlink r:id="rId81">
              <w:r>
                <w:rPr>
                  <w:rFonts w:ascii="Arial" w:cs="Arial" w:eastAsia="Arial" w:hAnsi="Arial"/>
                  <w:sz w:val="14"/>
                  <w:szCs w:val="14"/>
                  <w:color w:val="0000FF"/>
                  <w:w w:val="71"/>
                </w:rPr>
                <w:t>3.</w:t>
              </w:r>
              <w:r>
                <w:rPr>
                  <w:rFonts w:ascii="Arial" w:cs="Arial" w:eastAsia="Arial" w:hAnsi="Arial"/>
                  <w:sz w:val="14"/>
                  <w:szCs w:val="14"/>
                  <w:u w:val="single" w:color="auto"/>
                  <w:color w:val="0000FF"/>
                  <w:w w:val="71"/>
                </w:rPr>
                <w:t>1</w:t>
              </w:r>
            </w:hyperlink>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40" w:type="dxa"/>
            <w:vAlign w:val="bottom"/>
            <w:gridSpan w:val="22"/>
          </w:tcPr>
          <w:p>
            <w:pPr>
              <w:spacing w:after="0" w:line="129" w:lineRule="exact"/>
              <w:rPr>
                <w:rFonts w:ascii="Arial" w:cs="Arial" w:eastAsia="Arial" w:hAnsi="Arial"/>
                <w:sz w:val="14"/>
                <w:szCs w:val="14"/>
                <w:color w:val="0000FF"/>
                <w:w w:val="96"/>
              </w:rPr>
            </w:pPr>
            <w:hyperlink r:id="rId81">
              <w:r>
                <w:rPr>
                  <w:rFonts w:ascii="Arial" w:cs="Arial" w:eastAsia="Arial" w:hAnsi="Arial"/>
                  <w:sz w:val="14"/>
                  <w:szCs w:val="14"/>
                  <w:color w:val="0000FF"/>
                  <w:w w:val="96"/>
                </w:rPr>
                <w:t>Articles of Incorporation of CrossFirst Bankshares, Inc. (incorporated by reference to Exhibit 3.1 to the Company's</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22"/>
          </w:tcPr>
          <w:p>
            <w:pPr>
              <w:spacing w:after="0"/>
              <w:rPr>
                <w:rFonts w:ascii="Arial" w:cs="Arial" w:eastAsia="Arial" w:hAnsi="Arial"/>
                <w:sz w:val="14"/>
                <w:szCs w:val="14"/>
                <w:color w:val="0000FF"/>
              </w:rPr>
            </w:pPr>
            <w:hyperlink r:id="rId81">
              <w:r>
                <w:rPr>
                  <w:rFonts w:ascii="Arial" w:cs="Arial" w:eastAsia="Arial" w:hAnsi="Arial"/>
                  <w:sz w:val="14"/>
                  <w:szCs w:val="14"/>
                  <w:color w:val="0000FF"/>
                </w:rPr>
                <w:t>Registration Statement on Form S-1 as filed with the SEC on July 18, 2019, File No. 333 -232704).</w:t>
              </w:r>
            </w:hyperlink>
          </w:p>
        </w:tc>
      </w:tr>
      <w:tr>
        <w:trPr>
          <w:trHeight w:val="20"/>
        </w:trPr>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220" w:type="dxa"/>
            <w:vAlign w:val="bottom"/>
            <w:gridSpan w:val="2"/>
          </w:tcPr>
          <w:p>
            <w:pPr>
              <w:ind w:left="40"/>
              <w:spacing w:after="0"/>
              <w:rPr>
                <w:rFonts w:ascii="Arial" w:cs="Arial" w:eastAsia="Arial" w:hAnsi="Arial"/>
                <w:sz w:val="14"/>
                <w:szCs w:val="14"/>
                <w:color w:val="0000FF"/>
                <w:w w:val="71"/>
              </w:rPr>
            </w:pPr>
            <w:hyperlink r:id="rId82">
              <w:r>
                <w:rPr>
                  <w:rFonts w:ascii="Arial" w:cs="Arial" w:eastAsia="Arial" w:hAnsi="Arial"/>
                  <w:sz w:val="14"/>
                  <w:szCs w:val="14"/>
                  <w:color w:val="0000FF"/>
                  <w:w w:val="71"/>
                </w:rPr>
                <w:t>3.</w:t>
              </w:r>
              <w:r>
                <w:rPr>
                  <w:rFonts w:ascii="Arial" w:cs="Arial" w:eastAsia="Arial" w:hAnsi="Arial"/>
                  <w:sz w:val="14"/>
                  <w:szCs w:val="14"/>
                  <w:u w:val="single" w:color="auto"/>
                  <w:color w:val="0000FF"/>
                  <w:w w:val="71"/>
                </w:rPr>
                <w:t>2</w:t>
              </w:r>
            </w:hyperlink>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2"/>
          </w:tcPr>
          <w:p>
            <w:pPr>
              <w:spacing w:after="0"/>
              <w:rPr>
                <w:rFonts w:ascii="Arial" w:cs="Arial" w:eastAsia="Arial" w:hAnsi="Arial"/>
                <w:sz w:val="14"/>
                <w:szCs w:val="14"/>
                <w:color w:val="0000FF"/>
                <w:w w:val="94"/>
              </w:rPr>
            </w:pPr>
            <w:hyperlink r:id="rId82">
              <w:r>
                <w:rPr>
                  <w:rFonts w:ascii="Arial" w:cs="Arial" w:eastAsia="Arial" w:hAnsi="Arial"/>
                  <w:sz w:val="14"/>
                  <w:szCs w:val="14"/>
                  <w:color w:val="0000FF"/>
                  <w:w w:val="94"/>
                </w:rPr>
                <w:t>Amendment to Articles of Incorporation of CrossFirst Bankshares, Inc. (incorporated by reference to Exhibit 3.2 to the</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22"/>
          </w:tcPr>
          <w:p>
            <w:pPr>
              <w:spacing w:after="0"/>
              <w:rPr>
                <w:rFonts w:ascii="Arial" w:cs="Arial" w:eastAsia="Arial" w:hAnsi="Arial"/>
                <w:sz w:val="14"/>
                <w:szCs w:val="14"/>
                <w:color w:val="0000FF"/>
              </w:rPr>
            </w:pPr>
            <w:hyperlink r:id="rId82">
              <w:r>
                <w:rPr>
                  <w:rFonts w:ascii="Arial" w:cs="Arial" w:eastAsia="Arial" w:hAnsi="Arial"/>
                  <w:sz w:val="14"/>
                  <w:szCs w:val="14"/>
                  <w:color w:val="0000FF"/>
                </w:rPr>
                <w:t>Company’s Registration Statement on Form S-1 as filed with the SEC on July 18, 2019, File No. 333-232704).</w:t>
              </w:r>
            </w:hyperlink>
          </w:p>
        </w:tc>
      </w:tr>
      <w:tr>
        <w:trPr>
          <w:trHeight w:val="20"/>
        </w:trPr>
        <w:tc>
          <w:tcPr>
            <w:tcW w:w="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72"/>
        </w:trPr>
        <w:tc>
          <w:tcPr>
            <w:tcW w:w="220" w:type="dxa"/>
            <w:vAlign w:val="bottom"/>
            <w:gridSpan w:val="2"/>
          </w:tcPr>
          <w:p>
            <w:pPr>
              <w:ind w:left="40"/>
              <w:spacing w:after="0"/>
              <w:rPr>
                <w:rFonts w:ascii="Arial" w:cs="Arial" w:eastAsia="Arial" w:hAnsi="Arial"/>
                <w:sz w:val="14"/>
                <w:szCs w:val="14"/>
                <w:color w:val="0000FF"/>
                <w:w w:val="71"/>
              </w:rPr>
            </w:pPr>
            <w:hyperlink r:id="rId83">
              <w:r>
                <w:rPr>
                  <w:rFonts w:ascii="Arial" w:cs="Arial" w:eastAsia="Arial" w:hAnsi="Arial"/>
                  <w:sz w:val="14"/>
                  <w:szCs w:val="14"/>
                  <w:color w:val="0000FF"/>
                  <w:w w:val="71"/>
                </w:rPr>
                <w:t>3.</w:t>
              </w:r>
              <w:r>
                <w:rPr>
                  <w:rFonts w:ascii="Arial" w:cs="Arial" w:eastAsia="Arial" w:hAnsi="Arial"/>
                  <w:sz w:val="14"/>
                  <w:szCs w:val="14"/>
                  <w:u w:val="single" w:color="auto"/>
                  <w:color w:val="0000FF"/>
                  <w:w w:val="71"/>
                </w:rPr>
                <w:t>3</w:t>
              </w:r>
            </w:hyperlink>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2"/>
          </w:tcPr>
          <w:p>
            <w:pPr>
              <w:spacing w:after="0"/>
              <w:rPr>
                <w:rFonts w:ascii="Arial" w:cs="Arial" w:eastAsia="Arial" w:hAnsi="Arial"/>
                <w:sz w:val="14"/>
                <w:szCs w:val="14"/>
                <w:color w:val="0000FF"/>
              </w:rPr>
            </w:pPr>
            <w:hyperlink r:id="rId83">
              <w:r>
                <w:rPr>
                  <w:rFonts w:ascii="Arial" w:cs="Arial" w:eastAsia="Arial" w:hAnsi="Arial"/>
                  <w:sz w:val="14"/>
                  <w:szCs w:val="14"/>
                  <w:color w:val="0000FF"/>
                </w:rPr>
                <w:t>Bylaws of CrossFirst Bankshares, Inc. (incorporated by reference to Exhibit 3.3 to the Company's Registration</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2"/>
          </w:tcPr>
          <w:p>
            <w:pPr>
              <w:spacing w:after="0"/>
              <w:rPr>
                <w:rFonts w:ascii="Arial" w:cs="Arial" w:eastAsia="Arial" w:hAnsi="Arial"/>
                <w:sz w:val="14"/>
                <w:szCs w:val="14"/>
                <w:color w:val="0000FF"/>
              </w:rPr>
            </w:pPr>
            <w:hyperlink r:id="rId83">
              <w:r>
                <w:rPr>
                  <w:rFonts w:ascii="Arial" w:cs="Arial" w:eastAsia="Arial" w:hAnsi="Arial"/>
                  <w:sz w:val="14"/>
                  <w:szCs w:val="14"/>
                  <w:color w:val="0000FF"/>
                </w:rPr>
                <w:t>Statement on Form S-1 as filed with the SEC on July 18, 2019, File No. 333-232704).</w:t>
              </w:r>
            </w:hyperlink>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960" w:type="dxa"/>
            <w:vAlign w:val="bottom"/>
            <w:gridSpan w:val="2"/>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10.</w:t>
              </w:r>
              <w:r>
                <w:rPr>
                  <w:rFonts w:ascii="Arial" w:cs="Arial" w:eastAsia="Arial" w:hAnsi="Arial"/>
                  <w:sz w:val="14"/>
                  <w:szCs w:val="14"/>
                  <w:u w:val="single" w:color="auto"/>
                  <w:color w:val="0000FF"/>
                </w:rPr>
                <w:t>1</w:t>
              </w:r>
              <w:r>
                <w:rPr>
                  <w:rFonts w:ascii="Arial" w:cs="Arial" w:eastAsia="Arial" w:hAnsi="Arial"/>
                  <w:sz w:val="14"/>
                  <w:szCs w:val="14"/>
                  <w:color w:val="000000"/>
                </w:rPr>
                <w:t>†</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22"/>
          </w:tcPr>
          <w:p>
            <w:pPr>
              <w:spacing w:after="0"/>
              <w:rPr>
                <w:rFonts w:ascii="Arial" w:cs="Arial" w:eastAsia="Arial" w:hAnsi="Arial"/>
                <w:sz w:val="14"/>
                <w:szCs w:val="14"/>
                <w:color w:val="0000FF"/>
              </w:rPr>
            </w:pPr>
            <w:hyperlink w:anchor="page75">
              <w:r>
                <w:rPr>
                  <w:rFonts w:ascii="Arial" w:cs="Arial" w:eastAsia="Arial" w:hAnsi="Arial"/>
                  <w:sz w:val="14"/>
                  <w:szCs w:val="14"/>
                  <w:color w:val="0000FF"/>
                </w:rPr>
                <w:t>Amended and Restated Employment Agreement with W. Randall Rapp, effective July 1, 2022</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72"/>
        </w:trPr>
        <w:tc>
          <w:tcPr>
            <w:tcW w:w="1000" w:type="dxa"/>
            <w:vAlign w:val="bottom"/>
            <w:gridSpan w:val="3"/>
          </w:tcPr>
          <w:p>
            <w:pPr>
              <w:ind w:left="40"/>
              <w:spacing w:after="0"/>
              <w:rPr>
                <w:rFonts w:ascii="Arial" w:cs="Arial" w:eastAsia="Arial" w:hAnsi="Arial"/>
                <w:sz w:val="14"/>
                <w:szCs w:val="14"/>
                <w:color w:val="0000FF"/>
              </w:rPr>
            </w:pPr>
            <w:hyperlink w:anchor="page85">
              <w:r>
                <w:rPr>
                  <w:rFonts w:ascii="Arial" w:cs="Arial" w:eastAsia="Arial" w:hAnsi="Arial"/>
                  <w:sz w:val="14"/>
                  <w:szCs w:val="14"/>
                  <w:color w:val="0000FF"/>
                </w:rPr>
                <w:t>31.</w:t>
              </w:r>
              <w:r>
                <w:rPr>
                  <w:rFonts w:ascii="Arial" w:cs="Arial" w:eastAsia="Arial" w:hAnsi="Arial"/>
                  <w:sz w:val="14"/>
                  <w:szCs w:val="14"/>
                  <w:u w:val="single" w:color="auto"/>
                  <w:color w:val="0000FF"/>
                </w:rPr>
                <w:t>1</w:t>
              </w:r>
              <w:r>
                <w:rPr>
                  <w:rFonts w:ascii="Arial" w:cs="Arial" w:eastAsia="Arial" w:hAnsi="Arial"/>
                  <w:sz w:val="14"/>
                  <w:szCs w:val="14"/>
                  <w:color w:val="000000"/>
                </w:rPr>
                <w:t>*</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2"/>
          </w:tcPr>
          <w:p>
            <w:pPr>
              <w:spacing w:after="0"/>
              <w:rPr>
                <w:rFonts w:ascii="Arial" w:cs="Arial" w:eastAsia="Arial" w:hAnsi="Arial"/>
                <w:sz w:val="14"/>
                <w:szCs w:val="14"/>
                <w:color w:val="0000FF"/>
                <w:w w:val="96"/>
              </w:rPr>
            </w:pPr>
            <w:hyperlink w:anchor="page85">
              <w:r>
                <w:rPr>
                  <w:rFonts w:ascii="Arial" w:cs="Arial" w:eastAsia="Arial" w:hAnsi="Arial"/>
                  <w:sz w:val="14"/>
                  <w:szCs w:val="14"/>
                  <w:color w:val="0000FF"/>
                  <w:w w:val="96"/>
                </w:rPr>
                <w:t>Certification of Principal Executive Officer pursuant to Rule 13a-14(a) of the Exchange Act, as adopted pursuant to</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80" w:type="dxa"/>
            <w:vAlign w:val="bottom"/>
            <w:tcBorders>
              <w:bottom w:val="single" w:sz="8" w:color="0000FF"/>
            </w:tcBorders>
            <w:gridSpan w:val="3"/>
          </w:tcPr>
          <w:p>
            <w:pPr>
              <w:spacing w:after="0"/>
              <w:rPr>
                <w:rFonts w:ascii="Arial" w:cs="Arial" w:eastAsia="Arial" w:hAnsi="Arial"/>
                <w:sz w:val="14"/>
                <w:szCs w:val="14"/>
                <w:color w:val="0000FF"/>
                <w:w w:val="91"/>
              </w:rPr>
            </w:pPr>
            <w:hyperlink w:anchor="page85">
              <w:r>
                <w:rPr>
                  <w:rFonts w:ascii="Arial" w:cs="Arial" w:eastAsia="Arial" w:hAnsi="Arial"/>
                  <w:sz w:val="14"/>
                  <w:szCs w:val="14"/>
                  <w:color w:val="0000FF"/>
                  <w:w w:val="91"/>
                </w:rPr>
                <w:t>Section 302 of the Sarbanes-Oxley Act of 2002</w:t>
              </w:r>
            </w:hyperlink>
          </w:p>
        </w:tc>
        <w:tc>
          <w:tcPr>
            <w:tcW w:w="4160" w:type="dxa"/>
            <w:vAlign w:val="bottom"/>
            <w:gridSpan w:val="19"/>
          </w:tcPr>
          <w:p>
            <w:pPr>
              <w:spacing w:after="0"/>
              <w:rPr>
                <w:sz w:val="15"/>
                <w:szCs w:val="15"/>
                <w:color w:val="auto"/>
              </w:rPr>
            </w:pPr>
          </w:p>
        </w:tc>
      </w:tr>
      <w:tr>
        <w:trPr>
          <w:trHeight w:val="172"/>
        </w:trPr>
        <w:tc>
          <w:tcPr>
            <w:tcW w:w="1000" w:type="dxa"/>
            <w:vAlign w:val="bottom"/>
            <w:gridSpan w:val="3"/>
          </w:tcPr>
          <w:p>
            <w:pPr>
              <w:ind w:left="40"/>
              <w:spacing w:after="0"/>
              <w:rPr>
                <w:rFonts w:ascii="Arial" w:cs="Arial" w:eastAsia="Arial" w:hAnsi="Arial"/>
                <w:sz w:val="14"/>
                <w:szCs w:val="14"/>
                <w:color w:val="0000FF"/>
              </w:rPr>
            </w:pPr>
            <w:hyperlink w:anchor="page87">
              <w:r>
                <w:rPr>
                  <w:rFonts w:ascii="Arial" w:cs="Arial" w:eastAsia="Arial" w:hAnsi="Arial"/>
                  <w:sz w:val="14"/>
                  <w:szCs w:val="14"/>
                  <w:color w:val="0000FF"/>
                </w:rPr>
                <w:t>31.</w:t>
              </w:r>
              <w:r>
                <w:rPr>
                  <w:rFonts w:ascii="Arial" w:cs="Arial" w:eastAsia="Arial" w:hAnsi="Arial"/>
                  <w:sz w:val="14"/>
                  <w:szCs w:val="14"/>
                  <w:u w:val="single" w:color="auto"/>
                  <w:color w:val="0000FF"/>
                </w:rPr>
                <w:t>2</w:t>
              </w:r>
              <w:r>
                <w:rPr>
                  <w:rFonts w:ascii="Arial" w:cs="Arial" w:eastAsia="Arial" w:hAnsi="Arial"/>
                  <w:sz w:val="14"/>
                  <w:szCs w:val="14"/>
                  <w:color w:val="000000"/>
                </w:rPr>
                <w:t>*</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40" w:type="dxa"/>
            <w:vAlign w:val="bottom"/>
            <w:gridSpan w:val="22"/>
          </w:tcPr>
          <w:p>
            <w:pPr>
              <w:spacing w:after="0"/>
              <w:rPr>
                <w:rFonts w:ascii="Arial" w:cs="Arial" w:eastAsia="Arial" w:hAnsi="Arial"/>
                <w:sz w:val="14"/>
                <w:szCs w:val="14"/>
                <w:color w:val="0000FF"/>
                <w:w w:val="96"/>
              </w:rPr>
            </w:pPr>
            <w:hyperlink w:anchor="page87">
              <w:r>
                <w:rPr>
                  <w:rFonts w:ascii="Arial" w:cs="Arial" w:eastAsia="Arial" w:hAnsi="Arial"/>
                  <w:sz w:val="14"/>
                  <w:szCs w:val="14"/>
                  <w:color w:val="0000FF"/>
                  <w:w w:val="96"/>
                </w:rPr>
                <w:t>Certification of Principal Financial Officer pursuant to Rule 13a-14(a) of the Exchange Act, as adopted pursuant to</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80" w:type="dxa"/>
            <w:vAlign w:val="bottom"/>
            <w:tcBorders>
              <w:bottom w:val="single" w:sz="8" w:color="0000FF"/>
            </w:tcBorders>
            <w:gridSpan w:val="3"/>
          </w:tcPr>
          <w:p>
            <w:pPr>
              <w:spacing w:after="0"/>
              <w:rPr>
                <w:rFonts w:ascii="Arial" w:cs="Arial" w:eastAsia="Arial" w:hAnsi="Arial"/>
                <w:sz w:val="14"/>
                <w:szCs w:val="14"/>
                <w:color w:val="0000FF"/>
                <w:w w:val="91"/>
              </w:rPr>
            </w:pPr>
            <w:hyperlink w:anchor="page87">
              <w:r>
                <w:rPr>
                  <w:rFonts w:ascii="Arial" w:cs="Arial" w:eastAsia="Arial" w:hAnsi="Arial"/>
                  <w:sz w:val="14"/>
                  <w:szCs w:val="14"/>
                  <w:color w:val="0000FF"/>
                  <w:w w:val="91"/>
                </w:rPr>
                <w:t>Section 302 of the Sarbanes-Oxley Act of 2002</w:t>
              </w:r>
            </w:hyperlink>
          </w:p>
        </w:tc>
        <w:tc>
          <w:tcPr>
            <w:tcW w:w="4160" w:type="dxa"/>
            <w:vAlign w:val="bottom"/>
            <w:gridSpan w:val="19"/>
          </w:tcPr>
          <w:p>
            <w:pPr>
              <w:spacing w:after="0"/>
              <w:rPr>
                <w:sz w:val="14"/>
                <w:szCs w:val="14"/>
                <w:color w:val="auto"/>
              </w:rPr>
            </w:pPr>
          </w:p>
        </w:tc>
      </w:tr>
      <w:tr>
        <w:trPr>
          <w:trHeight w:val="183"/>
        </w:trPr>
        <w:tc>
          <w:tcPr>
            <w:tcW w:w="1000" w:type="dxa"/>
            <w:vAlign w:val="bottom"/>
            <w:gridSpan w:val="3"/>
          </w:tcPr>
          <w:p>
            <w:pPr>
              <w:ind w:left="40"/>
              <w:spacing w:after="0"/>
              <w:rPr>
                <w:rFonts w:ascii="Arial" w:cs="Arial" w:eastAsia="Arial" w:hAnsi="Arial"/>
                <w:sz w:val="14"/>
                <w:szCs w:val="14"/>
                <w:color w:val="0000FF"/>
              </w:rPr>
            </w:pPr>
            <w:hyperlink w:anchor="page88">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40" w:type="dxa"/>
            <w:vAlign w:val="bottom"/>
            <w:gridSpan w:val="22"/>
          </w:tcPr>
          <w:p>
            <w:pPr>
              <w:spacing w:after="0"/>
              <w:rPr>
                <w:rFonts w:ascii="Arial" w:cs="Arial" w:eastAsia="Arial" w:hAnsi="Arial"/>
                <w:sz w:val="14"/>
                <w:szCs w:val="14"/>
                <w:color w:val="0000FF"/>
                <w:w w:val="96"/>
              </w:rPr>
            </w:pPr>
            <w:hyperlink w:anchor="page88">
              <w:r>
                <w:rPr>
                  <w:rFonts w:ascii="Arial" w:cs="Arial" w:eastAsia="Arial" w:hAnsi="Arial"/>
                  <w:sz w:val="14"/>
                  <w:szCs w:val="14"/>
                  <w:color w:val="0000FF"/>
                  <w:w w:val="96"/>
                </w:rPr>
                <w:t>Certification pursuant to 18 U.S.C. Section 1350, as adopted pursuant to Section 906 of the Sarbanes-Oxley Act of</w:t>
              </w:r>
            </w:hyperlink>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gridSpan w:val="4"/>
          </w:tcPr>
          <w:p>
            <w:pPr>
              <w:ind w:left="80"/>
              <w:spacing w:after="0"/>
              <w:rPr>
                <w:rFonts w:ascii="Arial" w:cs="Arial" w:eastAsia="Arial" w:hAnsi="Arial"/>
                <w:sz w:val="14"/>
                <w:szCs w:val="14"/>
                <w:color w:val="0000FF"/>
                <w:w w:val="83"/>
              </w:rPr>
            </w:pPr>
            <w:hyperlink w:anchor="page88">
              <w:r>
                <w:rPr>
                  <w:rFonts w:ascii="Arial" w:cs="Arial" w:eastAsia="Arial" w:hAnsi="Arial"/>
                  <w:sz w:val="14"/>
                  <w:szCs w:val="14"/>
                  <w:color w:val="0000FF"/>
                  <w:w w:val="83"/>
                </w:rPr>
                <w:t>2002</w:t>
              </w:r>
            </w:hyperlink>
          </w:p>
        </w:tc>
        <w:tc>
          <w:tcPr>
            <w:tcW w:w="2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560" w:type="dxa"/>
            <w:vAlign w:val="bottom"/>
            <w:gridSpan w:val="20"/>
          </w:tcPr>
          <w:p>
            <w:pPr>
              <w:spacing w:after="0" w:line="20" w:lineRule="exact"/>
              <w:rPr>
                <w:sz w:val="1"/>
                <w:szCs w:val="1"/>
                <w:color w:val="auto"/>
              </w:rPr>
            </w:pPr>
          </w:p>
        </w:tc>
      </w:tr>
      <w:tr>
        <w:trPr>
          <w:trHeight w:val="214"/>
        </w:trPr>
        <w:tc>
          <w:tcPr>
            <w:tcW w:w="4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101.INS*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40" w:type="dxa"/>
            <w:vAlign w:val="bottom"/>
            <w:gridSpan w:val="22"/>
          </w:tcPr>
          <w:p>
            <w:pPr>
              <w:spacing w:after="0"/>
              <w:rPr>
                <w:sz w:val="20"/>
                <w:szCs w:val="20"/>
                <w:color w:val="auto"/>
              </w:rPr>
            </w:pPr>
            <w:r>
              <w:rPr>
                <w:rFonts w:ascii="Arial" w:cs="Arial" w:eastAsia="Arial" w:hAnsi="Arial"/>
                <w:sz w:val="14"/>
                <w:szCs w:val="14"/>
                <w:color w:val="auto"/>
                <w:w w:val="93"/>
              </w:rPr>
              <w:t>XBRL Instance Document - the instance document does not appear in the Interactive Data File because its XBRL tags</w:t>
            </w:r>
          </w:p>
        </w:tc>
      </w:tr>
      <w:tr>
        <w:trPr>
          <w:trHeight w:val="192"/>
        </w:trPr>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22"/>
          </w:tcPr>
          <w:p>
            <w:pPr>
              <w:spacing w:after="0"/>
              <w:rPr>
                <w:sz w:val="20"/>
                <w:szCs w:val="20"/>
                <w:color w:val="auto"/>
              </w:rPr>
            </w:pPr>
            <w:r>
              <w:rPr>
                <w:rFonts w:ascii="Arial" w:cs="Arial" w:eastAsia="Arial" w:hAnsi="Arial"/>
                <w:sz w:val="14"/>
                <w:szCs w:val="14"/>
                <w:color w:val="auto"/>
              </w:rPr>
              <w:t>are embedded within the Inline XBRL document</w:t>
            </w:r>
          </w:p>
        </w:tc>
      </w:tr>
      <w:tr>
        <w:trPr>
          <w:trHeight w:val="192"/>
        </w:trPr>
        <w:tc>
          <w:tcPr>
            <w:tcW w:w="4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101.SCH*</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22"/>
          </w:tcPr>
          <w:p>
            <w:pPr>
              <w:spacing w:after="0"/>
              <w:rPr>
                <w:sz w:val="20"/>
                <w:szCs w:val="20"/>
                <w:color w:val="auto"/>
              </w:rPr>
            </w:pPr>
            <w:r>
              <w:rPr>
                <w:rFonts w:ascii="Arial" w:cs="Arial" w:eastAsia="Arial" w:hAnsi="Arial"/>
                <w:sz w:val="14"/>
                <w:szCs w:val="14"/>
                <w:color w:val="auto"/>
              </w:rPr>
              <w:t>XBRL Taxonomy Extension Schema Document</w:t>
            </w:r>
          </w:p>
        </w:tc>
      </w:tr>
      <w:tr>
        <w:trPr>
          <w:trHeight w:val="203"/>
        </w:trPr>
        <w:tc>
          <w:tcPr>
            <w:tcW w:w="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22"/>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192"/>
        </w:trPr>
        <w:tc>
          <w:tcPr>
            <w:tcW w:w="4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101.DEF*</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22"/>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203"/>
        </w:trPr>
        <w:tc>
          <w:tcPr>
            <w:tcW w:w="4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40" w:type="dxa"/>
            <w:vAlign w:val="bottom"/>
            <w:gridSpan w:val="22"/>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192"/>
        </w:trPr>
        <w:tc>
          <w:tcPr>
            <w:tcW w:w="4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101.PRE*</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22"/>
          </w:tcPr>
          <w:p>
            <w:pPr>
              <w:spacing w:after="0"/>
              <w:rPr>
                <w:sz w:val="20"/>
                <w:szCs w:val="20"/>
                <w:color w:val="auto"/>
              </w:rPr>
            </w:pPr>
            <w:r>
              <w:rPr>
                <w:rFonts w:ascii="Arial" w:cs="Arial" w:eastAsia="Arial" w:hAnsi="Arial"/>
                <w:sz w:val="14"/>
                <w:szCs w:val="14"/>
                <w:color w:val="auto"/>
              </w:rPr>
              <w:t>XBRL Taxonomy Extension Presentation Linkbase Document</w:t>
            </w:r>
          </w:p>
        </w:tc>
      </w:tr>
      <w:tr>
        <w:trPr>
          <w:trHeight w:val="192"/>
        </w:trPr>
        <w:tc>
          <w:tcPr>
            <w:tcW w:w="1000" w:type="dxa"/>
            <w:vAlign w:val="bottom"/>
            <w:gridSpan w:val="3"/>
          </w:tcPr>
          <w:p>
            <w:pPr>
              <w:ind w:left="40"/>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40" w:type="dxa"/>
            <w:vAlign w:val="bottom"/>
            <w:gridSpan w:val="22"/>
          </w:tcPr>
          <w:p>
            <w:pPr>
              <w:spacing w:after="0"/>
              <w:rPr>
                <w:sz w:val="20"/>
                <w:szCs w:val="20"/>
                <w:color w:val="auto"/>
              </w:rPr>
            </w:pPr>
            <w:r>
              <w:rPr>
                <w:rFonts w:ascii="Arial" w:cs="Arial" w:eastAsia="Arial" w:hAnsi="Arial"/>
                <w:sz w:val="14"/>
                <w:szCs w:val="14"/>
                <w:color w:val="auto"/>
              </w:rPr>
              <w:t>Cover Page Interactive Data File (formation in Inline XBRL and contained in Exhibit 101)</w:t>
            </w:r>
          </w:p>
        </w:tc>
      </w:tr>
    </w:tbl>
    <w:p>
      <w:pPr>
        <w:spacing w:after="0" w:line="343" w:lineRule="exact"/>
        <w:rPr>
          <w:sz w:val="20"/>
          <w:szCs w:val="20"/>
          <w:color w:val="auto"/>
        </w:rPr>
      </w:pPr>
    </w:p>
    <w:p>
      <w:pPr>
        <w:ind w:left="1560" w:hanging="502"/>
        <w:spacing w:after="0"/>
        <w:tabs>
          <w:tab w:leader="none" w:pos="15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70" w:lineRule="exact"/>
        <w:rPr>
          <w:sz w:val="20"/>
          <w:szCs w:val="20"/>
          <w:color w:val="auto"/>
        </w:rPr>
      </w:pPr>
    </w:p>
    <w:p>
      <w:pPr>
        <w:ind w:left="1560" w:hanging="502"/>
        <w:spacing w:after="0"/>
        <w:tabs>
          <w:tab w:leader="none" w:pos="15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9" w:lineRule="exact"/>
        <w:rPr>
          <w:sz w:val="20"/>
          <w:szCs w:val="20"/>
          <w:color w:val="auto"/>
        </w:rPr>
      </w:pPr>
    </w:p>
    <w:p>
      <w:pPr>
        <w:ind w:left="1560" w:hanging="502"/>
        <w:spacing w:after="0"/>
        <w:tabs>
          <w:tab w:leader="none" w:pos="15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Indicates a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9019"/>
          </w:cols>
          <w:pgMar w:left="1440" w:top="407" w:right="1440" w:bottom="1440" w:gutter="0" w:footer="0" w:header="0"/>
        </w:sectPr>
      </w:pPr>
    </w:p>
    <w:bookmarkStart w:id="73" w:name="page74"/>
    <w:bookmarkEnd w:id="73"/>
    <w:p>
      <w:pPr>
        <w:ind w:left="540"/>
        <w:spacing w:after="0"/>
        <w:rPr>
          <w:rFonts w:ascii="Arial" w:cs="Arial" w:eastAsia="Arial" w:hAnsi="Arial"/>
          <w:sz w:val="14"/>
          <w:szCs w:val="14"/>
          <w:u w:val="single" w:color="auto"/>
          <w:color w:val="0000FF"/>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r>
      <w:hyperlink w:anchor="page2">
        <w:r>
          <w:rPr>
            <w:rFonts w:ascii="Arial" w:cs="Arial" w:eastAsia="Arial" w:hAnsi="Arial"/>
            <w:sz w:val="14"/>
            <w:szCs w:val="14"/>
            <w:u w:val="single" w:color="auto"/>
            <w:color w:val="0000FF"/>
          </w:rPr>
          <w:t>Table of Contents</w:t>
        </w:r>
      </w:hyperlink>
    </w:p>
    <w:p>
      <w:pPr>
        <w:spacing w:after="0" w:line="287"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SIGNATURE</w:t>
      </w:r>
    </w:p>
    <w:p>
      <w:pPr>
        <w:spacing w:after="0" w:line="178" w:lineRule="exact"/>
        <w:rPr>
          <w:sz w:val="20"/>
          <w:szCs w:val="20"/>
          <w:color w:val="auto"/>
        </w:rPr>
      </w:pPr>
    </w:p>
    <w:p>
      <w:pPr>
        <w:ind w:left="680" w:right="579" w:firstLine="384"/>
        <w:spacing w:after="0" w:line="294"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thereunto duly authorized.</w:t>
      </w:r>
    </w:p>
    <w:p>
      <w:pPr>
        <w:ind w:left="4680"/>
        <w:spacing w:after="0"/>
        <w:rPr>
          <w:sz w:val="20"/>
          <w:szCs w:val="20"/>
          <w:color w:val="auto"/>
        </w:rPr>
      </w:pPr>
      <w:r>
        <w:rPr>
          <w:rFonts w:ascii="Arial" w:cs="Arial" w:eastAsia="Arial" w:hAnsi="Arial"/>
          <w:sz w:val="14"/>
          <w:szCs w:val="14"/>
          <w:color w:val="auto"/>
        </w:rPr>
        <w:t>CrossFirst Bankshares, Inc.</w:t>
      </w:r>
    </w:p>
    <w:p>
      <w:pPr>
        <w:spacing w:after="0" w:line="159" w:lineRule="exact"/>
        <w:rPr>
          <w:sz w:val="20"/>
          <w:szCs w:val="20"/>
          <w:color w:val="auto"/>
        </w:rPr>
      </w:pPr>
    </w:p>
    <w:p>
      <w:pPr>
        <w:ind w:left="700"/>
        <w:spacing w:after="0"/>
        <w:tabs>
          <w:tab w:leader="none" w:pos="4660" w:val="left"/>
        </w:tabs>
        <w:rPr>
          <w:sz w:val="20"/>
          <w:szCs w:val="20"/>
          <w:color w:val="auto"/>
        </w:rPr>
      </w:pPr>
      <w:r>
        <w:rPr>
          <w:rFonts w:ascii="Arial" w:cs="Arial" w:eastAsia="Arial" w:hAnsi="Arial"/>
          <w:sz w:val="14"/>
          <w:szCs w:val="14"/>
          <w:color w:val="auto"/>
        </w:rPr>
        <w:t>August 3, 2022</w:t>
      </w:r>
      <w:r>
        <w:rPr>
          <w:sz w:val="20"/>
          <w:szCs w:val="20"/>
          <w:color w:val="auto"/>
        </w:rPr>
        <w:tab/>
      </w:r>
      <w:r>
        <w:rPr>
          <w:rFonts w:ascii="Arial" w:cs="Arial" w:eastAsia="Arial" w:hAnsi="Arial"/>
          <w:sz w:val="12"/>
          <w:szCs w:val="12"/>
          <w:color w:val="auto"/>
        </w:rPr>
        <w:t>/s/ Benjamin R. Clouse</w:t>
      </w:r>
    </w:p>
    <w:p>
      <w:pPr>
        <w:spacing w:after="0" w:line="20"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Benjamin R. Clouse</w:t>
      </w:r>
    </w:p>
    <w:p>
      <w:pPr>
        <w:spacing w:after="0" w:line="11"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Chief Financial Officer</w:t>
      </w:r>
    </w:p>
    <w:p>
      <w:pPr>
        <w:spacing w:after="0" w:line="7" w:lineRule="exact"/>
        <w:rPr>
          <w:sz w:val="20"/>
          <w:szCs w:val="20"/>
          <w:color w:val="auto"/>
        </w:rPr>
      </w:pPr>
    </w:p>
    <w:p>
      <w:pPr>
        <w:ind w:left="4680"/>
        <w:spacing w:after="0"/>
        <w:rPr>
          <w:sz w:val="20"/>
          <w:szCs w:val="20"/>
          <w:color w:val="auto"/>
        </w:rPr>
      </w:pPr>
      <w:r>
        <w:rPr>
          <w:rFonts w:ascii="Arial" w:cs="Arial" w:eastAsia="Arial" w:hAnsi="Arial"/>
          <w:sz w:val="14"/>
          <w:szCs w:val="14"/>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9019"/>
          </w:cols>
          <w:pgMar w:left="1440" w:top="407" w:right="1440" w:bottom="1440" w:gutter="0" w:footer="0" w:header="0"/>
        </w:sectPr>
      </w:pPr>
    </w:p>
    <w:bookmarkStart w:id="74" w:name="page75"/>
    <w:bookmarkEnd w:id="74"/>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auto"/>
        </w:rPr>
        <w:t>AMENDED AND RESTATED EMPLOYMENT AGREEMENT</w:t>
      </w:r>
    </w:p>
    <w:p>
      <w:pPr>
        <w:spacing w:after="0" w:line="200" w:lineRule="exact"/>
        <w:rPr>
          <w:sz w:val="20"/>
          <w:szCs w:val="20"/>
          <w:color w:val="auto"/>
        </w:rPr>
      </w:pPr>
    </w:p>
    <w:p>
      <w:pPr>
        <w:jc w:val="both"/>
        <w:ind w:left="1180" w:right="1139" w:firstLine="512"/>
        <w:spacing w:after="0" w:line="307" w:lineRule="auto"/>
        <w:rPr>
          <w:sz w:val="20"/>
          <w:szCs w:val="20"/>
          <w:color w:val="auto"/>
        </w:rPr>
      </w:pPr>
      <w:r>
        <w:rPr>
          <w:rFonts w:ascii="Arial" w:cs="Arial" w:eastAsia="Arial" w:hAnsi="Arial"/>
          <w:sz w:val="13"/>
          <w:szCs w:val="13"/>
          <w:color w:val="auto"/>
        </w:rPr>
        <w:t>THIS AMENDED AND RESTATED EMPLOYMENT AGREEMENT (the “Agreement”), effective as of July 1, 2022 (the “Effective Date”)</w:t>
      </w:r>
      <w:r>
        <w:rPr>
          <w:rFonts w:ascii="Arial" w:cs="Arial" w:eastAsia="Arial" w:hAnsi="Arial"/>
          <w:sz w:val="13"/>
          <w:szCs w:val="13"/>
          <w:b w:val="1"/>
          <w:bCs w:val="1"/>
          <w:color w:val="auto"/>
        </w:rPr>
        <w:t>,</w:t>
      </w:r>
      <w:r>
        <w:rPr>
          <w:rFonts w:ascii="Arial" w:cs="Arial" w:eastAsia="Arial" w:hAnsi="Arial"/>
          <w:sz w:val="13"/>
          <w:szCs w:val="13"/>
          <w:color w:val="auto"/>
        </w:rPr>
        <w:t xml:space="preserve"> is entered into by and between CrossFirst Bank, a state bank organized under the laws of the State of Kansas (the “Company”), and W. Randall Rapp (“Employee”), and amends and restates in full that certain Employment Agreement dated effective April 1, 2019, as amended by that certain First Amendment to Employment Agreement dated effective as of May 11, 2021.</w:t>
      </w:r>
    </w:p>
    <w:p>
      <w:pPr>
        <w:spacing w:after="0" w:line="14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RECITALS:</w:t>
      </w:r>
    </w:p>
    <w:p>
      <w:pPr>
        <w:spacing w:after="0" w:line="189" w:lineRule="exact"/>
        <w:rPr>
          <w:sz w:val="20"/>
          <w:szCs w:val="20"/>
          <w:color w:val="auto"/>
        </w:rPr>
      </w:pPr>
    </w:p>
    <w:p>
      <w:pPr>
        <w:jc w:val="both"/>
        <w:ind w:left="1180" w:right="1139" w:firstLine="512"/>
        <w:spacing w:after="0" w:line="246" w:lineRule="auto"/>
        <w:rPr>
          <w:sz w:val="20"/>
          <w:szCs w:val="20"/>
          <w:color w:val="auto"/>
        </w:rPr>
      </w:pPr>
      <w:r>
        <w:rPr>
          <w:rFonts w:ascii="Arial" w:cs="Arial" w:eastAsia="Arial" w:hAnsi="Arial"/>
          <w:sz w:val="16"/>
          <w:szCs w:val="16"/>
          <w:color w:val="auto"/>
        </w:rPr>
        <w:t>The parties have agreed to execute this Agreement in order to memorialize the terms and conditions on which the Company shall continue to employ Employee from and after the Effective Date of this Agreement.</w:t>
      </w:r>
    </w:p>
    <w:p>
      <w:pPr>
        <w:spacing w:after="0" w:line="170" w:lineRule="exact"/>
        <w:rPr>
          <w:sz w:val="20"/>
          <w:szCs w:val="20"/>
          <w:color w:val="auto"/>
        </w:rPr>
      </w:pPr>
    </w:p>
    <w:p>
      <w:pPr>
        <w:jc w:val="both"/>
        <w:ind w:left="1180" w:right="1159" w:firstLine="512"/>
        <w:spacing w:after="0" w:line="243" w:lineRule="auto"/>
        <w:rPr>
          <w:sz w:val="20"/>
          <w:szCs w:val="20"/>
          <w:color w:val="auto"/>
        </w:rPr>
      </w:pPr>
      <w:r>
        <w:rPr>
          <w:rFonts w:ascii="Arial" w:cs="Arial" w:eastAsia="Arial" w:hAnsi="Arial"/>
          <w:sz w:val="16"/>
          <w:szCs w:val="16"/>
          <w:color w:val="auto"/>
        </w:rPr>
        <w:t>Certain rights described below may inure to the benefit of other companies affiliated with the Company by virtue of being controlled by the Company or under common control with CrossFirst Bankshares, Inc., a Kansas corporation (the “Holding Company,” each such affiliated company an ""Affiliate," and, collectively all Affiliates, the “Affiliated Companies”).</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AGREEMENTS:</w:t>
      </w:r>
    </w:p>
    <w:p>
      <w:pPr>
        <w:spacing w:after="0" w:line="189"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Now, THEREFORE, the parties hereto, intending to be legally bound, do hereby agree as follows:</w:t>
      </w:r>
    </w:p>
    <w:p>
      <w:pPr>
        <w:spacing w:after="0" w:line="222" w:lineRule="exact"/>
        <w:rPr>
          <w:sz w:val="20"/>
          <w:szCs w:val="20"/>
          <w:color w:val="auto"/>
        </w:rPr>
      </w:pPr>
    </w:p>
    <w:p>
      <w:pPr>
        <w:ind w:left="1600" w:hanging="517"/>
        <w:spacing w:after="0"/>
        <w:tabs>
          <w:tab w:leader="none" w:pos="1600" w:val="left"/>
        </w:tabs>
        <w:numPr>
          <w:ilvl w:val="0"/>
          <w:numId w:val="40"/>
        </w:numPr>
        <w:rPr>
          <w:rFonts w:ascii="Arial" w:cs="Arial" w:eastAsia="Arial" w:hAnsi="Arial"/>
          <w:sz w:val="17"/>
          <w:szCs w:val="17"/>
          <w:color w:val="auto"/>
        </w:rPr>
      </w:pPr>
      <w:r>
        <w:rPr>
          <w:rFonts w:ascii="Arial" w:cs="Arial" w:eastAsia="Arial" w:hAnsi="Arial"/>
          <w:sz w:val="16"/>
          <w:szCs w:val="16"/>
          <w:color w:val="auto"/>
        </w:rPr>
        <w:t>POSITION AND DUTIES.</w:t>
      </w:r>
    </w:p>
    <w:p>
      <w:pPr>
        <w:spacing w:after="0" w:line="155" w:lineRule="exact"/>
        <w:rPr>
          <w:rFonts w:ascii="Arial" w:cs="Arial" w:eastAsia="Arial" w:hAnsi="Arial"/>
          <w:sz w:val="17"/>
          <w:szCs w:val="17"/>
          <w:color w:val="auto"/>
        </w:rPr>
      </w:pPr>
    </w:p>
    <w:p>
      <w:pPr>
        <w:ind w:left="1600" w:right="1159"/>
        <w:spacing w:after="0" w:line="256" w:lineRule="auto"/>
        <w:rPr>
          <w:rFonts w:ascii="Arial" w:cs="Arial" w:eastAsia="Arial" w:hAnsi="Arial"/>
          <w:sz w:val="17"/>
          <w:szCs w:val="17"/>
          <w:color w:val="auto"/>
        </w:rPr>
      </w:pPr>
      <w:r>
        <w:rPr>
          <w:rFonts w:ascii="Arial" w:cs="Arial" w:eastAsia="Arial" w:hAnsi="Arial"/>
          <w:sz w:val="17"/>
          <w:szCs w:val="17"/>
          <w:color w:val="auto"/>
        </w:rPr>
        <w:t xml:space="preserve">1.1 </w:t>
      </w:r>
      <w:r>
        <w:rPr>
          <w:rFonts w:ascii="Arial" w:cs="Arial" w:eastAsia="Arial" w:hAnsi="Arial"/>
          <w:sz w:val="15"/>
          <w:szCs w:val="15"/>
          <w:color w:val="auto"/>
        </w:rPr>
        <w:t>POSITION AND TITLE. The Company hereby retains Employee to serve as the President</w:t>
      </w:r>
      <w:r>
        <w:rPr>
          <w:rFonts w:ascii="Arial" w:cs="Arial" w:eastAsia="Arial" w:hAnsi="Arial"/>
          <w:sz w:val="17"/>
          <w:szCs w:val="17"/>
          <w:color w:val="auto"/>
        </w:rPr>
        <w:t xml:space="preserve"> </w:t>
      </w:r>
      <w:r>
        <w:rPr>
          <w:rFonts w:ascii="Arial" w:cs="Arial" w:eastAsia="Arial" w:hAnsi="Arial"/>
          <w:sz w:val="15"/>
          <w:szCs w:val="15"/>
          <w:color w:val="auto"/>
        </w:rPr>
        <w:t>of the Company.</w:t>
      </w:r>
    </w:p>
    <w:p>
      <w:pPr>
        <w:spacing w:after="0" w:line="149" w:lineRule="exact"/>
        <w:rPr>
          <w:rFonts w:ascii="Arial" w:cs="Arial" w:eastAsia="Arial" w:hAnsi="Arial"/>
          <w:sz w:val="17"/>
          <w:szCs w:val="17"/>
          <w:color w:val="auto"/>
        </w:rPr>
      </w:pPr>
    </w:p>
    <w:p>
      <w:pPr>
        <w:jc w:val="both"/>
        <w:ind w:left="2100" w:right="1139" w:firstLine="8"/>
        <w:spacing w:after="0" w:line="283" w:lineRule="auto"/>
        <w:tabs>
          <w:tab w:leader="none" w:pos="2612" w:val="left"/>
        </w:tabs>
        <w:numPr>
          <w:ilvl w:val="1"/>
          <w:numId w:val="40"/>
        </w:numPr>
        <w:rPr>
          <w:rFonts w:ascii="Arial" w:cs="Arial" w:eastAsia="Arial" w:hAnsi="Arial"/>
          <w:sz w:val="15"/>
          <w:szCs w:val="15"/>
          <w:color w:val="auto"/>
        </w:rPr>
      </w:pPr>
      <w:r>
        <w:rPr>
          <w:rFonts w:ascii="Arial" w:cs="Arial" w:eastAsia="Arial" w:hAnsi="Arial"/>
          <w:sz w:val="14"/>
          <w:szCs w:val="14"/>
          <w:color w:val="auto"/>
        </w:rPr>
        <w:t>LIMITS ON AUTHORITY. Employee shall, to the best of his abilities, perform his duties in such capacity pursuant to this Agreement in compliance with applicable law, consistent with such direction as the Company provides to Employee from time to time, and in accordance with Company’s policies and procedures as published from time to time.</w:t>
      </w:r>
    </w:p>
    <w:p>
      <w:pPr>
        <w:spacing w:after="0" w:line="133" w:lineRule="exact"/>
        <w:rPr>
          <w:rFonts w:ascii="Arial" w:cs="Arial" w:eastAsia="Arial" w:hAnsi="Arial"/>
          <w:sz w:val="15"/>
          <w:szCs w:val="15"/>
          <w:color w:val="auto"/>
        </w:rPr>
      </w:pPr>
    </w:p>
    <w:p>
      <w:pPr>
        <w:jc w:val="both"/>
        <w:ind w:left="2100" w:right="1139" w:firstLine="8"/>
        <w:spacing w:after="0" w:line="270" w:lineRule="auto"/>
        <w:tabs>
          <w:tab w:leader="none" w:pos="2612" w:val="left"/>
        </w:tabs>
        <w:numPr>
          <w:ilvl w:val="1"/>
          <w:numId w:val="40"/>
        </w:numPr>
        <w:rPr>
          <w:rFonts w:ascii="Arial" w:cs="Arial" w:eastAsia="Arial" w:hAnsi="Arial"/>
          <w:sz w:val="15"/>
          <w:szCs w:val="15"/>
          <w:color w:val="auto"/>
        </w:rPr>
      </w:pPr>
      <w:r>
        <w:rPr>
          <w:rFonts w:ascii="Arial" w:cs="Arial" w:eastAsia="Arial" w:hAnsi="Arial"/>
          <w:sz w:val="14"/>
          <w:szCs w:val="14"/>
          <w:color w:val="auto"/>
        </w:rPr>
        <w:t>REPORTING AND AUTHORITY. Employee shall report to the Company as directed by the Company. Subject to the directions of the Company, Employee shall have full authority and responsibility for supervising and managing to the best of his ability, the daily affairs in his scope of work or as assigned including but not limited to: (i) presenting to the Company all business opportunities that come to his attention that are reasonably in the scope of business of the Company; (ii) working with the Company to develop and approve business objectives, policies and plans that improve the Company’s profitability; (iii) communicating business objectives and plans to subordinates, (iv) ensuring that plans and policies are promulgated to and implemented by subordinate managers, (v) ensuring that each business plan provides those functions required for achieving its business objectives and that each plan is properly organized, staffed and directed to fulfill its responsibilities, (vi) assisting the Company in directing periodic reviews of the Company’s strategic position and combining this information with corollary analysis of the Company’s production and financial resources, (vii) providing periodic financial information concerning the operations of the projects and growth plans to the Company, and (viii) ensuring that the operation of the projects comply with applicable laws.</w:t>
      </w:r>
    </w:p>
    <w:p>
      <w:pPr>
        <w:spacing w:after="0" w:line="141" w:lineRule="exact"/>
        <w:rPr>
          <w:sz w:val="20"/>
          <w:szCs w:val="20"/>
          <w:color w:val="auto"/>
        </w:rPr>
      </w:pPr>
    </w:p>
    <w:p>
      <w:pPr>
        <w:ind w:left="1600" w:right="1159"/>
        <w:spacing w:after="0" w:line="290" w:lineRule="auto"/>
        <w:rPr>
          <w:sz w:val="20"/>
          <w:szCs w:val="20"/>
          <w:color w:val="auto"/>
        </w:rPr>
      </w:pPr>
      <w:r>
        <w:rPr>
          <w:rFonts w:ascii="Arial" w:cs="Arial" w:eastAsia="Arial" w:hAnsi="Arial"/>
          <w:sz w:val="15"/>
          <w:szCs w:val="15"/>
          <w:color w:val="auto"/>
        </w:rPr>
        <w:t>1.2 ACCEPTANCE. Employee hereby accepts employment by the Company in the capacity set forth in Section 1.1, above, and agrees to continue to perform the duties of such position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407" w:right="1440" w:bottom="1440" w:gutter="0" w:footer="0" w:header="0"/>
        </w:sectPr>
      </w:pPr>
    </w:p>
    <w:bookmarkStart w:id="75" w:name="page76"/>
    <w:bookmarkEnd w:id="75"/>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57" w:lineRule="exact"/>
        <w:rPr>
          <w:sz w:val="20"/>
          <w:szCs w:val="20"/>
          <w:color w:val="auto"/>
        </w:rPr>
      </w:pPr>
    </w:p>
    <w:p>
      <w:pPr>
        <w:jc w:val="both"/>
        <w:ind w:left="1600" w:right="1159"/>
        <w:spacing w:after="0" w:line="243" w:lineRule="auto"/>
        <w:rPr>
          <w:sz w:val="20"/>
          <w:szCs w:val="20"/>
          <w:color w:val="auto"/>
        </w:rPr>
      </w:pPr>
      <w:r>
        <w:rPr>
          <w:rFonts w:ascii="Arial" w:cs="Arial" w:eastAsia="Arial" w:hAnsi="Arial"/>
          <w:sz w:val="16"/>
          <w:szCs w:val="16"/>
          <w:color w:val="auto"/>
        </w:rPr>
        <w:t>from and after the Effective Date of this Agreement in a diligent, efficient, trustworthy, and businesslike manner. Employee agrees that, to the best of the Employee’s ability and experience, Employee at all times shall loyally and conscientiously discharge all of the duties and responsibilities imposed upon Employee pursuant to this Agreement.</w:t>
      </w:r>
    </w:p>
    <w:p>
      <w:pPr>
        <w:spacing w:after="0" w:line="151" w:lineRule="exact"/>
        <w:rPr>
          <w:sz w:val="20"/>
          <w:szCs w:val="20"/>
          <w:color w:val="auto"/>
        </w:rPr>
      </w:pPr>
    </w:p>
    <w:p>
      <w:pPr>
        <w:jc w:val="both"/>
        <w:ind w:left="1600" w:right="1139"/>
        <w:spacing w:after="0" w:line="243" w:lineRule="auto"/>
        <w:rPr>
          <w:sz w:val="20"/>
          <w:szCs w:val="20"/>
          <w:color w:val="auto"/>
        </w:rPr>
      </w:pPr>
      <w:r>
        <w:rPr>
          <w:rFonts w:ascii="Arial" w:cs="Arial" w:eastAsia="Arial" w:hAnsi="Arial"/>
          <w:sz w:val="16"/>
          <w:szCs w:val="16"/>
          <w:color w:val="auto"/>
        </w:rPr>
        <w:t>1.3 BUSINESS TIME. Employee shall devote his exclusive business time to the performance of his duties to the Company under Section 1.1 and elsewhere in this Agreement. Employee shall not undertake any activities that conflict with or significantly detract from his primary duties to the Company.</w:t>
      </w:r>
    </w:p>
    <w:p>
      <w:pPr>
        <w:spacing w:after="0" w:line="140" w:lineRule="exact"/>
        <w:rPr>
          <w:sz w:val="20"/>
          <w:szCs w:val="20"/>
          <w:color w:val="auto"/>
        </w:rPr>
      </w:pPr>
    </w:p>
    <w:p>
      <w:pPr>
        <w:jc w:val="both"/>
        <w:ind w:left="1600" w:right="1159"/>
        <w:spacing w:after="0" w:line="311" w:lineRule="auto"/>
        <w:rPr>
          <w:sz w:val="20"/>
          <w:szCs w:val="20"/>
          <w:color w:val="auto"/>
        </w:rPr>
      </w:pPr>
      <w:r>
        <w:rPr>
          <w:rFonts w:ascii="Arial" w:cs="Arial" w:eastAsia="Arial" w:hAnsi="Arial"/>
          <w:sz w:val="13"/>
          <w:szCs w:val="13"/>
          <w:color w:val="auto"/>
        </w:rPr>
        <w:t>1.4 LOCATION. Employee shall perform his duties under this Agreement primarily in Dallas</w:t>
      </w:r>
      <w:r>
        <w:rPr>
          <w:rFonts w:ascii="Arial" w:cs="Arial" w:eastAsia="Arial" w:hAnsi="Arial"/>
          <w:sz w:val="13"/>
          <w:szCs w:val="13"/>
          <w:b w:val="1"/>
          <w:bCs w:val="1"/>
          <w:color w:val="auto"/>
        </w:rPr>
        <w:t>,</w:t>
      </w:r>
      <w:r>
        <w:rPr>
          <w:rFonts w:ascii="Arial" w:cs="Arial" w:eastAsia="Arial" w:hAnsi="Arial"/>
          <w:sz w:val="13"/>
          <w:szCs w:val="13"/>
          <w:color w:val="auto"/>
        </w:rPr>
        <w:t xml:space="preserve"> Texas and potentially other regions of the United States where the Company, or its Affiliated Companies, are active in conducting banking and other related service activities. Employee acknowledges and agrees that from time to time he shall be required to travel (at the cost and expense of the Company) to such other locations in order to discharge his duties under this Agreement.</w:t>
      </w:r>
    </w:p>
    <w:p>
      <w:pPr>
        <w:spacing w:after="0" w:line="109" w:lineRule="exact"/>
        <w:rPr>
          <w:sz w:val="20"/>
          <w:szCs w:val="20"/>
          <w:color w:val="auto"/>
        </w:rPr>
      </w:pPr>
    </w:p>
    <w:p>
      <w:pPr>
        <w:jc w:val="both"/>
        <w:ind w:left="1600" w:right="1159"/>
        <w:spacing w:after="0" w:line="258" w:lineRule="auto"/>
        <w:rPr>
          <w:sz w:val="20"/>
          <w:szCs w:val="20"/>
          <w:color w:val="auto"/>
        </w:rPr>
      </w:pPr>
      <w:r>
        <w:rPr>
          <w:rFonts w:ascii="Arial" w:cs="Arial" w:eastAsia="Arial" w:hAnsi="Arial"/>
          <w:sz w:val="15"/>
          <w:szCs w:val="15"/>
          <w:color w:val="auto"/>
        </w:rPr>
        <w:t>1.5 TERM. The term of this Agreement commenced as of the Effective Date and shall be for a term of three (3) years, which term shall thereafter automatically renew for successive one (1) year terms unless: i) the Company or Employee serve a Notice of Termination upon the other party of intent to not renew the term of this Agreement within thirty (30) days prior to the ensuing termination date, or ii) earlier terminated in accordance with Section 3, below.</w:t>
      </w:r>
    </w:p>
    <w:p>
      <w:pPr>
        <w:spacing w:after="0" w:line="140" w:lineRule="exact"/>
        <w:rPr>
          <w:sz w:val="20"/>
          <w:szCs w:val="20"/>
          <w:color w:val="auto"/>
        </w:rPr>
      </w:pPr>
    </w:p>
    <w:p>
      <w:pPr>
        <w:jc w:val="both"/>
        <w:ind w:left="1600" w:right="1139"/>
        <w:spacing w:after="0" w:line="298" w:lineRule="auto"/>
        <w:rPr>
          <w:sz w:val="20"/>
          <w:szCs w:val="20"/>
          <w:color w:val="auto"/>
        </w:rPr>
      </w:pPr>
      <w:r>
        <w:rPr>
          <w:rFonts w:ascii="Arial" w:cs="Arial" w:eastAsia="Arial" w:hAnsi="Arial"/>
          <w:sz w:val="13"/>
          <w:szCs w:val="13"/>
          <w:color w:val="auto"/>
        </w:rPr>
        <w:t>1.6 STOCKHOLDING REQUIREMENT. The Board of Directors of the Company believes that it will be essential for Employee to participate in the Company’s future growth as an equity stakeholder as well as an employee. As a condition to Employee's employment with the Company, Employee will be required to hold a minimum of $400,000 worth of Shares of the Holding Company (“Required Stock”) in accordance with the Company’s stock ownership requirement policy, which may be amended from time to time by the Compensation Committee of the Board of Directors of the Holding Company (the “Committee”). Unless such failure is waived by the Committee, in the event Employee fails to hold sufficient Company stock in accordance with the stock ownership requirement policy Employee shall be deemed to be in material breach of this Agreement. Employee will have three years from the date hereof to reach the Required Stock threshold.</w:t>
      </w:r>
    </w:p>
    <w:p>
      <w:pPr>
        <w:spacing w:after="0" w:line="128" w:lineRule="exact"/>
        <w:rPr>
          <w:sz w:val="20"/>
          <w:szCs w:val="20"/>
          <w:color w:val="auto"/>
        </w:rPr>
      </w:pPr>
    </w:p>
    <w:p>
      <w:pPr>
        <w:ind w:left="1080" w:right="1159" w:firstLine="3"/>
        <w:spacing w:after="0" w:line="242" w:lineRule="auto"/>
        <w:tabs>
          <w:tab w:leader="none" w:pos="1592" w:val="left"/>
        </w:tabs>
        <w:numPr>
          <w:ilvl w:val="0"/>
          <w:numId w:val="41"/>
        </w:numPr>
        <w:rPr>
          <w:rFonts w:ascii="Arial" w:cs="Arial" w:eastAsia="Arial" w:hAnsi="Arial"/>
          <w:sz w:val="17"/>
          <w:szCs w:val="17"/>
          <w:color w:val="auto"/>
        </w:rPr>
      </w:pPr>
      <w:r>
        <w:rPr>
          <w:rFonts w:ascii="Arial" w:cs="Arial" w:eastAsia="Arial" w:hAnsi="Arial"/>
          <w:sz w:val="16"/>
          <w:szCs w:val="16"/>
          <w:color w:val="auto"/>
        </w:rPr>
        <w:t>COMPENSATION. The Company shall compensate Employee for his services pursuant to this Agreement as follows:</w:t>
      </w:r>
    </w:p>
    <w:p>
      <w:pPr>
        <w:spacing w:after="0" w:line="149" w:lineRule="exact"/>
        <w:rPr>
          <w:sz w:val="20"/>
          <w:szCs w:val="20"/>
          <w:color w:val="auto"/>
        </w:rPr>
      </w:pPr>
    </w:p>
    <w:p>
      <w:pPr>
        <w:ind w:left="1600"/>
        <w:spacing w:after="0"/>
        <w:tabs>
          <w:tab w:leader="none" w:pos="20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3"/>
          <w:szCs w:val="13"/>
          <w:color w:val="auto"/>
        </w:rPr>
        <w:t>BASE COMPENSATION.</w:t>
      </w:r>
    </w:p>
    <w:p>
      <w:pPr>
        <w:spacing w:after="0" w:line="190" w:lineRule="exact"/>
        <w:rPr>
          <w:sz w:val="20"/>
          <w:szCs w:val="20"/>
          <w:color w:val="auto"/>
        </w:rPr>
      </w:pPr>
    </w:p>
    <w:p>
      <w:pPr>
        <w:jc w:val="both"/>
        <w:ind w:left="2100" w:right="1139" w:firstLine="8"/>
        <w:spacing w:after="0" w:line="274" w:lineRule="auto"/>
        <w:tabs>
          <w:tab w:leader="none" w:pos="2612" w:val="left"/>
        </w:tabs>
        <w:numPr>
          <w:ilvl w:val="0"/>
          <w:numId w:val="42"/>
        </w:numPr>
        <w:rPr>
          <w:rFonts w:ascii="Arial" w:cs="Arial" w:eastAsia="Arial" w:hAnsi="Arial"/>
          <w:sz w:val="15"/>
          <w:szCs w:val="15"/>
          <w:color w:val="auto"/>
        </w:rPr>
      </w:pPr>
      <w:r>
        <w:rPr>
          <w:rFonts w:ascii="Arial" w:cs="Arial" w:eastAsia="Arial" w:hAnsi="Arial"/>
          <w:sz w:val="14"/>
          <w:szCs w:val="14"/>
          <w:color w:val="auto"/>
        </w:rPr>
        <w:t>BASE SALARY. Effective June 1, 2022, the Company shall pay to Employee an initial annual salary in the amount of Four Hundred and Ten Thousand Dollars ($410,000) (“Base Salary”), payable in periodic installments in accordance with the Company’s regular payroll practices as in effect from time to time. In addition, such annual salary is subject to periodic increases, in such amounts (if any) as the Company may determine to be appropriate, at the time of Employee’s annual review pursuant to Section 2.1(b), below, or at such other times (if any) as the Company may select.</w:t>
      </w:r>
    </w:p>
    <w:p>
      <w:pPr>
        <w:spacing w:after="0" w:line="140" w:lineRule="exact"/>
        <w:rPr>
          <w:rFonts w:ascii="Arial" w:cs="Arial" w:eastAsia="Arial" w:hAnsi="Arial"/>
          <w:sz w:val="15"/>
          <w:szCs w:val="15"/>
          <w:color w:val="auto"/>
        </w:rPr>
      </w:pPr>
    </w:p>
    <w:p>
      <w:pPr>
        <w:jc w:val="both"/>
        <w:ind w:left="2100" w:right="1139" w:firstLine="8"/>
        <w:spacing w:after="0" w:line="256" w:lineRule="auto"/>
        <w:tabs>
          <w:tab w:leader="none" w:pos="2612" w:val="left"/>
        </w:tabs>
        <w:numPr>
          <w:ilvl w:val="0"/>
          <w:numId w:val="42"/>
        </w:numPr>
        <w:rPr>
          <w:rFonts w:ascii="Arial" w:cs="Arial" w:eastAsia="Arial" w:hAnsi="Arial"/>
          <w:sz w:val="16"/>
          <w:szCs w:val="16"/>
          <w:color w:val="auto"/>
        </w:rPr>
      </w:pPr>
      <w:r>
        <w:rPr>
          <w:rFonts w:ascii="Arial" w:cs="Arial" w:eastAsia="Arial" w:hAnsi="Arial"/>
          <w:sz w:val="15"/>
          <w:szCs w:val="15"/>
          <w:color w:val="auto"/>
        </w:rPr>
        <w:t>PERIODIC REVIEWS. The Company shall review Employee’s performance of his duties pursuant to this Agreement at least annually and from time to time and advise Employee of the results of that review. In connection with each such review, the Company shall evaluate whether any increase in Employee’s compensation under Section 2.1(a), above, is appropriate. Any annual salary increase shall be effective as of such date as the Company, in its discretion, determines to be appropriate.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407" w:right="1440" w:bottom="1440" w:gutter="0" w:footer="0" w:header="0"/>
        </w:sectPr>
      </w:pPr>
    </w:p>
    <w:bookmarkStart w:id="76" w:name="page77"/>
    <w:bookmarkEnd w:id="76"/>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6" w:lineRule="exact"/>
        <w:rPr>
          <w:sz w:val="20"/>
          <w:szCs w:val="20"/>
          <w:color w:val="auto"/>
        </w:rPr>
      </w:pPr>
    </w:p>
    <w:p>
      <w:pPr>
        <w:ind w:left="1600"/>
        <w:spacing w:after="0"/>
        <w:tabs>
          <w:tab w:leader="none" w:pos="20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3"/>
          <w:szCs w:val="13"/>
          <w:color w:val="auto"/>
        </w:rPr>
        <w:t>BONUSES.</w:t>
      </w:r>
    </w:p>
    <w:p>
      <w:pPr>
        <w:spacing w:after="0" w:line="179" w:lineRule="exact"/>
        <w:rPr>
          <w:sz w:val="20"/>
          <w:szCs w:val="20"/>
          <w:color w:val="auto"/>
        </w:rPr>
      </w:pPr>
    </w:p>
    <w:p>
      <w:pPr>
        <w:jc w:val="both"/>
        <w:ind w:left="2100" w:right="1139" w:firstLine="8"/>
        <w:spacing w:after="0" w:line="253" w:lineRule="auto"/>
        <w:tabs>
          <w:tab w:leader="none" w:pos="2612" w:val="left"/>
        </w:tabs>
        <w:numPr>
          <w:ilvl w:val="0"/>
          <w:numId w:val="43"/>
        </w:numPr>
        <w:rPr>
          <w:rFonts w:ascii="Arial" w:cs="Arial" w:eastAsia="Arial" w:hAnsi="Arial"/>
          <w:sz w:val="16"/>
          <w:szCs w:val="16"/>
          <w:color w:val="auto"/>
        </w:rPr>
      </w:pPr>
      <w:r>
        <w:rPr>
          <w:rFonts w:ascii="Arial" w:cs="Arial" w:eastAsia="Arial" w:hAnsi="Arial"/>
          <w:sz w:val="15"/>
          <w:szCs w:val="15"/>
          <w:color w:val="auto"/>
        </w:rPr>
        <w:t>CRITERIA. Employee shall be eligible to receive periodic incentive bonuses in accordance with the terms and conditions of the Company’s Annual Incentive Plan (the “AIP”), as amended, restated or supplemented from time to time (“each a “Bonus”), in such amounts, if any, and at such times as may be determined by the Committee, in its sole discretion. For 2022, Employee’s target bonus opportunity shall be 50% of Employee’s Base Salary; such bonus opportunity may, based on the Company’s or Employee’s performance during the applicable year, be increased to a maximum of 75% of Employee’s Base Salary. In accordance with the AIP, the Committee will establish the terms and conditions of such Bonus for Employee for the following year based upon measurable goals for Employee and the Company.</w:t>
      </w:r>
    </w:p>
    <w:p>
      <w:pPr>
        <w:spacing w:after="0" w:line="154" w:lineRule="exact"/>
        <w:rPr>
          <w:rFonts w:ascii="Arial" w:cs="Arial" w:eastAsia="Arial" w:hAnsi="Arial"/>
          <w:sz w:val="16"/>
          <w:szCs w:val="16"/>
          <w:color w:val="auto"/>
        </w:rPr>
      </w:pPr>
    </w:p>
    <w:p>
      <w:pPr>
        <w:jc w:val="both"/>
        <w:ind w:left="2100" w:right="1159" w:firstLine="8"/>
        <w:spacing w:after="0" w:line="264" w:lineRule="auto"/>
        <w:tabs>
          <w:tab w:leader="none" w:pos="2612" w:val="left"/>
        </w:tabs>
        <w:numPr>
          <w:ilvl w:val="0"/>
          <w:numId w:val="43"/>
        </w:numPr>
        <w:rPr>
          <w:rFonts w:ascii="Arial" w:cs="Arial" w:eastAsia="Arial" w:hAnsi="Arial"/>
          <w:sz w:val="15"/>
          <w:szCs w:val="15"/>
          <w:color w:val="auto"/>
        </w:rPr>
      </w:pPr>
      <w:r>
        <w:rPr>
          <w:rFonts w:ascii="Arial" w:cs="Arial" w:eastAsia="Arial" w:hAnsi="Arial"/>
          <w:sz w:val="14"/>
          <w:szCs w:val="14"/>
          <w:color w:val="auto"/>
        </w:rPr>
        <w:t>TIMING OF PAYMENT. The Bonus, if any, payable for each calendar year during the term of this Agreement shall be payable on or before March 15</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of the calendar year immediately following the end of the calendar year in which such Bonus is earned.</w:t>
      </w:r>
    </w:p>
    <w:p>
      <w:pPr>
        <w:spacing w:after="0" w:line="131" w:lineRule="exact"/>
        <w:rPr>
          <w:rFonts w:ascii="Arial" w:cs="Arial" w:eastAsia="Arial" w:hAnsi="Arial"/>
          <w:sz w:val="15"/>
          <w:szCs w:val="15"/>
          <w:color w:val="auto"/>
        </w:rPr>
      </w:pPr>
    </w:p>
    <w:p>
      <w:pPr>
        <w:jc w:val="both"/>
        <w:ind w:left="2100" w:right="1359" w:firstLine="8"/>
        <w:spacing w:after="0" w:line="255" w:lineRule="auto"/>
        <w:tabs>
          <w:tab w:leader="none" w:pos="2611"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ONE-TIME PROMOTION BONUS. Employee shall receive a one-time cash promotion bonus of Ten Thousand Dollars ($10,000) which shall be paid in 2022.</w:t>
      </w:r>
    </w:p>
    <w:p>
      <w:pPr>
        <w:spacing w:after="0" w:line="166" w:lineRule="exact"/>
        <w:rPr>
          <w:sz w:val="20"/>
          <w:szCs w:val="20"/>
          <w:color w:val="auto"/>
        </w:rPr>
      </w:pPr>
    </w:p>
    <w:p>
      <w:pPr>
        <w:ind w:left="1600"/>
        <w:spacing w:after="0"/>
        <w:tabs>
          <w:tab w:leader="none" w:pos="20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FRINGE BENEFITS/VACATION.</w:t>
      </w:r>
    </w:p>
    <w:p>
      <w:pPr>
        <w:spacing w:after="0" w:line="179" w:lineRule="exact"/>
        <w:rPr>
          <w:sz w:val="20"/>
          <w:szCs w:val="20"/>
          <w:color w:val="auto"/>
        </w:rPr>
      </w:pPr>
    </w:p>
    <w:p>
      <w:pPr>
        <w:jc w:val="both"/>
        <w:ind w:left="2100" w:right="1139" w:firstLine="8"/>
        <w:spacing w:after="0" w:line="246" w:lineRule="auto"/>
        <w:tabs>
          <w:tab w:leader="none" w:pos="2612" w:val="left"/>
        </w:tabs>
        <w:numPr>
          <w:ilvl w:val="0"/>
          <w:numId w:val="44"/>
        </w:numPr>
        <w:rPr>
          <w:rFonts w:ascii="Arial" w:cs="Arial" w:eastAsia="Arial" w:hAnsi="Arial"/>
          <w:sz w:val="17"/>
          <w:szCs w:val="17"/>
          <w:color w:val="auto"/>
        </w:rPr>
      </w:pPr>
      <w:r>
        <w:rPr>
          <w:rFonts w:ascii="Arial" w:cs="Arial" w:eastAsia="Arial" w:hAnsi="Arial"/>
          <w:sz w:val="16"/>
          <w:szCs w:val="16"/>
          <w:color w:val="auto"/>
        </w:rPr>
        <w:t>VACATION. Employee is trusted to take reasonable vacation time when needed. Employee will not receive compensation upon termination or credit in future calendar years for any unused vacation time.</w:t>
      </w:r>
    </w:p>
    <w:p>
      <w:pPr>
        <w:spacing w:after="0" w:line="158" w:lineRule="exact"/>
        <w:rPr>
          <w:rFonts w:ascii="Arial" w:cs="Arial" w:eastAsia="Arial" w:hAnsi="Arial"/>
          <w:sz w:val="17"/>
          <w:szCs w:val="17"/>
          <w:color w:val="auto"/>
        </w:rPr>
      </w:pPr>
    </w:p>
    <w:p>
      <w:pPr>
        <w:jc w:val="both"/>
        <w:ind w:left="2100" w:right="1139" w:firstLine="8"/>
        <w:spacing w:after="0" w:line="253" w:lineRule="auto"/>
        <w:tabs>
          <w:tab w:leader="none" w:pos="2612" w:val="left"/>
        </w:tabs>
        <w:numPr>
          <w:ilvl w:val="0"/>
          <w:numId w:val="44"/>
        </w:numPr>
        <w:rPr>
          <w:rFonts w:ascii="Arial" w:cs="Arial" w:eastAsia="Arial" w:hAnsi="Arial"/>
          <w:sz w:val="16"/>
          <w:szCs w:val="16"/>
          <w:color w:val="auto"/>
        </w:rPr>
      </w:pPr>
      <w:r>
        <w:rPr>
          <w:rFonts w:ascii="Arial" w:cs="Arial" w:eastAsia="Arial" w:hAnsi="Arial"/>
          <w:sz w:val="15"/>
          <w:szCs w:val="15"/>
          <w:color w:val="auto"/>
        </w:rPr>
        <w:t>OTHER FRINGE BENEFITS. Employee shall be eligible to participate, on the same terms and conditions as all other employees of the Company, in all reasonable and customary fringe benefit plans made available to the employees of the Company and its Affiliated Companies, including but not limited to, Group Health Insurance (medical, vision and dental) and Long and Short-Term Disability Insurance.</w:t>
      </w:r>
    </w:p>
    <w:p>
      <w:pPr>
        <w:spacing w:after="0" w:line="166" w:lineRule="exact"/>
        <w:rPr>
          <w:rFonts w:ascii="Arial" w:cs="Arial" w:eastAsia="Arial" w:hAnsi="Arial"/>
          <w:sz w:val="16"/>
          <w:szCs w:val="16"/>
          <w:color w:val="auto"/>
        </w:rPr>
      </w:pPr>
    </w:p>
    <w:p>
      <w:pPr>
        <w:jc w:val="both"/>
        <w:ind w:left="2100" w:right="1159" w:firstLine="8"/>
        <w:spacing w:after="0" w:line="274" w:lineRule="auto"/>
        <w:tabs>
          <w:tab w:leader="none" w:pos="2612" w:val="left"/>
        </w:tabs>
        <w:numPr>
          <w:ilvl w:val="0"/>
          <w:numId w:val="44"/>
        </w:numPr>
        <w:rPr>
          <w:rFonts w:ascii="Arial" w:cs="Arial" w:eastAsia="Arial" w:hAnsi="Arial"/>
          <w:sz w:val="15"/>
          <w:szCs w:val="15"/>
          <w:color w:val="auto"/>
        </w:rPr>
      </w:pPr>
      <w:r>
        <w:rPr>
          <w:rFonts w:ascii="Arial" w:cs="Arial" w:eastAsia="Arial" w:hAnsi="Arial"/>
          <w:sz w:val="14"/>
          <w:szCs w:val="14"/>
          <w:color w:val="auto"/>
        </w:rPr>
        <w:t>MOBILE COMMUNICATIONS. The Company at its expense shall provide Employee with mobile communication devices or a reimbursement for use of a personal device for his use in connection with the Company’s business with a provider acceptable to the Company. Employee shall use and maintain such devices in a reasonable manner. The Company shall pay for the purchase of such initial devices for Employee’s use and a replacement when such devices are eligible for full replacement under Employee’s data plan.</w:t>
      </w:r>
    </w:p>
    <w:p>
      <w:pPr>
        <w:spacing w:after="0" w:line="143" w:lineRule="exact"/>
        <w:rPr>
          <w:rFonts w:ascii="Arial" w:cs="Arial" w:eastAsia="Arial" w:hAnsi="Arial"/>
          <w:sz w:val="15"/>
          <w:szCs w:val="15"/>
          <w:color w:val="auto"/>
        </w:rPr>
      </w:pPr>
    </w:p>
    <w:p>
      <w:pPr>
        <w:jc w:val="both"/>
        <w:ind w:left="2100" w:right="1159" w:firstLine="8"/>
        <w:spacing w:after="0" w:line="256" w:lineRule="auto"/>
        <w:tabs>
          <w:tab w:leader="none" w:pos="2612" w:val="left"/>
        </w:tabs>
        <w:numPr>
          <w:ilvl w:val="0"/>
          <w:numId w:val="44"/>
        </w:numPr>
        <w:rPr>
          <w:rFonts w:ascii="Arial" w:cs="Arial" w:eastAsia="Arial" w:hAnsi="Arial"/>
          <w:sz w:val="16"/>
          <w:szCs w:val="16"/>
          <w:color w:val="auto"/>
        </w:rPr>
      </w:pPr>
      <w:r>
        <w:rPr>
          <w:rFonts w:ascii="Arial" w:cs="Arial" w:eastAsia="Arial" w:hAnsi="Arial"/>
          <w:sz w:val="15"/>
          <w:szCs w:val="15"/>
          <w:color w:val="auto"/>
        </w:rPr>
        <w:t>AUTOMOBILE ALLOWANCE. The Company shall provide Employee with an automobile allowance of $600 per month, prorated for partial months worked, which shall be in lieu of any expense reimbursement for automobile or automobile-related expenditures (other than expenditures for car service or other transportation costs associated with Employee’s business travel, which shall be reimbursed in accordance with the terms of Section 2.4, below) or use of a Company-owned or leased vehicle.</w:t>
      </w:r>
    </w:p>
    <w:p>
      <w:pPr>
        <w:spacing w:after="0" w:line="141" w:lineRule="exact"/>
        <w:rPr>
          <w:sz w:val="20"/>
          <w:szCs w:val="20"/>
          <w:color w:val="auto"/>
        </w:rPr>
      </w:pPr>
    </w:p>
    <w:p>
      <w:pPr>
        <w:jc w:val="both"/>
        <w:ind w:left="1600" w:right="1159"/>
        <w:spacing w:after="0" w:line="250"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5"/>
          <w:szCs w:val="15"/>
          <w:color w:val="auto"/>
        </w:rPr>
        <w:t>REIMBURSEMENT OF EXPENSES. The Company shall reimburse Employee for</w:t>
      </w:r>
      <w:r>
        <w:rPr>
          <w:rFonts w:ascii="Arial" w:cs="Arial" w:eastAsia="Arial" w:hAnsi="Arial"/>
          <w:sz w:val="17"/>
          <w:szCs w:val="17"/>
          <w:color w:val="auto"/>
        </w:rPr>
        <w:t xml:space="preserve"> </w:t>
      </w:r>
      <w:r>
        <w:rPr>
          <w:rFonts w:ascii="Arial" w:cs="Arial" w:eastAsia="Arial" w:hAnsi="Arial"/>
          <w:sz w:val="15"/>
          <w:szCs w:val="15"/>
          <w:color w:val="auto"/>
        </w:rPr>
        <w:t>business expenses incurred by Employee in the performance of his duties, provided that such expenses are authorized under the Company’s Expense Reimbursement policy, in reasonable amounts, incurred for ordinary and necessary Company-related business expenses and are supported by itemized accountings and expense receipts that are timely submitted to the Company prior to any reimbursement.</w:t>
      </w: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407" w:right="1440" w:bottom="1440" w:gutter="0" w:footer="0" w:header="0"/>
        </w:sectPr>
      </w:pPr>
    </w:p>
    <w:bookmarkStart w:id="77" w:name="page78"/>
    <w:bookmarkEnd w:id="77"/>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66" w:lineRule="exact"/>
        <w:rPr>
          <w:sz w:val="20"/>
          <w:szCs w:val="20"/>
          <w:color w:val="auto"/>
        </w:rPr>
      </w:pPr>
    </w:p>
    <w:p>
      <w:pPr>
        <w:jc w:val="both"/>
        <w:ind w:left="1600" w:right="1139"/>
        <w:spacing w:after="0" w:line="270"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4"/>
          <w:szCs w:val="14"/>
          <w:color w:val="auto"/>
        </w:rPr>
        <w:t>EQUITY INCENTIVE PLAN. As an active key employee in the Company and its</w:t>
      </w:r>
      <w:r>
        <w:rPr>
          <w:rFonts w:ascii="Arial" w:cs="Arial" w:eastAsia="Arial" w:hAnsi="Arial"/>
          <w:sz w:val="16"/>
          <w:szCs w:val="16"/>
          <w:color w:val="auto"/>
        </w:rPr>
        <w:t xml:space="preserve"> </w:t>
      </w:r>
      <w:r>
        <w:rPr>
          <w:rFonts w:ascii="Arial" w:cs="Arial" w:eastAsia="Arial" w:hAnsi="Arial"/>
          <w:sz w:val="14"/>
          <w:szCs w:val="14"/>
          <w:color w:val="auto"/>
        </w:rPr>
        <w:t>Affiliates, Employee shall have the right to participate in the current CrossFirst Bankshares, Inc. 2018 Omnibus Equity Incentive Plan, as amended, supplemented or restated from time to time (the “Equity Incentive Plan”), for certain eligible key employees, a copy of which has been provided by Company. As a part of Employee’s compensation under this Agreement, Employee shall have the right to participate in the Equity Incentive Plan as determined by the Committee, subject to vesting and other rights described in the Equity Incentive Plan or as approved by the Committee. Employee's rights in any equity may change in accordance with the provisions of the Equity Incentive Plan. The Committee reserves the right, in its sole discretion and at any time, to change the type of equity incentive awards granted to Employee, provided that the Committee shall only grant to Employee awards which may be granted under the terms of the Equity Incentive Plan. For 2022, Employee will receive equity awards consisting of: (i) 5,000 time-based restricted stock units that vest ratably in annual increments over three years and (ii) 5,000 stock appreciation rights that vest ratably in annual increments over seven years with a grant date strike price equal to the fair market value of a Share of Holding Company on the grant date. For awards granted under the Equity Incentive Plan after 2022, Employee will be eligible for awards with a fair value as of the grant date equal to 40% of his then-applicable base salary.</w:t>
      </w:r>
    </w:p>
    <w:p>
      <w:pPr>
        <w:spacing w:after="0" w:line="151" w:lineRule="exact"/>
        <w:rPr>
          <w:sz w:val="20"/>
          <w:szCs w:val="20"/>
          <w:color w:val="auto"/>
        </w:rPr>
      </w:pPr>
    </w:p>
    <w:p>
      <w:pPr>
        <w:ind w:left="1600" w:hanging="517"/>
        <w:spacing w:after="0"/>
        <w:tabs>
          <w:tab w:leader="none" w:pos="1600" w:val="left"/>
        </w:tabs>
        <w:numPr>
          <w:ilvl w:val="0"/>
          <w:numId w:val="45"/>
        </w:numPr>
        <w:rPr>
          <w:rFonts w:ascii="Arial" w:cs="Arial" w:eastAsia="Arial" w:hAnsi="Arial"/>
          <w:sz w:val="17"/>
          <w:szCs w:val="17"/>
          <w:color w:val="auto"/>
        </w:rPr>
      </w:pPr>
      <w:r>
        <w:rPr>
          <w:rFonts w:ascii="Arial" w:cs="Arial" w:eastAsia="Arial" w:hAnsi="Arial"/>
          <w:sz w:val="16"/>
          <w:szCs w:val="16"/>
          <w:color w:val="auto"/>
        </w:rPr>
        <w:t>TERMINATION.</w:t>
      </w:r>
    </w:p>
    <w:p>
      <w:pPr>
        <w:spacing w:after="0" w:line="155" w:lineRule="exact"/>
        <w:rPr>
          <w:rFonts w:ascii="Arial" w:cs="Arial" w:eastAsia="Arial" w:hAnsi="Arial"/>
          <w:sz w:val="17"/>
          <w:szCs w:val="17"/>
          <w:color w:val="auto"/>
        </w:rPr>
      </w:pPr>
    </w:p>
    <w:p>
      <w:pPr>
        <w:ind w:left="1600"/>
        <w:spacing w:after="0"/>
        <w:rPr>
          <w:rFonts w:ascii="Arial" w:cs="Arial" w:eastAsia="Arial" w:hAnsi="Arial"/>
          <w:sz w:val="17"/>
          <w:szCs w:val="17"/>
          <w:color w:val="auto"/>
        </w:rPr>
      </w:pPr>
      <w:r>
        <w:rPr>
          <w:rFonts w:ascii="Arial" w:cs="Arial" w:eastAsia="Arial" w:hAnsi="Arial"/>
          <w:sz w:val="17"/>
          <w:szCs w:val="17"/>
          <w:color w:val="auto"/>
        </w:rPr>
        <w:t xml:space="preserve">3.1    </w:t>
      </w:r>
      <w:r>
        <w:rPr>
          <w:rFonts w:ascii="Arial" w:cs="Arial" w:eastAsia="Arial" w:hAnsi="Arial"/>
          <w:sz w:val="15"/>
          <w:szCs w:val="15"/>
          <w:color w:val="auto"/>
        </w:rPr>
        <w:t>DEFINITIONS. For purposes of this Agreement, the term:</w:t>
      </w:r>
    </w:p>
    <w:p>
      <w:pPr>
        <w:spacing w:after="0" w:line="190" w:lineRule="exact"/>
        <w:rPr>
          <w:rFonts w:ascii="Arial" w:cs="Arial" w:eastAsia="Arial" w:hAnsi="Arial"/>
          <w:sz w:val="17"/>
          <w:szCs w:val="17"/>
          <w:color w:val="auto"/>
        </w:rPr>
      </w:pPr>
    </w:p>
    <w:p>
      <w:pPr>
        <w:ind w:left="2100" w:right="1159" w:firstLine="8"/>
        <w:spacing w:after="0" w:line="242" w:lineRule="auto"/>
        <w:tabs>
          <w:tab w:leader="none" w:pos="2612" w:val="left"/>
        </w:tabs>
        <w:numPr>
          <w:ilvl w:val="1"/>
          <w:numId w:val="45"/>
        </w:numPr>
        <w:rPr>
          <w:rFonts w:ascii="Arial" w:cs="Arial" w:eastAsia="Arial" w:hAnsi="Arial"/>
          <w:sz w:val="17"/>
          <w:szCs w:val="17"/>
          <w:color w:val="auto"/>
        </w:rPr>
      </w:pPr>
      <w:r>
        <w:rPr>
          <w:rFonts w:ascii="Arial" w:cs="Arial" w:eastAsia="Arial" w:hAnsi="Arial"/>
          <w:sz w:val="16"/>
          <w:szCs w:val="16"/>
          <w:color w:val="auto"/>
        </w:rPr>
        <w:t>DATE OF TERMINATION” or “TERMINATION DATE” shall mean the date specified in a Notice of Termination (as defined below).</w:t>
      </w:r>
    </w:p>
    <w:p>
      <w:pPr>
        <w:spacing w:after="0" w:line="161" w:lineRule="exact"/>
        <w:rPr>
          <w:rFonts w:ascii="Arial" w:cs="Arial" w:eastAsia="Arial" w:hAnsi="Arial"/>
          <w:sz w:val="17"/>
          <w:szCs w:val="17"/>
          <w:color w:val="auto"/>
        </w:rPr>
      </w:pPr>
    </w:p>
    <w:p>
      <w:pPr>
        <w:jc w:val="both"/>
        <w:ind w:left="2100" w:right="1159" w:firstLine="8"/>
        <w:spacing w:after="0" w:line="255" w:lineRule="auto"/>
        <w:tabs>
          <w:tab w:leader="none" w:pos="2612" w:val="left"/>
        </w:tabs>
        <w:numPr>
          <w:ilvl w:val="1"/>
          <w:numId w:val="45"/>
        </w:numPr>
        <w:rPr>
          <w:rFonts w:ascii="Arial" w:cs="Arial" w:eastAsia="Arial" w:hAnsi="Arial"/>
          <w:sz w:val="16"/>
          <w:szCs w:val="16"/>
          <w:color w:val="auto"/>
        </w:rPr>
      </w:pPr>
      <w:r>
        <w:rPr>
          <w:rFonts w:ascii="Arial" w:cs="Arial" w:eastAsia="Arial" w:hAnsi="Arial"/>
          <w:sz w:val="15"/>
          <w:szCs w:val="15"/>
          <w:color w:val="auto"/>
        </w:rPr>
        <w:t>“NOTICE OF TERMINATION” shall mean a written notice, which includes the effective Date of Termination and (i) if delivered by the Company in connection with the Company’s decision to terminate Employee’s employment with the Company, sets forth in reasonable detail the reason for termination of Employee’s employment, or (ii) if delivered by Employee in connection with a Constructive Termination (as such term is defined in the Severance Plan (as defined in Section 3.1(c) below)) specifies in reasonable detail the basis for such resignation.</w:t>
      </w:r>
    </w:p>
    <w:p>
      <w:pPr>
        <w:spacing w:after="0" w:line="133" w:lineRule="exact"/>
        <w:rPr>
          <w:rFonts w:ascii="Arial" w:cs="Arial" w:eastAsia="Arial" w:hAnsi="Arial"/>
          <w:sz w:val="16"/>
          <w:szCs w:val="16"/>
          <w:color w:val="auto"/>
        </w:rPr>
      </w:pPr>
    </w:p>
    <w:p>
      <w:pPr>
        <w:jc w:val="both"/>
        <w:ind w:left="2100" w:right="1159" w:firstLine="8"/>
        <w:spacing w:after="0" w:line="342" w:lineRule="auto"/>
        <w:tabs>
          <w:tab w:leader="none" w:pos="2611" w:val="left"/>
        </w:tabs>
        <w:numPr>
          <w:ilvl w:val="1"/>
          <w:numId w:val="45"/>
        </w:numPr>
        <w:rPr>
          <w:rFonts w:ascii="Arial" w:cs="Arial" w:eastAsia="Arial" w:hAnsi="Arial"/>
          <w:sz w:val="15"/>
          <w:szCs w:val="15"/>
          <w:color w:val="auto"/>
        </w:rPr>
      </w:pPr>
      <w:r>
        <w:rPr>
          <w:rFonts w:ascii="Arial" w:cs="Arial" w:eastAsia="Arial" w:hAnsi="Arial"/>
          <w:sz w:val="15"/>
          <w:szCs w:val="15"/>
          <w:color w:val="auto"/>
        </w:rPr>
        <w:t>“SEVERANCE PLAN” shall mean the CrossFirst Bankshares, Inc. Senior Executive Severance Plan, as amended, supplemented or restated from time to time.</w:t>
      </w:r>
    </w:p>
    <w:p>
      <w:pPr>
        <w:spacing w:after="0" w:line="74" w:lineRule="exact"/>
        <w:rPr>
          <w:sz w:val="20"/>
          <w:szCs w:val="20"/>
          <w:color w:val="auto"/>
        </w:rPr>
      </w:pPr>
    </w:p>
    <w:p>
      <w:pPr>
        <w:jc w:val="both"/>
        <w:ind w:left="1600" w:right="1139"/>
        <w:spacing w:after="0" w:line="25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5"/>
          <w:szCs w:val="15"/>
          <w:color w:val="auto"/>
        </w:rPr>
        <w:t>TERMINATION BY EMPLOYEE OR COMPANY DUE TO DEATH OR DISABILITY.</w:t>
      </w:r>
      <w:r>
        <w:rPr>
          <w:rFonts w:ascii="Arial" w:cs="Arial" w:eastAsia="Arial" w:hAnsi="Arial"/>
          <w:sz w:val="17"/>
          <w:szCs w:val="17"/>
          <w:color w:val="auto"/>
        </w:rPr>
        <w:t xml:space="preserve"> </w:t>
      </w:r>
      <w:r>
        <w:rPr>
          <w:rFonts w:ascii="Arial" w:cs="Arial" w:eastAsia="Arial" w:hAnsi="Arial"/>
          <w:sz w:val="15"/>
          <w:szCs w:val="15"/>
          <w:color w:val="auto"/>
        </w:rPr>
        <w:t>If the Company terminates Employee during the term of this Agreement due to death or Disability or Employee terminates this Agreement due to Disability, then following such termination the Company shall pay to Employee or Employee’s legal representative:</w:t>
      </w:r>
    </w:p>
    <w:p>
      <w:pPr>
        <w:spacing w:after="0" w:line="139" w:lineRule="exact"/>
        <w:rPr>
          <w:sz w:val="20"/>
          <w:szCs w:val="20"/>
          <w:color w:val="auto"/>
        </w:rPr>
      </w:pPr>
    </w:p>
    <w:p>
      <w:pPr>
        <w:jc w:val="both"/>
        <w:ind w:left="2100" w:right="1139" w:firstLine="8"/>
        <w:spacing w:after="0" w:line="311" w:lineRule="auto"/>
        <w:tabs>
          <w:tab w:leader="none" w:pos="2612" w:val="left"/>
        </w:tabs>
        <w:numPr>
          <w:ilvl w:val="0"/>
          <w:numId w:val="46"/>
        </w:numPr>
        <w:rPr>
          <w:rFonts w:ascii="Arial" w:cs="Arial" w:eastAsia="Arial" w:hAnsi="Arial"/>
          <w:sz w:val="13"/>
          <w:szCs w:val="13"/>
          <w:color w:val="auto"/>
        </w:rPr>
      </w:pPr>
      <w:r>
        <w:rPr>
          <w:rFonts w:ascii="Arial" w:cs="Arial" w:eastAsia="Arial" w:hAnsi="Arial"/>
          <w:sz w:val="13"/>
          <w:szCs w:val="13"/>
          <w:color w:val="auto"/>
        </w:rPr>
        <w:t>ACCRUED OBLIGATION. A lump sum cash payment equal to Employee’s accrued, earned but unpaid compensation and bonuses for the period ending on the Date of Termination, provided, that such payment shall not include any potential or unearned bonuses or any other potential or unearned or benefits (“Accrued Obligations”) shall be made on the sixtieth (60th) day following the Employee’s Date of Termination; and</w:t>
      </w:r>
    </w:p>
    <w:p>
      <w:pPr>
        <w:spacing w:after="0" w:line="108" w:lineRule="exact"/>
        <w:rPr>
          <w:rFonts w:ascii="Arial" w:cs="Arial" w:eastAsia="Arial" w:hAnsi="Arial"/>
          <w:sz w:val="13"/>
          <w:szCs w:val="13"/>
          <w:color w:val="auto"/>
        </w:rPr>
      </w:pPr>
    </w:p>
    <w:p>
      <w:pPr>
        <w:jc w:val="both"/>
        <w:ind w:left="2100" w:right="1139" w:firstLine="8"/>
        <w:spacing w:after="0" w:line="303" w:lineRule="auto"/>
        <w:tabs>
          <w:tab w:leader="none" w:pos="2612"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COBRA PAYMENT. A lump sum cash payment equal to twelve (12) times the Company-paid portion of the monthly COBRA continuation premium for Employee and his eligible dependents, if any, for COBRA continuation coverage under the Company’s health, vision and dental plans in effect as of Employee’s Date of Termination due to Disability or death. Such amount will include the Company paid portion of the cost of the premiums for coverage of Employee’s dependents if, and only to the extent that, such dependents were</w:t>
      </w: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407" w:right="1440" w:bottom="1440" w:gutter="0" w:footer="0" w:header="0"/>
        </w:sectPr>
      </w:pPr>
    </w:p>
    <w:bookmarkStart w:id="78" w:name="page79"/>
    <w:bookmarkEnd w:id="78"/>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57" w:lineRule="exact"/>
        <w:rPr>
          <w:sz w:val="20"/>
          <w:szCs w:val="20"/>
          <w:color w:val="auto"/>
        </w:rPr>
      </w:pPr>
    </w:p>
    <w:p>
      <w:pPr>
        <w:ind w:left="2100" w:right="1159"/>
        <w:spacing w:after="0" w:line="257" w:lineRule="auto"/>
        <w:rPr>
          <w:sz w:val="20"/>
          <w:szCs w:val="20"/>
          <w:color w:val="auto"/>
        </w:rPr>
      </w:pPr>
      <w:r>
        <w:rPr>
          <w:rFonts w:ascii="Arial" w:cs="Arial" w:eastAsia="Arial" w:hAnsi="Arial"/>
          <w:sz w:val="16"/>
          <w:szCs w:val="16"/>
          <w:color w:val="auto"/>
        </w:rPr>
        <w:t>enrolled in a health, vision or dental plan sponsored by the Company before the Date of Termination.</w:t>
      </w:r>
    </w:p>
    <w:p>
      <w:pPr>
        <w:spacing w:after="0" w:line="139"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For purposes of this Agreement, “Disability” shall have the meaning ascribed in the Severance Plan.</w:t>
      </w:r>
    </w:p>
    <w:p>
      <w:pPr>
        <w:spacing w:after="0" w:line="201" w:lineRule="exact"/>
        <w:rPr>
          <w:sz w:val="20"/>
          <w:szCs w:val="20"/>
          <w:color w:val="auto"/>
        </w:rPr>
      </w:pPr>
    </w:p>
    <w:p>
      <w:pPr>
        <w:jc w:val="both"/>
        <w:ind w:left="1600" w:right="1159"/>
        <w:spacing w:after="0" w:line="254" w:lineRule="auto"/>
        <w:rPr>
          <w:sz w:val="20"/>
          <w:szCs w:val="20"/>
          <w:color w:val="auto"/>
        </w:rPr>
      </w:pPr>
      <w:r>
        <w:rPr>
          <w:rFonts w:ascii="Arial" w:cs="Arial" w:eastAsia="Arial" w:hAnsi="Arial"/>
          <w:sz w:val="17"/>
          <w:szCs w:val="17"/>
          <w:color w:val="auto"/>
        </w:rPr>
        <w:t xml:space="preserve">3.3 OTHER </w:t>
      </w:r>
      <w:r>
        <w:rPr>
          <w:rFonts w:ascii="Arial" w:cs="Arial" w:eastAsia="Arial" w:hAnsi="Arial"/>
          <w:sz w:val="15"/>
          <w:szCs w:val="15"/>
          <w:color w:val="auto"/>
        </w:rPr>
        <w:t>TERMINATIONS. In the case of a termination for any reason other than</w:t>
      </w:r>
      <w:r>
        <w:rPr>
          <w:rFonts w:ascii="Arial" w:cs="Arial" w:eastAsia="Arial" w:hAnsi="Arial"/>
          <w:sz w:val="17"/>
          <w:szCs w:val="17"/>
          <w:color w:val="auto"/>
        </w:rPr>
        <w:t xml:space="preserve"> </w:t>
      </w:r>
      <w:r>
        <w:rPr>
          <w:rFonts w:ascii="Arial" w:cs="Arial" w:eastAsia="Arial" w:hAnsi="Arial"/>
          <w:sz w:val="15"/>
          <w:szCs w:val="15"/>
          <w:color w:val="auto"/>
        </w:rPr>
        <w:t>Employee’s death or Disability, Employee shall only be entitled to those severance benefits, if any, provided for under the Severance Plan (“Severance Payments”).</w:t>
      </w:r>
    </w:p>
    <w:p>
      <w:pPr>
        <w:spacing w:after="0" w:line="129" w:lineRule="exact"/>
        <w:rPr>
          <w:sz w:val="20"/>
          <w:szCs w:val="20"/>
          <w:color w:val="auto"/>
        </w:rPr>
      </w:pPr>
    </w:p>
    <w:p>
      <w:pPr>
        <w:jc w:val="both"/>
        <w:ind w:left="1600" w:right="1159"/>
        <w:spacing w:after="0" w:line="256"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5"/>
          <w:szCs w:val="15"/>
          <w:color w:val="auto"/>
        </w:rPr>
        <w:t>CONDITIONAL NATURE OF SEVERANCE PAYMENTS. Notwithstanding any other</w:t>
      </w:r>
      <w:r>
        <w:rPr>
          <w:rFonts w:ascii="Arial" w:cs="Arial" w:eastAsia="Arial" w:hAnsi="Arial"/>
          <w:sz w:val="17"/>
          <w:szCs w:val="17"/>
          <w:color w:val="auto"/>
        </w:rPr>
        <w:t xml:space="preserve"> </w:t>
      </w:r>
      <w:r>
        <w:rPr>
          <w:rFonts w:ascii="Arial" w:cs="Arial" w:eastAsia="Arial" w:hAnsi="Arial"/>
          <w:sz w:val="15"/>
          <w:szCs w:val="15"/>
          <w:color w:val="auto"/>
        </w:rPr>
        <w:t>provision of Section 3 or any other provision of this Agreement to the contrary:</w:t>
      </w:r>
    </w:p>
    <w:p>
      <w:pPr>
        <w:spacing w:after="0" w:line="150" w:lineRule="exact"/>
        <w:rPr>
          <w:sz w:val="20"/>
          <w:szCs w:val="20"/>
          <w:color w:val="auto"/>
        </w:rPr>
      </w:pPr>
    </w:p>
    <w:p>
      <w:pPr>
        <w:jc w:val="both"/>
        <w:ind w:left="2100" w:right="1159" w:firstLine="8"/>
        <w:spacing w:after="0" w:line="269" w:lineRule="auto"/>
        <w:tabs>
          <w:tab w:leader="none" w:pos="2612" w:val="left"/>
        </w:tabs>
        <w:numPr>
          <w:ilvl w:val="0"/>
          <w:numId w:val="47"/>
        </w:numPr>
        <w:rPr>
          <w:rFonts w:ascii="Arial" w:cs="Arial" w:eastAsia="Arial" w:hAnsi="Arial"/>
          <w:sz w:val="15"/>
          <w:szCs w:val="15"/>
          <w:color w:val="auto"/>
        </w:rPr>
      </w:pPr>
      <w:r>
        <w:rPr>
          <w:rFonts w:ascii="Arial" w:cs="Arial" w:eastAsia="Arial" w:hAnsi="Arial"/>
          <w:sz w:val="14"/>
          <w:szCs w:val="14"/>
          <w:color w:val="auto"/>
        </w:rPr>
        <w:t>CONFIDENTIALITY. Employee understands and agrees that because of his employment with the Company that he will acquire or have access to certain information of a confidential and secret nature derived from the operations of the Company’s and its Affiliated Companies’ business. Employee further understands and agrees that all correspondence, customer and investor lists and information, loan pricing techniques, underwriting methods, systems and products of the Company are confidential and trade secrets (“Confidential Information”) and the disclosure or unauthorized use of such information would be detrimental to the Company. On or before the Date of Termination, or upon request of the Company, Employee shall return to Company, all records, lists, compositions, documents and other items which contain, disclose and/or embody any Confidential Information (including, without limitation, all copies, reproductions, summaries and notes of the contents thereof, expressly including all electronically stored data, wherever stored), regardless of the person causing the same to be in such form, and Employee will certify that the provisions of this paragraph have been complied with. Nothing contained in this Section 3.2(a) shall be construed as preventing Employee from providing Confidential Information in compliance with a valid court order issued by a court of competent jurisdiction, providing Employee takes reasonable steps to prevent dissemination of such Confidential Information and notifies the Company in a reasonable amount of time in advance of such dissemination. Nothing in this Agreement prohibits Employee from reporting possible violations of federal or state law or regulation to any government agency or entity, including but not limited to, the Equal Employment Opportunity Commission, the Department of Justice, Congress, or other applicable regulatory agency, or making other disclosures that are protected under the whistleblower provisions of applicable law.</w:t>
      </w:r>
    </w:p>
    <w:p>
      <w:pPr>
        <w:spacing w:after="0" w:line="157" w:lineRule="exact"/>
        <w:rPr>
          <w:rFonts w:ascii="Arial" w:cs="Arial" w:eastAsia="Arial" w:hAnsi="Arial"/>
          <w:sz w:val="15"/>
          <w:szCs w:val="15"/>
          <w:color w:val="auto"/>
        </w:rPr>
      </w:pPr>
    </w:p>
    <w:p>
      <w:pPr>
        <w:jc w:val="both"/>
        <w:ind w:left="2100" w:right="1139" w:firstLine="8"/>
        <w:spacing w:after="0" w:line="254" w:lineRule="auto"/>
        <w:tabs>
          <w:tab w:leader="none" w:pos="2612" w:val="left"/>
        </w:tabs>
        <w:numPr>
          <w:ilvl w:val="0"/>
          <w:numId w:val="47"/>
        </w:numPr>
        <w:rPr>
          <w:rFonts w:ascii="Arial" w:cs="Arial" w:eastAsia="Arial" w:hAnsi="Arial"/>
          <w:sz w:val="16"/>
          <w:szCs w:val="16"/>
          <w:color w:val="auto"/>
        </w:rPr>
      </w:pPr>
      <w:r>
        <w:rPr>
          <w:rFonts w:ascii="Arial" w:cs="Arial" w:eastAsia="Arial" w:hAnsi="Arial"/>
          <w:sz w:val="15"/>
          <w:szCs w:val="15"/>
          <w:color w:val="auto"/>
        </w:rPr>
        <w:t>NONSOLICITATION. Employee understands and agrees that the nature of the Company’s business is such that if Employee were to directly solicit, interfere with, or attempt to interfere with any of the Company’s customer relationships or to directly or indirectly solicit, interfere with, or attempt to interfere with any of the Company’s other employees relationships that existed at Employee’s Termination Date and during the one (1) year period following the termination of Employee’s employment with the Company, then it would be injurious to the Company. Therefore, in consideration of the Company offering the compensation and perquisites provided under this Agreement, and subject to the condition precedent of the Company timely providing Employee the payments called for hereunder, Employee agrees:</w:t>
      </w:r>
    </w:p>
    <w:p>
      <w:pPr>
        <w:spacing w:after="0" w:line="146" w:lineRule="exact"/>
        <w:rPr>
          <w:rFonts w:ascii="Arial" w:cs="Arial" w:eastAsia="Arial" w:hAnsi="Arial"/>
          <w:sz w:val="16"/>
          <w:szCs w:val="16"/>
          <w:color w:val="auto"/>
        </w:rPr>
      </w:pPr>
    </w:p>
    <w:p>
      <w:pPr>
        <w:jc w:val="both"/>
        <w:ind w:left="2620" w:right="1139" w:firstLine="512"/>
        <w:spacing w:after="0" w:line="279" w:lineRule="auto"/>
        <w:tabs>
          <w:tab w:leader="none" w:pos="3644" w:val="left"/>
        </w:tabs>
        <w:numPr>
          <w:ilvl w:val="1"/>
          <w:numId w:val="47"/>
        </w:numPr>
        <w:rPr>
          <w:rFonts w:ascii="Arial" w:cs="Arial" w:eastAsia="Arial" w:hAnsi="Arial"/>
          <w:sz w:val="15"/>
          <w:szCs w:val="15"/>
          <w:color w:val="auto"/>
        </w:rPr>
      </w:pPr>
      <w:r>
        <w:rPr>
          <w:rFonts w:ascii="Arial" w:cs="Arial" w:eastAsia="Arial" w:hAnsi="Arial"/>
          <w:sz w:val="14"/>
          <w:szCs w:val="14"/>
          <w:color w:val="auto"/>
        </w:rPr>
        <w:t>that, without the prior written consent of the Company, he will not directly or indirectly solicit interfere with or attempt to interfere with any of the Company’s customer relationships or other employee relationships that existed at Employee’s Termination Date and with whom Employee personally had any contact during Employee’s employment and the one (1) year period of time thereafter;</w:t>
      </w:r>
    </w:p>
    <w:p>
      <w:pPr>
        <w:spacing w:after="0" w:line="128" w:lineRule="exact"/>
        <w:rPr>
          <w:rFonts w:ascii="Arial" w:cs="Arial" w:eastAsia="Arial" w:hAnsi="Arial"/>
          <w:sz w:val="15"/>
          <w:szCs w:val="15"/>
          <w:color w:val="auto"/>
        </w:rPr>
      </w:pPr>
    </w:p>
    <w:p>
      <w:pPr>
        <w:jc w:val="both"/>
        <w:ind w:left="2620" w:right="1159" w:firstLine="512"/>
        <w:spacing w:after="0" w:line="372" w:lineRule="auto"/>
        <w:tabs>
          <w:tab w:leader="none" w:pos="3644" w:val="left"/>
        </w:tabs>
        <w:numPr>
          <w:ilvl w:val="1"/>
          <w:numId w:val="47"/>
        </w:numPr>
        <w:rPr>
          <w:rFonts w:ascii="Arial" w:cs="Arial" w:eastAsia="Arial" w:hAnsi="Arial"/>
          <w:sz w:val="13"/>
          <w:szCs w:val="13"/>
          <w:color w:val="auto"/>
        </w:rPr>
      </w:pPr>
      <w:r>
        <w:rPr>
          <w:rFonts w:ascii="Arial" w:cs="Arial" w:eastAsia="Arial" w:hAnsi="Arial"/>
          <w:sz w:val="13"/>
          <w:szCs w:val="13"/>
          <w:color w:val="auto"/>
        </w:rPr>
        <w:t>to assist in the avoidance of the unauthorized disclosure of the Company’s Confidential Information, in addition to other remedies available to the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407" w:right="1440" w:bottom="1440" w:gutter="0" w:footer="0" w:header="0"/>
        </w:sectPr>
      </w:pPr>
    </w:p>
    <w:bookmarkStart w:id="79" w:name="page80"/>
    <w:bookmarkEnd w:id="79"/>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57" w:lineRule="exact"/>
        <w:rPr>
          <w:sz w:val="20"/>
          <w:szCs w:val="20"/>
          <w:color w:val="auto"/>
        </w:rPr>
      </w:pPr>
    </w:p>
    <w:p>
      <w:pPr>
        <w:jc w:val="both"/>
        <w:ind w:left="2620" w:right="1139"/>
        <w:spacing w:after="0" w:line="293" w:lineRule="auto"/>
        <w:rPr>
          <w:sz w:val="20"/>
          <w:szCs w:val="20"/>
          <w:color w:val="auto"/>
        </w:rPr>
      </w:pPr>
      <w:r>
        <w:rPr>
          <w:rFonts w:ascii="Arial" w:cs="Arial" w:eastAsia="Arial" w:hAnsi="Arial"/>
          <w:sz w:val="13"/>
          <w:szCs w:val="13"/>
          <w:color w:val="auto"/>
        </w:rPr>
        <w:t>Company and its Affiliated Companies, Employee will not, and understands and agrees that his right to receive the severance consideration described in Sections 3.2 and 3.3 above (to the extent Employee is otherwise entitled to such payments thereunder) shall be conditioned upon Employee not: i) directly or indirectly engaging in (whether as an employee, consultant, agent, proprietor, principal, partner, stockholder, corporate officer, director or otherwise); or ii) acquiring any ownership interest in or participating in the financing, operation, management or control of, any person, firm, corporation or business that directly or indirectly solicits, interferes with or attempts to interfere with any of the Company’s customer relationships or other employee relationships that existed at Employee’s Termination Date and with whom Employee personally had any contact in any Metropolitan Statistical Area as defined from time to time by the U.S. Office of Management and Budget, Bureau of Labor Statistics, in which the Holding Company or its successor owns a controlling voting interest in any banking or other financial institution as such banking or other financial institutions are controlled by the Company or its Affiliated Companies upon Employee’s Termination Date. The limitation upon Employee’s ownership of outstanding shares or other units of ownership shall be excluded from this Section 3.4, provided such ownership is less than five percent (5%) in any publicly-traded bank or financial institution;</w:t>
      </w:r>
    </w:p>
    <w:p>
      <w:pPr>
        <w:spacing w:after="0" w:line="310" w:lineRule="exact"/>
        <w:rPr>
          <w:sz w:val="20"/>
          <w:szCs w:val="20"/>
          <w:color w:val="auto"/>
        </w:rPr>
      </w:pPr>
    </w:p>
    <w:p>
      <w:pPr>
        <w:jc w:val="both"/>
        <w:ind w:left="2620" w:right="1139" w:firstLine="512"/>
        <w:spacing w:after="0" w:line="238" w:lineRule="auto"/>
        <w:tabs>
          <w:tab w:leader="none" w:pos="36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without the prior written consent of the Company, Employee will not solicit, directly or indirectly, actively or inactively, the employees or independent contractors of the Company with whom Employee personally had any contact to become employees or independent contractors of any person, firm, corporation, business, or banking or other financial institution that directly or indirectly competes with the Company or solicits, interferes with, or attempts to interfere with the Company’s customers; and,</w:t>
      </w:r>
    </w:p>
    <w:p>
      <w:pPr>
        <w:spacing w:after="0" w:line="152" w:lineRule="exact"/>
        <w:rPr>
          <w:rFonts w:ascii="Arial" w:cs="Arial" w:eastAsia="Arial" w:hAnsi="Arial"/>
          <w:sz w:val="16"/>
          <w:szCs w:val="16"/>
          <w:color w:val="auto"/>
        </w:rPr>
      </w:pPr>
    </w:p>
    <w:p>
      <w:pPr>
        <w:jc w:val="both"/>
        <w:ind w:left="2620" w:right="1159" w:firstLine="512"/>
        <w:spacing w:after="0" w:line="301" w:lineRule="auto"/>
        <w:tabs>
          <w:tab w:leader="none" w:pos="3643"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or before the Date of Termination, Employee shall return to Company, all records, lists, compositions, documents and other items which contain, disclose and/or embody any Confidential Information (including, without limitation, all copies, reproductions, summaries and notes of the contents thereof, expressly including all electronically stored data, wherever stored), regardless of the person causing the same to be in such form, and Employee will certify that the provisions of this paragraph have been complied with.</w:t>
      </w:r>
    </w:p>
    <w:p>
      <w:pPr>
        <w:spacing w:after="0" w:line="117" w:lineRule="exact"/>
        <w:rPr>
          <w:sz w:val="20"/>
          <w:szCs w:val="20"/>
          <w:color w:val="auto"/>
        </w:rPr>
      </w:pPr>
    </w:p>
    <w:p>
      <w:pPr>
        <w:jc w:val="both"/>
        <w:ind w:left="2100" w:right="1139"/>
        <w:spacing w:after="0" w:line="255" w:lineRule="auto"/>
        <w:rPr>
          <w:sz w:val="20"/>
          <w:szCs w:val="20"/>
          <w:color w:val="auto"/>
        </w:rPr>
      </w:pPr>
      <w:r>
        <w:rPr>
          <w:rFonts w:ascii="Arial" w:cs="Arial" w:eastAsia="Arial" w:hAnsi="Arial"/>
          <w:sz w:val="15"/>
          <w:szCs w:val="15"/>
          <w:color w:val="auto"/>
        </w:rPr>
        <w:t>If Employee violates any restriction described in Section 3.4(a), then all Severance Payments and consideration to which Employee otherwise may be entitled under Section 3.2 and 3.3 above, as applicable, thereupon shall cease and Employee shall promptly return to the Company all severance payments received and other severance benefits theretofore incurred by Company for Employee’s benefit. The Company agrees that nothing herein shall preclude Employee from retaining copies of his calendar, contact list or documents related to his investment in Company or responsibilities as a director to Company, and that Employee shall be entitled to freely offer employment references to the Company’s other current or former employees.</w:t>
      </w:r>
    </w:p>
    <w:p>
      <w:pPr>
        <w:spacing w:after="0" w:line="164" w:lineRule="exact"/>
        <w:rPr>
          <w:sz w:val="20"/>
          <w:szCs w:val="20"/>
          <w:color w:val="auto"/>
        </w:rPr>
      </w:pPr>
    </w:p>
    <w:p>
      <w:pPr>
        <w:jc w:val="both"/>
        <w:ind w:left="2100" w:right="1139" w:firstLine="8"/>
        <w:spacing w:after="0" w:line="255" w:lineRule="auto"/>
        <w:tabs>
          <w:tab w:leader="none" w:pos="2612" w:val="left"/>
        </w:tabs>
        <w:numPr>
          <w:ilvl w:val="0"/>
          <w:numId w:val="49"/>
        </w:numPr>
        <w:rPr>
          <w:rFonts w:ascii="Arial" w:cs="Arial" w:eastAsia="Arial" w:hAnsi="Arial"/>
          <w:sz w:val="16"/>
          <w:szCs w:val="16"/>
          <w:color w:val="auto"/>
        </w:rPr>
      </w:pPr>
      <w:r>
        <w:rPr>
          <w:rFonts w:ascii="Arial" w:cs="Arial" w:eastAsia="Arial" w:hAnsi="Arial"/>
          <w:sz w:val="15"/>
          <w:szCs w:val="15"/>
          <w:color w:val="auto"/>
        </w:rPr>
        <w:t>OTHER EMPLOYMENT. In the event Employee becomes employed as an employee or consultant for a company that provides financial services similar to services provided by the Company or its Affiliated Companies in a Metropolitan Statistical Area, described in Section 3.4(a)(ii) above, Employee shall not be entitled to receive any further amount of the severance consideration described in Sections 3.2(c) or 3.3 above, subsequent to the date of such employment. Employee acknowledges that this limitation is fair to both Employee and the Company and does not in any way restrain employee from exercising Employee’s lawful profession, trade or business.</w:t>
      </w: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407" w:right="1440" w:bottom="1440" w:gutter="0" w:footer="0" w:header="0"/>
        </w:sectPr>
      </w:pPr>
    </w:p>
    <w:bookmarkStart w:id="80" w:name="page81"/>
    <w:bookmarkEnd w:id="80"/>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78" w:lineRule="exact"/>
        <w:rPr>
          <w:sz w:val="20"/>
          <w:szCs w:val="20"/>
          <w:color w:val="auto"/>
        </w:rPr>
      </w:pPr>
    </w:p>
    <w:p>
      <w:pPr>
        <w:jc w:val="both"/>
        <w:ind w:left="2100" w:right="1139" w:firstLine="8"/>
        <w:spacing w:after="0" w:line="270" w:lineRule="auto"/>
        <w:tabs>
          <w:tab w:leader="none" w:pos="2612" w:val="left"/>
        </w:tabs>
        <w:numPr>
          <w:ilvl w:val="0"/>
          <w:numId w:val="50"/>
        </w:numPr>
        <w:rPr>
          <w:rFonts w:ascii="Arial" w:cs="Arial" w:eastAsia="Arial" w:hAnsi="Arial"/>
          <w:sz w:val="15"/>
          <w:szCs w:val="15"/>
          <w:color w:val="auto"/>
        </w:rPr>
      </w:pPr>
      <w:r>
        <w:rPr>
          <w:rFonts w:ascii="Arial" w:cs="Arial" w:eastAsia="Arial" w:hAnsi="Arial"/>
          <w:sz w:val="14"/>
          <w:szCs w:val="14"/>
          <w:color w:val="auto"/>
        </w:rPr>
        <w:t>GENERAL RELEASE. Employee shall not be entitled to receive any benefits upon termination of employment described in Section 3 (including any Severance Payments under the Severance Plan or described in Section 3.2 above) unless prior to receiving the same Employee executes a release pursuant to Section 9 of the Severance Plan, as applicable, or a general release of all known claims against the Company and its directors, officers, employees, stockholders, and other agents and their respective insurers, successors, and assigns, of all claims arising from or in any way relating to Employee’s employment by the Company or the termination of that employment, provided that such release shall not extend to (i) any claims for benefits under any qualified retirement plan maintained by the Company, (ii) any claims for governmental unemployment benefits, (iii) any claims for workers compensation benefits; (iv) Employee’s rights, if any, under the Severance Plan, (v) Employee’s rights, if any, as an owner of any Shares of the Holding Company, (vi) Employee’s rights under this Agreement, or (vi) Employee’s right to receive indemnification from the Company under applicable provisions of the law of the State where Employee is employed or the articles of organization, articles of incorporation, By Laws or Operating Agreement of the Company or its Affiliated Companies, as the case may be.</w:t>
      </w:r>
    </w:p>
    <w:p>
      <w:pPr>
        <w:spacing w:after="0" w:line="141" w:lineRule="exact"/>
        <w:rPr>
          <w:sz w:val="20"/>
          <w:szCs w:val="20"/>
          <w:color w:val="auto"/>
        </w:rPr>
      </w:pPr>
    </w:p>
    <w:p>
      <w:pPr>
        <w:jc w:val="both"/>
        <w:ind w:left="1600" w:right="1139"/>
        <w:spacing w:after="0" w:line="299" w:lineRule="auto"/>
        <w:rPr>
          <w:sz w:val="20"/>
          <w:szCs w:val="20"/>
          <w:color w:val="auto"/>
        </w:rPr>
      </w:pPr>
      <w:r>
        <w:rPr>
          <w:rFonts w:ascii="Arial" w:cs="Arial" w:eastAsia="Arial" w:hAnsi="Arial"/>
          <w:sz w:val="13"/>
          <w:szCs w:val="13"/>
          <w:color w:val="auto"/>
        </w:rPr>
        <w:t>3.5 EQUITABLE REMEDIES. Employee acknowledges that irreparable harm will result to the Company in the event of a material breach by Employee of any of the covenants contained in Section 3.4. Employee agrees that, in the event of such a breach and in addition to any other legal or equitable remedies available to the Company, the Company will be entitled to specific performance of the covenants in Section 3.4; to an injunction to restrain the violation of such covenants by Employee and all other persons acting for or with Employee; or to both specific performance and an injunction. Employee further agrees that, in the event the Company brings an action for the enforcement of any of those covenants, and if the court finds any part of the covenant unreasonable as to time, area or activity covered, then the court shall make a finding as to what is reasonable and shall enforce this Agreement by judgment or decree to the extent of such findings.</w:t>
      </w:r>
    </w:p>
    <w:p>
      <w:pPr>
        <w:spacing w:after="0" w:line="298" w:lineRule="exact"/>
        <w:rPr>
          <w:sz w:val="20"/>
          <w:szCs w:val="20"/>
          <w:color w:val="auto"/>
        </w:rPr>
      </w:pPr>
    </w:p>
    <w:p>
      <w:pPr>
        <w:jc w:val="both"/>
        <w:ind w:left="1600" w:right="1139"/>
        <w:spacing w:after="0" w:line="292" w:lineRule="auto"/>
        <w:rPr>
          <w:sz w:val="20"/>
          <w:szCs w:val="20"/>
          <w:color w:val="auto"/>
        </w:rPr>
      </w:pPr>
      <w:r>
        <w:rPr>
          <w:rFonts w:ascii="Arial" w:cs="Arial" w:eastAsia="Arial" w:hAnsi="Arial"/>
          <w:sz w:val="13"/>
          <w:szCs w:val="13"/>
          <w:color w:val="auto"/>
        </w:rPr>
        <w:t>3.6 LIMITATION ON PAYMENTS. Notwithstanding any other provision of this Agreement, payments and benefits which Employee has a right to receive from the Company under Section 3.3 which result in there being a “parachute payment” under Section 280G of the Internal Revenue Code, (the “Code”), then such payments shall be reduced by the minimum amount necessary to avoid the imposition of the excise tax (“Excise Tax”) under Section 4999 of the Code, provided, however, that no such reduction in such payments shall be made if by not making such reduction, Employee’s Retained Amount (as hereinafter defined) would be greater than Employee’s Retained Amount if such payments are so reduced. All determinations required to be made under this Section 3.6 shall be made by tax counsel selected by the Company and reasonably acceptable to Employee (“Tax Counsel”), which determinations shall be conclusive and binding on Employee and the Company absent manifest error. All fees and expenses of Tax Counsel shall be borne solely by the Company. Prior to any reduction in such payments to Employee pursuant to this Section 3.6, Tax Counsel shall provide Employee and the Company with a report setting forth its calculations and containing related supporting information. In the event any such reduction is required, such payments shall be reduced in the following order: (i) any COBRA payments, (ii) the Severance Payments, (iii) any other portion of such payments that are not subject to Section 409A of the Code (other than payments resulting from any accelerated vesting of an equity award under the Equity Incentive Plan),</w:t>
      </w:r>
    </w:p>
    <w:p>
      <w:pPr>
        <w:spacing w:after="0" w:line="155" w:lineRule="exact"/>
        <w:rPr>
          <w:sz w:val="20"/>
          <w:szCs w:val="20"/>
          <w:color w:val="auto"/>
        </w:rPr>
      </w:pPr>
    </w:p>
    <w:p>
      <w:pPr>
        <w:jc w:val="both"/>
        <w:ind w:left="1600" w:right="1139"/>
        <w:spacing w:after="0" w:line="305" w:lineRule="auto"/>
        <w:rPr>
          <w:sz w:val="20"/>
          <w:szCs w:val="20"/>
          <w:color w:val="auto"/>
        </w:rPr>
      </w:pPr>
      <w:r>
        <w:rPr>
          <w:rFonts w:ascii="Arial" w:cs="Arial" w:eastAsia="Arial" w:hAnsi="Arial"/>
          <w:sz w:val="13"/>
          <w:szCs w:val="13"/>
          <w:color w:val="auto"/>
        </w:rPr>
        <w:t>(iv) any payments that are subject to Section 409A of the Code in reverse order of payment, and (v) any portion of such payments that are not subject to Section 409A and arise from any accelerated vesting of an award under the Equity Incentive Plan. “Retained Amount” shall mean the present value (as determined in accordance with Sections 280G(b)(2)(A)(ii) and 280G(d)(4) of the Code) of such payments net of all federal, state and local taxes imposed on Employee with respect thereto.</w:t>
      </w:r>
    </w:p>
    <w:p>
      <w:pPr>
        <w:spacing w:after="0" w:line="145" w:lineRule="exact"/>
        <w:rPr>
          <w:sz w:val="20"/>
          <w:szCs w:val="20"/>
          <w:color w:val="auto"/>
        </w:rPr>
      </w:pPr>
    </w:p>
    <w:p>
      <w:pPr>
        <w:ind w:left="1600" w:hanging="517"/>
        <w:spacing w:after="0"/>
        <w:tabs>
          <w:tab w:leader="none" w:pos="1600" w:val="left"/>
        </w:tabs>
        <w:numPr>
          <w:ilvl w:val="0"/>
          <w:numId w:val="51"/>
        </w:numPr>
        <w:rPr>
          <w:rFonts w:ascii="Arial" w:cs="Arial" w:eastAsia="Arial" w:hAnsi="Arial"/>
          <w:sz w:val="17"/>
          <w:szCs w:val="17"/>
          <w:color w:val="auto"/>
        </w:rPr>
      </w:pPr>
      <w:r>
        <w:rPr>
          <w:rFonts w:ascii="Arial" w:cs="Arial" w:eastAsia="Arial" w:hAnsi="Arial"/>
          <w:sz w:val="16"/>
          <w:szCs w:val="16"/>
          <w:color w:val="auto"/>
        </w:rPr>
        <w:t>MISCELLANEOUS</w:t>
      </w:r>
    </w:p>
    <w:p>
      <w:pPr>
        <w:spacing w:after="0" w:line="165" w:lineRule="exact"/>
        <w:rPr>
          <w:rFonts w:ascii="Arial" w:cs="Arial" w:eastAsia="Arial" w:hAnsi="Arial"/>
          <w:sz w:val="17"/>
          <w:szCs w:val="17"/>
          <w:color w:val="auto"/>
        </w:rPr>
      </w:pPr>
    </w:p>
    <w:p>
      <w:pPr>
        <w:jc w:val="both"/>
        <w:ind w:left="1600" w:right="1179"/>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4.1 </w:t>
      </w:r>
      <w:r>
        <w:rPr>
          <w:rFonts w:ascii="Arial" w:cs="Arial" w:eastAsia="Arial" w:hAnsi="Arial"/>
          <w:sz w:val="15"/>
          <w:szCs w:val="15"/>
          <w:color w:val="auto"/>
        </w:rPr>
        <w:t>NOTICES. Any notices permitted or required to be given pursuant to this Agreement</w:t>
      </w:r>
      <w:r>
        <w:rPr>
          <w:rFonts w:ascii="Arial" w:cs="Arial" w:eastAsia="Arial" w:hAnsi="Arial"/>
          <w:sz w:val="17"/>
          <w:szCs w:val="17"/>
          <w:color w:val="auto"/>
        </w:rPr>
        <w:t xml:space="preserve"> </w:t>
      </w:r>
      <w:r>
        <w:rPr>
          <w:rFonts w:ascii="Arial" w:cs="Arial" w:eastAsia="Arial" w:hAnsi="Arial"/>
          <w:sz w:val="15"/>
          <w:szCs w:val="15"/>
          <w:color w:val="auto"/>
        </w:rPr>
        <w:t>shall be sufficient if given in writing and if personally delivered by receipted hand delivery to</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407" w:right="1440" w:bottom="1440" w:gutter="0" w:footer="0" w:header="0"/>
        </w:sectPr>
      </w:pPr>
    </w:p>
    <w:bookmarkStart w:id="81" w:name="page82"/>
    <w:bookmarkEnd w:id="81"/>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57" w:lineRule="exact"/>
        <w:rPr>
          <w:sz w:val="20"/>
          <w:szCs w:val="20"/>
          <w:color w:val="auto"/>
        </w:rPr>
      </w:pPr>
    </w:p>
    <w:p>
      <w:pPr>
        <w:jc w:val="both"/>
        <w:ind w:left="1600" w:right="1139"/>
        <w:spacing w:after="0" w:line="243" w:lineRule="auto"/>
        <w:rPr>
          <w:sz w:val="20"/>
          <w:szCs w:val="20"/>
          <w:color w:val="auto"/>
        </w:rPr>
      </w:pPr>
      <w:r>
        <w:rPr>
          <w:rFonts w:ascii="Arial" w:cs="Arial" w:eastAsia="Arial" w:hAnsi="Arial"/>
          <w:sz w:val="16"/>
          <w:szCs w:val="16"/>
          <w:color w:val="auto"/>
        </w:rPr>
        <w:t>Employee or to the Company, or if deposited in the United States mail, postage prepaid, first class or certified mail, to Employee at his residence address or to the Company’s corporate headquarters address (attention General Counsel) or to such other addresses as each party may give the other party notice in accordance with this Agreement.</w:t>
      </w:r>
    </w:p>
    <w:p>
      <w:pPr>
        <w:spacing w:after="0" w:line="150" w:lineRule="exact"/>
        <w:rPr>
          <w:sz w:val="20"/>
          <w:szCs w:val="20"/>
          <w:color w:val="auto"/>
        </w:rPr>
      </w:pPr>
    </w:p>
    <w:p>
      <w:pPr>
        <w:jc w:val="both"/>
        <w:ind w:left="1600" w:right="1159"/>
        <w:spacing w:after="0" w:line="248"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5"/>
          <w:szCs w:val="15"/>
          <w:color w:val="auto"/>
        </w:rPr>
        <w:t>EFFECT ON OTHER REMEDIES. Nothing in this Agreement is intended to preclude, and</w:t>
      </w:r>
      <w:r>
        <w:rPr>
          <w:rFonts w:ascii="Arial" w:cs="Arial" w:eastAsia="Arial" w:hAnsi="Arial"/>
          <w:sz w:val="17"/>
          <w:szCs w:val="17"/>
          <w:color w:val="auto"/>
        </w:rPr>
        <w:t xml:space="preserve"> </w:t>
      </w:r>
      <w:r>
        <w:rPr>
          <w:rFonts w:ascii="Arial" w:cs="Arial" w:eastAsia="Arial" w:hAnsi="Arial"/>
          <w:sz w:val="15"/>
          <w:szCs w:val="15"/>
          <w:color w:val="auto"/>
        </w:rPr>
        <w:t>no provision of this Agreement shall be construed to preclude, the exercise of any other right or remedy which the Company or Employee may have by reason of the other’s breach of obligations under this Agreement.</w:t>
      </w:r>
    </w:p>
    <w:p>
      <w:pPr>
        <w:spacing w:after="0" w:line="146" w:lineRule="exact"/>
        <w:rPr>
          <w:sz w:val="20"/>
          <w:szCs w:val="20"/>
          <w:color w:val="auto"/>
        </w:rPr>
      </w:pPr>
    </w:p>
    <w:p>
      <w:pPr>
        <w:jc w:val="both"/>
        <w:ind w:left="1600" w:right="1159"/>
        <w:spacing w:after="0" w:line="247"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5"/>
          <w:szCs w:val="15"/>
          <w:color w:val="auto"/>
        </w:rPr>
        <w:t>BINDING ON SUCCESSORS; ASSIGNMENT. This Agreement shall be binding upon,</w:t>
      </w:r>
      <w:r>
        <w:rPr>
          <w:rFonts w:ascii="Arial" w:cs="Arial" w:eastAsia="Arial" w:hAnsi="Arial"/>
          <w:sz w:val="17"/>
          <w:szCs w:val="17"/>
          <w:color w:val="auto"/>
        </w:rPr>
        <w:t xml:space="preserve"> </w:t>
      </w:r>
      <w:r>
        <w:rPr>
          <w:rFonts w:ascii="Arial" w:cs="Arial" w:eastAsia="Arial" w:hAnsi="Arial"/>
          <w:sz w:val="15"/>
          <w:szCs w:val="15"/>
          <w:color w:val="auto"/>
        </w:rPr>
        <w:t>and inure to the benefit of, each of the parties hereto, as well as their respective heirs, successors, assigns, and personal representatives.</w:t>
      </w:r>
    </w:p>
    <w:p>
      <w:pPr>
        <w:spacing w:after="0" w:line="146" w:lineRule="exact"/>
        <w:rPr>
          <w:sz w:val="20"/>
          <w:szCs w:val="20"/>
          <w:color w:val="auto"/>
        </w:rPr>
      </w:pPr>
    </w:p>
    <w:p>
      <w:pPr>
        <w:ind w:left="1600"/>
        <w:spacing w:after="0"/>
        <w:tabs>
          <w:tab w:leader="none" w:pos="208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GOVERNING LAW, JURISDICTION AND VENUE. This Agreement shall be construed</w:t>
      </w:r>
    </w:p>
    <w:p>
      <w:pPr>
        <w:spacing w:after="0" w:line="21" w:lineRule="exact"/>
        <w:rPr>
          <w:sz w:val="20"/>
          <w:szCs w:val="20"/>
          <w:color w:val="auto"/>
        </w:rPr>
      </w:pPr>
    </w:p>
    <w:p>
      <w:pPr>
        <w:jc w:val="both"/>
        <w:ind w:left="1600" w:right="1139"/>
        <w:spacing w:after="0" w:line="235" w:lineRule="auto"/>
        <w:rPr>
          <w:sz w:val="20"/>
          <w:szCs w:val="20"/>
          <w:color w:val="auto"/>
        </w:rPr>
      </w:pPr>
      <w:r>
        <w:rPr>
          <w:rFonts w:ascii="Arial" w:cs="Arial" w:eastAsia="Arial" w:hAnsi="Arial"/>
          <w:sz w:val="16"/>
          <w:szCs w:val="16"/>
          <w:color w:val="auto"/>
        </w:rPr>
        <w:t>in accordance with and shall be governed by the laws of the State of Kansas, without regard to conflict of law principles. Each party consents to the jurisdiction of the courts of the State of Kansas as the exclusive jurisdiction for the purposes of construing or enforcing this Agreement and the venue of the District Court of the State of Kansas in Johnson, County, Kansas and that any dispute relating to this Agreement shall be brought in the District Court of the State of Kansas in Johnson, County, Kansas.</w:t>
      </w:r>
    </w:p>
    <w:p>
      <w:pPr>
        <w:spacing w:after="0" w:line="154" w:lineRule="exact"/>
        <w:rPr>
          <w:sz w:val="20"/>
          <w:szCs w:val="20"/>
          <w:color w:val="auto"/>
        </w:rPr>
      </w:pPr>
    </w:p>
    <w:p>
      <w:pPr>
        <w:jc w:val="both"/>
        <w:ind w:left="1600" w:right="1159"/>
        <w:spacing w:after="0" w:line="25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5"/>
          <w:szCs w:val="15"/>
          <w:color w:val="auto"/>
        </w:rPr>
        <w:t>SEVERABILITY. If any of the provisions of this Agreement shall otherwise contravene or</w:t>
      </w:r>
      <w:r>
        <w:rPr>
          <w:rFonts w:ascii="Arial" w:cs="Arial" w:eastAsia="Arial" w:hAnsi="Arial"/>
          <w:sz w:val="17"/>
          <w:szCs w:val="17"/>
          <w:color w:val="auto"/>
        </w:rPr>
        <w:t xml:space="preserve"> </w:t>
      </w:r>
      <w:r>
        <w:rPr>
          <w:rFonts w:ascii="Arial" w:cs="Arial" w:eastAsia="Arial" w:hAnsi="Arial"/>
          <w:sz w:val="15"/>
          <w:szCs w:val="15"/>
          <w:color w:val="auto"/>
        </w:rPr>
        <w:t>be invalid under the laws of any state, country or other jurisdiction where this Agreement is applicable but for such contravention or invalidity, such contravention or invalidity shall not invalidate all of the provisions of this Agreement but rather it shall be construed, insofar as the laws of that state or other jurisdiction are concerned, as not containing the provision or provisions contravening or invalid under the laws of that state or jurisdiction, and the rights and obligations created hereby shall be construed and enforced accordingly.</w:t>
      </w:r>
    </w:p>
    <w:p>
      <w:pPr>
        <w:spacing w:after="0" w:line="135" w:lineRule="exact"/>
        <w:rPr>
          <w:sz w:val="20"/>
          <w:szCs w:val="20"/>
          <w:color w:val="auto"/>
        </w:rPr>
      </w:pPr>
    </w:p>
    <w:p>
      <w:pPr>
        <w:jc w:val="both"/>
        <w:ind w:left="1600" w:right="1139"/>
        <w:spacing w:after="0" w:line="254"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5"/>
          <w:szCs w:val="15"/>
          <w:color w:val="auto"/>
        </w:rPr>
        <w:t>COUNTERPARTS. This Agreement may be executed in counterparts, each of which shall</w:t>
      </w:r>
      <w:r>
        <w:rPr>
          <w:rFonts w:ascii="Arial" w:cs="Arial" w:eastAsia="Arial" w:hAnsi="Arial"/>
          <w:sz w:val="17"/>
          <w:szCs w:val="17"/>
          <w:color w:val="auto"/>
        </w:rPr>
        <w:t xml:space="preserve"> </w:t>
      </w:r>
      <w:r>
        <w:rPr>
          <w:rFonts w:ascii="Arial" w:cs="Arial" w:eastAsia="Arial" w:hAnsi="Arial"/>
          <w:sz w:val="15"/>
          <w:szCs w:val="15"/>
          <w:color w:val="auto"/>
        </w:rPr>
        <w:t>be deemed an original and all of which, taken together, shall be one and the same instrument, binding on all the signatories.</w:t>
      </w:r>
    </w:p>
    <w:p>
      <w:pPr>
        <w:spacing w:after="0" w:line="129" w:lineRule="exact"/>
        <w:rPr>
          <w:sz w:val="20"/>
          <w:szCs w:val="20"/>
          <w:color w:val="auto"/>
        </w:rPr>
      </w:pPr>
    </w:p>
    <w:p>
      <w:pPr>
        <w:jc w:val="both"/>
        <w:ind w:left="1600" w:right="1139"/>
        <w:spacing w:after="0" w:line="254"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5"/>
          <w:szCs w:val="15"/>
          <w:color w:val="auto"/>
        </w:rPr>
        <w:t>FURTHER ASSURANCES. Each party agrees, upon the request of another party, to make,</w:t>
      </w:r>
      <w:r>
        <w:rPr>
          <w:rFonts w:ascii="Arial" w:cs="Arial" w:eastAsia="Arial" w:hAnsi="Arial"/>
          <w:sz w:val="17"/>
          <w:szCs w:val="17"/>
          <w:color w:val="auto"/>
        </w:rPr>
        <w:t xml:space="preserve"> </w:t>
      </w:r>
      <w:r>
        <w:rPr>
          <w:rFonts w:ascii="Arial" w:cs="Arial" w:eastAsia="Arial" w:hAnsi="Arial"/>
          <w:sz w:val="15"/>
          <w:szCs w:val="15"/>
          <w:color w:val="auto"/>
        </w:rPr>
        <w:t>execute, and deliver, and to take such additional steps as may be necessary to effectuate the purposes of this Agreement.</w:t>
      </w:r>
    </w:p>
    <w:p>
      <w:pPr>
        <w:spacing w:after="0" w:line="140" w:lineRule="exact"/>
        <w:rPr>
          <w:sz w:val="20"/>
          <w:szCs w:val="20"/>
          <w:color w:val="auto"/>
        </w:rPr>
      </w:pPr>
    </w:p>
    <w:p>
      <w:pPr>
        <w:jc w:val="both"/>
        <w:ind w:left="1600" w:right="1159"/>
        <w:spacing w:after="0" w:line="247"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5"/>
          <w:szCs w:val="15"/>
          <w:color w:val="auto"/>
        </w:rPr>
        <w:t>REASONABLE VERIFICATION. The Company agrees that Employee shall have</w:t>
      </w:r>
      <w:r>
        <w:rPr>
          <w:rFonts w:ascii="Arial" w:cs="Arial" w:eastAsia="Arial" w:hAnsi="Arial"/>
          <w:sz w:val="17"/>
          <w:szCs w:val="17"/>
          <w:color w:val="auto"/>
        </w:rPr>
        <w:t xml:space="preserve"> </w:t>
      </w:r>
      <w:r>
        <w:rPr>
          <w:rFonts w:ascii="Arial" w:cs="Arial" w:eastAsia="Arial" w:hAnsi="Arial"/>
          <w:sz w:val="15"/>
          <w:szCs w:val="15"/>
          <w:color w:val="auto"/>
        </w:rPr>
        <w:t>reasonable access to the Company’s books and records in order to verify the accuracy of Bonus calculations that may be necessary following termination.</w:t>
      </w:r>
    </w:p>
    <w:p>
      <w:pPr>
        <w:spacing w:after="0" w:line="146" w:lineRule="exact"/>
        <w:rPr>
          <w:sz w:val="20"/>
          <w:szCs w:val="20"/>
          <w:color w:val="auto"/>
        </w:rPr>
      </w:pPr>
    </w:p>
    <w:p>
      <w:pPr>
        <w:jc w:val="both"/>
        <w:ind w:left="1600" w:right="1159"/>
        <w:spacing w:after="0" w:line="257"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5"/>
          <w:szCs w:val="15"/>
          <w:color w:val="auto"/>
        </w:rPr>
        <w:t>ENTIRE AGREEMENT; AMENDMENT. This Agreement (a) represents the</w:t>
      </w:r>
      <w:r>
        <w:rPr>
          <w:rFonts w:ascii="Arial" w:cs="Arial" w:eastAsia="Arial" w:hAnsi="Arial"/>
          <w:sz w:val="17"/>
          <w:szCs w:val="17"/>
          <w:color w:val="auto"/>
        </w:rPr>
        <w:t xml:space="preserve"> </w:t>
      </w:r>
      <w:r>
        <w:rPr>
          <w:rFonts w:ascii="Arial" w:cs="Arial" w:eastAsia="Arial" w:hAnsi="Arial"/>
          <w:sz w:val="15"/>
          <w:szCs w:val="15"/>
          <w:color w:val="auto"/>
        </w:rPr>
        <w:t>entire understanding of the parties with respect to the subject matter hereof, and supersedes all prior and contemporaneous understandings, whether written or oral, regarding the subject matter hereof, and (b) may not be modified or amended, except by a written instrument, executed by the party against whom enforcement of such amendment may be sought.</w:t>
      </w:r>
    </w:p>
    <w:p>
      <w:pPr>
        <w:spacing w:after="0" w:line="140" w:lineRule="exact"/>
        <w:rPr>
          <w:sz w:val="20"/>
          <w:szCs w:val="20"/>
          <w:color w:val="auto"/>
        </w:rPr>
      </w:pPr>
    </w:p>
    <w:p>
      <w:pPr>
        <w:ind w:left="1600"/>
        <w:spacing w:after="0"/>
        <w:tabs>
          <w:tab w:leader="none" w:pos="2080" w:val="left"/>
        </w:tabs>
        <w:rPr>
          <w:sz w:val="20"/>
          <w:szCs w:val="20"/>
          <w:color w:val="auto"/>
        </w:rPr>
      </w:pPr>
      <w:r>
        <w:rPr>
          <w:rFonts w:ascii="Arial" w:cs="Arial" w:eastAsia="Arial" w:hAnsi="Arial"/>
          <w:sz w:val="17"/>
          <w:szCs w:val="17"/>
          <w:color w:val="auto"/>
        </w:rPr>
        <w:t>4.10</w:t>
      </w:r>
      <w:r>
        <w:rPr>
          <w:sz w:val="20"/>
          <w:szCs w:val="20"/>
          <w:color w:val="auto"/>
        </w:rPr>
        <w:tab/>
      </w:r>
      <w:r>
        <w:rPr>
          <w:rFonts w:ascii="Arial" w:cs="Arial" w:eastAsia="Arial" w:hAnsi="Arial"/>
          <w:sz w:val="15"/>
          <w:szCs w:val="15"/>
          <w:color w:val="auto"/>
        </w:rPr>
        <w:t>TAXES.</w:t>
      </w:r>
    </w:p>
    <w:p>
      <w:pPr>
        <w:spacing w:after="0" w:line="179" w:lineRule="exact"/>
        <w:rPr>
          <w:sz w:val="20"/>
          <w:szCs w:val="20"/>
          <w:color w:val="auto"/>
        </w:rPr>
      </w:pPr>
    </w:p>
    <w:p>
      <w:pPr>
        <w:jc w:val="both"/>
        <w:ind w:left="2100" w:right="1139" w:firstLine="8"/>
        <w:spacing w:after="0" w:line="257" w:lineRule="auto"/>
        <w:tabs>
          <w:tab w:leader="none" w:pos="2612" w:val="left"/>
        </w:tabs>
        <w:numPr>
          <w:ilvl w:val="0"/>
          <w:numId w:val="52"/>
        </w:numPr>
        <w:rPr>
          <w:rFonts w:ascii="Arial" w:cs="Arial" w:eastAsia="Arial" w:hAnsi="Arial"/>
          <w:sz w:val="16"/>
          <w:szCs w:val="16"/>
          <w:color w:val="auto"/>
        </w:rPr>
      </w:pPr>
      <w:r>
        <w:rPr>
          <w:rFonts w:ascii="Arial" w:cs="Arial" w:eastAsia="Arial" w:hAnsi="Arial"/>
          <w:sz w:val="15"/>
          <w:szCs w:val="15"/>
          <w:color w:val="auto"/>
        </w:rPr>
        <w:t>Anything to the contrary notwithstanding, all payments made by the Company to Employee or Employee’s estate or beneficiaries will be subject to tax withholding pursuant to any applicable laws or regulations. Employee will be solely liable and responsible for the payment of taxes arising as a result of any payment hereunder including without limitation any unexpected or adverse tax consequence.</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407" w:right="1440" w:bottom="1440" w:gutter="0" w:footer="0" w:header="0"/>
        </w:sectPr>
      </w:pPr>
    </w:p>
    <w:bookmarkStart w:id="82" w:name="page83"/>
    <w:bookmarkEnd w:id="82"/>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Table of Contents</w:t>
      </w:r>
    </w:p>
    <w:p>
      <w:pPr>
        <w:spacing w:after="0" w:line="378" w:lineRule="exact"/>
        <w:rPr>
          <w:sz w:val="20"/>
          <w:szCs w:val="20"/>
          <w:color w:val="auto"/>
        </w:rPr>
      </w:pPr>
    </w:p>
    <w:p>
      <w:pPr>
        <w:jc w:val="both"/>
        <w:ind w:left="2100" w:right="1139" w:firstLine="8"/>
        <w:spacing w:after="0" w:line="238" w:lineRule="auto"/>
        <w:tabs>
          <w:tab w:leader="none" w:pos="2612" w:val="left"/>
        </w:tabs>
        <w:numPr>
          <w:ilvl w:val="0"/>
          <w:numId w:val="53"/>
        </w:numPr>
        <w:rPr>
          <w:rFonts w:ascii="Arial" w:cs="Arial" w:eastAsia="Arial" w:hAnsi="Arial"/>
          <w:sz w:val="17"/>
          <w:szCs w:val="17"/>
          <w:color w:val="auto"/>
        </w:rPr>
      </w:pPr>
      <w:r>
        <w:rPr>
          <w:rFonts w:ascii="Arial" w:cs="Arial" w:eastAsia="Arial" w:hAnsi="Arial"/>
          <w:sz w:val="16"/>
          <w:szCs w:val="16"/>
          <w:color w:val="auto"/>
        </w:rPr>
        <w:t>This Agreement is intended to comply with the requirements of Code Section 409A (“Section 409A”). Accordingly, all provisions herein, or incorporated by reference, shall be construed and interpreted to comply with Section 409A and if necessary, any provision shall be held null and void to the extent such provision (or part thereof) fails to comply with Section 409A or regulations thereunder.</w:t>
      </w:r>
    </w:p>
    <w:p>
      <w:pPr>
        <w:spacing w:after="0" w:line="164" w:lineRule="exact"/>
        <w:rPr>
          <w:rFonts w:ascii="Arial" w:cs="Arial" w:eastAsia="Arial" w:hAnsi="Arial"/>
          <w:sz w:val="17"/>
          <w:szCs w:val="17"/>
          <w:color w:val="auto"/>
        </w:rPr>
      </w:pPr>
    </w:p>
    <w:p>
      <w:pPr>
        <w:jc w:val="both"/>
        <w:ind w:left="2100" w:right="1159" w:firstLine="8"/>
        <w:spacing w:after="0" w:line="235" w:lineRule="auto"/>
        <w:tabs>
          <w:tab w:leader="none" w:pos="2612" w:val="left"/>
        </w:tabs>
        <w:numPr>
          <w:ilvl w:val="0"/>
          <w:numId w:val="53"/>
        </w:numPr>
        <w:rPr>
          <w:rFonts w:ascii="Arial" w:cs="Arial" w:eastAsia="Arial" w:hAnsi="Arial"/>
          <w:sz w:val="17"/>
          <w:szCs w:val="17"/>
          <w:color w:val="auto"/>
        </w:rPr>
      </w:pPr>
      <w:r>
        <w:rPr>
          <w:rFonts w:ascii="Arial" w:cs="Arial" w:eastAsia="Arial" w:hAnsi="Arial"/>
          <w:sz w:val="16"/>
          <w:szCs w:val="16"/>
          <w:color w:val="auto"/>
        </w:rPr>
        <w:t>If Employee is a specified employee (within the meaning of Code Section 409A) at the time Employee incurs a separation from service (within the meaning of Section 409A), then to the extent necessary to comply with Code Section 409A and avoid the imposition of taxes under Code Section 409A, the payment of certain benefits owed to Employee under this Agreement will be delayed and instead paid (without interest) to Employee upon the earlier of the first business day of the seventh month following Employee’s separation from service or death.</w:t>
      </w:r>
    </w:p>
    <w:p>
      <w:pPr>
        <w:spacing w:after="0" w:line="168" w:lineRule="exact"/>
        <w:rPr>
          <w:rFonts w:ascii="Arial" w:cs="Arial" w:eastAsia="Arial" w:hAnsi="Arial"/>
          <w:sz w:val="17"/>
          <w:szCs w:val="17"/>
          <w:color w:val="auto"/>
        </w:rPr>
      </w:pPr>
    </w:p>
    <w:p>
      <w:pPr>
        <w:jc w:val="both"/>
        <w:ind w:left="2100" w:right="1139" w:firstLine="8"/>
        <w:spacing w:after="0" w:line="272" w:lineRule="auto"/>
        <w:tabs>
          <w:tab w:leader="none" w:pos="2612" w:val="left"/>
        </w:tabs>
        <w:numPr>
          <w:ilvl w:val="0"/>
          <w:numId w:val="53"/>
        </w:numPr>
        <w:rPr>
          <w:rFonts w:ascii="Arial" w:cs="Arial" w:eastAsia="Arial" w:hAnsi="Arial"/>
          <w:sz w:val="15"/>
          <w:szCs w:val="15"/>
          <w:color w:val="auto"/>
        </w:rPr>
      </w:pPr>
      <w:r>
        <w:rPr>
          <w:rFonts w:ascii="Arial" w:cs="Arial" w:eastAsia="Arial" w:hAnsi="Arial"/>
          <w:sz w:val="14"/>
          <w:szCs w:val="14"/>
          <w:color w:val="auto"/>
        </w:rPr>
        <w:t>The Company and Employee agree that, for purposes of the limitations on nonqualified deferred compensation under Section 409A, each payment of compensation under this Agreement shall be treated as a separate payment of compensation for purposes of applying Section 409A deferral election rules and the exclusion from Section 409A for certain short-term deferral amounts. The Company and Employee also agree that any amounts payable solely on account of an involuntary separation from service of the Executive within the meaning of Section 409A shall be excludible from the requirements of Section 409A, either as involuntary separation pay or as short-term deferral amounts (e.g., amounts payable under the schedule prior to March 15 of the calendar year following the calendar year of involuntary separation) to the maximum possible extent.</w:t>
      </w:r>
    </w:p>
    <w:p>
      <w:pPr>
        <w:spacing w:after="0" w:line="146" w:lineRule="exact"/>
        <w:rPr>
          <w:rFonts w:ascii="Arial" w:cs="Arial" w:eastAsia="Arial" w:hAnsi="Arial"/>
          <w:sz w:val="15"/>
          <w:szCs w:val="15"/>
          <w:color w:val="auto"/>
        </w:rPr>
      </w:pPr>
    </w:p>
    <w:p>
      <w:pPr>
        <w:jc w:val="both"/>
        <w:ind w:left="2100" w:right="1139" w:firstLine="8"/>
        <w:spacing w:after="0" w:line="270" w:lineRule="auto"/>
        <w:tabs>
          <w:tab w:leader="none" w:pos="2612" w:val="left"/>
        </w:tabs>
        <w:numPr>
          <w:ilvl w:val="0"/>
          <w:numId w:val="53"/>
        </w:numPr>
        <w:rPr>
          <w:rFonts w:ascii="Arial" w:cs="Arial" w:eastAsia="Arial" w:hAnsi="Arial"/>
          <w:sz w:val="15"/>
          <w:szCs w:val="15"/>
          <w:color w:val="auto"/>
        </w:rPr>
      </w:pPr>
      <w:r>
        <w:rPr>
          <w:rFonts w:ascii="Arial" w:cs="Arial" w:eastAsia="Arial" w:hAnsi="Arial"/>
          <w:sz w:val="14"/>
          <w:szCs w:val="14"/>
          <w:color w:val="auto"/>
        </w:rPr>
        <w:t>Notwithstanding anything to the contrary in this Agreement, all reimbursements and in kind benefits provided under this Agreement shall be made or provided in accordance with the requirements of Section 409A, including, where applicable, the requirement that (i) any reimbursement is for expenses incurred during the period of time specified in this Agreement,</w:t>
      </w:r>
    </w:p>
    <w:p>
      <w:pPr>
        <w:spacing w:after="0" w:line="2" w:lineRule="exact"/>
        <w:rPr>
          <w:rFonts w:ascii="Arial" w:cs="Arial" w:eastAsia="Arial" w:hAnsi="Arial"/>
          <w:sz w:val="15"/>
          <w:szCs w:val="15"/>
          <w:color w:val="auto"/>
        </w:rPr>
      </w:pPr>
    </w:p>
    <w:p>
      <w:pPr>
        <w:jc w:val="both"/>
        <w:ind w:left="2100" w:right="1139" w:firstLine="8"/>
        <w:spacing w:after="0" w:line="256" w:lineRule="auto"/>
        <w:tabs>
          <w:tab w:leader="none" w:pos="2331"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[The remainder of this page is intentionally blank. Signatures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407" w:right="1440" w:bottom="1440" w:gutter="0" w:footer="0" w:header="0"/>
        </w:sectPr>
      </w:pPr>
    </w:p>
    <w:bookmarkStart w:id="83" w:name="page84"/>
    <w:bookmarkEnd w:id="83"/>
    <w:p>
      <w:pPr>
        <w:ind w:left="1080"/>
        <w:spacing w:after="0"/>
        <w:rPr>
          <w:sz w:val="20"/>
          <w:szCs w:val="20"/>
          <w:color w:val="auto"/>
        </w:rPr>
      </w:pPr>
      <w:r>
        <w:rPr>
          <w:rFonts w:ascii="Arial" w:cs="Arial" w:eastAsia="Arial" w:hAnsi="Arial"/>
          <w:sz w:val="14"/>
          <w:szCs w:val="14"/>
          <w:u w:val="single" w:color="auto"/>
          <w:color w:val="0000FF"/>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Table of Contents</w:t>
      </w:r>
    </w:p>
    <w:p>
      <w:pPr>
        <w:spacing w:after="0" w:line="357" w:lineRule="exact"/>
        <w:rPr>
          <w:sz w:val="20"/>
          <w:szCs w:val="20"/>
          <w:color w:val="auto"/>
        </w:rPr>
      </w:pPr>
    </w:p>
    <w:p>
      <w:pPr>
        <w:ind w:left="1080" w:right="1259"/>
        <w:spacing w:after="0" w:line="257" w:lineRule="auto"/>
        <w:rPr>
          <w:sz w:val="20"/>
          <w:szCs w:val="20"/>
          <w:color w:val="auto"/>
        </w:rPr>
      </w:pPr>
      <w:r>
        <w:rPr>
          <w:rFonts w:ascii="Arial" w:cs="Arial" w:eastAsia="Arial" w:hAnsi="Arial"/>
          <w:sz w:val="16"/>
          <w:szCs w:val="16"/>
          <w:color w:val="auto"/>
        </w:rPr>
        <w:t>IN WITNESS WHEREOF, the parties hereto have executed this Agreement, effective as of the date set forth above.</w:t>
      </w:r>
    </w:p>
    <w:p>
      <w:pPr>
        <w:spacing w:after="0" w:line="171" w:lineRule="exact"/>
        <w:rPr>
          <w:sz w:val="20"/>
          <w:szCs w:val="20"/>
          <w:color w:val="auto"/>
        </w:rPr>
      </w:pPr>
    </w:p>
    <w:p>
      <w:pPr>
        <w:ind w:left="1100"/>
        <w:spacing w:after="0"/>
        <w:tabs>
          <w:tab w:leader="none" w:pos="4860" w:val="left"/>
        </w:tabs>
        <w:rPr>
          <w:sz w:val="20"/>
          <w:szCs w:val="20"/>
          <w:color w:val="auto"/>
        </w:rPr>
      </w:pPr>
      <w:r>
        <w:rPr>
          <w:rFonts w:ascii="Arial" w:cs="Arial" w:eastAsia="Arial" w:hAnsi="Arial"/>
          <w:sz w:val="16"/>
          <w:szCs w:val="16"/>
          <w:color w:val="auto"/>
        </w:rPr>
        <w:t>COMPANY:</w:t>
      </w:r>
      <w:r>
        <w:rPr>
          <w:sz w:val="20"/>
          <w:szCs w:val="20"/>
          <w:color w:val="auto"/>
        </w:rPr>
        <w:tab/>
      </w:r>
      <w:r>
        <w:rPr>
          <w:rFonts w:ascii="Arial" w:cs="Arial" w:eastAsia="Arial" w:hAnsi="Arial"/>
          <w:sz w:val="16"/>
          <w:szCs w:val="16"/>
          <w:color w:val="auto"/>
        </w:rPr>
        <w:t>EMPLOYEE:</w:t>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6"/>
          <w:szCs w:val="16"/>
          <w:b w:val="1"/>
          <w:bCs w:val="1"/>
          <w:color w:val="auto"/>
        </w:rPr>
        <w:t>CrossFirst Bank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100" w:type="dxa"/>
        <w:tblCellMar>
          <w:top w:w="0" w:type="dxa"/>
          <w:left w:w="0" w:type="dxa"/>
          <w:bottom w:w="0" w:type="dxa"/>
          <w:right w:w="0" w:type="dxa"/>
        </w:tblCellMar>
      </w:tblPr>
      <w:tr>
        <w:trPr>
          <w:trHeight w:val="184"/>
        </w:trPr>
        <w:tc>
          <w:tcPr>
            <w:tcW w:w="2880" w:type="dxa"/>
            <w:vAlign w:val="bottom"/>
            <w:gridSpan w:val="2"/>
          </w:tcPr>
          <w:p>
            <w:pPr>
              <w:spacing w:after="0"/>
              <w:rPr>
                <w:sz w:val="20"/>
                <w:szCs w:val="20"/>
                <w:color w:val="auto"/>
              </w:rPr>
            </w:pPr>
            <w:r>
              <w:rPr>
                <w:rFonts w:ascii="Arial" w:cs="Arial" w:eastAsia="Arial" w:hAnsi="Arial"/>
                <w:sz w:val="16"/>
                <w:szCs w:val="16"/>
                <w:color w:val="auto"/>
              </w:rPr>
              <w:t>By: /s/ Amy Fauss</w:t>
            </w:r>
          </w:p>
        </w:tc>
        <w:tc>
          <w:tcPr>
            <w:tcW w:w="3460" w:type="dxa"/>
            <w:vAlign w:val="bottom"/>
            <w:gridSpan w:val="2"/>
          </w:tcPr>
          <w:p>
            <w:pPr>
              <w:ind w:left="900"/>
              <w:spacing w:after="0"/>
              <w:rPr>
                <w:sz w:val="20"/>
                <w:szCs w:val="20"/>
                <w:color w:val="auto"/>
              </w:rPr>
            </w:pPr>
            <w:r>
              <w:rPr>
                <w:rFonts w:ascii="Arial" w:cs="Arial" w:eastAsia="Arial" w:hAnsi="Arial"/>
                <w:sz w:val="16"/>
                <w:szCs w:val="16"/>
                <w:color w:val="auto"/>
              </w:rPr>
              <w:t>Signature: /s/ W. Randall Rapp</w:t>
            </w:r>
          </w:p>
        </w:tc>
      </w:tr>
      <w:tr>
        <w:trPr>
          <w:trHeight w:val="199"/>
        </w:trPr>
        <w:tc>
          <w:tcPr>
            <w:tcW w:w="320" w:type="dxa"/>
            <w:vAlign w:val="bottom"/>
          </w:tcPr>
          <w:p>
            <w:pPr>
              <w:spacing w:after="0"/>
              <w:rPr>
                <w:sz w:val="17"/>
                <w:szCs w:val="17"/>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Amy Fauss</w:t>
            </w:r>
          </w:p>
        </w:tc>
        <w:tc>
          <w:tcPr>
            <w:tcW w:w="1580" w:type="dxa"/>
            <w:vAlign w:val="bottom"/>
          </w:tcPr>
          <w:p>
            <w:pPr>
              <w:spacing w:after="0"/>
              <w:rPr>
                <w:sz w:val="17"/>
                <w:szCs w:val="17"/>
                <w:color w:val="auto"/>
              </w:rPr>
            </w:pPr>
          </w:p>
        </w:tc>
        <w:tc>
          <w:tcPr>
            <w:tcW w:w="188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W. Randall Rapp</w:t>
            </w:r>
          </w:p>
        </w:tc>
      </w:tr>
      <w:tr>
        <w:trPr>
          <w:trHeight w:val="200"/>
        </w:trPr>
        <w:tc>
          <w:tcPr>
            <w:tcW w:w="320" w:type="dxa"/>
            <w:vAlign w:val="bottom"/>
          </w:tcPr>
          <w:p>
            <w:pPr>
              <w:spacing w:after="0"/>
              <w:rPr>
                <w:sz w:val="17"/>
                <w:szCs w:val="17"/>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Chief Human Resources Officer</w:t>
            </w:r>
          </w:p>
        </w:tc>
        <w:tc>
          <w:tcPr>
            <w:tcW w:w="1580" w:type="dxa"/>
            <w:vAlign w:val="bottom"/>
          </w:tcPr>
          <w:p>
            <w:pPr>
              <w:spacing w:after="0"/>
              <w:rPr>
                <w:sz w:val="17"/>
                <w:szCs w:val="17"/>
                <w:color w:val="auto"/>
              </w:rPr>
            </w:pPr>
          </w:p>
        </w:tc>
        <w:tc>
          <w:tcPr>
            <w:tcW w:w="18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9019"/>
          </w:cols>
          <w:pgMar w:left="1440" w:top="407" w:right="1440"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Certification of Principal Executive Officer</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 as adopted pursuant to</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 Michael J. Maddox, certify that:</w:t>
      </w:r>
    </w:p>
    <w:p>
      <w:pPr>
        <w:spacing w:after="0" w:line="202" w:lineRule="exact"/>
        <w:rPr>
          <w:sz w:val="20"/>
          <w:szCs w:val="20"/>
          <w:color w:val="auto"/>
        </w:rPr>
      </w:pPr>
    </w:p>
    <w:p>
      <w:pPr>
        <w:ind w:left="1580" w:hanging="507"/>
        <w:spacing w:after="0"/>
        <w:tabs>
          <w:tab w:leader="none" w:pos="1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CrossFirst Bankshares, Inc.;</w:t>
      </w:r>
    </w:p>
    <w:p>
      <w:pPr>
        <w:spacing w:after="0" w:line="169" w:lineRule="exact"/>
        <w:rPr>
          <w:rFonts w:ascii="Arial" w:cs="Arial" w:eastAsia="Arial" w:hAnsi="Arial"/>
          <w:sz w:val="14"/>
          <w:szCs w:val="14"/>
          <w:color w:val="auto"/>
        </w:rPr>
      </w:pPr>
    </w:p>
    <w:p>
      <w:pPr>
        <w:jc w:val="both"/>
        <w:ind w:left="1580" w:right="719" w:hanging="507"/>
        <w:spacing w:after="0" w:line="308" w:lineRule="auto"/>
        <w:tabs>
          <w:tab w:leader="none" w:pos="1578"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4"/>
          <w:szCs w:val="14"/>
          <w:color w:val="auto"/>
        </w:rPr>
      </w:pPr>
    </w:p>
    <w:p>
      <w:pPr>
        <w:ind w:left="1580" w:right="699" w:hanging="507"/>
        <w:spacing w:after="0" w:line="308" w:lineRule="auto"/>
        <w:tabs>
          <w:tab w:leader="none" w:pos="1578"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4"/>
          <w:szCs w:val="14"/>
          <w:color w:val="auto"/>
        </w:rPr>
      </w:pPr>
    </w:p>
    <w:p>
      <w:pPr>
        <w:ind w:left="1580" w:hanging="507"/>
        <w:spacing w:after="0"/>
        <w:tabs>
          <w:tab w:leader="none" w:pos="15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w:t>
      </w:r>
    </w:p>
    <w:p>
      <w:pPr>
        <w:spacing w:after="0" w:line="53" w:lineRule="exact"/>
        <w:rPr>
          <w:rFonts w:ascii="Arial" w:cs="Arial" w:eastAsia="Arial" w:hAnsi="Arial"/>
          <w:sz w:val="13"/>
          <w:szCs w:val="13"/>
          <w:color w:val="auto"/>
        </w:rPr>
      </w:pPr>
    </w:p>
    <w:p>
      <w:pPr>
        <w:ind w:left="1580" w:right="639"/>
        <w:spacing w:after="0" w:line="314" w:lineRule="auto"/>
        <w:rPr>
          <w:rFonts w:ascii="Arial" w:cs="Arial" w:eastAsia="Arial" w:hAnsi="Arial"/>
          <w:sz w:val="13"/>
          <w:szCs w:val="13"/>
          <w:color w:val="auto"/>
        </w:rPr>
      </w:pPr>
      <w:r>
        <w:rPr>
          <w:rFonts w:ascii="Arial" w:cs="Arial" w:eastAsia="Arial" w:hAnsi="Arial"/>
          <w:sz w:val="14"/>
          <w:szCs w:val="14"/>
          <w:color w:val="auto"/>
        </w:rPr>
        <w:t>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3"/>
          <w:szCs w:val="13"/>
          <w:color w:val="auto"/>
        </w:rPr>
      </w:pPr>
    </w:p>
    <w:p>
      <w:pPr>
        <w:ind w:left="2160" w:hanging="575"/>
        <w:spacing w:after="0"/>
        <w:tabs>
          <w:tab w:leader="none" w:pos="2160" w:val="left"/>
        </w:tabs>
        <w:numPr>
          <w:ilvl w:val="1"/>
          <w:numId w:val="5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w:t>
      </w:r>
    </w:p>
    <w:p>
      <w:pPr>
        <w:spacing w:after="0" w:line="64" w:lineRule="exact"/>
        <w:rPr>
          <w:rFonts w:ascii="Arial" w:cs="Arial" w:eastAsia="Arial" w:hAnsi="Arial"/>
          <w:sz w:val="12"/>
          <w:szCs w:val="12"/>
          <w:color w:val="auto"/>
        </w:rPr>
      </w:pPr>
    </w:p>
    <w:p>
      <w:pPr>
        <w:ind w:left="2160" w:right="739"/>
        <w:spacing w:after="0" w:line="308" w:lineRule="auto"/>
        <w:rPr>
          <w:rFonts w:ascii="Arial" w:cs="Arial" w:eastAsia="Arial" w:hAnsi="Arial"/>
          <w:sz w:val="12"/>
          <w:szCs w:val="12"/>
          <w:color w:val="auto"/>
        </w:rPr>
      </w:pPr>
      <w:r>
        <w:rPr>
          <w:rFonts w:ascii="Arial" w:cs="Arial" w:eastAsia="Arial" w:hAnsi="Arial"/>
          <w:sz w:val="14"/>
          <w:szCs w:val="14"/>
          <w:color w:val="auto"/>
        </w:rPr>
        <w:t>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2"/>
          <w:szCs w:val="12"/>
          <w:color w:val="auto"/>
        </w:rPr>
      </w:pPr>
    </w:p>
    <w:p>
      <w:pPr>
        <w:ind w:left="2160" w:right="819" w:hanging="575"/>
        <w:spacing w:after="0" w:line="269" w:lineRule="auto"/>
        <w:tabs>
          <w:tab w:leader="none" w:pos="2160" w:val="left"/>
        </w:tabs>
        <w:numPr>
          <w:ilvl w:val="1"/>
          <w:numId w:val="55"/>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4"/>
          <w:szCs w:val="14"/>
          <w:color w:val="auto"/>
        </w:rPr>
      </w:pPr>
    </w:p>
    <w:p>
      <w:pPr>
        <w:jc w:val="both"/>
        <w:ind w:left="2160" w:right="719" w:hanging="575"/>
        <w:spacing w:after="0" w:line="308" w:lineRule="auto"/>
        <w:tabs>
          <w:tab w:leader="none" w:pos="2159" w:val="left"/>
        </w:tabs>
        <w:numPr>
          <w:ilvl w:val="1"/>
          <w:numId w:val="5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4"/>
          <w:szCs w:val="14"/>
          <w:color w:val="auto"/>
        </w:rPr>
      </w:pPr>
    </w:p>
    <w:p>
      <w:pPr>
        <w:ind w:left="2160" w:right="699" w:hanging="575"/>
        <w:spacing w:after="0" w:line="343" w:lineRule="auto"/>
        <w:tabs>
          <w:tab w:leader="none" w:pos="2159" w:val="left"/>
        </w:tabs>
        <w:numPr>
          <w:ilvl w:val="1"/>
          <w:numId w:val="5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w:t>
      </w:r>
    </w:p>
    <w:p>
      <w:pPr>
        <w:ind w:left="2160" w:right="659"/>
        <w:spacing w:after="0" w:line="314" w:lineRule="auto"/>
        <w:rPr>
          <w:rFonts w:ascii="Arial" w:cs="Arial" w:eastAsia="Arial" w:hAnsi="Arial"/>
          <w:sz w:val="12"/>
          <w:szCs w:val="12"/>
          <w:color w:val="auto"/>
        </w:rPr>
      </w:pPr>
      <w:r>
        <w:rPr>
          <w:rFonts w:ascii="Arial" w:cs="Arial" w:eastAsia="Arial" w:hAnsi="Arial"/>
          <w:sz w:val="14"/>
          <w:szCs w:val="14"/>
          <w:color w:val="auto"/>
        </w:rPr>
        <w:t>report) that has materially affected, or is reasonably likely to materially affect, the registrant’s internal control over financial reporting; and</w:t>
      </w:r>
    </w:p>
    <w:p>
      <w:pPr>
        <w:spacing w:after="0" w:line="101" w:lineRule="exact"/>
        <w:rPr>
          <w:rFonts w:ascii="Arial" w:cs="Arial" w:eastAsia="Arial" w:hAnsi="Arial"/>
          <w:sz w:val="12"/>
          <w:szCs w:val="12"/>
          <w:color w:val="auto"/>
        </w:rPr>
      </w:pPr>
    </w:p>
    <w:p>
      <w:pPr>
        <w:jc w:val="both"/>
        <w:ind w:left="1580" w:right="879" w:hanging="507"/>
        <w:spacing w:after="0" w:line="300" w:lineRule="auto"/>
        <w:tabs>
          <w:tab w:leader="none" w:pos="1578"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4"/>
          <w:szCs w:val="14"/>
          <w:color w:val="auto"/>
        </w:rPr>
      </w:pPr>
    </w:p>
    <w:p>
      <w:pPr>
        <w:ind w:left="2160" w:right="799" w:hanging="575"/>
        <w:spacing w:after="0" w:line="308" w:lineRule="auto"/>
        <w:tabs>
          <w:tab w:leader="none" w:pos="2159" w:val="left"/>
        </w:tabs>
        <w:numPr>
          <w:ilvl w:val="1"/>
          <w:numId w:val="5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4"/>
          <w:szCs w:val="14"/>
          <w:color w:val="auto"/>
        </w:rPr>
      </w:pPr>
    </w:p>
    <w:p>
      <w:pPr>
        <w:ind w:left="2160" w:right="639" w:hanging="575"/>
        <w:spacing w:after="0" w:line="314" w:lineRule="auto"/>
        <w:tabs>
          <w:tab w:leader="none" w:pos="2159" w:val="left"/>
        </w:tabs>
        <w:numPr>
          <w:ilvl w:val="1"/>
          <w:numId w:val="5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Date:  August 3, 2022</w:t>
      </w:r>
    </w:p>
    <w:p>
      <w:pPr>
        <w:spacing w:after="0" w:line="3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/s/ Michael J. Maddox</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Michael J. Maddox</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President and Chief Executive Officer</w:t>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(Principal Executive Officer)</w:t>
      </w:r>
    </w:p>
    <w:p>
      <w:pPr>
        <w:sectPr>
          <w:pgSz w:w="11900" w:h="16838" w:orient="portrait"/>
          <w:cols w:equalWidth="0" w:num="1">
            <w:col w:w="9019"/>
          </w:cols>
          <w:pgMar w:left="1440" w:top="887" w:right="1440" w:bottom="1440"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Certification of Principal Financial Officer</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Rule 13a-14(a) of the Securities Exchange Act of 1934, as adopted pursuant to</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 Benjamin R. Clouse, certify that:</w:t>
      </w:r>
    </w:p>
    <w:p>
      <w:pPr>
        <w:spacing w:after="0" w:line="116" w:lineRule="exact"/>
        <w:rPr>
          <w:sz w:val="20"/>
          <w:szCs w:val="20"/>
          <w:color w:val="auto"/>
        </w:rPr>
      </w:pPr>
    </w:p>
    <w:p>
      <w:pPr>
        <w:ind w:left="1580" w:hanging="507"/>
        <w:spacing w:after="0"/>
        <w:tabs>
          <w:tab w:leader="none" w:pos="1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CrossFirst Bankshares, Inc.;</w:t>
      </w:r>
    </w:p>
    <w:p>
      <w:pPr>
        <w:spacing w:after="0" w:line="127" w:lineRule="exact"/>
        <w:rPr>
          <w:rFonts w:ascii="Arial" w:cs="Arial" w:eastAsia="Arial" w:hAnsi="Arial"/>
          <w:sz w:val="14"/>
          <w:szCs w:val="14"/>
          <w:color w:val="auto"/>
        </w:rPr>
      </w:pPr>
    </w:p>
    <w:p>
      <w:pPr>
        <w:jc w:val="both"/>
        <w:ind w:left="1580" w:right="719" w:hanging="507"/>
        <w:spacing w:after="0" w:line="308" w:lineRule="auto"/>
        <w:tabs>
          <w:tab w:leader="none" w:pos="1578"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2" w:lineRule="exact"/>
        <w:rPr>
          <w:rFonts w:ascii="Arial" w:cs="Arial" w:eastAsia="Arial" w:hAnsi="Arial"/>
          <w:sz w:val="14"/>
          <w:szCs w:val="14"/>
          <w:color w:val="auto"/>
        </w:rPr>
      </w:pPr>
    </w:p>
    <w:p>
      <w:pPr>
        <w:ind w:left="1580" w:right="699" w:hanging="507"/>
        <w:spacing w:after="0" w:line="308" w:lineRule="auto"/>
        <w:tabs>
          <w:tab w:leader="none" w:pos="1578" w:val="left"/>
        </w:tabs>
        <w:numPr>
          <w:ilvl w:val="0"/>
          <w:numId w:val="5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rFonts w:ascii="Arial" w:cs="Arial" w:eastAsia="Arial" w:hAnsi="Arial"/>
          <w:sz w:val="14"/>
          <w:szCs w:val="14"/>
          <w:color w:val="auto"/>
        </w:rPr>
      </w:pPr>
    </w:p>
    <w:p>
      <w:pPr>
        <w:ind w:left="1580" w:hanging="507"/>
        <w:spacing w:after="0"/>
        <w:tabs>
          <w:tab w:leader="none" w:pos="15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w:t>
      </w:r>
    </w:p>
    <w:p>
      <w:pPr>
        <w:spacing w:after="0" w:line="53" w:lineRule="exact"/>
        <w:rPr>
          <w:rFonts w:ascii="Arial" w:cs="Arial" w:eastAsia="Arial" w:hAnsi="Arial"/>
          <w:sz w:val="13"/>
          <w:szCs w:val="13"/>
          <w:color w:val="auto"/>
        </w:rPr>
      </w:pPr>
    </w:p>
    <w:p>
      <w:pPr>
        <w:ind w:left="1580" w:right="639"/>
        <w:spacing w:after="0" w:line="314" w:lineRule="auto"/>
        <w:rPr>
          <w:rFonts w:ascii="Arial" w:cs="Arial" w:eastAsia="Arial" w:hAnsi="Arial"/>
          <w:sz w:val="13"/>
          <w:szCs w:val="13"/>
          <w:color w:val="auto"/>
        </w:rPr>
      </w:pPr>
      <w:r>
        <w:rPr>
          <w:rFonts w:ascii="Arial" w:cs="Arial" w:eastAsia="Arial" w:hAnsi="Arial"/>
          <w:sz w:val="14"/>
          <w:szCs w:val="14"/>
          <w:color w:val="auto"/>
        </w:rPr>
        <w:t>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3"/>
          <w:szCs w:val="13"/>
          <w:color w:val="auto"/>
        </w:rPr>
      </w:pPr>
    </w:p>
    <w:p>
      <w:pPr>
        <w:ind w:left="2220" w:hanging="635"/>
        <w:spacing w:after="0"/>
        <w:tabs>
          <w:tab w:leader="none" w:pos="2220" w:val="left"/>
        </w:tabs>
        <w:numPr>
          <w:ilvl w:val="1"/>
          <w:numId w:val="5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w:t>
      </w:r>
    </w:p>
    <w:p>
      <w:pPr>
        <w:spacing w:after="0" w:line="64" w:lineRule="exact"/>
        <w:rPr>
          <w:rFonts w:ascii="Arial" w:cs="Arial" w:eastAsia="Arial" w:hAnsi="Arial"/>
          <w:sz w:val="12"/>
          <w:szCs w:val="12"/>
          <w:color w:val="auto"/>
        </w:rPr>
      </w:pPr>
    </w:p>
    <w:p>
      <w:pPr>
        <w:ind w:left="2220" w:right="679"/>
        <w:spacing w:after="0" w:line="308" w:lineRule="auto"/>
        <w:rPr>
          <w:rFonts w:ascii="Arial" w:cs="Arial" w:eastAsia="Arial" w:hAnsi="Arial"/>
          <w:sz w:val="12"/>
          <w:szCs w:val="12"/>
          <w:color w:val="auto"/>
        </w:rPr>
      </w:pPr>
      <w:r>
        <w:rPr>
          <w:rFonts w:ascii="Arial" w:cs="Arial" w:eastAsia="Arial" w:hAnsi="Arial"/>
          <w:sz w:val="14"/>
          <w:szCs w:val="14"/>
          <w:color w:val="auto"/>
        </w:rPr>
        <w:t>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2" w:lineRule="exact"/>
        <w:rPr>
          <w:rFonts w:ascii="Arial" w:cs="Arial" w:eastAsia="Arial" w:hAnsi="Arial"/>
          <w:sz w:val="12"/>
          <w:szCs w:val="12"/>
          <w:color w:val="auto"/>
        </w:rPr>
      </w:pPr>
    </w:p>
    <w:p>
      <w:pPr>
        <w:ind w:left="2240" w:right="739" w:hanging="655"/>
        <w:spacing w:after="0" w:line="343" w:lineRule="auto"/>
        <w:tabs>
          <w:tab w:leader="none" w:pos="2235" w:val="left"/>
        </w:tabs>
        <w:numPr>
          <w:ilvl w:val="1"/>
          <w:numId w:val="5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w:t>
      </w:r>
    </w:p>
    <w:p>
      <w:pPr>
        <w:ind w:left="2240" w:right="959"/>
        <w:spacing w:after="0" w:line="314" w:lineRule="auto"/>
        <w:rPr>
          <w:rFonts w:ascii="Arial" w:cs="Arial" w:eastAsia="Arial" w:hAnsi="Arial"/>
          <w:sz w:val="12"/>
          <w:szCs w:val="12"/>
          <w:color w:val="auto"/>
        </w:rPr>
      </w:pPr>
      <w:r>
        <w:rPr>
          <w:rFonts w:ascii="Arial" w:cs="Arial" w:eastAsia="Arial" w:hAnsi="Arial"/>
          <w:sz w:val="14"/>
          <w:szCs w:val="14"/>
          <w:color w:val="auto"/>
        </w:rPr>
        <w:t>financial reporting and the preparation of financial statements for external purposes in accordance with generally accepted accounting principles;</w:t>
      </w:r>
    </w:p>
    <w:p>
      <w:pPr>
        <w:spacing w:after="0" w:line="58" w:lineRule="exact"/>
        <w:rPr>
          <w:rFonts w:ascii="Arial" w:cs="Arial" w:eastAsia="Arial" w:hAnsi="Arial"/>
          <w:sz w:val="12"/>
          <w:szCs w:val="12"/>
          <w:color w:val="auto"/>
        </w:rPr>
      </w:pPr>
    </w:p>
    <w:p>
      <w:pPr>
        <w:jc w:val="both"/>
        <w:ind w:left="2220" w:right="659" w:hanging="635"/>
        <w:spacing w:after="0" w:line="308" w:lineRule="auto"/>
        <w:tabs>
          <w:tab w:leader="none" w:pos="2219" w:val="left"/>
        </w:tabs>
        <w:numPr>
          <w:ilvl w:val="1"/>
          <w:numId w:val="5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Arial" w:cs="Arial" w:eastAsia="Arial" w:hAnsi="Arial"/>
          <w:sz w:val="14"/>
          <w:szCs w:val="14"/>
          <w:color w:val="auto"/>
        </w:rPr>
      </w:pPr>
    </w:p>
    <w:p>
      <w:pPr>
        <w:ind w:left="2220" w:right="639" w:hanging="635"/>
        <w:spacing w:after="0" w:line="343" w:lineRule="auto"/>
        <w:tabs>
          <w:tab w:leader="none" w:pos="2219" w:val="left"/>
        </w:tabs>
        <w:numPr>
          <w:ilvl w:val="1"/>
          <w:numId w:val="5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w:t>
      </w:r>
    </w:p>
    <w:p>
      <w:pPr>
        <w:ind w:left="2220" w:right="1039"/>
        <w:spacing w:after="0" w:line="314" w:lineRule="auto"/>
        <w:rPr>
          <w:rFonts w:ascii="Arial" w:cs="Arial" w:eastAsia="Arial" w:hAnsi="Arial"/>
          <w:sz w:val="12"/>
          <w:szCs w:val="12"/>
          <w:color w:val="auto"/>
        </w:rPr>
      </w:pPr>
      <w:r>
        <w:rPr>
          <w:rFonts w:ascii="Arial" w:cs="Arial" w:eastAsia="Arial" w:hAnsi="Arial"/>
          <w:sz w:val="14"/>
          <w:szCs w:val="14"/>
          <w:color w:val="auto"/>
        </w:rPr>
        <w:t>report) that has materially affected, or is reasonably likely to materially affect, the registrant’s internal control over financial reporting; and</w:t>
      </w:r>
    </w:p>
    <w:p>
      <w:pPr>
        <w:spacing w:after="0" w:line="58" w:lineRule="exact"/>
        <w:rPr>
          <w:rFonts w:ascii="Arial" w:cs="Arial" w:eastAsia="Arial" w:hAnsi="Arial"/>
          <w:sz w:val="12"/>
          <w:szCs w:val="12"/>
          <w:color w:val="auto"/>
        </w:rPr>
      </w:pPr>
    </w:p>
    <w:p>
      <w:pPr>
        <w:jc w:val="both"/>
        <w:ind w:left="1580" w:right="879" w:hanging="507"/>
        <w:spacing w:after="0" w:line="300" w:lineRule="auto"/>
        <w:tabs>
          <w:tab w:leader="none" w:pos="1578"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4"/>
          <w:szCs w:val="14"/>
          <w:color w:val="auto"/>
        </w:rPr>
      </w:pPr>
    </w:p>
    <w:p>
      <w:pPr>
        <w:jc w:val="both"/>
        <w:ind w:left="2220" w:right="579" w:hanging="635"/>
        <w:spacing w:after="0" w:line="300" w:lineRule="auto"/>
        <w:tabs>
          <w:tab w:leader="none" w:pos="2219" w:val="left"/>
        </w:tabs>
        <w:numPr>
          <w:ilvl w:val="1"/>
          <w:numId w:val="5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Arial" w:cs="Arial" w:eastAsia="Arial" w:hAnsi="Arial"/>
          <w:sz w:val="14"/>
          <w:szCs w:val="14"/>
          <w:color w:val="auto"/>
        </w:rPr>
      </w:pPr>
    </w:p>
    <w:p>
      <w:pPr>
        <w:ind w:left="2220" w:right="599" w:hanging="635"/>
        <w:spacing w:after="0" w:line="314" w:lineRule="auto"/>
        <w:tabs>
          <w:tab w:leader="none" w:pos="2219" w:val="left"/>
        </w:tabs>
        <w:numPr>
          <w:ilvl w:val="1"/>
          <w:numId w:val="5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Date:  August 3, 2022</w:t>
      </w:r>
    </w:p>
    <w:p>
      <w:pPr>
        <w:spacing w:after="0" w:line="3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/s/ Benjamin R. Clouse</w:t>
      </w:r>
    </w:p>
    <w:p>
      <w:pPr>
        <w:spacing w:after="0" w:line="20"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Benjamin R. Clouse</w:t>
      </w:r>
    </w:p>
    <w:p>
      <w:pPr>
        <w:spacing w:after="0" w:line="11"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Chief Financial Officer</w:t>
      </w:r>
    </w:p>
    <w:p>
      <w:pPr>
        <w:spacing w:after="0" w:line="7" w:lineRule="exact"/>
        <w:rPr>
          <w:sz w:val="20"/>
          <w:szCs w:val="20"/>
          <w:color w:val="auto"/>
        </w:rPr>
      </w:pPr>
    </w:p>
    <w:p>
      <w:pPr>
        <w:ind w:left="6040"/>
        <w:spacing w:after="0"/>
        <w:rPr>
          <w:sz w:val="20"/>
          <w:szCs w:val="20"/>
          <w:color w:val="auto"/>
        </w:rPr>
      </w:pPr>
      <w:r>
        <w:rPr>
          <w:rFonts w:ascii="Arial" w:cs="Arial" w:eastAsia="Arial" w:hAnsi="Arial"/>
          <w:sz w:val="14"/>
          <w:szCs w:val="14"/>
          <w:color w:val="auto"/>
        </w:rPr>
        <w:t>(Principal Financial Officer)</w:t>
      </w:r>
    </w:p>
    <w:p>
      <w:pPr>
        <w:sectPr>
          <w:pgSz w:w="11900" w:h="16838" w:orient="portrait"/>
          <w:cols w:equalWidth="0" w:num="1">
            <w:col w:w="9019"/>
          </w:cols>
          <w:pgMar w:left="1440" w:top="887" w:right="1440" w:bottom="1440" w:gutter="0" w:footer="0" w:header="0"/>
        </w:sectPr>
      </w:pPr>
    </w:p>
    <w:bookmarkStart w:id="87" w:name="page88"/>
    <w:bookmarkEnd w:id="87"/>
    <w:p>
      <w:pPr>
        <w:ind w:left="5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Exhibit 32.1</w:t>
      </w:r>
    </w:p>
    <w:p>
      <w:pPr>
        <w:spacing w:after="0" w:line="227" w:lineRule="exact"/>
        <w:rPr>
          <w:sz w:val="20"/>
          <w:szCs w:val="20"/>
          <w:color w:val="auto"/>
        </w:rPr>
      </w:pPr>
    </w:p>
    <w:p>
      <w:pPr>
        <w:ind w:left="540" w:right="579"/>
        <w:spacing w:after="0" w:line="353" w:lineRule="auto"/>
        <w:rPr>
          <w:sz w:val="20"/>
          <w:szCs w:val="20"/>
          <w:color w:val="auto"/>
        </w:rPr>
      </w:pPr>
      <w:r>
        <w:rPr>
          <w:rFonts w:ascii="Arial" w:cs="Arial" w:eastAsia="Arial" w:hAnsi="Arial"/>
          <w:sz w:val="16"/>
          <w:szCs w:val="16"/>
          <w:b w:val="1"/>
          <w:bCs w:val="1"/>
          <w:color w:val="auto"/>
        </w:rPr>
        <w:t>CERTIFICATION OF PRINCIPAL EXECUTIVE OFFICER AND PRINCIPAL FINANCIAL OFFICER UNDER 18 U.S.C. § 1350 FURNISHED PURSUANT TO SECURITIES EXCHANGE ACT RULE 13a-14(b)</w:t>
      </w:r>
    </w:p>
    <w:p>
      <w:pPr>
        <w:spacing w:after="0" w:line="109" w:lineRule="exact"/>
        <w:rPr>
          <w:sz w:val="20"/>
          <w:szCs w:val="20"/>
          <w:color w:val="auto"/>
        </w:rPr>
      </w:pPr>
    </w:p>
    <w:p>
      <w:pPr>
        <w:ind w:left="540" w:right="659"/>
        <w:spacing w:after="0" w:line="298" w:lineRule="auto"/>
        <w:rPr>
          <w:sz w:val="20"/>
          <w:szCs w:val="20"/>
          <w:color w:val="auto"/>
        </w:rPr>
      </w:pPr>
      <w:r>
        <w:rPr>
          <w:rFonts w:ascii="Arial" w:cs="Arial" w:eastAsia="Arial" w:hAnsi="Arial"/>
          <w:sz w:val="14"/>
          <w:szCs w:val="14"/>
          <w:color w:val="auto"/>
        </w:rPr>
        <w:t>In connection with the Quarterly Report of CrossFirst Bankshares, Inc. (the “Company”) on Form 10-Q for the period ended on June 30, 2022, as filed with the Securities and Exchange Commission on the date hereof (the “Report”), each of the undersigned, in his respective capacities indicated below, hereby certifies, pursuant to 18 U.S.C. § 1350, as enacted by Section 906 of the Sarbanes-Oxley Act of 2002, that, to his knowledge and belief, (1) the Report fully complies with the requirements of Section 13(a) or 15(d) of the Securities Exchange Act of 1934, as amended, and (2) the information contained in the Report fairly presents, in all material respects, the financial condition and results of operations of the Company.</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Date: August 3, 2022</w:t>
      </w:r>
    </w:p>
    <w:p>
      <w:pPr>
        <w:spacing w:after="0" w:line="223" w:lineRule="exact"/>
        <w:rPr>
          <w:sz w:val="20"/>
          <w:szCs w:val="20"/>
          <w:color w:val="auto"/>
        </w:rPr>
      </w:pPr>
    </w:p>
    <w:p>
      <w:pPr>
        <w:ind w:left="7160"/>
        <w:spacing w:after="0"/>
        <w:rPr>
          <w:sz w:val="20"/>
          <w:szCs w:val="20"/>
          <w:color w:val="auto"/>
        </w:rPr>
      </w:pPr>
      <w:r>
        <w:rPr>
          <w:rFonts w:ascii="Arial" w:cs="Arial" w:eastAsia="Arial" w:hAnsi="Arial"/>
          <w:sz w:val="13"/>
          <w:szCs w:val="13"/>
          <w:color w:val="auto"/>
        </w:rPr>
        <w:t>/s/ Michael J. Maddox</w:t>
      </w:r>
    </w:p>
    <w:p>
      <w:pPr>
        <w:spacing w:after="0" w:line="43" w:lineRule="exact"/>
        <w:rPr>
          <w:sz w:val="20"/>
          <w:szCs w:val="20"/>
          <w:color w:val="auto"/>
        </w:rPr>
      </w:pPr>
    </w:p>
    <w:p>
      <w:pPr>
        <w:ind w:left="7340"/>
        <w:spacing w:after="0"/>
        <w:rPr>
          <w:sz w:val="20"/>
          <w:szCs w:val="20"/>
          <w:color w:val="auto"/>
        </w:rPr>
      </w:pPr>
      <w:r>
        <w:rPr>
          <w:rFonts w:ascii="Arial" w:cs="Arial" w:eastAsia="Arial" w:hAnsi="Arial"/>
          <w:sz w:val="13"/>
          <w:szCs w:val="13"/>
          <w:color w:val="auto"/>
        </w:rPr>
        <w:t>Michael J. Maddox</w:t>
      </w:r>
    </w:p>
    <w:p>
      <w:pPr>
        <w:spacing w:after="0" w:line="31" w:lineRule="exact"/>
        <w:rPr>
          <w:sz w:val="20"/>
          <w:szCs w:val="20"/>
          <w:color w:val="auto"/>
        </w:rPr>
      </w:pPr>
    </w:p>
    <w:p>
      <w:pPr>
        <w:ind w:left="4580"/>
        <w:spacing w:after="0"/>
        <w:rPr>
          <w:sz w:val="20"/>
          <w:szCs w:val="20"/>
          <w:color w:val="auto"/>
        </w:rPr>
      </w:pPr>
      <w:r>
        <w:rPr>
          <w:rFonts w:ascii="Arial" w:cs="Arial" w:eastAsia="Arial" w:hAnsi="Arial"/>
          <w:sz w:val="13"/>
          <w:szCs w:val="13"/>
          <w:color w:val="auto"/>
        </w:rPr>
        <w:t>President and Chief Executive Officer (Principal Executive Officer)</w:t>
      </w:r>
    </w:p>
    <w:p>
      <w:pPr>
        <w:spacing w:after="0" w:line="278" w:lineRule="exact"/>
        <w:rPr>
          <w:sz w:val="20"/>
          <w:szCs w:val="20"/>
          <w:color w:val="auto"/>
        </w:rPr>
      </w:pPr>
    </w:p>
    <w:p>
      <w:pPr>
        <w:ind w:left="7120"/>
        <w:spacing w:after="0"/>
        <w:rPr>
          <w:sz w:val="20"/>
          <w:szCs w:val="20"/>
          <w:color w:val="auto"/>
        </w:rPr>
      </w:pPr>
      <w:r>
        <w:rPr>
          <w:rFonts w:ascii="Arial" w:cs="Arial" w:eastAsia="Arial" w:hAnsi="Arial"/>
          <w:sz w:val="12"/>
          <w:szCs w:val="12"/>
          <w:color w:val="auto"/>
        </w:rPr>
        <w:t>/s/ Benjamin R. Clouse</w:t>
      </w:r>
    </w:p>
    <w:p>
      <w:pPr>
        <w:spacing w:after="0" w:line="65" w:lineRule="exact"/>
        <w:rPr>
          <w:sz w:val="20"/>
          <w:szCs w:val="20"/>
          <w:color w:val="auto"/>
        </w:rPr>
      </w:pPr>
    </w:p>
    <w:p>
      <w:pPr>
        <w:ind w:left="7280"/>
        <w:spacing w:after="0"/>
        <w:rPr>
          <w:sz w:val="20"/>
          <w:szCs w:val="20"/>
          <w:color w:val="auto"/>
        </w:rPr>
      </w:pPr>
      <w:r>
        <w:rPr>
          <w:rFonts w:ascii="Arial" w:cs="Arial" w:eastAsia="Arial" w:hAnsi="Arial"/>
          <w:sz w:val="13"/>
          <w:szCs w:val="13"/>
          <w:color w:val="auto"/>
        </w:rPr>
        <w:t>Benjamin R. Clouse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Chief Financial Officer (Principal Financial Officer)</w:t>
      </w:r>
    </w:p>
    <w:p>
      <w:pPr>
        <w:sectPr>
          <w:pgSz w:w="11900" w:h="16838" w:orient="portrait"/>
          <w:cols w:equalWidth="0" w:num="1">
            <w:col w:w="9019"/>
          </w:cols>
          <w:pgMar w:left="1440" w:top="1405" w:right="1440"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2"/>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1)"/>
      <w:numFmt w:val="decimal"/>
      <w:start w:val="1"/>
    </w:lvl>
  </w:abstractNum>
  <w:abstractNum w:abstractNumId="7">
    <w:nsid w:val="6CEAF087"/>
    <w:multiLevelType w:val="hybridMultilevel"/>
    <w:lvl w:ilvl="0">
      <w:lvlJc w:val="left"/>
      <w:lvlText w:val="%1"/>
      <w:numFmt w:val="decimal"/>
      <w:start w:val="1"/>
    </w:lvl>
    <w:lvl w:ilvl="1">
      <w:lvlJc w:val="left"/>
      <w:lvlText w:val="(%2)"/>
      <w:numFmt w:val="decimal"/>
      <w:start w:val="1"/>
    </w:lvl>
  </w:abstractNum>
  <w:abstractNum w:abstractNumId="8">
    <w:nsid w:val="22221A70"/>
    <w:multiLevelType w:val="hybridMultilevel"/>
    <w:lvl w:ilvl="0">
      <w:lvlJc w:val="left"/>
      <w:lvlText w:val="(%1)"/>
      <w:numFmt w:val="decimal"/>
      <w:start w:val="2"/>
    </w:lvl>
    <w:lvl w:ilvl="1">
      <w:lvlJc w:val="left"/>
      <w:lvlText w:val="%2"/>
      <w:numFmt w:val="decimal"/>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decimal"/>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1)"/>
      <w:numFmt w:val="decimal"/>
    </w:lvl>
    <w:lvl w:ilvl="1">
      <w:lvlJc w:val="left"/>
      <w:lvlText w:val="•"/>
      <w:numFmt w:val="bullet"/>
      <w:start w:val="1"/>
    </w:lvl>
  </w:abstractNum>
  <w:abstractNum w:abstractNumId="18">
    <w:nsid w:val="7724C67E"/>
    <w:multiLevelType w:val="hybridMultilevel"/>
    <w:lvl w:ilvl="0">
      <w:lvlJc w:val="left"/>
      <w:lvlText w:val=" "/>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
      <w:numFmt w:val="bullet"/>
      <w:start w:val="1"/>
    </w:lvl>
  </w:abstractNum>
  <w:abstractNum w:abstractNumId="31">
    <w:nsid w:val="725A06FB"/>
    <w:multiLevelType w:val="hybridMultilevel"/>
    <w:lvl w:ilvl="0">
      <w:lvlJc w:val="left"/>
      <w:lvlText w:val=" "/>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1"/>
    </w:lvl>
    <w:lvl w:ilvl="1">
      <w:lvlJc w:val="left"/>
      <w:lvlText w:val="(%2)"/>
      <w:numFmt w:val="lowerLetter"/>
      <w:start w:val="1"/>
    </w:lvl>
  </w:abstractNum>
  <w:abstractNum w:abstractNumId="40">
    <w:nsid w:val="32FFF902"/>
    <w:multiLevelType w:val="hybridMultilevel"/>
    <w:lvl w:ilvl="0">
      <w:lvlJc w:val="left"/>
      <w:lvlText w:val="%1."/>
      <w:numFmt w:val="decimal"/>
      <w:start w:val="2"/>
    </w:lvl>
  </w:abstractNum>
  <w:abstractNum w:abstractNumId="41">
    <w:nsid w:val="684A481A"/>
    <w:multiLevelType w:val="hybridMultilevel"/>
    <w:lvl w:ilvl="0">
      <w:lvlJc w:val="left"/>
      <w:lvlText w:val="(%1)"/>
      <w:numFmt w:val="lowerLetter"/>
      <w:start w:val="1"/>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lowerLetter"/>
      <w:start w:val="1"/>
    </w:lvl>
  </w:abstractNum>
  <w:abstractNum w:abstractNumId="44">
    <w:nsid w:val="3DC240FB"/>
    <w:multiLevelType w:val="hybridMultilevel"/>
    <w:lvl w:ilvl="0">
      <w:lvlJc w:val="left"/>
      <w:lvlText w:val="%1."/>
      <w:numFmt w:val="decimal"/>
      <w:start w:val="3"/>
    </w:lvl>
    <w:lvl w:ilvl="1">
      <w:lvlJc w:val="left"/>
      <w:lvlText w:val="(%2)"/>
      <w:numFmt w:val="lowerLetter"/>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lowerLetter"/>
      <w:start w:val="1"/>
    </w:lvl>
    <w:lvl w:ilvl="1">
      <w:lvlJc w:val="left"/>
      <w:lvlText w:val="(%2)"/>
      <w:numFmt w:val="lowerRoman"/>
      <w:start w:val="1"/>
    </w:lvl>
  </w:abstractNum>
  <w:abstractNum w:abstractNumId="47">
    <w:nsid w:val="75C6C33A"/>
    <w:multiLevelType w:val="hybridMultilevel"/>
    <w:lvl w:ilvl="0">
      <w:lvlJc w:val="left"/>
      <w:lvlText w:val="(%1)"/>
      <w:numFmt w:val="lowerRoman"/>
      <w:start w:val="3"/>
    </w:lvl>
  </w:abstractNum>
  <w:abstractNum w:abstractNumId="48">
    <w:nsid w:val="12E685FB"/>
    <w:multiLevelType w:val="hybridMultilevel"/>
    <w:lvl w:ilvl="0">
      <w:lvlJc w:val="left"/>
      <w:lvlText w:val="(%1)"/>
      <w:numFmt w:val="lowerLetter"/>
      <w:start w:val="3"/>
    </w:lvl>
  </w:abstractNum>
  <w:abstractNum w:abstractNumId="49">
    <w:nsid w:val="70C6A529"/>
    <w:multiLevelType w:val="hybridMultilevel"/>
    <w:lvl w:ilvl="0">
      <w:lvlJc w:val="left"/>
      <w:lvlText w:val="(%1)"/>
      <w:numFmt w:val="lowerLetter"/>
      <w:start w:val="4"/>
    </w:lvl>
  </w:abstractNum>
  <w:abstractNum w:abstractNumId="50">
    <w:nsid w:val="520EEDD1"/>
    <w:multiLevelType w:val="hybridMultilevel"/>
    <w:lvl w:ilvl="0">
      <w:lvlJc w:val="left"/>
      <w:lvlText w:val="%1."/>
      <w:numFmt w:val="decimal"/>
      <w:start w:val="4"/>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lowerLetter"/>
      <w:start w:val="2"/>
    </w:lvl>
  </w:abstractNum>
  <w:abstractNum w:abstractNumId="53">
    <w:nsid w:val="23F9C13C"/>
    <w:multiLevelType w:val="hybridMultilevel"/>
    <w:lvl w:ilvl="0">
      <w:lvlJc w:val="left"/>
      <w:lvlText w:val="(%1)"/>
      <w:numFmt w:val="lowerLetter"/>
      <w:start w:val="35"/>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81" Type="http://schemas.openxmlformats.org/officeDocument/2006/relationships/hyperlink" Target="http://www.sec.gov/Archives/edgar/data/1458412/000114036119013110/s002626x8_ex3-1.htm" TargetMode="External"/><Relationship Id="rId82" Type="http://schemas.openxmlformats.org/officeDocument/2006/relationships/hyperlink" Target="http://www.sec.gov/Archives/edgar/data/1458412/000114036119013110/s002626x8_ex3-2.htm" TargetMode="External"/><Relationship Id="rId83" Type="http://schemas.openxmlformats.org/officeDocument/2006/relationships/hyperlink" Target="http://www.sec.gov/Archives/edgar/data/1458412/000114036119013110/s002626x8_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2022-08-03T15:55:17Z</dcterms:created>
  <dcterms:modified xsi:type="dcterms:W3CDTF">2022-08-03T15:55:17Z</dcterms:modified>
</cp:coreProperties>
</file>