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19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1919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3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King Mason</w:t>
              </w:r>
            </w:hyperlink>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CROSSFIRST BANKSHARES, INC. </w:t>
              </w:r>
            </w:hyperlink>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880" w:type="dxa"/>
            <w:vAlign w:val="bottom"/>
            <w:tcBorders>
              <w:bottom w:val="single" w:sz="8" w:color="0000EE"/>
            </w:tcBorders>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 xml:space="preserve">CFB </w:t>
            </w:r>
            <w:r>
              <w:rPr>
                <w:rFonts w:ascii="Times New Roman" w:cs="Times New Roman" w:eastAsia="Times New Roman" w:hAnsi="Times New Roman"/>
                <w:sz w:val="21"/>
                <w:szCs w:val="21"/>
                <w:color w:val="000000"/>
              </w:rPr>
              <w:t>]</w:t>
            </w: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6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5"/>
                <w:szCs w:val="5"/>
                <w:color w:val="auto"/>
              </w:rPr>
            </w:pPr>
          </w:p>
        </w:tc>
        <w:tc>
          <w:tcPr>
            <w:tcW w:w="940" w:type="dxa"/>
            <w:vAlign w:val="bottom"/>
            <w:gridSpan w:val="2"/>
            <w:vMerge w:val="restart"/>
          </w:tcPr>
          <w:p>
            <w:pPr>
              <w:ind w:left="4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6"/>
            <w:vMerge w:val="continue"/>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6"/>
            <w:vMerge w:val="continue"/>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11440 TOMAHAWK CREEK PARKWAY</w:t>
            </w: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200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vMerge w:val="restart"/>
          </w:tcPr>
          <w:p>
            <w:pPr>
              <w:spacing w:after="0"/>
              <w:rPr>
                <w:sz w:val="7"/>
                <w:szCs w:val="7"/>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3400" w:type="dxa"/>
            <w:vAlign w:val="bottom"/>
            <w:gridSpan w:val="8"/>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LEAWOOD</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KS</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66211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140" w:type="dxa"/>
            <w:vAlign w:val="bottom"/>
            <w:gridSpan w:val="8"/>
          </w:tcPr>
          <w:p>
            <w:pPr>
              <w:ind w:left="32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000" w:type="dxa"/>
            <w:vAlign w:val="bottom"/>
            <w:tcBorders>
              <w:bottom w:val="single" w:sz="8" w:color="2C2C2C"/>
            </w:tcBorders>
            <w:gridSpan w:val="5"/>
          </w:tcPr>
          <w:p>
            <w:pPr>
              <w:spacing w:after="0"/>
              <w:rPr>
                <w:sz w:val="10"/>
                <w:szCs w:val="10"/>
                <w:color w:val="auto"/>
              </w:rPr>
            </w:pPr>
          </w:p>
        </w:tc>
        <w:tc>
          <w:tcPr>
            <w:tcW w:w="50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3"/>
          </w:tcPr>
          <w:p>
            <w:pPr>
              <w:ind w:left="180"/>
              <w:spacing w:after="0"/>
              <w:rPr>
                <w:sz w:val="20"/>
                <w:szCs w:val="20"/>
                <w:color w:val="auto"/>
              </w:rPr>
            </w:pPr>
            <w:r>
              <w:rPr>
                <w:rFonts w:ascii="Arial" w:cs="Arial" w:eastAsia="Arial" w:hAnsi="Arial"/>
                <w:sz w:val="12"/>
                <w:szCs w:val="12"/>
                <w:b w:val="1"/>
                <w:bCs w:val="1"/>
                <w:color w:val="auto"/>
              </w:rPr>
              <w:t>2A. Deemed</w:t>
            </w:r>
          </w:p>
        </w:tc>
        <w:tc>
          <w:tcPr>
            <w:tcW w:w="100" w:type="dxa"/>
            <w:vAlign w:val="bottom"/>
          </w:tcPr>
          <w:p>
            <w:pPr>
              <w:spacing w:after="0"/>
              <w:rPr>
                <w:sz w:val="20"/>
                <w:szCs w:val="20"/>
                <w:color w:val="auto"/>
              </w:rPr>
            </w:pPr>
            <w:r>
              <w:rPr>
                <w:rFonts w:ascii="Arial" w:cs="Arial" w:eastAsia="Arial" w:hAnsi="Arial"/>
                <w:sz w:val="12"/>
                <w:szCs w:val="12"/>
                <w:b w:val="1"/>
                <w:bCs w:val="1"/>
                <w:color w:val="auto"/>
                <w:w w:val="79"/>
              </w:rPr>
              <w:t>3.</w:t>
            </w:r>
          </w:p>
        </w:tc>
        <w:tc>
          <w:tcPr>
            <w:tcW w:w="640" w:type="dxa"/>
            <w:vAlign w:val="bottom"/>
          </w:tcPr>
          <w:p>
            <w:pPr>
              <w:spacing w:after="0"/>
              <w:rPr>
                <w:sz w:val="15"/>
                <w:szCs w:val="15"/>
                <w:color w:val="auto"/>
              </w:rPr>
            </w:pPr>
          </w:p>
        </w:tc>
        <w:tc>
          <w:tcPr>
            <w:tcW w:w="198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5"/>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line="133" w:lineRule="exact"/>
              <w:rPr>
                <w:sz w:val="20"/>
                <w:szCs w:val="20"/>
                <w:color w:val="auto"/>
              </w:rPr>
            </w:pPr>
            <w:r>
              <w:rPr>
                <w:rFonts w:ascii="Arial" w:cs="Arial" w:eastAsia="Arial" w:hAnsi="Arial"/>
                <w:sz w:val="12"/>
                <w:szCs w:val="12"/>
                <w:b w:val="1"/>
                <w:bCs w:val="1"/>
                <w:color w:val="auto"/>
                <w:w w:val="74"/>
              </w:rPr>
              <w:t>8)</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jc w:val="right"/>
              <w:ind w:right="2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jc w:val="right"/>
              <w:spacing w:after="0"/>
              <w:rPr>
                <w:sz w:val="20"/>
                <w:szCs w:val="20"/>
                <w:color w:val="auto"/>
              </w:rPr>
            </w:pPr>
            <w:r>
              <w:rPr>
                <w:rFonts w:ascii="Times New Roman" w:cs="Times New Roman" w:eastAsia="Times New Roman" w:hAnsi="Times New Roman"/>
                <w:sz w:val="17"/>
                <w:szCs w:val="17"/>
                <w:color w:val="0000FF"/>
              </w:rPr>
              <w:t>03/01/2025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104,192</w:t>
            </w:r>
            <w:r>
              <w:rPr>
                <w:rFonts w:ascii="Times New Roman" w:cs="Times New Roman" w:eastAsia="Times New Roman" w:hAnsi="Times New Roman"/>
                <w:sz w:val="22"/>
                <w:szCs w:val="22"/>
                <w:color w:val="008000"/>
                <w:w w:val="93"/>
                <w:vertAlign w:val="superscript"/>
              </w:rPr>
              <w:t>(1)</w:t>
            </w:r>
          </w:p>
        </w:tc>
        <w:tc>
          <w:tcPr>
            <w:tcW w:w="4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LKCM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Private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03/01/2025</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640,352</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Discipline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7"/>
                <w:szCs w:val="17"/>
                <w:color w:val="0000FF"/>
              </w:rPr>
              <w:t>SPC</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Luther King</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0000FF"/>
              </w:rPr>
              <w:t>03/01/2025</w:t>
            </w: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405,264</w:t>
            </w:r>
          </w:p>
        </w:tc>
        <w:tc>
          <w:tcPr>
            <w:tcW w:w="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Management</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Corporation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03/01/2025</w:t>
            </w: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D</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1,100</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0</w:t>
            </w: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200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6"/>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gridSpan w:val="2"/>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that certain Agreement and Plan of Merger (the "Merger Agreement") entered into on August 26, 2024, between Issuer and First Busey Corporation ("Busey"), each deferred share of Issuer common stock that is credited to a participant's account under the CrossFirst 2018 Directors' Deferred Fee Plan as of immediately prior to the effective time of the merger was converted into the right to receive 0.6675 shares of common stock, par value $0.001, of Busey, rounded to the nearest whole share.</w:t>
      </w:r>
    </w:p>
    <w:p>
      <w:pPr>
        <w:spacing w:after="0" w:line="20" w:lineRule="exact"/>
        <w:rPr>
          <w:rFonts w:ascii="Times New Roman" w:cs="Times New Roman" w:eastAsia="Times New Roman" w:hAnsi="Times New Roman"/>
          <w:sz w:val="13"/>
          <w:szCs w:val="13"/>
          <w:color w:val="008000"/>
        </w:rPr>
      </w:pPr>
    </w:p>
    <w:p>
      <w:pPr>
        <w:ind w:left="40" w:right="320" w:firstLine="7"/>
        <w:spacing w:after="0" w:line="24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Disposed of pursuant to the Merger Agreement. Pursuant to the Merger Agreement, at the effective time of the merger, Issuer merged with and into Busey with Busey surviving the merger, and each share of common stock, par value $0.01 per share, of Issuer outstanding immediately prior to the effective time of the merger, other than certain excluded shares, were converted into the right to receive</w:t>
      </w:r>
    </w:p>
    <w:p>
      <w:pPr>
        <w:ind w:left="40" w:right="560"/>
        <w:spacing w:after="0" w:line="245"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0.6675 shares of common stock, par value $0.001, of Busey and (b) cash in lieu of fractional shares. In connection with the merger closing, all remaining previously reported but unvested Issuer Restricted Stock Awards vested as of the closing date of the merger.</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Amy Abrams, by Power of  </w:t>
      </w:r>
      <w:r>
        <w:rPr>
          <w:rFonts w:ascii="Times New Roman" w:cs="Times New Roman" w:eastAsia="Times New Roman" w:hAnsi="Times New Roman"/>
          <w:sz w:val="33"/>
          <w:szCs w:val="33"/>
          <w:color w:val="0000FF"/>
          <w:vertAlign w:val="subscript"/>
        </w:rPr>
        <w:t>03/04/2025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0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3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5284" TargetMode="External"/><Relationship Id="rId14" Type="http://schemas.openxmlformats.org/officeDocument/2006/relationships/hyperlink" Target="http://www.sec.gov/cgi-bin/browse-edgar?action=getcompany&amp;CIK=00014584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2025-03-04T10:25:21Z</dcterms:created>
  <dcterms:modified xsi:type="dcterms:W3CDTF">2025-03-04T10:25:21Z</dcterms:modified>
</cp:coreProperties>
</file>