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WASHINGTON, DC 20549</w:t>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jc w:val="center"/>
        <w:ind w:left="4000" w:right="1100" w:hanging="2816"/>
        <w:spacing w:after="0" w:line="532" w:lineRule="auto"/>
        <w:tabs>
          <w:tab w:leader="none" w:pos="1386"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52" w:lineRule="exact"/>
        <w:rPr>
          <w:rFonts w:ascii="MS PGothic" w:cs="MS PGothic" w:eastAsia="MS PGothic" w:hAnsi="MS PGothic"/>
          <w:sz w:val="18"/>
          <w:szCs w:val="18"/>
          <w:color w:val="auto"/>
        </w:rPr>
      </w:pPr>
    </w:p>
    <w:p>
      <w:pPr>
        <w:jc w:val="center"/>
        <w:ind w:left="3880" w:right="1080" w:hanging="2706"/>
        <w:spacing w:after="0" w:line="532" w:lineRule="auto"/>
        <w:tabs>
          <w:tab w:leader="none" w:pos="138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ind w:left="43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001-39028</w:t>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CROSSFIRST BANKSHARES, INC.</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90" w:lineRule="exact"/>
        <w:rPr>
          <w:sz w:val="24"/>
          <w:szCs w:val="24"/>
          <w:color w:val="auto"/>
        </w:rPr>
      </w:pPr>
    </w:p>
    <w:tbl>
      <w:tblPr>
        <w:tblLayout w:type="fixed"/>
        <w:tblInd w:w="1180" w:type="dxa"/>
        <w:tblCellMar>
          <w:top w:w="0" w:type="dxa"/>
          <w:left w:w="0" w:type="dxa"/>
          <w:bottom w:w="0" w:type="dxa"/>
          <w:right w:w="0" w:type="dxa"/>
        </w:tblCellMar>
      </w:tblPr>
      <w:tr>
        <w:trPr>
          <w:trHeight w:val="230"/>
        </w:trPr>
        <w:tc>
          <w:tcPr>
            <w:tcW w:w="4800" w:type="dxa"/>
            <w:vAlign w:val="bottom"/>
          </w:tcPr>
          <w:p>
            <w:pPr>
              <w:jc w:val="center"/>
              <w:ind w:right="834"/>
              <w:spacing w:after="0"/>
              <w:rPr>
                <w:sz w:val="20"/>
                <w:szCs w:val="20"/>
                <w:color w:val="auto"/>
              </w:rPr>
            </w:pPr>
            <w:r>
              <w:rPr>
                <w:rFonts w:ascii="Arial" w:cs="Arial" w:eastAsia="Arial" w:hAnsi="Arial"/>
                <w:sz w:val="18"/>
                <w:szCs w:val="18"/>
                <w:color w:val="auto"/>
                <w:w w:val="86"/>
              </w:rPr>
              <w:t>Kansas</w:t>
            </w:r>
          </w:p>
        </w:tc>
        <w:tc>
          <w:tcPr>
            <w:tcW w:w="3280" w:type="dxa"/>
            <w:vAlign w:val="bottom"/>
          </w:tcPr>
          <w:p>
            <w:pPr>
              <w:jc w:val="right"/>
              <w:ind w:right="655"/>
              <w:spacing w:after="0"/>
              <w:rPr>
                <w:sz w:val="20"/>
                <w:szCs w:val="20"/>
                <w:color w:val="auto"/>
              </w:rPr>
            </w:pPr>
            <w:r>
              <w:rPr>
                <w:rFonts w:ascii="Arial" w:cs="Arial" w:eastAsia="Arial" w:hAnsi="Arial"/>
                <w:sz w:val="18"/>
                <w:szCs w:val="18"/>
                <w:color w:val="auto"/>
              </w:rPr>
              <w:t>26-3212879</w:t>
            </w:r>
          </w:p>
        </w:tc>
      </w:tr>
      <w:tr>
        <w:trPr>
          <w:trHeight w:val="250"/>
        </w:trPr>
        <w:tc>
          <w:tcPr>
            <w:tcW w:w="4800" w:type="dxa"/>
            <w:vAlign w:val="bottom"/>
          </w:tcPr>
          <w:p>
            <w:pPr>
              <w:jc w:val="center"/>
              <w:ind w:right="85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280" w:type="dxa"/>
            <w:vAlign w:val="bottom"/>
          </w:tcPr>
          <w:p>
            <w:pPr>
              <w:jc w:val="center"/>
              <w:ind w:left="855"/>
              <w:spacing w:after="0"/>
              <w:rPr>
                <w:sz w:val="20"/>
                <w:szCs w:val="20"/>
                <w:color w:val="auto"/>
              </w:rPr>
            </w:pPr>
            <w:r>
              <w:rPr>
                <w:rFonts w:ascii="Arial" w:cs="Arial" w:eastAsia="Arial" w:hAnsi="Arial"/>
                <w:sz w:val="16"/>
                <w:szCs w:val="16"/>
                <w:color w:val="auto"/>
                <w:w w:val="94"/>
              </w:rPr>
              <w:t>(I.R.S. Employer Identification No.)</w:t>
            </w:r>
          </w:p>
        </w:tc>
      </w:tr>
      <w:tr>
        <w:trPr>
          <w:trHeight w:val="330"/>
        </w:trPr>
        <w:tc>
          <w:tcPr>
            <w:tcW w:w="4800" w:type="dxa"/>
            <w:vAlign w:val="bottom"/>
          </w:tcPr>
          <w:p>
            <w:pPr>
              <w:jc w:val="center"/>
              <w:ind w:right="834"/>
              <w:spacing w:after="0"/>
              <w:rPr>
                <w:sz w:val="20"/>
                <w:szCs w:val="20"/>
                <w:color w:val="auto"/>
              </w:rPr>
            </w:pPr>
            <w:r>
              <w:rPr>
                <w:rFonts w:ascii="Arial" w:cs="Arial" w:eastAsia="Arial" w:hAnsi="Arial"/>
                <w:sz w:val="18"/>
                <w:szCs w:val="18"/>
                <w:color w:val="auto"/>
                <w:w w:val="90"/>
              </w:rPr>
              <w:t>11440 Tomahawk Creek Parkway</w:t>
            </w:r>
          </w:p>
        </w:tc>
        <w:tc>
          <w:tcPr>
            <w:tcW w:w="3280" w:type="dxa"/>
            <w:vAlign w:val="bottom"/>
          </w:tcPr>
          <w:p>
            <w:pPr>
              <w:spacing w:after="0"/>
              <w:rPr>
                <w:sz w:val="24"/>
                <w:szCs w:val="24"/>
                <w:color w:val="auto"/>
              </w:rPr>
            </w:pPr>
          </w:p>
        </w:tc>
      </w:tr>
      <w:tr>
        <w:trPr>
          <w:trHeight w:val="270"/>
        </w:trPr>
        <w:tc>
          <w:tcPr>
            <w:tcW w:w="4800" w:type="dxa"/>
            <w:vAlign w:val="bottom"/>
          </w:tcPr>
          <w:p>
            <w:pPr>
              <w:ind w:left="1140"/>
              <w:spacing w:after="0"/>
              <w:rPr>
                <w:sz w:val="20"/>
                <w:szCs w:val="20"/>
                <w:color w:val="auto"/>
              </w:rPr>
            </w:pPr>
            <w:r>
              <w:rPr>
                <w:rFonts w:ascii="Arial" w:cs="Arial" w:eastAsia="Arial" w:hAnsi="Arial"/>
                <w:sz w:val="18"/>
                <w:szCs w:val="18"/>
                <w:color w:val="auto"/>
              </w:rPr>
              <w:t>Leawood,  KS</w:t>
            </w:r>
          </w:p>
        </w:tc>
        <w:tc>
          <w:tcPr>
            <w:tcW w:w="3280" w:type="dxa"/>
            <w:vAlign w:val="bottom"/>
          </w:tcPr>
          <w:p>
            <w:pPr>
              <w:jc w:val="right"/>
              <w:ind w:right="875"/>
              <w:spacing w:after="0"/>
              <w:rPr>
                <w:sz w:val="20"/>
                <w:szCs w:val="20"/>
                <w:color w:val="auto"/>
              </w:rPr>
            </w:pPr>
            <w:r>
              <w:rPr>
                <w:rFonts w:ascii="Arial" w:cs="Arial" w:eastAsia="Arial" w:hAnsi="Arial"/>
                <w:sz w:val="18"/>
                <w:szCs w:val="18"/>
                <w:color w:val="auto"/>
              </w:rPr>
              <w:t>66211</w:t>
            </w:r>
          </w:p>
        </w:tc>
      </w:tr>
      <w:tr>
        <w:trPr>
          <w:trHeight w:val="250"/>
        </w:trPr>
        <w:tc>
          <w:tcPr>
            <w:tcW w:w="4800" w:type="dxa"/>
            <w:vAlign w:val="bottom"/>
          </w:tcPr>
          <w:p>
            <w:pPr>
              <w:jc w:val="center"/>
              <w:ind w:right="854"/>
              <w:spacing w:after="0"/>
              <w:rPr>
                <w:sz w:val="20"/>
                <w:szCs w:val="20"/>
                <w:color w:val="auto"/>
              </w:rPr>
            </w:pPr>
            <w:r>
              <w:rPr>
                <w:rFonts w:ascii="Arial" w:cs="Arial" w:eastAsia="Arial" w:hAnsi="Arial"/>
                <w:sz w:val="16"/>
                <w:szCs w:val="16"/>
                <w:color w:val="auto"/>
                <w:w w:val="94"/>
              </w:rPr>
              <w:t>(Address of principal executive offices)</w:t>
            </w:r>
          </w:p>
        </w:tc>
        <w:tc>
          <w:tcPr>
            <w:tcW w:w="3280" w:type="dxa"/>
            <w:vAlign w:val="bottom"/>
          </w:tcPr>
          <w:p>
            <w:pPr>
              <w:jc w:val="center"/>
              <w:ind w:left="855"/>
              <w:spacing w:after="0"/>
              <w:rPr>
                <w:sz w:val="20"/>
                <w:szCs w:val="20"/>
                <w:color w:val="auto"/>
              </w:rPr>
            </w:pPr>
            <w:r>
              <w:rPr>
                <w:rFonts w:ascii="Arial" w:cs="Arial" w:eastAsia="Arial" w:hAnsi="Arial"/>
                <w:sz w:val="16"/>
                <w:szCs w:val="16"/>
                <w:color w:val="auto"/>
                <w:w w:val="92"/>
              </w:rPr>
              <w:t>(Zip Code)</w:t>
            </w:r>
          </w:p>
        </w:tc>
      </w:tr>
    </w:tbl>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(913) 312-6822</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4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4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CFB</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75"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Non-accelerated filer</w:t>
            </w:r>
          </w:p>
        </w:tc>
        <w:tc>
          <w:tcPr>
            <w:tcW w:w="17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7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3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2020, the registrant had 52,188,708 shares of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03" w:right="419" w:bottom="86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100" w:type="dxa"/>
            <w:vAlign w:val="bottom"/>
          </w:tcPr>
          <w:p>
            <w:pPr>
              <w:jc w:val="center"/>
              <w:ind w:left="252"/>
              <w:spacing w:after="0"/>
              <w:rPr>
                <w:sz w:val="20"/>
                <w:szCs w:val="20"/>
                <w:color w:val="auto"/>
              </w:rPr>
            </w:pPr>
            <w:r>
              <w:rPr>
                <w:rFonts w:ascii="Arial" w:cs="Arial" w:eastAsia="Arial" w:hAnsi="Arial"/>
                <w:sz w:val="22"/>
                <w:szCs w:val="22"/>
                <w:color w:val="auto"/>
                <w:w w:val="88"/>
              </w:rPr>
              <w:t>CrossFirst Bankshares, Inc.</w:t>
            </w:r>
          </w:p>
        </w:tc>
        <w:tc>
          <w:tcPr>
            <w:tcW w:w="188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100" w:type="dxa"/>
            <w:vAlign w:val="bottom"/>
          </w:tcPr>
          <w:p>
            <w:pPr>
              <w:jc w:val="center"/>
              <w:ind w:left="232"/>
              <w:spacing w:after="0"/>
              <w:rPr>
                <w:sz w:val="20"/>
                <w:szCs w:val="20"/>
                <w:color w:val="auto"/>
              </w:rPr>
            </w:pPr>
            <w:r>
              <w:rPr>
                <w:rFonts w:ascii="Arial" w:cs="Arial" w:eastAsia="Arial" w:hAnsi="Arial"/>
                <w:sz w:val="22"/>
                <w:szCs w:val="22"/>
                <w:color w:val="auto"/>
                <w:w w:val="90"/>
              </w:rPr>
              <w:t>Form 10-Q</w:t>
            </w:r>
          </w:p>
        </w:tc>
        <w:tc>
          <w:tcPr>
            <w:tcW w:w="1880" w:type="dxa"/>
            <w:vAlign w:val="bottom"/>
          </w:tcPr>
          <w:p>
            <w:pPr>
              <w:spacing w:after="0"/>
              <w:rPr>
                <w:sz w:val="22"/>
                <w:szCs w:val="22"/>
                <w:color w:val="auto"/>
              </w:rPr>
            </w:pPr>
          </w:p>
        </w:tc>
      </w:tr>
      <w:tr>
        <w:trPr>
          <w:trHeight w:val="242"/>
        </w:trPr>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tcPr>
          <w:p>
            <w:pPr>
              <w:jc w:val="center"/>
              <w:ind w:left="232"/>
              <w:spacing w:after="0" w:line="242" w:lineRule="exact"/>
              <w:rPr>
                <w:sz w:val="20"/>
                <w:szCs w:val="20"/>
                <w:color w:val="auto"/>
              </w:rPr>
            </w:pPr>
            <w:r>
              <w:rPr>
                <w:rFonts w:ascii="Arial" w:cs="Arial" w:eastAsia="Arial" w:hAnsi="Arial"/>
                <w:sz w:val="22"/>
                <w:szCs w:val="22"/>
                <w:color w:val="auto"/>
                <w:w w:val="86"/>
              </w:rPr>
              <w:t>Quarter Ended June 30, 2020</w:t>
            </w:r>
          </w:p>
        </w:tc>
        <w:tc>
          <w:tcPr>
            <w:tcW w:w="1880" w:type="dxa"/>
            <w:vAlign w:val="bottom"/>
          </w:tcPr>
          <w:p>
            <w:pPr>
              <w:spacing w:after="0"/>
              <w:rPr>
                <w:sz w:val="21"/>
                <w:szCs w:val="21"/>
                <w:color w:val="auto"/>
              </w:rPr>
            </w:pPr>
          </w:p>
        </w:tc>
      </w:tr>
      <w:tr>
        <w:trPr>
          <w:trHeight w:val="328"/>
        </w:trPr>
        <w:tc>
          <w:tcPr>
            <w:tcW w:w="9000" w:type="dxa"/>
            <w:vAlign w:val="bottom"/>
            <w:gridSpan w:val="4"/>
          </w:tcPr>
          <w:p>
            <w:pPr>
              <w:spacing w:after="0"/>
              <w:rPr>
                <w:sz w:val="20"/>
                <w:szCs w:val="20"/>
                <w:color w:val="auto"/>
              </w:rPr>
            </w:pPr>
            <w:r>
              <w:rPr>
                <w:rFonts w:ascii="Arial" w:cs="Arial" w:eastAsia="Arial" w:hAnsi="Arial"/>
                <w:sz w:val="25"/>
                <w:szCs w:val="25"/>
                <w:b w:val="1"/>
                <w:bCs w:val="1"/>
                <w:color w:val="auto"/>
              </w:rPr>
              <w:t>Index</w:t>
            </w:r>
          </w:p>
        </w:tc>
        <w:tc>
          <w:tcPr>
            <w:tcW w:w="1880" w:type="dxa"/>
            <w:vAlign w:val="bottom"/>
          </w:tcPr>
          <w:p>
            <w:pPr>
              <w:spacing w:after="0"/>
              <w:rPr>
                <w:sz w:val="24"/>
                <w:szCs w:val="24"/>
                <w:color w:val="auto"/>
              </w:rPr>
            </w:pPr>
          </w:p>
        </w:tc>
      </w:tr>
      <w:tr>
        <w:trPr>
          <w:trHeight w:val="424"/>
        </w:trPr>
        <w:tc>
          <w:tcPr>
            <w:tcW w:w="9000" w:type="dxa"/>
            <w:vAlign w:val="bottom"/>
            <w:gridSpan w:val="4"/>
          </w:tcPr>
          <w:p>
            <w:pPr>
              <w:ind w:left="180"/>
              <w:spacing w:after="0"/>
              <w:rPr>
                <w:sz w:val="20"/>
                <w:szCs w:val="20"/>
                <w:color w:val="auto"/>
              </w:rPr>
            </w:pPr>
            <w:r>
              <w:rPr>
                <w:rFonts w:ascii="Arial" w:cs="Arial" w:eastAsia="Arial" w:hAnsi="Arial"/>
                <w:sz w:val="18"/>
                <w:szCs w:val="18"/>
                <w:color w:val="auto"/>
              </w:rPr>
              <w:t>Part I. Financial Information</w:t>
            </w:r>
          </w:p>
        </w:tc>
        <w:tc>
          <w:tcPr>
            <w:tcW w:w="1880" w:type="dxa"/>
            <w:vAlign w:val="bottom"/>
          </w:tcPr>
          <w:p>
            <w:pPr>
              <w:spacing w:after="0"/>
              <w:rPr>
                <w:sz w:val="24"/>
                <w:szCs w:val="24"/>
                <w:color w:val="auto"/>
              </w:rPr>
            </w:pPr>
          </w:p>
        </w:tc>
      </w:tr>
      <w:tr>
        <w:trPr>
          <w:trHeight w:val="270"/>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Item 1. Financial Statements</w:t>
            </w:r>
          </w:p>
        </w:tc>
        <w:tc>
          <w:tcPr>
            <w:tcW w:w="1880" w:type="dxa"/>
            <w:vAlign w:val="bottom"/>
          </w:tcPr>
          <w:p>
            <w:pPr>
              <w:spacing w:after="0"/>
              <w:rPr>
                <w:sz w:val="23"/>
                <w:szCs w:val="23"/>
                <w:color w:val="auto"/>
              </w:rPr>
            </w:pPr>
          </w:p>
        </w:tc>
      </w:tr>
      <w:tr>
        <w:trPr>
          <w:trHeight w:val="256"/>
        </w:trPr>
        <w:tc>
          <w:tcPr>
            <w:tcW w:w="9000" w:type="dxa"/>
            <w:vAlign w:val="bottom"/>
            <w:gridSpan w:val="4"/>
          </w:tcPr>
          <w:p>
            <w:pPr>
              <w:ind w:left="4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Forward-Looking Information</w:t>
              </w:r>
            </w:hyperlink>
          </w:p>
        </w:tc>
        <w:tc>
          <w:tcPr>
            <w:tcW w:w="1880" w:type="dxa"/>
            <w:vAlign w:val="bottom"/>
          </w:tcPr>
          <w:p>
            <w:pPr>
              <w:ind w:left="17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29"/>
        </w:trPr>
        <w:tc>
          <w:tcPr>
            <w:tcW w:w="9000" w:type="dxa"/>
            <w:vAlign w:val="bottom"/>
            <w:gridSpan w:val="4"/>
          </w:tcPr>
          <w:p>
            <w:pPr>
              <w:ind w:left="4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 Unaudited</w:t>
              </w:r>
            </w:hyperlink>
          </w:p>
        </w:tc>
        <w:tc>
          <w:tcPr>
            <w:tcW w:w="1880" w:type="dxa"/>
            <w:vAlign w:val="bottom"/>
          </w:tcPr>
          <w:p>
            <w:pPr>
              <w:ind w:left="17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9000" w:type="dxa"/>
            <w:vAlign w:val="bottom"/>
            <w:gridSpan w:val="4"/>
          </w:tcPr>
          <w:p>
            <w:pPr>
              <w:ind w:left="4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Operations - Unaudited</w:t>
              </w:r>
            </w:hyperlink>
          </w:p>
        </w:tc>
        <w:tc>
          <w:tcPr>
            <w:tcW w:w="1880" w:type="dxa"/>
            <w:vAlign w:val="bottom"/>
          </w:tcPr>
          <w:p>
            <w:pPr>
              <w:ind w:left="17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Other Comprehensive Income (Loss) - Unaudited</w:t>
              </w:r>
            </w:hyperlink>
          </w:p>
        </w:tc>
        <w:tc>
          <w:tcPr>
            <w:tcW w:w="1880" w:type="dxa"/>
            <w:vAlign w:val="bottom"/>
          </w:tcPr>
          <w:p>
            <w:pPr>
              <w:ind w:left="17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29"/>
        </w:trPr>
        <w:tc>
          <w:tcPr>
            <w:tcW w:w="9000" w:type="dxa"/>
            <w:vAlign w:val="bottom"/>
            <w:gridSpan w:val="4"/>
          </w:tcPr>
          <w:p>
            <w:pPr>
              <w:ind w:left="4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Stockholders’ Equity - Unaudited</w:t>
              </w:r>
            </w:hyperlink>
          </w:p>
        </w:tc>
        <w:tc>
          <w:tcPr>
            <w:tcW w:w="1880" w:type="dxa"/>
            <w:vAlign w:val="bottom"/>
          </w:tcPr>
          <w:p>
            <w:pPr>
              <w:ind w:left="17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Statements of Cash Flows - Unaudited</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10</w:t>
              </w:r>
            </w:hyperlink>
          </w:p>
        </w:tc>
      </w:tr>
      <w:tr>
        <w:trPr>
          <w:trHeight w:val="243"/>
        </w:trPr>
        <w:tc>
          <w:tcPr>
            <w:tcW w:w="9000" w:type="dxa"/>
            <w:vAlign w:val="bottom"/>
            <w:gridSpan w:val="4"/>
          </w:tcPr>
          <w:p>
            <w:pPr>
              <w:ind w:left="380"/>
              <w:spacing w:after="0"/>
              <w:rPr>
                <w:sz w:val="20"/>
                <w:szCs w:val="20"/>
                <w:color w:val="auto"/>
              </w:rPr>
            </w:pPr>
            <w:r>
              <w:rPr>
                <w:rFonts w:ascii="Arial" w:cs="Arial" w:eastAsia="Arial" w:hAnsi="Arial"/>
                <w:sz w:val="18"/>
                <w:szCs w:val="18"/>
                <w:color w:val="auto"/>
              </w:rPr>
              <w:t>Notes to Consolidated Financial Statements (unaudited)</w:t>
            </w:r>
          </w:p>
        </w:tc>
        <w:tc>
          <w:tcPr>
            <w:tcW w:w="1880" w:type="dxa"/>
            <w:vAlign w:val="bottom"/>
          </w:tcPr>
          <w:p>
            <w:pPr>
              <w:spacing w:after="0"/>
              <w:rPr>
                <w:sz w:val="21"/>
                <w:szCs w:val="21"/>
                <w:color w:val="auto"/>
              </w:rPr>
            </w:pPr>
          </w:p>
        </w:tc>
      </w:tr>
      <w:tr>
        <w:trPr>
          <w:trHeight w:val="256"/>
        </w:trPr>
        <w:tc>
          <w:tcPr>
            <w:tcW w:w="9000" w:type="dxa"/>
            <w:vAlign w:val="bottom"/>
            <w:gridSpan w:val="4"/>
          </w:tcPr>
          <w:p>
            <w:pPr>
              <w:ind w:left="50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 1: Nature of Operations and Summary of Significant Accounting Policies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11</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2: Earnings (Loss) Per Share</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16</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3: Securities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16">
              <w:r>
                <w:rPr>
                  <w:rFonts w:ascii="Arial" w:cs="Arial" w:eastAsia="Arial" w:hAnsi="Arial"/>
                  <w:sz w:val="18"/>
                  <w:szCs w:val="18"/>
                  <w:u w:val="single" w:color="auto"/>
                  <w:color w:val="0000FF"/>
                  <w:w w:val="79"/>
                </w:rPr>
                <w:t>16</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Note 4: Loans and Allowance for Loan Losses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19">
              <w:r>
                <w:rPr>
                  <w:rFonts w:ascii="Arial" w:cs="Arial" w:eastAsia="Arial" w:hAnsi="Arial"/>
                  <w:sz w:val="18"/>
                  <w:szCs w:val="18"/>
                  <w:u w:val="single" w:color="auto"/>
                  <w:color w:val="0000FF"/>
                  <w:w w:val="79"/>
                </w:rPr>
                <w:t>19</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Note 5: Derivatives and Hedging</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28">
              <w:r>
                <w:rPr>
                  <w:rFonts w:ascii="Arial" w:cs="Arial" w:eastAsia="Arial" w:hAnsi="Arial"/>
                  <w:sz w:val="18"/>
                  <w:szCs w:val="18"/>
                  <w:u w:val="single" w:color="auto"/>
                  <w:color w:val="0000FF"/>
                  <w:w w:val="79"/>
                </w:rPr>
                <w:t>28</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6: Goodwill and Other Intangible Assets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0">
              <w:r>
                <w:rPr>
                  <w:rFonts w:ascii="Arial" w:cs="Arial" w:eastAsia="Arial" w:hAnsi="Arial"/>
                  <w:sz w:val="18"/>
                  <w:szCs w:val="18"/>
                  <w:u w:val="single" w:color="auto"/>
                  <w:color w:val="0000FF"/>
                  <w:w w:val="79"/>
                </w:rPr>
                <w:t>30</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Note 7: Time Deposits and Borrowings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1">
              <w:r>
                <w:rPr>
                  <w:rFonts w:ascii="Arial" w:cs="Arial" w:eastAsia="Arial" w:hAnsi="Arial"/>
                  <w:sz w:val="18"/>
                  <w:szCs w:val="18"/>
                  <w:u w:val="single" w:color="auto"/>
                  <w:color w:val="0000FF"/>
                  <w:w w:val="79"/>
                </w:rPr>
                <w:t>31</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Note 8: Change in Accumulated Other Comprehensive Income (“AOCI”)</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1">
              <w:r>
                <w:rPr>
                  <w:rFonts w:ascii="Arial" w:cs="Arial" w:eastAsia="Arial" w:hAnsi="Arial"/>
                  <w:sz w:val="18"/>
                  <w:szCs w:val="18"/>
                  <w:u w:val="single" w:color="auto"/>
                  <w:color w:val="0000FF"/>
                  <w:w w:val="79"/>
                </w:rPr>
                <w:t>31</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Note 9: Regulatory Matters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1">
              <w:r>
                <w:rPr>
                  <w:rFonts w:ascii="Arial" w:cs="Arial" w:eastAsia="Arial" w:hAnsi="Arial"/>
                  <w:sz w:val="18"/>
                  <w:szCs w:val="18"/>
                  <w:u w:val="single" w:color="auto"/>
                  <w:color w:val="0000FF"/>
                  <w:w w:val="79"/>
                </w:rPr>
                <w:t>31</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Note 10: Stock-Based Compensation</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2">
              <w:r>
                <w:rPr>
                  <w:rFonts w:ascii="Arial" w:cs="Arial" w:eastAsia="Arial" w:hAnsi="Arial"/>
                  <w:sz w:val="18"/>
                  <w:szCs w:val="18"/>
                  <w:u w:val="single" w:color="auto"/>
                  <w:color w:val="0000FF"/>
                  <w:w w:val="79"/>
                </w:rPr>
                <w:t>32</w:t>
              </w:r>
            </w:hyperlink>
          </w:p>
        </w:tc>
      </w:tr>
      <w:tr>
        <w:trPr>
          <w:trHeight w:val="229"/>
        </w:trPr>
        <w:tc>
          <w:tcPr>
            <w:tcW w:w="9000" w:type="dxa"/>
            <w:vAlign w:val="bottom"/>
            <w:gridSpan w:val="4"/>
          </w:tcPr>
          <w:p>
            <w:pPr>
              <w:ind w:left="50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11: Income Tax</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3">
              <w:r>
                <w:rPr>
                  <w:rFonts w:ascii="Arial" w:cs="Arial" w:eastAsia="Arial" w:hAnsi="Arial"/>
                  <w:sz w:val="18"/>
                  <w:szCs w:val="18"/>
                  <w:u w:val="single" w:color="auto"/>
                  <w:color w:val="0000FF"/>
                  <w:w w:val="79"/>
                </w:rPr>
                <w:t>34</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12: Disclosures about Fair Value of Financial Instruments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5">
              <w:r>
                <w:rPr>
                  <w:rFonts w:ascii="Arial" w:cs="Arial" w:eastAsia="Arial" w:hAnsi="Arial"/>
                  <w:sz w:val="18"/>
                  <w:szCs w:val="18"/>
                  <w:u w:val="single" w:color="auto"/>
                  <w:color w:val="0000FF"/>
                  <w:w w:val="79"/>
                </w:rPr>
                <w:t>35</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Note 13: Commitments and Credit Risk</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38</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Note 14: Legal and Regulatory Proceedings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38</w:t>
              </w:r>
            </w:hyperlink>
          </w:p>
        </w:tc>
      </w:tr>
      <w:tr>
        <w:trPr>
          <w:trHeight w:val="230"/>
        </w:trPr>
        <w:tc>
          <w:tcPr>
            <w:tcW w:w="9000" w:type="dxa"/>
            <w:vAlign w:val="bottom"/>
            <w:gridSpan w:val="4"/>
          </w:tcPr>
          <w:p>
            <w:pPr>
              <w:ind w:left="5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Note 15: Subsequent Events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38</w:t>
              </w:r>
            </w:hyperlink>
          </w:p>
        </w:tc>
      </w:tr>
      <w:tr>
        <w:trPr>
          <w:trHeight w:val="26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880" w:type="dxa"/>
            <w:vAlign w:val="bottom"/>
          </w:tcPr>
          <w:p>
            <w:pPr>
              <w:ind w:left="170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39</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Second Quarter 2020 Highlights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39</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Selected Financial Data (unaudited)</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44">
              <w:r>
                <w:rPr>
                  <w:rFonts w:ascii="Arial" w:cs="Arial" w:eastAsia="Arial" w:hAnsi="Arial"/>
                  <w:sz w:val="18"/>
                  <w:szCs w:val="18"/>
                  <w:u w:val="single" w:color="auto"/>
                  <w:color w:val="0000FF"/>
                  <w:w w:val="79"/>
                </w:rPr>
                <w:t>44</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Results of Operations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45">
              <w:r>
                <w:rPr>
                  <w:rFonts w:ascii="Arial" w:cs="Arial" w:eastAsia="Arial" w:hAnsi="Arial"/>
                  <w:sz w:val="18"/>
                  <w:szCs w:val="18"/>
                  <w:u w:val="single" w:color="auto"/>
                  <w:color w:val="0000FF"/>
                  <w:w w:val="79"/>
                </w:rPr>
                <w:t>46</w:t>
              </w:r>
            </w:hyperlink>
          </w:p>
        </w:tc>
      </w:tr>
      <w:tr>
        <w:trPr>
          <w:trHeight w:val="229"/>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Summary</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46">
              <w:r>
                <w:rPr>
                  <w:rFonts w:ascii="Arial" w:cs="Arial" w:eastAsia="Arial" w:hAnsi="Arial"/>
                  <w:sz w:val="18"/>
                  <w:szCs w:val="18"/>
                  <w:u w:val="single" w:color="auto"/>
                  <w:color w:val="0000FF"/>
                  <w:w w:val="79"/>
                </w:rPr>
                <w:t>46</w:t>
              </w:r>
            </w:hyperlink>
          </w:p>
        </w:tc>
      </w:tr>
      <w:tr>
        <w:trPr>
          <w:trHeight w:val="230"/>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Net Interest Income</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46">
              <w:r>
                <w:rPr>
                  <w:rFonts w:ascii="Arial" w:cs="Arial" w:eastAsia="Arial" w:hAnsi="Arial"/>
                  <w:sz w:val="18"/>
                  <w:szCs w:val="18"/>
                  <w:u w:val="single" w:color="auto"/>
                  <w:color w:val="0000FF"/>
                  <w:w w:val="79"/>
                </w:rPr>
                <w:t>47</w:t>
              </w:r>
            </w:hyperlink>
          </w:p>
        </w:tc>
      </w:tr>
      <w:tr>
        <w:trPr>
          <w:trHeight w:val="230"/>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Provision for Loan Losses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0">
              <w:r>
                <w:rPr>
                  <w:rFonts w:ascii="Arial" w:cs="Arial" w:eastAsia="Arial" w:hAnsi="Arial"/>
                  <w:sz w:val="18"/>
                  <w:szCs w:val="18"/>
                  <w:u w:val="single" w:color="auto"/>
                  <w:color w:val="0000FF"/>
                  <w:w w:val="79"/>
                </w:rPr>
                <w:t>50</w:t>
              </w:r>
            </w:hyperlink>
          </w:p>
        </w:tc>
      </w:tr>
      <w:tr>
        <w:trPr>
          <w:trHeight w:val="230"/>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Non-Interest Income</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0">
              <w:r>
                <w:rPr>
                  <w:rFonts w:ascii="Arial" w:cs="Arial" w:eastAsia="Arial" w:hAnsi="Arial"/>
                  <w:sz w:val="18"/>
                  <w:szCs w:val="18"/>
                  <w:u w:val="single" w:color="auto"/>
                  <w:color w:val="0000FF"/>
                  <w:w w:val="79"/>
                </w:rPr>
                <w:t>51</w:t>
              </w:r>
            </w:hyperlink>
          </w:p>
        </w:tc>
      </w:tr>
      <w:tr>
        <w:trPr>
          <w:trHeight w:val="229"/>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Non-Interest Expense</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1">
              <w:r>
                <w:rPr>
                  <w:rFonts w:ascii="Arial" w:cs="Arial" w:eastAsia="Arial" w:hAnsi="Arial"/>
                  <w:sz w:val="18"/>
                  <w:szCs w:val="18"/>
                  <w:u w:val="single" w:color="auto"/>
                  <w:color w:val="0000FF"/>
                  <w:w w:val="79"/>
                </w:rPr>
                <w:t>52</w:t>
              </w:r>
            </w:hyperlink>
          </w:p>
        </w:tc>
      </w:tr>
      <w:tr>
        <w:trPr>
          <w:trHeight w:val="230"/>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Income Taxes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3">
              <w:r>
                <w:rPr>
                  <w:rFonts w:ascii="Arial" w:cs="Arial" w:eastAsia="Arial" w:hAnsi="Arial"/>
                  <w:sz w:val="18"/>
                  <w:szCs w:val="18"/>
                  <w:u w:val="single" w:color="auto"/>
                  <w:color w:val="0000FF"/>
                  <w:w w:val="79"/>
                </w:rPr>
                <w:t>53</w:t>
              </w:r>
            </w:hyperlink>
          </w:p>
        </w:tc>
      </w:tr>
      <w:tr>
        <w:trPr>
          <w:trHeight w:val="230"/>
        </w:trPr>
        <w:tc>
          <w:tcPr>
            <w:tcW w:w="9000" w:type="dxa"/>
            <w:vAlign w:val="bottom"/>
            <w:gridSpan w:val="4"/>
          </w:tcPr>
          <w:p>
            <w:pPr>
              <w:ind w:left="4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Analysis of Financial Condition</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3">
              <w:r>
                <w:rPr>
                  <w:rFonts w:ascii="Arial" w:cs="Arial" w:eastAsia="Arial" w:hAnsi="Arial"/>
                  <w:sz w:val="18"/>
                  <w:szCs w:val="18"/>
                  <w:u w:val="single" w:color="auto"/>
                  <w:color w:val="0000FF"/>
                  <w:w w:val="79"/>
                </w:rPr>
                <w:t>53</w:t>
              </w:r>
            </w:hyperlink>
          </w:p>
        </w:tc>
      </w:tr>
      <w:tr>
        <w:trPr>
          <w:trHeight w:val="230"/>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Balance Sheet Summary</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3">
              <w:r>
                <w:rPr>
                  <w:rFonts w:ascii="Arial" w:cs="Arial" w:eastAsia="Arial" w:hAnsi="Arial"/>
                  <w:sz w:val="18"/>
                  <w:szCs w:val="18"/>
                  <w:u w:val="single" w:color="auto"/>
                  <w:color w:val="0000FF"/>
                  <w:w w:val="79"/>
                </w:rPr>
                <w:t>53</w:t>
              </w:r>
            </w:hyperlink>
          </w:p>
        </w:tc>
      </w:tr>
      <w:tr>
        <w:trPr>
          <w:trHeight w:val="190"/>
        </w:trPr>
        <w:tc>
          <w:tcPr>
            <w:tcW w:w="520" w:type="dxa"/>
            <w:vAlign w:val="bottom"/>
          </w:tcPr>
          <w:p>
            <w:pPr>
              <w:spacing w:after="0"/>
              <w:rPr>
                <w:sz w:val="16"/>
                <w:szCs w:val="16"/>
                <w:color w:val="auto"/>
              </w:rPr>
            </w:pPr>
          </w:p>
        </w:tc>
        <w:tc>
          <w:tcPr>
            <w:tcW w:w="8480" w:type="dxa"/>
            <w:vAlign w:val="bottom"/>
            <w:gridSpan w:val="3"/>
          </w:tcPr>
          <w:p>
            <w:pPr>
              <w:spacing w:after="0" w:line="190" w:lineRule="exact"/>
              <w:rPr>
                <w:rFonts w:ascii="Arial" w:cs="Arial" w:eastAsia="Arial" w:hAnsi="Arial"/>
                <w:sz w:val="18"/>
                <w:szCs w:val="18"/>
                <w:color w:val="0000FF"/>
              </w:rPr>
            </w:pPr>
            <w:hyperlink w:anchor="page54">
              <w:r>
                <w:rPr>
                  <w:rFonts w:ascii="Arial" w:cs="Arial" w:eastAsia="Arial" w:hAnsi="Arial"/>
                  <w:sz w:val="18"/>
                  <w:szCs w:val="18"/>
                  <w:color w:val="0000FF"/>
                </w:rPr>
                <w:t>Securities Portfolio</w:t>
              </w:r>
            </w:hyperlink>
          </w:p>
        </w:tc>
        <w:tc>
          <w:tcPr>
            <w:tcW w:w="1880" w:type="dxa"/>
            <w:vAlign w:val="bottom"/>
          </w:tcPr>
          <w:p>
            <w:pPr>
              <w:ind w:left="1700"/>
              <w:spacing w:after="0" w:line="190" w:lineRule="exact"/>
              <w:rPr>
                <w:rFonts w:ascii="Arial" w:cs="Arial" w:eastAsia="Arial" w:hAnsi="Arial"/>
                <w:sz w:val="18"/>
                <w:szCs w:val="18"/>
                <w:u w:val="single" w:color="auto"/>
                <w:color w:val="0000FF"/>
                <w:w w:val="79"/>
              </w:rPr>
            </w:pPr>
            <w:hyperlink w:anchor="page54">
              <w:r>
                <w:rPr>
                  <w:rFonts w:ascii="Arial" w:cs="Arial" w:eastAsia="Arial" w:hAnsi="Arial"/>
                  <w:sz w:val="18"/>
                  <w:szCs w:val="18"/>
                  <w:u w:val="single" w:color="auto"/>
                  <w:color w:val="0000FF"/>
                  <w:w w:val="79"/>
                </w:rPr>
                <w:t>54</w:t>
              </w:r>
            </w:hyperlink>
          </w:p>
        </w:tc>
      </w:tr>
      <w:tr>
        <w:trPr>
          <w:trHeight w:val="210"/>
        </w:trPr>
        <w:tc>
          <w:tcPr>
            <w:tcW w:w="520" w:type="dxa"/>
            <w:vAlign w:val="bottom"/>
          </w:tcPr>
          <w:p>
            <w:pPr>
              <w:spacing w:after="0"/>
              <w:rPr>
                <w:sz w:val="18"/>
                <w:szCs w:val="18"/>
                <w:color w:val="auto"/>
              </w:rPr>
            </w:pPr>
          </w:p>
        </w:tc>
        <w:tc>
          <w:tcPr>
            <w:tcW w:w="1380" w:type="dxa"/>
            <w:vAlign w:val="bottom"/>
            <w:tcBorders>
              <w:top w:val="single" w:sz="8" w:color="0000FF"/>
            </w:tcBorders>
            <w:gridSpan w:val="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Loan Portfolio</w:t>
              </w:r>
            </w:hyperlink>
          </w:p>
        </w:tc>
        <w:tc>
          <w:tcPr>
            <w:tcW w:w="7100" w:type="dxa"/>
            <w:vAlign w:val="bottom"/>
          </w:tcPr>
          <w:p>
            <w:pPr>
              <w:spacing w:after="0"/>
              <w:rPr>
                <w:sz w:val="18"/>
                <w:szCs w:val="18"/>
                <w:color w:val="auto"/>
              </w:rPr>
            </w:pPr>
          </w:p>
        </w:tc>
        <w:tc>
          <w:tcPr>
            <w:tcW w:w="1880" w:type="dxa"/>
            <w:vAlign w:val="bottom"/>
          </w:tcPr>
          <w:p>
            <w:pPr>
              <w:ind w:left="1700"/>
              <w:spacing w:after="0"/>
              <w:rPr>
                <w:rFonts w:ascii="Arial" w:cs="Arial" w:eastAsia="Arial" w:hAnsi="Arial"/>
                <w:sz w:val="18"/>
                <w:szCs w:val="18"/>
                <w:u w:val="single" w:color="auto"/>
                <w:color w:val="0000FF"/>
                <w:w w:val="79"/>
              </w:rPr>
            </w:pPr>
            <w:hyperlink w:anchor="page54">
              <w:r>
                <w:rPr>
                  <w:rFonts w:ascii="Arial" w:cs="Arial" w:eastAsia="Arial" w:hAnsi="Arial"/>
                  <w:sz w:val="18"/>
                  <w:szCs w:val="18"/>
                  <w:u w:val="single" w:color="auto"/>
                  <w:color w:val="0000FF"/>
                  <w:w w:val="79"/>
                </w:rPr>
                <w:t>54</w:t>
              </w:r>
            </w:hyperlink>
          </w:p>
        </w:tc>
      </w:tr>
      <w:tr>
        <w:trPr>
          <w:trHeight w:val="20"/>
        </w:trPr>
        <w:tc>
          <w:tcPr>
            <w:tcW w:w="5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9"/>
        </w:trPr>
        <w:tc>
          <w:tcPr>
            <w:tcW w:w="520" w:type="dxa"/>
            <w:vAlign w:val="bottom"/>
          </w:tcPr>
          <w:p>
            <w:pPr>
              <w:spacing w:after="0"/>
              <w:rPr>
                <w:sz w:val="21"/>
                <w:szCs w:val="21"/>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Allowance for Loan Losses (‘‘ALLL’’)</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5">
              <w:r>
                <w:rPr>
                  <w:rFonts w:ascii="Arial" w:cs="Arial" w:eastAsia="Arial" w:hAnsi="Arial"/>
                  <w:sz w:val="18"/>
                  <w:szCs w:val="18"/>
                  <w:u w:val="single" w:color="auto"/>
                  <w:color w:val="0000FF"/>
                  <w:w w:val="79"/>
                </w:rPr>
                <w:t>55</w:t>
              </w:r>
            </w:hyperlink>
          </w:p>
        </w:tc>
      </w:tr>
      <w:tr>
        <w:trPr>
          <w:trHeight w:val="229"/>
        </w:trPr>
        <w:tc>
          <w:tcPr>
            <w:tcW w:w="520" w:type="dxa"/>
            <w:vAlign w:val="bottom"/>
          </w:tcPr>
          <w:p>
            <w:pPr>
              <w:spacing w:after="0"/>
              <w:rPr>
                <w:sz w:val="19"/>
                <w:szCs w:val="19"/>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Nonperforming Assets and Other Asset Quality Metrics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7">
              <w:r>
                <w:rPr>
                  <w:rFonts w:ascii="Arial" w:cs="Arial" w:eastAsia="Arial" w:hAnsi="Arial"/>
                  <w:sz w:val="18"/>
                  <w:szCs w:val="18"/>
                  <w:u w:val="single" w:color="auto"/>
                  <w:color w:val="0000FF"/>
                  <w:w w:val="79"/>
                </w:rPr>
                <w:t>57</w:t>
              </w:r>
            </w:hyperlink>
          </w:p>
        </w:tc>
      </w:tr>
      <w:tr>
        <w:trPr>
          <w:trHeight w:val="230"/>
        </w:trPr>
        <w:tc>
          <w:tcPr>
            <w:tcW w:w="520" w:type="dxa"/>
            <w:vAlign w:val="bottom"/>
          </w:tcPr>
          <w:p>
            <w:pPr>
              <w:spacing w:after="0"/>
              <w:rPr>
                <w:sz w:val="20"/>
                <w:szCs w:val="20"/>
                <w:color w:val="auto"/>
              </w:rPr>
            </w:pPr>
          </w:p>
        </w:tc>
        <w:tc>
          <w:tcPr>
            <w:tcW w:w="848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Deposits and Other Borrowings</w:t>
              </w:r>
            </w:hyperlink>
          </w:p>
        </w:tc>
        <w:tc>
          <w:tcPr>
            <w:tcW w:w="1880" w:type="dxa"/>
            <w:vAlign w:val="bottom"/>
          </w:tcPr>
          <w:p>
            <w:pPr>
              <w:ind w:left="1700"/>
              <w:spacing w:after="0"/>
              <w:rPr>
                <w:rFonts w:ascii="Arial" w:cs="Arial" w:eastAsia="Arial" w:hAnsi="Arial"/>
                <w:sz w:val="18"/>
                <w:szCs w:val="18"/>
                <w:u w:val="single" w:color="auto"/>
                <w:color w:val="0000FF"/>
                <w:w w:val="79"/>
              </w:rPr>
            </w:pPr>
            <w:hyperlink w:anchor="page59">
              <w:r>
                <w:rPr>
                  <w:rFonts w:ascii="Arial" w:cs="Arial" w:eastAsia="Arial" w:hAnsi="Arial"/>
                  <w:sz w:val="18"/>
                  <w:szCs w:val="18"/>
                  <w:u w:val="single" w:color="auto"/>
                  <w:color w:val="0000FF"/>
                  <w:w w:val="79"/>
                </w:rPr>
                <w:t>59</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04" w:right="6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600" w:type="dxa"/>
            <w:vAlign w:val="bottom"/>
            <w:gridSpan w:val="4"/>
          </w:tcPr>
          <w:p>
            <w:pPr>
              <w:ind w:left="2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Liquidity</w:t>
              </w:r>
            </w:hyperlink>
          </w:p>
        </w:tc>
        <w:tc>
          <w:tcPr>
            <w:tcW w:w="210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29"/>
        </w:trPr>
        <w:tc>
          <w:tcPr>
            <w:tcW w:w="8600" w:type="dxa"/>
            <w:vAlign w:val="bottom"/>
            <w:gridSpan w:val="4"/>
          </w:tcPr>
          <w:p>
            <w:pPr>
              <w:ind w:left="2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Contractual Obligations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29"/>
        </w:trPr>
        <w:tc>
          <w:tcPr>
            <w:tcW w:w="8600" w:type="dxa"/>
            <w:vAlign w:val="bottom"/>
            <w:gridSpan w:val="4"/>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Capital Resources and Off-Balance Sheet Arrangements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230"/>
        </w:trPr>
        <w:tc>
          <w:tcPr>
            <w:tcW w:w="8600" w:type="dxa"/>
            <w:vAlign w:val="bottom"/>
            <w:gridSpan w:val="4"/>
          </w:tcPr>
          <w:p>
            <w:pPr>
              <w:ind w:left="2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Critical Accounting Policies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190"/>
        </w:trPr>
        <w:tc>
          <w:tcPr>
            <w:tcW w:w="8600" w:type="dxa"/>
            <w:vAlign w:val="bottom"/>
            <w:gridSpan w:val="4"/>
          </w:tcPr>
          <w:p>
            <w:pPr>
              <w:ind w:left="220"/>
              <w:spacing w:after="0" w:line="190" w:lineRule="exact"/>
              <w:rPr>
                <w:rFonts w:ascii="Arial" w:cs="Arial" w:eastAsia="Arial" w:hAnsi="Arial"/>
                <w:sz w:val="18"/>
                <w:szCs w:val="18"/>
                <w:color w:val="0000FF"/>
              </w:rPr>
            </w:pPr>
            <w:hyperlink w:anchor="page61">
              <w:r>
                <w:rPr>
                  <w:rFonts w:ascii="Arial" w:cs="Arial" w:eastAsia="Arial" w:hAnsi="Arial"/>
                  <w:sz w:val="18"/>
                  <w:szCs w:val="18"/>
                  <w:u w:val="single" w:color="auto"/>
                  <w:color w:val="0000FF"/>
                </w:rPr>
                <w:t>GAAP Reconciliation and</w:t>
              </w:r>
              <w:r>
                <w:rPr>
                  <w:rFonts w:ascii="Arial" w:cs="Arial" w:eastAsia="Arial" w:hAnsi="Arial"/>
                  <w:sz w:val="18"/>
                  <w:szCs w:val="18"/>
                  <w:color w:val="0000FF"/>
                </w:rPr>
                <w:t xml:space="preserve"> Management</w:t>
              </w:r>
            </w:hyperlink>
            <w:r>
              <w:rPr>
                <w:rFonts w:ascii="Arial" w:cs="Arial" w:eastAsia="Arial" w:hAnsi="Arial"/>
                <w:sz w:val="18"/>
                <w:szCs w:val="18"/>
                <w:color w:val="0000FF"/>
              </w:rPr>
              <w:t xml:space="preserve">’s </w:t>
            </w:r>
            <w:hyperlink w:anchor="page61">
              <w:r>
                <w:rPr>
                  <w:rFonts w:ascii="Arial" w:cs="Arial" w:eastAsia="Arial" w:hAnsi="Arial"/>
                  <w:sz w:val="18"/>
                  <w:szCs w:val="18"/>
                  <w:u w:val="single" w:color="auto"/>
                  <w:color w:val="0000FF"/>
                </w:rPr>
                <w:t>Explanation of Non-GAAP Financial Measures</w:t>
              </w:r>
            </w:hyperlink>
          </w:p>
        </w:tc>
        <w:tc>
          <w:tcPr>
            <w:tcW w:w="2100" w:type="dxa"/>
            <w:vAlign w:val="bottom"/>
          </w:tcPr>
          <w:p>
            <w:pPr>
              <w:jc w:val="right"/>
              <w:spacing w:after="0" w:line="190" w:lineRule="exact"/>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r>
      <w:tr>
        <w:trPr>
          <w:trHeight w:val="20"/>
        </w:trPr>
        <w:tc>
          <w:tcPr>
            <w:tcW w:w="30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49"/>
        </w:trPr>
        <w:tc>
          <w:tcPr>
            <w:tcW w:w="8600" w:type="dxa"/>
            <w:vAlign w:val="bottom"/>
            <w:gridSpan w:val="4"/>
          </w:tcPr>
          <w:p>
            <w:pPr>
              <w:ind w:left="1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 Quantitative and Qualitative Disclosures about Market Risk</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8600" w:type="dxa"/>
            <w:vAlign w:val="bottom"/>
            <w:gridSpan w:val="4"/>
          </w:tcPr>
          <w:p>
            <w:pPr>
              <w:ind w:left="1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 Controls and Procedures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97"/>
        </w:trPr>
        <w:tc>
          <w:tcPr>
            <w:tcW w:w="8600" w:type="dxa"/>
            <w:vAlign w:val="bottom"/>
            <w:gridSpan w:val="4"/>
          </w:tcPr>
          <w:p>
            <w:pPr>
              <w:spacing w:after="0"/>
              <w:rPr>
                <w:sz w:val="20"/>
                <w:szCs w:val="20"/>
                <w:color w:val="auto"/>
              </w:rPr>
            </w:pPr>
            <w:r>
              <w:rPr>
                <w:rFonts w:ascii="Arial" w:cs="Arial" w:eastAsia="Arial" w:hAnsi="Arial"/>
                <w:sz w:val="18"/>
                <w:szCs w:val="18"/>
                <w:color w:val="auto"/>
              </w:rPr>
              <w:t>Part II. Other Information</w:t>
            </w:r>
          </w:p>
        </w:tc>
        <w:tc>
          <w:tcPr>
            <w:tcW w:w="2100" w:type="dxa"/>
            <w:vAlign w:val="bottom"/>
          </w:tcPr>
          <w:p>
            <w:pPr>
              <w:spacing w:after="0"/>
              <w:rPr>
                <w:sz w:val="24"/>
                <w:szCs w:val="24"/>
                <w:color w:val="auto"/>
              </w:rPr>
            </w:pPr>
          </w:p>
        </w:tc>
      </w:tr>
      <w:tr>
        <w:trPr>
          <w:trHeight w:val="256"/>
        </w:trPr>
        <w:tc>
          <w:tcPr>
            <w:tcW w:w="8600" w:type="dxa"/>
            <w:vAlign w:val="bottom"/>
            <w:gridSpan w:val="4"/>
          </w:tcPr>
          <w:p>
            <w:pPr>
              <w:ind w:left="1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 Legal Proceedings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8600" w:type="dxa"/>
            <w:vAlign w:val="bottom"/>
            <w:gridSpan w:val="4"/>
          </w:tcPr>
          <w:p>
            <w:pPr>
              <w:ind w:left="1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1A. Risk Factors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8600" w:type="dxa"/>
            <w:vAlign w:val="bottom"/>
            <w:gridSpan w:val="4"/>
          </w:tcPr>
          <w:p>
            <w:pPr>
              <w:ind w:left="1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2. Unregistered Sales of Equity Securities and Use of Proceeds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640" w:type="dxa"/>
            <w:vAlign w:val="bottom"/>
          </w:tcPr>
          <w:p>
            <w:pPr>
              <w:ind w:left="120"/>
              <w:spacing w:after="0"/>
              <w:rPr>
                <w:rFonts w:ascii="Arial" w:cs="Arial" w:eastAsia="Arial" w:hAnsi="Arial"/>
                <w:sz w:val="18"/>
                <w:szCs w:val="18"/>
                <w:u w:val="single" w:color="auto"/>
                <w:color w:val="0000FF"/>
                <w:w w:val="90"/>
              </w:rPr>
            </w:pPr>
            <w:hyperlink w:anchor="page67">
              <w:r>
                <w:rPr>
                  <w:rFonts w:ascii="Arial" w:cs="Arial" w:eastAsia="Arial" w:hAnsi="Arial"/>
                  <w:sz w:val="18"/>
                  <w:szCs w:val="18"/>
                  <w:u w:val="single" w:color="auto"/>
                  <w:color w:val="0000FF"/>
                  <w:w w:val="90"/>
                </w:rPr>
                <w:t>Item 3.</w:t>
              </w:r>
            </w:hyperlink>
          </w:p>
        </w:tc>
        <w:tc>
          <w:tcPr>
            <w:tcW w:w="7960" w:type="dxa"/>
            <w:vAlign w:val="bottom"/>
            <w:gridSpan w:val="3"/>
          </w:tcPr>
          <w:p>
            <w:pPr>
              <w:ind w:left="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Defaults Upon Senior Securities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640" w:type="dxa"/>
            <w:vAlign w:val="bottom"/>
          </w:tcPr>
          <w:p>
            <w:pPr>
              <w:ind w:left="120"/>
              <w:spacing w:after="0"/>
              <w:rPr>
                <w:rFonts w:ascii="Arial" w:cs="Arial" w:eastAsia="Arial" w:hAnsi="Arial"/>
                <w:sz w:val="18"/>
                <w:szCs w:val="18"/>
                <w:u w:val="single" w:color="auto"/>
                <w:color w:val="0000FF"/>
                <w:w w:val="90"/>
              </w:rPr>
            </w:pPr>
            <w:hyperlink w:anchor="page67">
              <w:r>
                <w:rPr>
                  <w:rFonts w:ascii="Arial" w:cs="Arial" w:eastAsia="Arial" w:hAnsi="Arial"/>
                  <w:sz w:val="18"/>
                  <w:szCs w:val="18"/>
                  <w:u w:val="single" w:color="auto"/>
                  <w:color w:val="0000FF"/>
                  <w:w w:val="90"/>
                </w:rPr>
                <w:t>Item 4.</w:t>
              </w:r>
            </w:hyperlink>
          </w:p>
        </w:tc>
        <w:tc>
          <w:tcPr>
            <w:tcW w:w="7960" w:type="dxa"/>
            <w:vAlign w:val="bottom"/>
            <w:gridSpan w:val="3"/>
          </w:tcPr>
          <w:p>
            <w:pPr>
              <w:ind w:left="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Mine Safety Disclosures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640" w:type="dxa"/>
            <w:vAlign w:val="bottom"/>
          </w:tcPr>
          <w:p>
            <w:pPr>
              <w:ind w:left="120"/>
              <w:spacing w:after="0"/>
              <w:rPr>
                <w:rFonts w:ascii="Arial" w:cs="Arial" w:eastAsia="Arial" w:hAnsi="Arial"/>
                <w:sz w:val="18"/>
                <w:szCs w:val="18"/>
                <w:u w:val="single" w:color="auto"/>
                <w:color w:val="0000FF"/>
                <w:w w:val="90"/>
              </w:rPr>
            </w:pPr>
            <w:hyperlink w:anchor="page67">
              <w:r>
                <w:rPr>
                  <w:rFonts w:ascii="Arial" w:cs="Arial" w:eastAsia="Arial" w:hAnsi="Arial"/>
                  <w:sz w:val="18"/>
                  <w:szCs w:val="18"/>
                  <w:u w:val="single" w:color="auto"/>
                  <w:color w:val="0000FF"/>
                  <w:w w:val="90"/>
                </w:rPr>
                <w:t>Item 5.</w:t>
              </w:r>
            </w:hyperlink>
          </w:p>
        </w:tc>
        <w:tc>
          <w:tcPr>
            <w:tcW w:w="7960" w:type="dxa"/>
            <w:vAlign w:val="bottom"/>
            <w:gridSpan w:val="3"/>
          </w:tcPr>
          <w:p>
            <w:pPr>
              <w:ind w:left="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Other Information</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640" w:type="dxa"/>
            <w:vAlign w:val="bottom"/>
          </w:tcPr>
          <w:p>
            <w:pPr>
              <w:ind w:left="120"/>
              <w:spacing w:after="0"/>
              <w:rPr>
                <w:rFonts w:ascii="Arial" w:cs="Arial" w:eastAsia="Arial" w:hAnsi="Arial"/>
                <w:sz w:val="18"/>
                <w:szCs w:val="18"/>
                <w:u w:val="single" w:color="auto"/>
                <w:color w:val="0000FF"/>
                <w:w w:val="90"/>
              </w:rPr>
            </w:pPr>
            <w:hyperlink w:anchor="page67">
              <w:r>
                <w:rPr>
                  <w:rFonts w:ascii="Arial" w:cs="Arial" w:eastAsia="Arial" w:hAnsi="Arial"/>
                  <w:sz w:val="18"/>
                  <w:szCs w:val="18"/>
                  <w:u w:val="single" w:color="auto"/>
                  <w:color w:val="0000FF"/>
                  <w:w w:val="90"/>
                </w:rPr>
                <w:t>Item 6.</w:t>
              </w:r>
            </w:hyperlink>
          </w:p>
        </w:tc>
        <w:tc>
          <w:tcPr>
            <w:tcW w:w="7960" w:type="dxa"/>
            <w:vAlign w:val="bottom"/>
            <w:gridSpan w:val="3"/>
          </w:tcPr>
          <w:p>
            <w:pPr>
              <w:ind w:left="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Exhibits</w:t>
              </w:r>
            </w:hyperlink>
          </w:p>
        </w:tc>
        <w:tc>
          <w:tcPr>
            <w:tcW w:w="210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68</w:t>
              </w:r>
            </w:hyperlink>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500" w:top="1138" w:right="6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Forward-Looking Information</w:t>
      </w:r>
    </w:p>
    <w:p>
      <w:pPr>
        <w:spacing w:after="0" w:line="180" w:lineRule="exact"/>
        <w:rPr>
          <w:sz w:val="20"/>
          <w:szCs w:val="20"/>
          <w:color w:val="auto"/>
        </w:rPr>
      </w:pPr>
    </w:p>
    <w:p>
      <w:pPr>
        <w:ind w:left="180" w:right="60" w:firstLine="486"/>
        <w:spacing w:after="0" w:line="257" w:lineRule="auto"/>
        <w:rPr>
          <w:sz w:val="20"/>
          <w:szCs w:val="20"/>
          <w:color w:val="auto"/>
        </w:rPr>
      </w:pPr>
      <w:r>
        <w:rPr>
          <w:rFonts w:ascii="Arial" w:cs="Arial" w:eastAsia="Arial" w:hAnsi="Arial"/>
          <w:sz w:val="18"/>
          <w:szCs w:val="18"/>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34" w:lineRule="exact"/>
        <w:rPr>
          <w:sz w:val="20"/>
          <w:szCs w:val="20"/>
          <w:color w:val="auto"/>
        </w:rPr>
      </w:pPr>
    </w:p>
    <w:p>
      <w:pPr>
        <w:ind w:left="180" w:firstLine="486"/>
        <w:spacing w:after="0" w:line="269" w:lineRule="auto"/>
        <w:rPr>
          <w:sz w:val="20"/>
          <w:szCs w:val="20"/>
          <w:color w:val="auto"/>
        </w:rPr>
      </w:pPr>
      <w:r>
        <w:rPr>
          <w:rFonts w:ascii="Arial" w:cs="Arial" w:eastAsia="Arial" w:hAnsi="Arial"/>
          <w:sz w:val="17"/>
          <w:szCs w:val="17"/>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the COVID-19 pandemic,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2019, filed with the Securities and Exchange Commission (“SEC”) on March 10, 2020, in our Quarterly Report on Form 10-Q for the quarter ended March 31, 2020 filed with the SEC on May 14, 2020, and in our other filings with the SEC.</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undertake no obligation to revise or publicly release the results of any revision to these forward-looking statements, except as required by law.</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June 30, 2020</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4"/>
          </w:tcPr>
          <w:p>
            <w:pPr>
              <w:jc w:val="right"/>
              <w:ind w:right="1230"/>
              <w:spacing w:after="0"/>
              <w:rPr>
                <w:sz w:val="20"/>
                <w:szCs w:val="20"/>
                <w:color w:val="auto"/>
              </w:rPr>
            </w:pPr>
            <w:r>
              <w:rPr>
                <w:rFonts w:ascii="Arial" w:cs="Arial" w:eastAsia="Arial" w:hAnsi="Arial"/>
                <w:sz w:val="16"/>
                <w:szCs w:val="16"/>
                <w:i w:val="1"/>
                <w:iCs w:val="1"/>
                <w:color w:val="auto"/>
              </w:rPr>
              <w:t>(Dollars in thousands)</w:t>
            </w: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194,371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187,320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Available-for-sale securities - taxable</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256,121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298,208</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Available-for-sale securities - tax-exempt</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443,962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443,426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9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Loans, net of allowance for loan losses of $71,185 and $56,896 at June 30, 2020 and</w:t>
            </w:r>
          </w:p>
        </w:tc>
        <w:tc>
          <w:tcPr>
            <w:tcW w:w="3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4,342,039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3,795,348</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2019, respectively</w:t>
            </w:r>
          </w:p>
        </w:tc>
        <w:tc>
          <w:tcPr>
            <w:tcW w:w="30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68,889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70,210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17,278</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19,399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Foreclosed assets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Deferred tax asset</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14,841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Bank-owned life insurance</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66,598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65,689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32,610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64"/>
        </w:trPr>
        <w:tc>
          <w:tcPr>
            <w:tcW w:w="69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5,462,254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4,931,233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Non-interest bearing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750,333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521,826</w:t>
            </w:r>
          </w:p>
        </w:tc>
        <w:tc>
          <w:tcPr>
            <w:tcW w:w="0" w:type="dxa"/>
            <w:vAlign w:val="bottom"/>
          </w:tcPr>
          <w:p>
            <w:pPr>
              <w:spacing w:after="0"/>
              <w:rPr>
                <w:sz w:val="1"/>
                <w:szCs w:val="1"/>
                <w:color w:val="auto"/>
              </w:rPr>
            </w:pPr>
          </w:p>
        </w:tc>
      </w:tr>
      <w:tr>
        <w:trPr>
          <w:trHeight w:val="243"/>
        </w:trPr>
        <w:tc>
          <w:tcPr>
            <w:tcW w:w="6960" w:type="dxa"/>
            <w:vAlign w:val="bottom"/>
          </w:tcPr>
          <w:p>
            <w:pPr>
              <w:ind w:left="340"/>
              <w:spacing w:after="0"/>
              <w:rPr>
                <w:sz w:val="20"/>
                <w:szCs w:val="20"/>
                <w:color w:val="auto"/>
              </w:rPr>
            </w:pPr>
            <w:r>
              <w:rPr>
                <w:rFonts w:ascii="Arial" w:cs="Arial" w:eastAsia="Arial" w:hAnsi="Arial"/>
                <w:sz w:val="18"/>
                <w:szCs w:val="18"/>
                <w:color w:val="auto"/>
              </w:rPr>
              <w:t>Savings, NOW and money market</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2,393,269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2,162,187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1,160,541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1,239,746</w:t>
            </w:r>
          </w:p>
        </w:tc>
        <w:tc>
          <w:tcPr>
            <w:tcW w:w="0" w:type="dxa"/>
            <w:vAlign w:val="bottom"/>
          </w:tcPr>
          <w:p>
            <w:pPr>
              <w:spacing w:after="0"/>
              <w:rPr>
                <w:sz w:val="1"/>
                <w:szCs w:val="1"/>
                <w:color w:val="auto"/>
              </w:rPr>
            </w:pPr>
          </w:p>
        </w:tc>
      </w:tr>
      <w:tr>
        <w:trPr>
          <w:trHeight w:val="237"/>
        </w:trPr>
        <w:tc>
          <w:tcPr>
            <w:tcW w:w="696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4,304,143</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3,923,759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 funds purchased and repurchase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49,881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450,617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358,743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Interest payable and other liabilities</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48,579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31,245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4,854,162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4,329,589</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Redeemable preferred stock, $0.01 par value, $25.00 liquidation value:</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60" w:type="dxa"/>
            <w:vAlign w:val="bottom"/>
          </w:tcPr>
          <w:p>
            <w:pPr>
              <w:ind w:left="360"/>
              <w:spacing w:after="0" w:line="176" w:lineRule="exact"/>
              <w:rPr>
                <w:sz w:val="20"/>
                <w:szCs w:val="20"/>
                <w:color w:val="auto"/>
              </w:rPr>
            </w:pPr>
            <w:r>
              <w:rPr>
                <w:rFonts w:ascii="Arial" w:cs="Arial" w:eastAsia="Arial" w:hAnsi="Arial"/>
                <w:sz w:val="18"/>
                <w:szCs w:val="18"/>
                <w:color w:val="auto"/>
                <w:w w:val="90"/>
              </w:rPr>
              <w:t>authorized - 5,000,000 shares, issued - 0 shares at June 30, 2020 and December 31, 2019,</w:t>
            </w:r>
          </w:p>
        </w:tc>
        <w:tc>
          <w:tcPr>
            <w:tcW w:w="300" w:type="dxa"/>
            <w:vAlign w:val="bottom"/>
          </w:tcPr>
          <w:p>
            <w:pPr>
              <w:spacing w:after="0"/>
              <w:rPr>
                <w:sz w:val="15"/>
                <w:szCs w:val="15"/>
                <w:color w:val="auto"/>
              </w:rPr>
            </w:pPr>
          </w:p>
        </w:tc>
        <w:tc>
          <w:tcPr>
            <w:tcW w:w="1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8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$0.01 par value:</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360"/>
              <w:spacing w:after="0" w:line="176" w:lineRule="exact"/>
              <w:rPr>
                <w:sz w:val="20"/>
                <w:szCs w:val="20"/>
                <w:color w:val="auto"/>
              </w:rPr>
            </w:pPr>
            <w:r>
              <w:rPr>
                <w:rFonts w:ascii="Arial" w:cs="Arial" w:eastAsia="Arial" w:hAnsi="Arial"/>
                <w:sz w:val="18"/>
                <w:szCs w:val="18"/>
                <w:color w:val="auto"/>
                <w:w w:val="92"/>
              </w:rPr>
              <w:t>authorized - 200,000,000 shares, issued - 52,167,573 and 51,969,203 shares at June 30,</w:t>
            </w:r>
          </w:p>
        </w:tc>
        <w:tc>
          <w:tcPr>
            <w:tcW w:w="300" w:type="dxa"/>
            <w:vAlign w:val="bottom"/>
          </w:tcPr>
          <w:p>
            <w:pPr>
              <w:spacing w:after="0"/>
              <w:rPr>
                <w:sz w:val="15"/>
                <w:szCs w:val="15"/>
                <w:color w:val="auto"/>
              </w:rPr>
            </w:pPr>
          </w:p>
        </w:tc>
        <w:tc>
          <w:tcPr>
            <w:tcW w:w="1720" w:type="dxa"/>
            <w:vAlign w:val="bottom"/>
            <w:vMerge w:val="restart"/>
          </w:tcPr>
          <w:p>
            <w:pPr>
              <w:jc w:val="right"/>
              <w:ind w:right="71"/>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vMerge w:val="restart"/>
          </w:tcPr>
          <w:p>
            <w:pPr>
              <w:jc w:val="right"/>
              <w:ind w:right="7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2020 and December 31, 2019, respectively</w:t>
            </w:r>
          </w:p>
        </w:tc>
        <w:tc>
          <w:tcPr>
            <w:tcW w:w="3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521,133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519,870</w:t>
            </w:r>
          </w:p>
        </w:tc>
        <w:tc>
          <w:tcPr>
            <w:tcW w:w="0" w:type="dxa"/>
            <w:vAlign w:val="bottom"/>
          </w:tcPr>
          <w:p>
            <w:pPr>
              <w:spacing w:after="0"/>
              <w:rPr>
                <w:sz w:val="1"/>
                <w:szCs w:val="1"/>
                <w:color w:val="auto"/>
              </w:rPr>
            </w:pPr>
          </w:p>
        </w:tc>
      </w:tr>
      <w:tr>
        <w:trPr>
          <w:trHeight w:val="243"/>
        </w:trPr>
        <w:tc>
          <w:tcPr>
            <w:tcW w:w="69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61,344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64,803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25,094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36"/>
        </w:trPr>
        <w:tc>
          <w:tcPr>
            <w:tcW w:w="696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608,092</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601,644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5,462,254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4,931,233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OPERATIONS - 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25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6"/>
          </w:tcPr>
          <w:p>
            <w:pPr>
              <w:ind w:left="20"/>
              <w:spacing w:after="0"/>
              <w:rPr>
                <w:sz w:val="20"/>
                <w:szCs w:val="20"/>
                <w:color w:val="auto"/>
              </w:rPr>
            </w:pPr>
            <w:r>
              <w:rPr>
                <w:rFonts w:ascii="Arial" w:cs="Arial" w:eastAsia="Arial" w:hAnsi="Arial"/>
                <w:sz w:val="16"/>
                <w:szCs w:val="16"/>
                <w:color w:val="auto"/>
                <w:w w:val="92"/>
              </w:rPr>
              <w:t>(Dollars in thousands except per share data)</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Loans, including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46,323</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47,989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94,662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92,992</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Available-for-sale securities - taxable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4,655</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Available-for-sale securities - tax-exempt</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5,851</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Deposits with financial institutions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1,482</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Dividends on bank stocks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529</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51,254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105,462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105,509</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22,677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33,418</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Fed funds purchased and repurchase agreements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427</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3,110</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Other borrowings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26,077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37,030</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34,874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79,385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68,479</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Loan Losses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34,950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5,700</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32,024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44,435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62,779</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Service charges and fees on customer accounts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369</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on sale of available-for-sale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Impairment of premises and equipment held for sale</w:t>
            </w:r>
          </w:p>
        </w:tc>
        <w:tc>
          <w:tcPr>
            <w:tcW w:w="3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on sale of loans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Income from bank-owned life insurance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940</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Swap fee income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ATM and credit card interchange income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836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w:t>
            </w:r>
          </w:p>
        </w:tc>
      </w:tr>
      <w:tr>
        <w:trPr>
          <w:trHeight w:val="237"/>
        </w:trPr>
        <w:tc>
          <w:tcPr>
            <w:tcW w:w="5400" w:type="dxa"/>
            <w:vAlign w:val="bottom"/>
          </w:tcPr>
          <w:p>
            <w:pPr>
              <w:ind w:left="44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4,729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3,317</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Salaries and employee benefits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14,004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28,394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29,040</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4,221</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1,496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Deposit insurance premiums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1,718</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Data processing</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1,219</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1,190</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Software and communication</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1,507</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Foreclosed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7,397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4,175</w:t>
            </w:r>
          </w:p>
        </w:tc>
      </w:tr>
      <w:tr>
        <w:trPr>
          <w:trHeight w:val="236"/>
        </w:trPr>
        <w:tc>
          <w:tcPr>
            <w:tcW w:w="5400" w:type="dxa"/>
            <w:vAlign w:val="bottom"/>
          </w:tcPr>
          <w:p>
            <w:pPr>
              <w:ind w:left="44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31,010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53,233</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44,591</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21,505</w:t>
            </w:r>
          </w:p>
        </w:tc>
      </w:tr>
      <w:tr>
        <w:trPr>
          <w:trHeight w:val="243"/>
        </w:trPr>
        <w:tc>
          <w:tcPr>
            <w:tcW w:w="5400" w:type="dxa"/>
            <w:vAlign w:val="bottom"/>
          </w:tcPr>
          <w:p>
            <w:pPr>
              <w:ind w:left="4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2,716</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9,439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18,789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55"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55"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OTHER COMPREHENSIVE INCOME (LOSS) - UNAUDITED</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5"/>
          </w:tcPr>
          <w:p>
            <w:pPr>
              <w:ind w:left="30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9,439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Less: income tax</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w w:val="92"/>
              </w:rPr>
              <w:t>Unrealized gain on available-for-sale debt securities, net of income</w:t>
            </w: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2,734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7,528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
              <w:spacing w:after="0"/>
              <w:rPr>
                <w:sz w:val="20"/>
                <w:szCs w:val="20"/>
                <w:color w:val="auto"/>
              </w:rPr>
            </w:pPr>
            <w:r>
              <w:rPr>
                <w:rFonts w:ascii="Arial" w:cs="Arial" w:eastAsia="Arial" w:hAnsi="Arial"/>
                <w:sz w:val="18"/>
                <w:szCs w:val="18"/>
                <w:color w:val="auto"/>
                <w:w w:val="99"/>
              </w:rPr>
              <w:t>Reclassification adjustment for realized gains included in income</w:t>
            </w:r>
          </w:p>
        </w:tc>
        <w:tc>
          <w:tcPr>
            <w:tcW w:w="3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55"/>
        </w:trPr>
        <w:tc>
          <w:tcPr>
            <w:tcW w:w="5320" w:type="dxa"/>
            <w:vAlign w:val="bottom"/>
          </w:tcPr>
          <w:p>
            <w:pPr>
              <w:ind w:left="360"/>
              <w:spacing w:after="0" w:line="156" w:lineRule="exact"/>
              <w:rPr>
                <w:sz w:val="20"/>
                <w:szCs w:val="20"/>
                <w:color w:val="auto"/>
              </w:rPr>
            </w:pPr>
            <w:r>
              <w:rPr>
                <w:rFonts w:ascii="Arial" w:cs="Arial" w:eastAsia="Arial" w:hAnsi="Arial"/>
                <w:sz w:val="18"/>
                <w:szCs w:val="18"/>
                <w:color w:val="auto"/>
              </w:rPr>
              <w:t>Less: reclassification adjustment for realized gains included in</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income, net of income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7,222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16,661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35,310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STOCKHOLDERS’ EQUITY - UNAUDITED</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2"/>
                <w:szCs w:val="2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4"/>
              </w:rPr>
              <w:t>45,202,370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428,412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45,293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6,357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480,514</w:t>
            </w:r>
          </w:p>
        </w:tc>
        <w:tc>
          <w:tcPr>
            <w:tcW w:w="0" w:type="dxa"/>
            <w:vAlign w:val="bottom"/>
          </w:tcPr>
          <w:p>
            <w:pPr>
              <w:spacing w:after="0"/>
              <w:rPr>
                <w:sz w:val="1"/>
                <w:szCs w:val="1"/>
                <w:color w:val="auto"/>
              </w:rPr>
            </w:pPr>
          </w:p>
        </w:tc>
      </w:tr>
      <w:tr>
        <w:trPr>
          <w:trHeight w:val="223"/>
        </w:trPr>
        <w:tc>
          <w:tcPr>
            <w:tcW w:w="2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9,439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3"/>
              </w:rPr>
              <w:t>Change in unrealized appreciation on</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7,222</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available-for-sale securities</w:t>
            </w: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140"/>
              <w:spacing w:after="0"/>
              <w:rPr>
                <w:sz w:val="20"/>
                <w:szCs w:val="20"/>
                <w:color w:val="auto"/>
              </w:rPr>
            </w:pPr>
            <w:r>
              <w:rPr>
                <w:rFonts w:ascii="Arial" w:cs="Arial" w:eastAsia="Arial" w:hAnsi="Arial"/>
                <w:sz w:val="16"/>
                <w:szCs w:val="16"/>
                <w:color w:val="auto"/>
              </w:rPr>
              <w:t>Issuance of shares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149,765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2"/>
              </w:rPr>
              <w:t>Issuance of shares from equity-based</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15,506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awards</w:t>
            </w: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line="166" w:lineRule="exact"/>
              <w:rPr>
                <w:sz w:val="20"/>
                <w:szCs w:val="20"/>
                <w:color w:val="auto"/>
              </w:rPr>
            </w:pPr>
            <w:r>
              <w:rPr>
                <w:rFonts w:ascii="Arial" w:cs="Arial" w:eastAsia="Arial" w:hAnsi="Arial"/>
                <w:sz w:val="16"/>
                <w:szCs w:val="16"/>
                <w:color w:val="auto"/>
              </w:rPr>
              <w:t>Employee receivables from sale of</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9"/>
        </w:trPr>
        <w:tc>
          <w:tcPr>
            <w:tcW w:w="2640" w:type="dxa"/>
            <w:vAlign w:val="bottom"/>
          </w:tcPr>
          <w:p>
            <w:pPr>
              <w:ind w:left="32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line="166" w:lineRule="exact"/>
              <w:rPr>
                <w:sz w:val="20"/>
                <w:szCs w:val="20"/>
                <w:color w:val="auto"/>
              </w:rPr>
            </w:pPr>
            <w:r>
              <w:rPr>
                <w:rFonts w:ascii="Arial" w:cs="Arial" w:eastAsia="Arial" w:hAnsi="Arial"/>
                <w:sz w:val="16"/>
                <w:szCs w:val="16"/>
                <w:color w:val="auto"/>
              </w:rPr>
              <w:t>Employee stock purchase plan</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additions</w:t>
            </w: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2019</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45,367,641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13,579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499,195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2"/>
                <w:szCs w:val="2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4"/>
              </w:rPr>
              <w:t>52,098,062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520,134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68,689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22,602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611,946</w:t>
            </w:r>
          </w:p>
        </w:tc>
        <w:tc>
          <w:tcPr>
            <w:tcW w:w="0" w:type="dxa"/>
            <w:vAlign w:val="bottom"/>
          </w:tcPr>
          <w:p>
            <w:pPr>
              <w:spacing w:after="0"/>
              <w:rPr>
                <w:sz w:val="1"/>
                <w:szCs w:val="1"/>
                <w:color w:val="auto"/>
              </w:rPr>
            </w:pPr>
          </w:p>
        </w:tc>
      </w:tr>
      <w:tr>
        <w:trPr>
          <w:trHeight w:val="267"/>
        </w:trPr>
        <w:tc>
          <w:tcPr>
            <w:tcW w:w="26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Change in unrealized appreciation on</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available-for-sale securities</w:t>
            </w: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shares from equity-based</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69,511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9"/>
        </w:trPr>
        <w:tc>
          <w:tcPr>
            <w:tcW w:w="2640" w:type="dxa"/>
            <w:vAlign w:val="bottom"/>
          </w:tcPr>
          <w:p>
            <w:pPr>
              <w:ind w:left="320"/>
              <w:spacing w:after="0"/>
              <w:rPr>
                <w:sz w:val="20"/>
                <w:szCs w:val="20"/>
                <w:color w:val="auto"/>
              </w:rPr>
            </w:pPr>
            <w:r>
              <w:rPr>
                <w:rFonts w:ascii="Arial" w:cs="Arial" w:eastAsia="Arial" w:hAnsi="Arial"/>
                <w:sz w:val="16"/>
                <w:szCs w:val="16"/>
                <w:color w:val="auto"/>
              </w:rPr>
              <w:t>awards</w:t>
            </w: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Employee receivables from sale of</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7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52,167,573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521,133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25,094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608,092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2"/>
                <w:szCs w:val="2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Income (Loss)</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1,200,000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45,074,322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454,512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490,336</w:t>
            </w:r>
          </w:p>
        </w:tc>
        <w:tc>
          <w:tcPr>
            <w:tcW w:w="0" w:type="dxa"/>
            <w:vAlign w:val="bottom"/>
          </w:tcPr>
          <w:p>
            <w:pPr>
              <w:spacing w:after="0"/>
              <w:rPr>
                <w:sz w:val="1"/>
                <w:szCs w:val="1"/>
                <w:color w:val="auto"/>
              </w:rPr>
            </w:pPr>
          </w:p>
        </w:tc>
      </w:tr>
      <w:tr>
        <w:trPr>
          <w:trHeight w:val="267"/>
        </w:trPr>
        <w:tc>
          <w:tcPr>
            <w:tcW w:w="26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18,789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18,789</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Change in unrealized appreciation on</w:t>
            </w:r>
          </w:p>
        </w:tc>
        <w:tc>
          <w:tcPr>
            <w:tcW w:w="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16,521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16,521</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available-for-sale securities</w:t>
            </w:r>
          </w:p>
        </w:tc>
        <w:tc>
          <w:tcPr>
            <w:tcW w:w="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140"/>
              <w:spacing w:after="0"/>
              <w:rPr>
                <w:sz w:val="20"/>
                <w:szCs w:val="20"/>
                <w:color w:val="auto"/>
              </w:rPr>
            </w:pPr>
            <w:r>
              <w:rPr>
                <w:rFonts w:ascii="Arial" w:cs="Arial" w:eastAsia="Arial" w:hAnsi="Arial"/>
                <w:sz w:val="16"/>
                <w:szCs w:val="16"/>
                <w:color w:val="auto"/>
              </w:rPr>
              <w:t>Issuance of shares</w:t>
            </w:r>
          </w:p>
        </w:tc>
        <w:tc>
          <w:tcPr>
            <w:tcW w:w="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250,968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2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2"/>
              </w:rPr>
              <w:t>Issuance of shares from equity-based</w:t>
            </w:r>
          </w:p>
        </w:tc>
        <w:tc>
          <w:tcPr>
            <w:tcW w:w="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52,351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awards</w:t>
            </w:r>
          </w:p>
        </w:tc>
        <w:tc>
          <w:tcPr>
            <w:tcW w:w="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40"/>
              <w:spacing w:after="0"/>
              <w:rPr>
                <w:sz w:val="20"/>
                <w:szCs w:val="20"/>
                <w:color w:val="auto"/>
              </w:rPr>
            </w:pPr>
            <w:r>
              <w:rPr>
                <w:rFonts w:ascii="Arial" w:cs="Arial" w:eastAsia="Arial" w:hAnsi="Arial"/>
                <w:sz w:val="16"/>
                <w:szCs w:val="16"/>
                <w:color w:val="auto"/>
              </w:rPr>
              <w:t>Retired shares</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2"/>
              </w:rPr>
              <w:t>(1,200,000)</w:t>
            </w:r>
          </w:p>
        </w:tc>
        <w:tc>
          <w:tcPr>
            <w:tcW w:w="100" w:type="dxa"/>
            <w:vAlign w:val="bottom"/>
          </w:tcPr>
          <w:p>
            <w:pPr>
              <w:spacing w:after="0"/>
              <w:rPr>
                <w:sz w:val="19"/>
                <w:szCs w:val="19"/>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(30,155)</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Preferred dividends declared</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Employee receivables from sale of</w:t>
            </w:r>
          </w:p>
        </w:tc>
        <w:tc>
          <w:tcPr>
            <w:tcW w:w="2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2620" w:type="dxa"/>
            <w:vAlign w:val="bottom"/>
          </w:tcPr>
          <w:p>
            <w:pPr>
              <w:ind w:left="3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rPr>
              <w:t>Employee stock purchase plan</w:t>
            </w:r>
          </w:p>
        </w:tc>
        <w:tc>
          <w:tcPr>
            <w:tcW w:w="2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4"/>
                <w:szCs w:val="14"/>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2620" w:type="dxa"/>
            <w:vAlign w:val="bottom"/>
          </w:tcPr>
          <w:p>
            <w:pPr>
              <w:ind w:left="320"/>
              <w:spacing w:after="0"/>
              <w:rPr>
                <w:sz w:val="20"/>
                <w:szCs w:val="20"/>
                <w:color w:val="auto"/>
              </w:rPr>
            </w:pPr>
            <w:r>
              <w:rPr>
                <w:rFonts w:ascii="Arial" w:cs="Arial" w:eastAsia="Arial" w:hAnsi="Arial"/>
                <w:sz w:val="16"/>
                <w:szCs w:val="16"/>
                <w:color w:val="auto"/>
              </w:rPr>
              <w:t>additions</w:t>
            </w:r>
          </w:p>
        </w:tc>
        <w:tc>
          <w:tcPr>
            <w:tcW w:w="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Adoption of ASU 2016-01</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20" w:type="dxa"/>
            <w:vAlign w:val="bottom"/>
          </w:tcPr>
          <w:p>
            <w:pPr>
              <w:ind w:left="140"/>
              <w:spacing w:after="0"/>
              <w:rPr>
                <w:sz w:val="20"/>
                <w:szCs w:val="20"/>
                <w:color w:val="auto"/>
              </w:rPr>
            </w:pPr>
            <w:r>
              <w:rPr>
                <w:rFonts w:ascii="Arial" w:cs="Arial" w:eastAsia="Arial" w:hAnsi="Arial"/>
                <w:sz w:val="16"/>
                <w:szCs w:val="16"/>
                <w:color w:val="auto"/>
              </w:rPr>
              <w:t>Adoption of ASU 2018-07</w:t>
            </w:r>
          </w:p>
        </w:tc>
        <w:tc>
          <w:tcPr>
            <w:tcW w:w="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2019</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45,367,641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13,579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499,195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2"/>
                <w:szCs w:val="2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51,969,203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519,870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601,644</w:t>
            </w:r>
          </w:p>
        </w:tc>
        <w:tc>
          <w:tcPr>
            <w:tcW w:w="0" w:type="dxa"/>
            <w:vAlign w:val="bottom"/>
          </w:tcPr>
          <w:p>
            <w:pPr>
              <w:spacing w:after="0"/>
              <w:rPr>
                <w:sz w:val="1"/>
                <w:szCs w:val="1"/>
                <w:color w:val="auto"/>
              </w:rPr>
            </w:pPr>
          </w:p>
        </w:tc>
      </w:tr>
      <w:tr>
        <w:trPr>
          <w:trHeight w:val="267"/>
        </w:trPr>
        <w:tc>
          <w:tcPr>
            <w:tcW w:w="26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Change in unrealized appreciation on</w:t>
            </w:r>
          </w:p>
        </w:tc>
        <w:tc>
          <w:tcPr>
            <w:tcW w:w="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8,643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available-for-sale securities</w:t>
            </w:r>
          </w:p>
        </w:tc>
        <w:tc>
          <w:tcPr>
            <w:tcW w:w="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shares from equity-based</w:t>
            </w:r>
          </w:p>
        </w:tc>
        <w:tc>
          <w:tcPr>
            <w:tcW w:w="2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198,370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9"/>
        </w:trPr>
        <w:tc>
          <w:tcPr>
            <w:tcW w:w="2620" w:type="dxa"/>
            <w:vAlign w:val="bottom"/>
          </w:tcPr>
          <w:p>
            <w:pPr>
              <w:ind w:left="320"/>
              <w:spacing w:after="0"/>
              <w:rPr>
                <w:sz w:val="20"/>
                <w:szCs w:val="20"/>
                <w:color w:val="auto"/>
              </w:rPr>
            </w:pPr>
            <w:r>
              <w:rPr>
                <w:rFonts w:ascii="Arial" w:cs="Arial" w:eastAsia="Arial" w:hAnsi="Arial"/>
                <w:sz w:val="16"/>
                <w:szCs w:val="16"/>
                <w:color w:val="auto"/>
              </w:rPr>
              <w:t>awards</w:t>
            </w:r>
          </w:p>
        </w:tc>
        <w:tc>
          <w:tcPr>
            <w:tcW w:w="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Employee receivables from sale of</w:t>
            </w:r>
          </w:p>
        </w:tc>
        <w:tc>
          <w:tcPr>
            <w:tcW w:w="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w:t>
            </w:r>
          </w:p>
        </w:tc>
        <w:tc>
          <w:tcPr>
            <w:tcW w:w="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7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52,167,573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521,133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25,094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608,092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CASH FLOWS - UNAUDITED</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0"/>
              </w:rPr>
              <w:t>Six Months Ended</w:t>
            </w:r>
          </w:p>
        </w:tc>
        <w:tc>
          <w:tcPr>
            <w:tcW w:w="1200" w:type="dxa"/>
            <w:vAlign w:val="bottom"/>
          </w:tcPr>
          <w:p>
            <w:pPr>
              <w:spacing w:after="0"/>
              <w:rPr>
                <w:sz w:val="20"/>
                <w:szCs w:val="20"/>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spacing w:after="0"/>
              <w:rPr>
                <w:sz w:val="23"/>
                <w:szCs w:val="23"/>
                <w:color w:val="auto"/>
              </w:rPr>
            </w:pPr>
          </w:p>
        </w:tc>
      </w:tr>
      <w:tr>
        <w:trPr>
          <w:trHeight w:val="27"/>
        </w:trPr>
        <w:tc>
          <w:tcPr>
            <w:tcW w:w="7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7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3"/>
          </w:tcPr>
          <w:p>
            <w:pPr>
              <w:jc w:val="center"/>
              <w:ind w:left="670"/>
              <w:spacing w:after="0"/>
              <w:rPr>
                <w:sz w:val="20"/>
                <w:szCs w:val="20"/>
                <w:color w:val="auto"/>
              </w:rPr>
            </w:pPr>
            <w:r>
              <w:rPr>
                <w:rFonts w:ascii="Arial" w:cs="Arial" w:eastAsia="Arial" w:hAnsi="Arial"/>
                <w:sz w:val="16"/>
                <w:szCs w:val="16"/>
                <w:i w:val="1"/>
                <w:iCs w:val="1"/>
                <w:color w:val="auto"/>
                <w:w w:val="93"/>
              </w:rPr>
              <w:t>(Dollars in thousands)</w:t>
            </w:r>
          </w:p>
        </w:tc>
        <w:tc>
          <w:tcPr>
            <w:tcW w:w="12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18,789</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Items not requiring (providing) cash</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2,703</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Provision for loan losses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5,700</w:t>
            </w:r>
          </w:p>
        </w:tc>
      </w:tr>
      <w:tr>
        <w:trPr>
          <w:trHeight w:val="243"/>
        </w:trPr>
        <w:tc>
          <w:tcPr>
            <w:tcW w:w="7100" w:type="dxa"/>
            <w:vAlign w:val="bottom"/>
          </w:tcPr>
          <w:p>
            <w:pPr>
              <w:ind w:left="540"/>
              <w:spacing w:after="0"/>
              <w:rPr>
                <w:sz w:val="20"/>
                <w:szCs w:val="20"/>
                <w:color w:val="auto"/>
              </w:rPr>
            </w:pPr>
            <w:r>
              <w:rPr>
                <w:rFonts w:ascii="Arial" w:cs="Arial" w:eastAsia="Arial" w:hAnsi="Arial"/>
                <w:sz w:val="18"/>
                <w:szCs w:val="18"/>
                <w:color w:val="auto"/>
              </w:rPr>
              <w:t>Accretion of discounts and amortization of premiums on securities</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2,535</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Equity 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2,281</w:t>
            </w:r>
          </w:p>
        </w:tc>
      </w:tr>
      <w:tr>
        <w:trPr>
          <w:trHeight w:val="243"/>
        </w:trPr>
        <w:tc>
          <w:tcPr>
            <w:tcW w:w="7100" w:type="dxa"/>
            <w:vAlign w:val="bottom"/>
          </w:tcPr>
          <w:p>
            <w:pPr>
              <w:ind w:left="540"/>
              <w:spacing w:after="0"/>
              <w:rPr>
                <w:sz w:val="20"/>
                <w:szCs w:val="20"/>
                <w:color w:val="auto"/>
              </w:rPr>
            </w:pPr>
            <w:r>
              <w:rPr>
                <w:rFonts w:ascii="Arial" w:cs="Arial" w:eastAsia="Arial" w:hAnsi="Arial"/>
                <w:sz w:val="18"/>
                <w:szCs w:val="18"/>
                <w:color w:val="auto"/>
              </w:rPr>
              <w:t>Foreclosed asset impairment</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2,056</w:t>
            </w:r>
          </w:p>
        </w:tc>
      </w:tr>
      <w:tr>
        <w:trPr>
          <w:trHeight w:val="243"/>
        </w:trPr>
        <w:tc>
          <w:tcPr>
            <w:tcW w:w="7100" w:type="dxa"/>
            <w:vAlign w:val="bottom"/>
          </w:tcPr>
          <w:p>
            <w:pPr>
              <w:ind w:left="540"/>
              <w:spacing w:after="0"/>
              <w:rPr>
                <w:sz w:val="20"/>
                <w:szCs w:val="20"/>
                <w:color w:val="auto"/>
              </w:rPr>
            </w:pPr>
            <w:r>
              <w:rPr>
                <w:rFonts w:ascii="Arial" w:cs="Arial" w:eastAsia="Arial" w:hAnsi="Arial"/>
                <w:sz w:val="18"/>
                <w:szCs w:val="18"/>
                <w:color w:val="auto"/>
              </w:rPr>
              <w:t>Net realized gains on available-for-sale debt securities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Goodwill impairment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Changes in</w:t>
            </w: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receivable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r>
        <w:trPr>
          <w:trHeight w:val="243"/>
        </w:trPr>
        <w:tc>
          <w:tcPr>
            <w:tcW w:w="710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(6,172)</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5,195</w:t>
            </w:r>
          </w:p>
        </w:tc>
      </w:tr>
      <w:tr>
        <w:trPr>
          <w:trHeight w:val="237"/>
        </w:trPr>
        <w:tc>
          <w:tcPr>
            <w:tcW w:w="710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35,968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30,043</w:t>
            </w:r>
          </w:p>
        </w:tc>
      </w:tr>
      <w:tr>
        <w:trPr>
          <w:trHeight w:val="27"/>
        </w:trPr>
        <w:tc>
          <w:tcPr>
            <w:tcW w:w="7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Net change in loans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(581,641)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(409,602)</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(107,948)</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Proceeds from maturities of available-for-sale securities</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58,974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26,468</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available-for-sale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19,052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60,254</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Proceeds (purchase) of premises and equipment, net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3,014</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restricted equity securities, net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37"/>
        </w:trPr>
        <w:tc>
          <w:tcPr>
            <w:tcW w:w="710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(535,424)</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(428,372)</w:t>
            </w:r>
          </w:p>
        </w:tc>
      </w:tr>
      <w:tr>
        <w:trPr>
          <w:trHeight w:val="27"/>
        </w:trPr>
        <w:tc>
          <w:tcPr>
            <w:tcW w:w="7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100" w:type="dxa"/>
            <w:vAlign w:val="bottom"/>
          </w:tcPr>
          <w:p>
            <w:pPr>
              <w:ind w:left="360"/>
              <w:spacing w:after="0"/>
              <w:rPr>
                <w:sz w:val="20"/>
                <w:szCs w:val="20"/>
                <w:color w:val="auto"/>
              </w:rPr>
            </w:pPr>
            <w:r>
              <w:rPr>
                <w:rFonts w:ascii="Arial" w:cs="Arial" w:eastAsia="Arial" w:hAnsi="Arial"/>
                <w:sz w:val="18"/>
                <w:szCs w:val="18"/>
                <w:color w:val="auto"/>
              </w:rPr>
              <w:t>Net increase in demand deposits, savings, NOW and money market accounts</w:t>
            </w:r>
          </w:p>
        </w:tc>
        <w:tc>
          <w:tcPr>
            <w:tcW w:w="44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459,589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84,269</w:t>
            </w: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(decrease) in time deposits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291,770</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Net increase (decrease) in repurchase agreements and federal funds purchased</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34,960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(49,025)</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Federal Home Loan Bank advances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118,000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45,000</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Repayment of Federal Home Loan Bank advances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(26,126)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(20,120)</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Retirement of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Issuance of common shares, net and change in employee receivables</w:t>
            </w:r>
          </w:p>
        </w:tc>
        <w:tc>
          <w:tcPr>
            <w:tcW w:w="4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1,677</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 of common stock for tax withholding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Dividends paid on preferred stock</w:t>
            </w:r>
          </w:p>
        </w:tc>
        <w:tc>
          <w:tcPr>
            <w:tcW w:w="44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7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506,507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323,161</w:t>
            </w: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(75,168)</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187,320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216,541</w:t>
            </w: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194,371</w:t>
            </w: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141,373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Flows Information</w:t>
            </w:r>
          </w:p>
        </w:tc>
        <w:tc>
          <w:tcPr>
            <w:tcW w:w="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27,818</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35,366</w:t>
            </w:r>
          </w:p>
        </w:tc>
      </w:tr>
      <w:tr>
        <w:trPr>
          <w:trHeight w:val="27"/>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Foreclosed assets in settlement of loans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2,471</w:t>
            </w:r>
          </w:p>
        </w:tc>
      </w:tr>
    </w:tbl>
    <w:p>
      <w:pPr>
        <w:spacing w:after="0" w:line="200" w:lineRule="exact"/>
        <w:rPr>
          <w:sz w:val="20"/>
          <w:szCs w:val="20"/>
          <w:color w:val="auto"/>
        </w:rPr>
      </w:pPr>
    </w:p>
    <w:p>
      <w:pPr>
        <w:sectPr>
          <w:pgSz w:w="11900" w:h="16838" w:orient="portrait"/>
          <w:cols w:equalWidth="0" w:num="1">
            <w:col w:w="11240"/>
          </w:cols>
          <w:pgMar w:left="320" w:top="125" w:right="339" w:bottom="8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88" w:gutter="0" w:footer="0" w:header="0"/>
          <w:type w:val="continuous"/>
        </w:sectPr>
      </w:pPr>
    </w:p>
    <w:bookmarkStart w:id="10" w:name="page11"/>
    <w:bookmarkEnd w:id="10"/>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w:t>
      </w:r>
      <w:r>
        <w:rPr>
          <w:sz w:val="20"/>
          <w:szCs w:val="20"/>
          <w:color w:val="auto"/>
        </w:rPr>
        <w:tab/>
      </w:r>
      <w:r>
        <w:rPr>
          <w:rFonts w:ascii="Arial" w:cs="Arial" w:eastAsia="Arial" w:hAnsi="Arial"/>
          <w:sz w:val="19"/>
          <w:szCs w:val="19"/>
          <w:b w:val="1"/>
          <w:bCs w:val="1"/>
          <w:color w:val="auto"/>
        </w:rPr>
        <w:t>Nature of Operations and Summary of Significant Accounting Policies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Organization and Nature of Operations</w:t>
      </w:r>
    </w:p>
    <w:p>
      <w:pPr>
        <w:spacing w:after="0" w:line="164" w:lineRule="exact"/>
        <w:rPr>
          <w:sz w:val="20"/>
          <w:szCs w:val="20"/>
          <w:color w:val="auto"/>
        </w:rPr>
      </w:pPr>
    </w:p>
    <w:p>
      <w:pPr>
        <w:ind w:left="180" w:right="220" w:firstLine="486"/>
        <w:spacing w:after="0" w:line="301" w:lineRule="auto"/>
        <w:rPr>
          <w:sz w:val="20"/>
          <w:szCs w:val="20"/>
          <w:color w:val="auto"/>
        </w:rPr>
      </w:pPr>
      <w:r>
        <w:rPr>
          <w:rFonts w:ascii="Arial" w:cs="Arial" w:eastAsia="Arial" w:hAnsi="Arial"/>
          <w:sz w:val="16"/>
          <w:szCs w:val="16"/>
          <w:color w:val="auto"/>
        </w:rPr>
        <w:t>CrossFirst Bankshares, Inc. (the “Company”), a Kansas corporation, was incorporated in December 2017. Prior to incorporation, the Company was registered as a limited liability company under the name CrossFirst Holdings, LLC. The Company is a bank holding company whose principal activities are the ownership and management of its wholly-owned subsidiaries, CrossFirst Bank (the “Bank”) and CFSA, LLC (“CFSA”), which holds cash. In addition, CrossFirst Investments, Inc. (“CFI”) is a wholly-owned subsidiary of the Bank, which holds investments in marketable securities.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Basis of Presentation</w:t>
      </w:r>
    </w:p>
    <w:p>
      <w:pPr>
        <w:spacing w:after="0" w:line="164"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The Company’s accounting and reporting policies conform to accounting principles generally accepted in the United States (“GAAP”). The consolidated financial statements include the accounts of the Company, the Bank, CFI and CFSA. All significant intercompany accounts and transactions have been eliminated in consolidation.</w:t>
      </w:r>
    </w:p>
    <w:p>
      <w:pPr>
        <w:spacing w:after="0" w:line="130"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notes included in the Company’s Annual Report on Form 10-K for the year ended December 31, 2019 (the “2019 Form 10-K”), filed with the Securities and Exchange Commission (the “SEC”) on March 10, 2020.</w:t>
      </w:r>
    </w:p>
    <w:p>
      <w:pPr>
        <w:spacing w:after="0" w:line="133" w:lineRule="exact"/>
        <w:rPr>
          <w:sz w:val="20"/>
          <w:szCs w:val="20"/>
          <w:color w:val="auto"/>
        </w:rPr>
      </w:pPr>
    </w:p>
    <w:p>
      <w:pPr>
        <w:ind w:left="180" w:right="180" w:firstLine="486"/>
        <w:spacing w:after="0" w:line="259" w:lineRule="auto"/>
        <w:rPr>
          <w:sz w:val="20"/>
          <w:szCs w:val="20"/>
          <w:color w:val="auto"/>
        </w:rPr>
      </w:pPr>
      <w:r>
        <w:rPr>
          <w:rFonts w:ascii="Arial" w:cs="Arial" w:eastAsia="Arial" w:hAnsi="Arial"/>
          <w:sz w:val="18"/>
          <w:szCs w:val="18"/>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133"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Except for the accounting changes mentioned under “Coronavirus Aid, Relief, and Economic Security Act” and “Change in Accounting Principle” section below, no other significant changes in the accounting policies of the Company occurred since December 31, 2019, the most recent date financial statements were provided within the Company’s 2019 Form 10-K. The information contained in the financial statements and footnotes for the period ended December 31, 2019 included in the Company’s 2019 Form 10-K should be referred to in connection with these unaudited interim consolidated financial statements.</w:t>
      </w:r>
    </w:p>
    <w:p>
      <w:pPr>
        <w:spacing w:after="0" w:line="134" w:lineRule="exact"/>
        <w:rPr>
          <w:sz w:val="20"/>
          <w:szCs w:val="20"/>
          <w:color w:val="auto"/>
        </w:rPr>
      </w:pPr>
    </w:p>
    <w:p>
      <w:pPr>
        <w:ind w:left="180" w:right="260" w:firstLine="486"/>
        <w:spacing w:after="0" w:line="277" w:lineRule="auto"/>
        <w:rPr>
          <w:sz w:val="20"/>
          <w:szCs w:val="20"/>
          <w:color w:val="auto"/>
        </w:rPr>
      </w:pPr>
      <w:r>
        <w:rPr>
          <w:rFonts w:ascii="Arial" w:cs="Arial" w:eastAsia="Arial" w:hAnsi="Arial"/>
          <w:sz w:val="18"/>
          <w:szCs w:val="18"/>
          <w:color w:val="auto"/>
        </w:rPr>
        <w:t>Operating results for the interim periods disclosed herein are not necessarily indicative of the results that may be expected for a full year or any future period.</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Estimates</w:t>
      </w:r>
    </w:p>
    <w:p>
      <w:pPr>
        <w:spacing w:after="0" w:line="164" w:lineRule="exact"/>
        <w:rPr>
          <w:sz w:val="20"/>
          <w:szCs w:val="20"/>
          <w:color w:val="auto"/>
        </w:rPr>
      </w:pPr>
    </w:p>
    <w:p>
      <w:pPr>
        <w:ind w:left="180" w:right="40" w:firstLine="486"/>
        <w:spacing w:after="0" w:line="255" w:lineRule="auto"/>
        <w:rPr>
          <w:sz w:val="20"/>
          <w:szCs w:val="20"/>
          <w:color w:val="auto"/>
        </w:rPr>
      </w:pPr>
      <w:r>
        <w:rPr>
          <w:rFonts w:ascii="Arial" w:cs="Arial" w:eastAsia="Arial" w:hAnsi="Arial"/>
          <w:sz w:val="18"/>
          <w:szCs w:val="18"/>
          <w:color w:val="auto"/>
        </w:rPr>
        <w:t>The Company has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and Lease Losses, Deferred Tax Asset, and Fair Value of Financial Instruments are particularly susceptible to significant change.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Equivalents</w:t>
      </w:r>
    </w:p>
    <w:p>
      <w:pPr>
        <w:spacing w:after="0" w:line="164" w:lineRule="exact"/>
        <w:rPr>
          <w:sz w:val="20"/>
          <w:szCs w:val="20"/>
          <w:color w:val="auto"/>
        </w:rPr>
      </w:pPr>
    </w:p>
    <w:p>
      <w:pPr>
        <w:ind w:left="180" w:right="20" w:firstLine="486"/>
        <w:spacing w:after="0" w:line="263" w:lineRule="auto"/>
        <w:rPr>
          <w:sz w:val="20"/>
          <w:szCs w:val="20"/>
          <w:color w:val="auto"/>
        </w:rPr>
      </w:pPr>
      <w:r>
        <w:rPr>
          <w:rFonts w:ascii="Arial" w:cs="Arial" w:eastAsia="Arial" w:hAnsi="Arial"/>
          <w:sz w:val="18"/>
          <w:szCs w:val="18"/>
          <w:color w:val="auto"/>
        </w:rPr>
        <w:t>The Company had $126 million of cash and cash equivalents at the Federal Reserve Bank of Kansas City as of June 30, 2020. The reserve required at June 30, 2020 was $0. In addition, the Company is at times required to place cash collateral with a third party as part of its back-to-back swap agreements. At June 30, 2020, approximately $31 million was required as cash collateral.</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Coronavirus Aid, Relief, and Economic Security Act (“CARES Act”)</w:t>
      </w:r>
    </w:p>
    <w:p>
      <w:pPr>
        <w:spacing w:after="0" w:line="164"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troubled debt restructurings (“TDRs”), which require additional disclosures. The relief can be applied to modifications of loans to borrowers that were not more than 30 days past due as of December 31, 2019.</w:t>
      </w:r>
    </w:p>
    <w:p>
      <w:pPr>
        <w:spacing w:after="0" w:line="133"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The Company elected to apply the guidance during the first quarter of 2020. The review of loans that meet the criteria is overseen by the Office of the Chief Credit Officer and his team.</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11" w:name="page12"/>
    <w:bookmarkEnd w:id="11"/>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Individually Evaluated for Impairment</w:t>
      </w:r>
    </w:p>
    <w:p>
      <w:pPr>
        <w:spacing w:after="0" w:line="164"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Prior to the quarter ended June 30, 2020, loans risk rated substandard or lower were considered impaired and evaluated on an individual basis. As of June 30, 2020, loans risk rated substandard and on accrual were evaluated collectively. The new approach provided a better estimate of potential losses inherent in the substandard portfolio.</w:t>
      </w:r>
    </w:p>
    <w:p>
      <w:pPr>
        <w:spacing w:after="0" w:line="130" w:lineRule="exact"/>
        <w:rPr>
          <w:sz w:val="20"/>
          <w:szCs w:val="20"/>
          <w:color w:val="auto"/>
        </w:rPr>
      </w:pPr>
    </w:p>
    <w:p>
      <w:pPr>
        <w:ind w:left="180" w:right="260" w:firstLine="486"/>
        <w:spacing w:after="0" w:line="259" w:lineRule="auto"/>
        <w:rPr>
          <w:sz w:val="20"/>
          <w:szCs w:val="20"/>
          <w:color w:val="auto"/>
        </w:rPr>
      </w:pPr>
      <w:r>
        <w:rPr>
          <w:rFonts w:ascii="Arial" w:cs="Arial" w:eastAsia="Arial" w:hAnsi="Arial"/>
          <w:sz w:val="18"/>
          <w:szCs w:val="18"/>
          <w:color w:val="auto"/>
        </w:rPr>
        <w:t>A loan is considered impaired when, based on current information and events, it is probable that the Company will be unable to collect the scheduled payments of principal and interest when due according to the contractual terms of the loan agreement. The Company’s definition of a substandard credit was unchanged. Substandard loans exhibit a well-defined weakness or weaknesses that jeopardize repayment. A distinct possibility exists that the Company will sustain some loss if deficiencies are not corrected.</w:t>
      </w:r>
    </w:p>
    <w:p>
      <w:pPr>
        <w:spacing w:after="0" w:line="133"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Loss potential, while existing in the aggregate amount of substandard loans, does not have to exist in individual loans classified substandard. As a result, the Company revised its allowance methodology to evaluate substandard, performing loans collectively for impairment as opposed to evaluating these loans individually for impairment. As of June 30, 2020, the change in methodology impacted $200 million of performing, substandard loans that were reviewed on a collective basis.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 in Accounting Principle</w:t>
      </w:r>
    </w:p>
    <w:p>
      <w:pPr>
        <w:spacing w:after="0" w:line="164"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On January 1, 2020, the Company adopted the Financial Accounting Standards Board (“FASB”) Accounting Standard Update (“ASU”) 2017-04, Intangibles—Goodwill and Other (Topic 350): Simplifying the Test for Goodwill Impairment, which was applied on a prospective basis. A description of the nature and reason for the change in accounting principle is provided below in the recent accounting pronouncements section.</w:t>
      </w:r>
    </w:p>
    <w:p>
      <w:pPr>
        <w:spacing w:after="0" w:line="111" w:lineRule="exact"/>
        <w:rPr>
          <w:sz w:val="20"/>
          <w:szCs w:val="20"/>
          <w:color w:val="auto"/>
        </w:rPr>
      </w:pPr>
    </w:p>
    <w:p>
      <w:pPr>
        <w:ind w:left="180" w:right="140" w:firstLine="486"/>
        <w:spacing w:after="0" w:line="263" w:lineRule="auto"/>
        <w:rPr>
          <w:sz w:val="20"/>
          <w:szCs w:val="20"/>
          <w:color w:val="auto"/>
        </w:rPr>
      </w:pPr>
      <w:r>
        <w:rPr>
          <w:rFonts w:ascii="Arial" w:cs="Arial" w:eastAsia="Arial" w:hAnsi="Arial"/>
          <w:sz w:val="18"/>
          <w:szCs w:val="18"/>
          <w:color w:val="auto"/>
        </w:rPr>
        <w:t>On January 1, 2020, the Company adopted FASB ASU 2019-12, Simplifying the Accounting for Income Taxes, which was applied as of the adoption date. A description of the nature and reason for the change in accounting principle is provided below in the recent accounting pronouncements section.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Affecting Comparability</w:t>
      </w:r>
    </w:p>
    <w:p>
      <w:pPr>
        <w:spacing w:after="0" w:line="164" w:lineRule="exact"/>
        <w:rPr>
          <w:sz w:val="20"/>
          <w:szCs w:val="20"/>
          <w:color w:val="auto"/>
        </w:rPr>
      </w:pPr>
    </w:p>
    <w:p>
      <w:pPr>
        <w:ind w:left="180" w:right="60" w:firstLine="486"/>
        <w:spacing w:after="0" w:line="254" w:lineRule="auto"/>
        <w:rPr>
          <w:sz w:val="20"/>
          <w:szCs w:val="20"/>
          <w:color w:val="auto"/>
        </w:rPr>
      </w:pPr>
      <w:r>
        <w:rPr>
          <w:rFonts w:ascii="Arial" w:cs="Arial" w:eastAsia="Arial" w:hAnsi="Arial"/>
          <w:sz w:val="18"/>
          <w:szCs w:val="18"/>
          <w:color w:val="auto"/>
        </w:rPr>
        <w:t>During the quarter ended June 30, 2020, the Company changed loans individually evaluated for impairment. A discussion regarding this change is provided above under “Loans Individually Evaluated for Impairment” and in Note 4: Loans and Allowance for Loan Losses within the Notes to the Unaudited Consolidated Financial Statements. The Company separated substandard loans into performing and nonperforming categories that were previously consolidated within the loan footnote disclosures. The change in disclosure did not impact the Company's net income during the three or six-months ended June 30, 2019, Balance Sheet at December 31, 2019, Statement of Stockholders’ Equity at December 31, 2019, or the impaired loan information at December 31, 2019 as presented in Note 4: Loans and Allowance for Loan Losses within the Notes to the Unaudited Consolidated Financial Statements.</w:t>
      </w:r>
    </w:p>
    <w:p>
      <w:pPr>
        <w:spacing w:after="0" w:line="141" w:lineRule="exact"/>
        <w:rPr>
          <w:sz w:val="20"/>
          <w:szCs w:val="20"/>
          <w:color w:val="auto"/>
        </w:rPr>
      </w:pPr>
    </w:p>
    <w:p>
      <w:pPr>
        <w:ind w:left="180" w:firstLine="486"/>
        <w:spacing w:after="0" w:line="286" w:lineRule="auto"/>
        <w:rPr>
          <w:sz w:val="20"/>
          <w:szCs w:val="20"/>
          <w:color w:val="auto"/>
        </w:rPr>
      </w:pPr>
      <w:r>
        <w:rPr>
          <w:rFonts w:ascii="Arial" w:cs="Arial" w:eastAsia="Arial" w:hAnsi="Arial"/>
          <w:sz w:val="17"/>
          <w:szCs w:val="17"/>
          <w:color w:val="auto"/>
        </w:rPr>
        <w:t>Beginning with the quarter ended March 31, 2020, the Company consolidated the “Other” line item previously included in stockholders’ equity into retained earnings within the Consolidated Balance Sheets and the Consolidated Statements of Stockholders’ Equity. The consolidation was made due to the immateriality of the “Other” line item. The change had no impact on net income or total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Initial Public Offering</w:t>
      </w:r>
    </w:p>
    <w:p>
      <w:pPr>
        <w:spacing w:after="0" w:line="164" w:lineRule="exact"/>
        <w:rPr>
          <w:sz w:val="20"/>
          <w:szCs w:val="20"/>
          <w:color w:val="auto"/>
        </w:rPr>
      </w:pPr>
    </w:p>
    <w:p>
      <w:pPr>
        <w:ind w:left="180" w:right="40" w:firstLine="486"/>
        <w:spacing w:after="0" w:line="257" w:lineRule="auto"/>
        <w:rPr>
          <w:sz w:val="20"/>
          <w:szCs w:val="20"/>
          <w:color w:val="auto"/>
        </w:rPr>
      </w:pPr>
      <w:r>
        <w:rPr>
          <w:rFonts w:ascii="Arial" w:cs="Arial" w:eastAsia="Arial" w:hAnsi="Arial"/>
          <w:sz w:val="18"/>
          <w:szCs w:val="18"/>
          <w:color w:val="auto"/>
        </w:rPr>
        <w:t>On August 19, 2019, the Company completed its initial public offering (“IPO”) of common stock. The Company issued and sold 5,750,000 shares of common stock at a public offering price of $14.50 per share. After deducting the underwriting discounts and offering expenses, the Company received total net proceeds of $76 million from the IPO. Certain selling stockholders participated in the offering and sold an aggregate of 1,261,589 shares of common stock at a public offering price of $14.50 per share. The Company did not receive any proceeds from the sales of shares by the selling stockholders.</w:t>
      </w:r>
    </w:p>
    <w:p>
      <w:pPr>
        <w:spacing w:after="0" w:line="134" w:lineRule="exact"/>
        <w:rPr>
          <w:sz w:val="20"/>
          <w:szCs w:val="20"/>
          <w:color w:val="auto"/>
        </w:rPr>
      </w:pPr>
    </w:p>
    <w:p>
      <w:pPr>
        <w:ind w:left="180" w:right="340" w:firstLine="486"/>
        <w:spacing w:after="0" w:line="263" w:lineRule="auto"/>
        <w:rPr>
          <w:sz w:val="20"/>
          <w:szCs w:val="20"/>
          <w:color w:val="auto"/>
        </w:rPr>
      </w:pPr>
      <w:r>
        <w:rPr>
          <w:rFonts w:ascii="Arial" w:cs="Arial" w:eastAsia="Arial" w:hAnsi="Arial"/>
          <w:sz w:val="18"/>
          <w:szCs w:val="18"/>
          <w:color w:val="auto"/>
        </w:rPr>
        <w:t>On September 17, 2019, the underwriters partially exercised their option to purchase additional shares. The Company issued and sold 844,362 shares of common stock at a public offering price of $14.50 per share of common stock. After deducting the underwriting discounts and offering expenses, the Company received total net proceeds of $11 million.</w:t>
      </w:r>
    </w:p>
    <w:p>
      <w:pPr>
        <w:spacing w:after="0" w:line="130" w:lineRule="exact"/>
        <w:rPr>
          <w:sz w:val="20"/>
          <w:szCs w:val="20"/>
          <w:color w:val="auto"/>
        </w:rPr>
      </w:pPr>
    </w:p>
    <w:p>
      <w:pPr>
        <w:ind w:left="180" w:firstLine="486"/>
        <w:spacing w:after="0" w:line="293" w:lineRule="auto"/>
        <w:rPr>
          <w:sz w:val="20"/>
          <w:szCs w:val="20"/>
          <w:color w:val="auto"/>
        </w:rPr>
      </w:pPr>
      <w:r>
        <w:rPr>
          <w:rFonts w:ascii="Arial" w:cs="Arial" w:eastAsia="Arial" w:hAnsi="Arial"/>
          <w:sz w:val="16"/>
          <w:szCs w:val="16"/>
          <w:color w:val="auto"/>
        </w:rPr>
        <w:t>As of June 30, 2020, the Company qualified as an emerging growth company (“EGC”) under the Jumpstart Our Business Startups Act of 2012 (the “JOBS Act”).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 w:name="page13"/>
    <w:bookmarkEnd w:id="12"/>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Recent Accounting Pronouncements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implemented the following ASUs during 2020:</w:t>
      </w:r>
    </w:p>
    <w:p>
      <w:pPr>
        <w:sectPr>
          <w:pgSz w:w="11900" w:h="16838" w:orient="portrait"/>
          <w:cols w:equalWidth="0" w:num="1">
            <w:col w:w="11200"/>
          </w:cols>
          <w:pgMar w:left="320" w:top="179" w:right="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80" w:right="420"/>
        <w:spacing w:after="0" w:line="417" w:lineRule="auto"/>
        <w:rPr>
          <w:sz w:val="20"/>
          <w:szCs w:val="20"/>
          <w:color w:val="auto"/>
        </w:rPr>
      </w:pPr>
      <w:r>
        <w:rPr>
          <w:rFonts w:ascii="Arial" w:cs="Arial" w:eastAsia="Arial" w:hAnsi="Arial"/>
          <w:sz w:val="16"/>
          <w:szCs w:val="16"/>
          <w:b w:val="1"/>
          <w:bCs w:val="1"/>
          <w:color w:val="auto"/>
        </w:rPr>
        <w:t xml:space="preserve">Standard </w:t>
      </w:r>
      <w:r>
        <w:rPr>
          <w:rFonts w:ascii="Arial" w:cs="Arial" w:eastAsia="Arial" w:hAnsi="Arial"/>
          <w:sz w:val="16"/>
          <w:szCs w:val="16"/>
          <w:color w:val="auto"/>
        </w:rPr>
        <w:t>ASU 2020-04:</w:t>
      </w:r>
    </w:p>
    <w:p>
      <w:pPr>
        <w:spacing w:after="0" w:line="53" w:lineRule="exact"/>
        <w:rPr>
          <w:sz w:val="20"/>
          <w:szCs w:val="20"/>
          <w:color w:val="auto"/>
        </w:rPr>
      </w:pPr>
    </w:p>
    <w:p>
      <w:pPr>
        <w:ind w:left="180"/>
        <w:spacing w:after="0" w:line="241" w:lineRule="auto"/>
        <w:rPr>
          <w:sz w:val="20"/>
          <w:szCs w:val="20"/>
          <w:color w:val="auto"/>
        </w:rPr>
      </w:pPr>
      <w:r>
        <w:rPr>
          <w:rFonts w:ascii="Arial" w:cs="Arial" w:eastAsia="Arial" w:hAnsi="Arial"/>
          <w:sz w:val="16"/>
          <w:szCs w:val="16"/>
          <w:i w:val="1"/>
          <w:iCs w:val="1"/>
          <w:color w:val="auto"/>
        </w:rPr>
        <w:t>Reference Rate Reform (Topic 848): Facilitation of the Effects of Reference Rate Reform on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ASU 2019-12:</w:t>
      </w:r>
    </w:p>
    <w:p>
      <w:pPr>
        <w:spacing w:after="0" w:line="212" w:lineRule="exact"/>
        <w:rPr>
          <w:sz w:val="20"/>
          <w:szCs w:val="20"/>
          <w:color w:val="auto"/>
        </w:rPr>
      </w:pPr>
    </w:p>
    <w:p>
      <w:pPr>
        <w:ind w:left="180"/>
        <w:spacing w:after="0" w:line="271" w:lineRule="auto"/>
        <w:rPr>
          <w:sz w:val="20"/>
          <w:szCs w:val="20"/>
          <w:color w:val="auto"/>
        </w:rPr>
      </w:pPr>
      <w:r>
        <w:rPr>
          <w:rFonts w:ascii="Arial" w:cs="Arial" w:eastAsia="Arial" w:hAnsi="Arial"/>
          <w:sz w:val="15"/>
          <w:szCs w:val="15"/>
          <w:i w:val="1"/>
          <w:iCs w:val="1"/>
          <w:color w:val="auto"/>
        </w:rPr>
        <w:t>Income Taxes (Topic 740): Simplifying the Accounting for Income Taxes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5120" w:type="dxa"/>
            <w:vAlign w:val="bottom"/>
          </w:tcPr>
          <w:p>
            <w:pPr>
              <w:spacing w:after="0"/>
              <w:rPr>
                <w:sz w:val="18"/>
                <w:szCs w:val="18"/>
                <w:color w:val="auto"/>
              </w:rPr>
            </w:pPr>
          </w:p>
        </w:tc>
      </w:tr>
      <w:tr>
        <w:trPr>
          <w:trHeight w:val="234"/>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22"/>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June 30,</w:t>
            </w:r>
          </w:p>
        </w:tc>
        <w:tc>
          <w:tcPr>
            <w:tcW w:w="5120" w:type="dxa"/>
            <w:vAlign w:val="bottom"/>
          </w:tcPr>
          <w:p>
            <w:pPr>
              <w:ind w:left="20"/>
              <w:spacing w:after="0"/>
              <w:rPr>
                <w:sz w:val="20"/>
                <w:szCs w:val="20"/>
                <w:color w:val="auto"/>
              </w:rPr>
            </w:pPr>
            <w:r>
              <w:rPr>
                <w:rFonts w:ascii="Arial" w:cs="Arial" w:eastAsia="Arial" w:hAnsi="Arial"/>
                <w:sz w:val="18"/>
                <w:szCs w:val="18"/>
                <w:color w:val="auto"/>
                <w:w w:val="94"/>
              </w:rPr>
              <w:t>The ASU provides optional expedients and exceptions to contracts,</w:t>
            </w: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89"/>
              </w:rPr>
              <w:t>hedging relationships, and other transactions affected by reference rate</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reform if certain criteria are met.</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1"/>
              </w:rPr>
              <w:t>The ASU only applies to transactions that reference LIBOR or another</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2"/>
              </w:rPr>
              <w:t>reference rate expected to be discontinued because of reference rate</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2"/>
              </w:rPr>
              <w:t>reform. The expedients and exceptions provided by the amendments</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1"/>
              </w:rPr>
              <w:t>do not apply to contract modifications made and hedging relationships</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0"/>
              </w:rPr>
              <w:t>entered into or evaluated after December 31, 2022, except for hedging</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relationships existing as of December 31, 2022, that an entity has</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4"/>
              </w:rPr>
              <w:t>elected certain optional expedients for and that are retained through</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the end of the hedging relationship. The amendments include:</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 Optional expedients to contract modifications that allow the</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2"/>
              </w:rPr>
              <w:t>Company to adjust the effective interest rate of receivables and debt,</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1"/>
              </w:rPr>
              <w:t>account for lease modifications as a continuation of the existing lease,</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and remove the requirement to reassess its original conclusions for</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contract modifications about whether that contract contains an</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embedded derivative that is clearly and closely related to the</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0"/>
              </w:rPr>
              <w:t>economic characteristics and risks of the host contract under Subtopic</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815-15, Derivatives and Hedging—Embedded Derivatives;</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2"/>
              </w:rPr>
              <w:t>(2) Exceptions to the guidance in Topic 815 related to changes in the</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4"/>
              </w:rPr>
              <w:t>critical terms of a hedging relationship due to reference rate reform;</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and</w:t>
            </w:r>
          </w:p>
        </w:tc>
      </w:tr>
      <w:tr>
        <w:trPr>
          <w:trHeight w:val="432"/>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(3) Optional expedients for cash flow and fair value hedges.</w:t>
            </w:r>
          </w:p>
        </w:tc>
      </w:tr>
      <w:tr>
        <w:trPr>
          <w:trHeight w:val="25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January 1,</w:t>
            </w:r>
          </w:p>
        </w:tc>
        <w:tc>
          <w:tcPr>
            <w:tcW w:w="5120" w:type="dxa"/>
            <w:vAlign w:val="bottom"/>
          </w:tcPr>
          <w:p>
            <w:pPr>
              <w:ind w:left="20"/>
              <w:spacing w:after="0"/>
              <w:rPr>
                <w:sz w:val="20"/>
                <w:szCs w:val="20"/>
                <w:color w:val="auto"/>
              </w:rPr>
            </w:pPr>
            <w:r>
              <w:rPr>
                <w:rFonts w:ascii="Arial" w:cs="Arial" w:eastAsia="Arial" w:hAnsi="Arial"/>
                <w:sz w:val="18"/>
                <w:szCs w:val="18"/>
                <w:color w:val="auto"/>
                <w:w w:val="96"/>
              </w:rPr>
              <w:t>The ASU simplifies the accounting for income taxes. Among other</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changes, the ASU:</w:t>
            </w:r>
          </w:p>
        </w:tc>
      </w:tr>
      <w:tr>
        <w:trPr>
          <w:trHeight w:val="418"/>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(Early</w:t>
            </w:r>
          </w:p>
        </w:tc>
        <w:tc>
          <w:tcPr>
            <w:tcW w:w="5120" w:type="dxa"/>
            <w:vAlign w:val="bottom"/>
          </w:tcPr>
          <w:p>
            <w:pPr>
              <w:ind w:left="20"/>
              <w:spacing w:after="0"/>
              <w:rPr>
                <w:sz w:val="20"/>
                <w:szCs w:val="20"/>
                <w:color w:val="auto"/>
              </w:rPr>
            </w:pPr>
            <w:r>
              <w:rPr>
                <w:rFonts w:ascii="Arial" w:cs="Arial" w:eastAsia="Arial" w:hAnsi="Arial"/>
                <w:sz w:val="18"/>
                <w:szCs w:val="18"/>
                <w:color w:val="auto"/>
                <w:w w:val="90"/>
              </w:rPr>
              <w:t>(1) Removes the exception to the incremental approach for intraperiod</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Adoption)</w:t>
            </w:r>
          </w:p>
        </w:tc>
        <w:tc>
          <w:tcPr>
            <w:tcW w:w="5120" w:type="dxa"/>
            <w:vAlign w:val="bottom"/>
          </w:tcPr>
          <w:p>
            <w:pPr>
              <w:ind w:left="20"/>
              <w:spacing w:after="0"/>
              <w:rPr>
                <w:sz w:val="20"/>
                <w:szCs w:val="20"/>
                <w:color w:val="auto"/>
              </w:rPr>
            </w:pPr>
            <w:r>
              <w:rPr>
                <w:rFonts w:ascii="Arial" w:cs="Arial" w:eastAsia="Arial" w:hAnsi="Arial"/>
                <w:sz w:val="18"/>
                <w:szCs w:val="18"/>
                <w:color w:val="auto"/>
                <w:w w:val="97"/>
              </w:rPr>
              <w:t>tax allocation when there is a loss from continuing operations and</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income or a gain from other items;</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1"/>
              </w:rPr>
              <w:t>(2) Removes the exception to the general methodology for calculating</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89"/>
              </w:rPr>
              <w:t>income taxes in an interim period when a year-to-date loss exceeds the</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anticipated loss for the year;</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(3) Requires an entity to recognize a franchise tax that is partially</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based on income as an income-based tax and account for any</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incremental amount incurred as a nonincome based tax; and</w:t>
            </w:r>
          </w:p>
        </w:tc>
      </w:tr>
      <w:tr>
        <w:trPr>
          <w:trHeight w:val="41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(4) Requires an entity reflect the effect of an enacted change in tax</w:t>
            </w: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0"/>
              </w:rPr>
              <w:t>laws or rates in the annual effective tax rate computation in the interim</w:t>
            </w:r>
          </w:p>
        </w:tc>
      </w:tr>
      <w:tr>
        <w:trPr>
          <w:trHeight w:val="230"/>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period that includes the enactment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-6231255</wp:posOffset>
            </wp:positionV>
            <wp:extent cx="7029450" cy="3745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60"/>
        <w:spacing w:after="0" w:line="300" w:lineRule="auto"/>
        <w:rPr>
          <w:sz w:val="20"/>
          <w:szCs w:val="20"/>
          <w:color w:val="auto"/>
        </w:rPr>
      </w:pPr>
      <w:r>
        <w:rPr>
          <w:rFonts w:ascii="Arial" w:cs="Arial" w:eastAsia="Arial" w:hAnsi="Arial"/>
          <w:sz w:val="17"/>
          <w:szCs w:val="17"/>
          <w:b w:val="1"/>
          <w:bCs w:val="1"/>
          <w:color w:val="auto"/>
        </w:rPr>
        <w:t>Effect on Financial Statements or Other Significant Matters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had more than $1 billion in loans tied to LIBOR as of June 30, 2020.</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Company does not believe the adoption will have a material accounting impact on the Company’s consolidated financial position or results of operations. Additionally, LIBOR fallback language has been included in key loan provisions of new and renewed loans in preparation for transition from LIBOR to the new benchmark rate when such transition occurs. This standard is expected to ease the administrative burden in accounting for the future effects of reference rate reform.</w:t>
      </w:r>
    </w:p>
    <w:p>
      <w:pPr>
        <w:spacing w:after="0" w:line="192"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The ASU allows the Company to recognize the modification related to LIBOR as a continuation of the old contract, rather than a cancellation of the old contract resulting in a write off of unamortized fees and creation of a new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amendments in the ASU did not have a material impact on the Company’s tax methodology, processes, or the Company’s financial statements.</w:t>
      </w:r>
    </w:p>
    <w:p>
      <w:pPr>
        <w:sectPr>
          <w:pgSz w:w="11900" w:h="16838" w:orient="portrait"/>
          <w:cols w:equalWidth="0" w:num="3">
            <w:col w:w="1660" w:space="140"/>
            <w:col w:w="6260" w:space="120"/>
            <w:col w:w="3020"/>
          </w:cols>
          <w:pgMar w:left="320" w:top="179" w:right="379" w:bottom="1440" w:gutter="0" w:footer="0" w:header="0"/>
          <w:type w:val="continuous"/>
        </w:sectPr>
      </w:pPr>
    </w:p>
    <w:bookmarkStart w:id="13" w:name="page14"/>
    <w:bookmarkEnd w:id="13"/>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ectPr>
          <w:pgSz w:w="11900" w:h="16838" w:orient="portrait"/>
          <w:cols w:equalWidth="0" w:num="1">
            <w:col w:w="11200"/>
          </w:cols>
          <w:pgMar w:left="340" w:top="179" w:right="3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Date of</w:t>
      </w:r>
    </w:p>
    <w:p>
      <w:pPr>
        <w:spacing w:after="0" w:line="27" w:lineRule="exact"/>
        <w:rPr>
          <w:sz w:val="20"/>
          <w:szCs w:val="20"/>
          <w:color w:val="auto"/>
        </w:rPr>
      </w:pPr>
    </w:p>
    <w:p>
      <w:pPr>
        <w:ind w:left="160"/>
        <w:spacing w:after="0"/>
        <w:tabs>
          <w:tab w:leader="none" w:pos="1780" w:val="left"/>
        </w:tabs>
        <w:rPr>
          <w:sz w:val="20"/>
          <w:szCs w:val="20"/>
          <w:color w:val="auto"/>
        </w:rPr>
      </w:pPr>
      <w:r>
        <w:rPr>
          <w:rFonts w:ascii="Arial" w:cs="Arial" w:eastAsia="Arial" w:hAnsi="Arial"/>
          <w:sz w:val="16"/>
          <w:szCs w:val="16"/>
          <w:b w:val="1"/>
          <w:bCs w:val="1"/>
          <w:color w:val="auto"/>
        </w:rPr>
        <w:t>Standard</w:t>
      </w:r>
      <w:r>
        <w:rPr>
          <w:sz w:val="20"/>
          <w:szCs w:val="20"/>
          <w:color w:val="auto"/>
        </w:rPr>
        <w:tab/>
      </w:r>
      <w:r>
        <w:rPr>
          <w:rFonts w:ascii="Arial" w:cs="Arial" w:eastAsia="Arial" w:hAnsi="Arial"/>
          <w:sz w:val="16"/>
          <w:szCs w:val="16"/>
          <w:b w:val="1"/>
          <w:bCs w:val="1"/>
          <w:color w:val="auto"/>
        </w:rPr>
        <w:t>Adoption</w:t>
      </w:r>
    </w:p>
    <w:p>
      <w:pPr>
        <w:spacing w:after="0" w:line="58" w:lineRule="exact"/>
        <w:rPr>
          <w:sz w:val="20"/>
          <w:szCs w:val="20"/>
          <w:color w:val="auto"/>
        </w:rPr>
      </w:pPr>
    </w:p>
    <w:p>
      <w:pPr>
        <w:ind w:left="1800" w:hanging="1632"/>
        <w:spacing w:after="0" w:line="248" w:lineRule="auto"/>
        <w:tabs>
          <w:tab w:leader="none" w:pos="1780" w:val="left"/>
        </w:tabs>
        <w:rPr>
          <w:sz w:val="20"/>
          <w:szCs w:val="20"/>
          <w:color w:val="auto"/>
        </w:rPr>
      </w:pPr>
      <w:r>
        <w:rPr>
          <w:rFonts w:ascii="Arial" w:cs="Arial" w:eastAsia="Arial" w:hAnsi="Arial"/>
          <w:sz w:val="18"/>
          <w:szCs w:val="18"/>
          <w:color w:val="auto"/>
        </w:rPr>
        <w:t>ASU 2018-13:</w:t>
      </w:r>
      <w:r>
        <w:rPr>
          <w:sz w:val="20"/>
          <w:szCs w:val="20"/>
          <w:color w:val="auto"/>
        </w:rPr>
        <w:tab/>
      </w:r>
      <w:r>
        <w:rPr>
          <w:rFonts w:ascii="Arial" w:cs="Arial" w:eastAsia="Arial" w:hAnsi="Arial"/>
          <w:sz w:val="18"/>
          <w:szCs w:val="18"/>
          <w:color w:val="auto"/>
        </w:rPr>
        <w:t>January 1, 2020</w:t>
      </w:r>
    </w:p>
    <w:p>
      <w:pPr>
        <w:spacing w:after="0" w:line="7" w:lineRule="exact"/>
        <w:rPr>
          <w:sz w:val="20"/>
          <w:szCs w:val="20"/>
          <w:color w:val="auto"/>
        </w:rPr>
      </w:pPr>
    </w:p>
    <w:p>
      <w:pPr>
        <w:ind w:left="160" w:right="900"/>
        <w:spacing w:after="0" w:line="242" w:lineRule="auto"/>
        <w:rPr>
          <w:sz w:val="20"/>
          <w:szCs w:val="20"/>
          <w:color w:val="auto"/>
        </w:rPr>
      </w:pPr>
      <w:r>
        <w:rPr>
          <w:rFonts w:ascii="Arial" w:cs="Arial" w:eastAsia="Arial" w:hAnsi="Arial"/>
          <w:sz w:val="16"/>
          <w:szCs w:val="16"/>
          <w:i w:val="1"/>
          <w:iCs w:val="1"/>
          <w:color w:val="auto"/>
        </w:rPr>
        <w:t>Fair Value Measurement (Topic 820): Disclosure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ASU 2017-04:</w:t>
            </w:r>
          </w:p>
        </w:tc>
        <w:tc>
          <w:tcPr>
            <w:tcW w:w="840" w:type="dxa"/>
            <w:vAlign w:val="bottom"/>
          </w:tcPr>
          <w:p>
            <w:pPr>
              <w:ind w:left="100"/>
              <w:spacing w:after="0"/>
              <w:rPr>
                <w:sz w:val="20"/>
                <w:szCs w:val="20"/>
                <w:color w:val="auto"/>
              </w:rPr>
            </w:pPr>
            <w:r>
              <w:rPr>
                <w:rFonts w:ascii="Arial" w:cs="Arial" w:eastAsia="Arial" w:hAnsi="Arial"/>
                <w:sz w:val="18"/>
                <w:szCs w:val="18"/>
                <w:color w:val="auto"/>
                <w:w w:val="85"/>
              </w:rPr>
              <w:t>January 1,</w:t>
            </w:r>
          </w:p>
        </w:tc>
        <w:tc>
          <w:tcPr>
            <w:tcW w:w="0" w:type="dxa"/>
            <w:vAlign w:val="bottom"/>
          </w:tcPr>
          <w:p>
            <w:pPr>
              <w:spacing w:after="0"/>
              <w:rPr>
                <w:sz w:val="1"/>
                <w:szCs w:val="1"/>
                <w:color w:val="auto"/>
              </w:rPr>
            </w:pPr>
          </w:p>
        </w:tc>
      </w:tr>
      <w:tr>
        <w:trPr>
          <w:trHeight w:val="230"/>
        </w:trPr>
        <w:tc>
          <w:tcPr>
            <w:tcW w:w="1540" w:type="dxa"/>
            <w:vAlign w:val="bottom"/>
            <w:vMerge w:val="restart"/>
          </w:tcPr>
          <w:p>
            <w:pPr>
              <w:spacing w:after="0"/>
              <w:rPr>
                <w:sz w:val="20"/>
                <w:szCs w:val="20"/>
                <w:color w:val="auto"/>
              </w:rPr>
            </w:pPr>
            <w:r>
              <w:rPr>
                <w:rFonts w:ascii="Arial" w:cs="Arial" w:eastAsia="Arial" w:hAnsi="Arial"/>
                <w:sz w:val="18"/>
                <w:szCs w:val="18"/>
                <w:i w:val="1"/>
                <w:iCs w:val="1"/>
                <w:color w:val="auto"/>
              </w:rPr>
              <w:t>Intangibles—</w:t>
            </w:r>
          </w:p>
        </w:tc>
        <w:tc>
          <w:tcPr>
            <w:tcW w:w="840" w:type="dxa"/>
            <w:vAlign w:val="bottom"/>
          </w:tcPr>
          <w:p>
            <w:pPr>
              <w:ind w:lef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35"/>
        </w:trPr>
        <w:tc>
          <w:tcPr>
            <w:tcW w:w="154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line="176" w:lineRule="exact"/>
              <w:rPr>
                <w:sz w:val="20"/>
                <w:szCs w:val="20"/>
                <w:color w:val="auto"/>
              </w:rPr>
            </w:pPr>
            <w:r>
              <w:rPr>
                <w:rFonts w:ascii="Arial" w:cs="Arial" w:eastAsia="Arial" w:hAnsi="Arial"/>
                <w:sz w:val="18"/>
                <w:szCs w:val="18"/>
                <w:i w:val="1"/>
                <w:iCs w:val="1"/>
                <w:color w:val="auto"/>
                <w:w w:val="98"/>
              </w:rPr>
              <w:t>Goodwill and Other</w:t>
            </w: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rPr>
              <w:t>(Early</w:t>
            </w:r>
          </w:p>
        </w:tc>
        <w:tc>
          <w:tcPr>
            <w:tcW w:w="0" w:type="dxa"/>
            <w:vAlign w:val="bottom"/>
          </w:tcPr>
          <w:p>
            <w:pPr>
              <w:spacing w:after="0"/>
              <w:rPr>
                <w:sz w:val="1"/>
                <w:szCs w:val="1"/>
                <w:color w:val="auto"/>
              </w:rPr>
            </w:pPr>
          </w:p>
        </w:tc>
      </w:tr>
      <w:tr>
        <w:trPr>
          <w:trHeight w:val="107"/>
        </w:trPr>
        <w:tc>
          <w:tcPr>
            <w:tcW w:w="1540" w:type="dxa"/>
            <w:vAlign w:val="bottom"/>
            <w:vMerge w:val="restart"/>
          </w:tcPr>
          <w:p>
            <w:pPr>
              <w:spacing w:after="0" w:line="176" w:lineRule="exact"/>
              <w:rPr>
                <w:sz w:val="20"/>
                <w:szCs w:val="20"/>
                <w:color w:val="auto"/>
              </w:rPr>
            </w:pPr>
            <w:r>
              <w:rPr>
                <w:rFonts w:ascii="Arial" w:cs="Arial" w:eastAsia="Arial" w:hAnsi="Arial"/>
                <w:sz w:val="18"/>
                <w:szCs w:val="18"/>
                <w:i w:val="1"/>
                <w:iCs w:val="1"/>
                <w:color w:val="auto"/>
              </w:rPr>
              <w:t>(Topic 350):</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w w:val="93"/>
              </w:rPr>
              <w:t>Adoption)</w:t>
            </w:r>
          </w:p>
        </w:tc>
        <w:tc>
          <w:tcPr>
            <w:tcW w:w="0" w:type="dxa"/>
            <w:vAlign w:val="bottom"/>
          </w:tcPr>
          <w:p>
            <w:pPr>
              <w:spacing w:after="0"/>
              <w:rPr>
                <w:sz w:val="1"/>
                <w:szCs w:val="1"/>
                <w:color w:val="auto"/>
              </w:rPr>
            </w:pPr>
          </w:p>
        </w:tc>
      </w:tr>
      <w:tr>
        <w:trPr>
          <w:trHeight w:val="175"/>
        </w:trPr>
        <w:tc>
          <w:tcPr>
            <w:tcW w:w="1540" w:type="dxa"/>
            <w:vAlign w:val="bottom"/>
          </w:tcPr>
          <w:p>
            <w:pPr>
              <w:spacing w:after="0" w:line="176" w:lineRule="exact"/>
              <w:rPr>
                <w:sz w:val="20"/>
                <w:szCs w:val="20"/>
                <w:color w:val="auto"/>
              </w:rPr>
            </w:pPr>
            <w:r>
              <w:rPr>
                <w:rFonts w:ascii="Arial" w:cs="Arial" w:eastAsia="Arial" w:hAnsi="Arial"/>
                <w:sz w:val="18"/>
                <w:szCs w:val="18"/>
                <w:i w:val="1"/>
                <w:iCs w:val="1"/>
                <w:color w:val="auto"/>
                <w:w w:val="96"/>
              </w:rPr>
              <w:t>Simplifying the Test</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i w:val="1"/>
                <w:iCs w:val="1"/>
                <w:color w:val="auto"/>
              </w:rPr>
              <w:t>for Goodwill</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i w:val="1"/>
                <w:iCs w:val="1"/>
                <w:color w:val="auto"/>
              </w:rPr>
              <w:t>Impairment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34290</wp:posOffset>
            </wp:positionV>
            <wp:extent cx="7029450" cy="2366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2366010"/>
                    </a:xfrm>
                    <a:prstGeom prst="rect">
                      <a:avLst/>
                    </a:prstGeom>
                    <a:noFill/>
                  </pic:spPr>
                </pic:pic>
              </a:graphicData>
            </a:graphic>
          </wp:anchor>
        </w:drawing>
      </w:r>
    </w:p>
    <w:p>
      <w:pPr>
        <w:spacing w:after="0" w:line="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Improves the effectiveness of disclosures in the notes to financial statements by facilitating clear communication of the information. The amendments modify certain disclosure requirements of fair value measurements in Topic 820, Fair Value Measurement.</w:t>
      </w:r>
    </w:p>
    <w:p>
      <w:pPr>
        <w:spacing w:after="0" w:line="17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Entities are no longer required to disclose transfers between Level 1 and Level 2 of the fair value hierarchy or qualitatively disclose the valuation process for Level 3 fair value measurements. The updated guidance requires disclosure of the changes in unrealized gains and losses for the period included in Other Comprehensive Income for recurring Level 3 fair value measurements. Entities are required to disclose the range and weighted average used to develop significant unobservable inputs for Level 3 fair value measurements.</w:t>
      </w:r>
    </w:p>
    <w:p>
      <w:pPr>
        <w:spacing w:after="0" w:line="165"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additional provisions of the guidance should be adopted prospectively. The eliminated requirements should be adopted retrospectively.</w:t>
      </w:r>
    </w:p>
    <w:p>
      <w:pPr>
        <w:spacing w:after="0" w:line="2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Eliminates Step 2 from the goodwill impairment test which required entities to compute the implied fair value of goodwill. An entity should perform an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480"/>
        <w:spacing w:after="0" w:line="300" w:lineRule="auto"/>
        <w:rPr>
          <w:sz w:val="20"/>
          <w:szCs w:val="20"/>
          <w:color w:val="auto"/>
        </w:rPr>
      </w:pPr>
      <w:r>
        <w:rPr>
          <w:rFonts w:ascii="Arial" w:cs="Arial" w:eastAsia="Arial" w:hAnsi="Arial"/>
          <w:sz w:val="17"/>
          <w:szCs w:val="17"/>
          <w:b w:val="1"/>
          <w:bCs w:val="1"/>
          <w:color w:val="auto"/>
        </w:rPr>
        <w:t>Effect on Financial Statements or Other Significant Matters</w:t>
      </w:r>
    </w:p>
    <w:p>
      <w:pPr>
        <w:spacing w:after="0" w:line="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adoption did not have a material impact to the financial statements.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 transfers between Level 1 and Level 2 occurred in 2019 or 2020 and the Company did not have any recurring Level 3 fair value measurements that created an unrealized gain or loss in Other Comprehensive Income. In addition, the Company previously disclosed the range and weighted average used to develop significant unobservable inputs for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the date of adoption there was no impact to the financial statements.</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process for evaluating goodwill impairment was modified to align with the elimination of Step 2. In the second quarter of 2020, the Company performed a Step 0 analysis then a Step 1 analysis and determined that goodwill was fully impaired.</w:t>
      </w:r>
    </w:p>
    <w:p>
      <w:pPr>
        <w:spacing w:after="0" w:line="200" w:lineRule="exact"/>
        <w:rPr>
          <w:sz w:val="20"/>
          <w:szCs w:val="20"/>
          <w:color w:val="auto"/>
        </w:rPr>
      </w:pPr>
    </w:p>
    <w:p>
      <w:pPr>
        <w:sectPr>
          <w:pgSz w:w="11900" w:h="16838" w:orient="portrait"/>
          <w:cols w:equalWidth="0" w:num="3">
            <w:col w:w="2540" w:space="400"/>
            <w:col w:w="5080" w:space="140"/>
            <w:col w:w="3040"/>
          </w:cols>
          <w:pgMar w:left="340" w:top="179" w:right="35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79" w:right="359" w:bottom="1440" w:gutter="0" w:footer="0" w:header="0"/>
          <w:type w:val="continuous"/>
        </w:sectPr>
      </w:pPr>
    </w:p>
    <w:bookmarkStart w:id="14" w:name="page15"/>
    <w:bookmarkEnd w:id="14"/>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60" w:right="540" w:firstLine="486"/>
        <w:spacing w:after="0" w:line="277" w:lineRule="auto"/>
        <w:rPr>
          <w:sz w:val="20"/>
          <w:szCs w:val="20"/>
          <w:color w:val="auto"/>
        </w:rPr>
      </w:pPr>
      <w:r>
        <w:rPr>
          <w:rFonts w:ascii="Arial" w:cs="Arial" w:eastAsia="Arial" w:hAnsi="Arial"/>
          <w:sz w:val="18"/>
          <w:szCs w:val="18"/>
          <w:color w:val="auto"/>
        </w:rPr>
        <w:t>The Company has provided updates to the following ASUs that have not yet been adopted. A complete list of recent, applicable accounting pronouncements was provided in the Company’s 2019 Form 10-K:</w:t>
      </w:r>
    </w:p>
    <w:p>
      <w:pPr>
        <w:sectPr>
          <w:pgSz w:w="11900" w:h="16838" w:orient="portrait"/>
          <w:cols w:equalWidth="0" w:num="1">
            <w:col w:w="11200"/>
          </w:cols>
          <w:pgMar w:left="340" w:top="179" w:right="359" w:bottom="1440" w:gutter="0" w:footer="0" w:header="0"/>
        </w:sectPr>
      </w:pPr>
    </w:p>
    <w:p>
      <w:pPr>
        <w:spacing w:after="0" w:line="382" w:lineRule="exact"/>
        <w:rPr>
          <w:sz w:val="20"/>
          <w:szCs w:val="20"/>
          <w:color w:val="auto"/>
        </w:rPr>
      </w:pPr>
    </w:p>
    <w:p>
      <w:pPr>
        <w:ind w:left="160"/>
        <w:spacing w:after="0" w:line="417" w:lineRule="auto"/>
        <w:rPr>
          <w:sz w:val="20"/>
          <w:szCs w:val="20"/>
          <w:color w:val="auto"/>
        </w:rPr>
      </w:pPr>
      <w:r>
        <w:rPr>
          <w:rFonts w:ascii="Arial" w:cs="Arial" w:eastAsia="Arial" w:hAnsi="Arial"/>
          <w:sz w:val="16"/>
          <w:szCs w:val="16"/>
          <w:b w:val="1"/>
          <w:bCs w:val="1"/>
          <w:color w:val="auto"/>
        </w:rPr>
        <w:t xml:space="preserve">Standard </w:t>
      </w:r>
      <w:r>
        <w:rPr>
          <w:rFonts w:ascii="Arial" w:cs="Arial" w:eastAsia="Arial" w:hAnsi="Arial"/>
          <w:sz w:val="16"/>
          <w:szCs w:val="16"/>
          <w:color w:val="auto"/>
        </w:rPr>
        <w:t>ASU 2016-13</w:t>
      </w:r>
    </w:p>
    <w:p>
      <w:pPr>
        <w:spacing w:after="0" w:line="53" w:lineRule="exact"/>
        <w:rPr>
          <w:sz w:val="20"/>
          <w:szCs w:val="20"/>
          <w:color w:val="auto"/>
        </w:rPr>
      </w:pPr>
    </w:p>
    <w:p>
      <w:pPr>
        <w:ind w:left="160" w:right="40"/>
        <w:spacing w:after="0" w:line="259" w:lineRule="auto"/>
        <w:rPr>
          <w:sz w:val="20"/>
          <w:szCs w:val="20"/>
          <w:color w:val="auto"/>
        </w:rPr>
      </w:pPr>
      <w:r>
        <w:rPr>
          <w:rFonts w:ascii="Arial" w:cs="Arial" w:eastAsia="Arial" w:hAnsi="Arial"/>
          <w:sz w:val="16"/>
          <w:szCs w:val="16"/>
          <w:i w:val="1"/>
          <w:iCs w:val="1"/>
          <w:color w:val="auto"/>
        </w:rPr>
        <w:t>Financial Instruments-Credit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ASU 2016-02</w:t>
      </w:r>
    </w:p>
    <w:p>
      <w:pPr>
        <w:spacing w:after="0" w:line="235"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i w:val="1"/>
          <w:iCs w:val="1"/>
          <w:color w:val="auto"/>
        </w:rPr>
        <w:t>Leases (Topic 842)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Anticipated Date of Adoption</w:t>
      </w:r>
    </w:p>
    <w:p>
      <w:pPr>
        <w:spacing w:after="0" w:line="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we maintain our EGC status, the Company is not required to implement this standard until January 2023. The Company will continue to monitor its progress and the requirements related to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expects to implement this standard in 2021 if EGC status is maintained. If the Company loses its EGC status in 2020, the Company would be required to implement the ASU as of the beginning of 2020.</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April 8, 2020, the FASB proposed a one-year deferral on the ASU. If EGC status is maintained and the FASB issues the final amendment, the Company would be able to defer implementation until January 1, 2022.</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34290</wp:posOffset>
            </wp:positionV>
            <wp:extent cx="7029450" cy="3060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3060065"/>
                    </a:xfrm>
                    <a:prstGeom prst="rect">
                      <a:avLst/>
                    </a:prstGeom>
                    <a:noFill/>
                  </pic:spPr>
                </pic:pic>
              </a:graphicData>
            </a:graphic>
          </wp:anchor>
        </w:drawing>
      </w:r>
    </w:p>
    <w:p>
      <w:pPr>
        <w:spacing w:after="0" w:line="61"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Requires lessees and lessors to recognize lease assets and lease liabilities on the balance sheet and disclose key information about leasing arrangements.</w:t>
      </w:r>
    </w:p>
    <w:p>
      <w:pPr>
        <w:spacing w:after="0" w:line="185"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The update requires lessees and lessors to recognize and measure leases at the beginning of the earliest period presented using a modified retrospective approach with the option to elect certain practical expedients.</w:t>
      </w:r>
    </w:p>
    <w:p>
      <w:pPr>
        <w:spacing w:after="0" w:line="18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on Financial Statements or Other Significant Matters</w:t>
      </w:r>
    </w:p>
    <w:p>
      <w:pPr>
        <w:spacing w:after="0" w:line="10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established a committee of individuals from applicable departments to oversee the implementation process.</w:t>
      </w:r>
    </w:p>
    <w:p>
      <w:pPr>
        <w:spacing w:after="0" w:line="12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Company implemented a third-party software solution and completed the software implementation phase of the transition. The software implementation phase included data capture and portfolio segmentation amongst other items.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completed an initial parallel run using 2019 data and completed a second parallel run during the fourth quarter of 2019. During the first half of 2020, the Company continued to perform parallel runs using 2020 data and continues to recalibrate inputs as necessary.</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is evaluating the internal control changes that will be necessary to transition to the third-party platform.</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At this time, an estimate of the impact cannot be established as the Company continues to evaluate the inputs into the model. The actual impact could be significantly affected by the composition, characteristics, and quality of the underlying loan portfolio at the time of adoption.</w:t>
      </w:r>
    </w:p>
    <w:p>
      <w:pPr>
        <w:spacing w:after="0" w:line="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expects to apply the update as of the beginning of the period of adoption and the Company does not plan to restate comparative periods. The Company expects to elect certain optional practical expedients.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gathered all potential lease and embedded lease agreements during 2019 and 2020 and is evaluating the applicability and impact to the financial statements.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current operating leases relate primarily to four branch locations, as well as one future lease obligation.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428" w:lineRule="exact"/>
        <w:rPr>
          <w:sz w:val="20"/>
          <w:szCs w:val="20"/>
          <w:color w:val="auto"/>
        </w:rPr>
      </w:pPr>
    </w:p>
    <w:p>
      <w:pPr>
        <w:sectPr>
          <w:pgSz w:w="11900" w:h="16838" w:orient="portrait"/>
          <w:cols w:equalWidth="0" w:num="4">
            <w:col w:w="1180" w:space="320"/>
            <w:col w:w="2100" w:space="200"/>
            <w:col w:w="2580" w:space="180"/>
            <w:col w:w="4640"/>
          </w:cols>
          <w:pgMar w:left="340" w:top="1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79" w:right="359" w:bottom="1440" w:gutter="0" w:footer="0" w:header="0"/>
          <w:type w:val="continuous"/>
        </w:sectPr>
      </w:pPr>
    </w:p>
    <w:bookmarkStart w:id="15" w:name="page16"/>
    <w:bookmarkEnd w:id="15"/>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2:</w:t>
      </w:r>
      <w:r>
        <w:rPr>
          <w:sz w:val="20"/>
          <w:szCs w:val="20"/>
          <w:color w:val="auto"/>
        </w:rPr>
        <w:tab/>
      </w:r>
      <w:r>
        <w:rPr>
          <w:rFonts w:ascii="Arial" w:cs="Arial" w:eastAsia="Arial" w:hAnsi="Arial"/>
          <w:sz w:val="19"/>
          <w:szCs w:val="19"/>
          <w:b w:val="1"/>
          <w:bCs w:val="1"/>
          <w:color w:val="auto"/>
        </w:rPr>
        <w:t>Earnings (Loss) Per Share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computation of basic and diluted earnings (loss) per share:</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20"/>
                <w:szCs w:val="20"/>
                <w:color w:val="auto"/>
              </w:rPr>
            </w:pPr>
          </w:p>
        </w:tc>
        <w:tc>
          <w:tcPr>
            <w:tcW w:w="29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(7,356)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9,439</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w:t>
            </w:r>
          </w:p>
        </w:tc>
        <w:tc>
          <w:tcPr>
            <w:tcW w:w="3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3"/>
        </w:trPr>
        <w:tc>
          <w:tcPr>
            <w:tcW w:w="4240" w:type="dxa"/>
            <w:vAlign w:val="bottom"/>
          </w:tcPr>
          <w:p>
            <w:pPr>
              <w:ind w:left="200"/>
              <w:spacing w:after="0"/>
              <w:rPr>
                <w:sz w:val="20"/>
                <w:szCs w:val="20"/>
                <w:color w:val="auto"/>
              </w:rPr>
            </w:pPr>
            <w:r>
              <w:rPr>
                <w:rFonts w:ascii="Arial" w:cs="Arial" w:eastAsia="Arial" w:hAnsi="Arial"/>
                <w:sz w:val="18"/>
                <w:szCs w:val="18"/>
                <w:color w:val="auto"/>
                <w:w w:val="96"/>
              </w:rPr>
              <w:t>Net income (loss) available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(7,356)</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9,439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52,104,994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45,236,264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52,088,239</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45,165,248</w:t>
            </w:r>
          </w:p>
        </w:tc>
        <w:tc>
          <w:tcPr>
            <w:tcW w:w="0" w:type="dxa"/>
            <w:vAlign w:val="bottom"/>
          </w:tcPr>
          <w:p>
            <w:pPr>
              <w:spacing w:after="0"/>
              <w:rPr>
                <w:sz w:val="1"/>
                <w:szCs w:val="1"/>
                <w:color w:val="auto"/>
              </w:rPr>
            </w:pPr>
          </w:p>
        </w:tc>
      </w:tr>
      <w:tr>
        <w:trPr>
          <w:trHeight w:val="263"/>
        </w:trPr>
        <w:tc>
          <w:tcPr>
            <w:tcW w:w="4240" w:type="dxa"/>
            <w:vAlign w:val="bottom"/>
          </w:tcPr>
          <w:p>
            <w:pPr>
              <w:ind w:left="340"/>
              <w:spacing w:after="0"/>
              <w:rPr>
                <w:sz w:val="20"/>
                <w:szCs w:val="20"/>
                <w:color w:val="auto"/>
              </w:rPr>
            </w:pPr>
            <w:r>
              <w:rPr>
                <w:rFonts w:ascii="Arial" w:cs="Arial" w:eastAsia="Arial" w:hAnsi="Arial"/>
                <w:sz w:val="18"/>
                <w:szCs w:val="18"/>
                <w:color w:val="auto"/>
              </w:rPr>
              <w:t>Earnings (loss)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Dilutive Earnings (Loss) Per Share</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0"/>
              <w:spacing w:after="0"/>
              <w:rPr>
                <w:sz w:val="20"/>
                <w:szCs w:val="20"/>
                <w:color w:val="auto"/>
              </w:rPr>
            </w:pPr>
            <w:r>
              <w:rPr>
                <w:rFonts w:ascii="Arial" w:cs="Arial" w:eastAsia="Arial" w:hAnsi="Arial"/>
                <w:sz w:val="18"/>
                <w:szCs w:val="18"/>
                <w:color w:val="auto"/>
                <w:w w:val="96"/>
              </w:rPr>
              <w:t>Net income (loss) available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(7,356)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9,439</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52,104,994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45,236,264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52,088,239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45,165,248</w:t>
            </w:r>
          </w:p>
        </w:tc>
        <w:tc>
          <w:tcPr>
            <w:tcW w:w="0" w:type="dxa"/>
            <w:vAlign w:val="bottom"/>
          </w:tcPr>
          <w:p>
            <w:pPr>
              <w:spacing w:after="0"/>
              <w:rPr>
                <w:sz w:val="1"/>
                <w:szCs w:val="1"/>
                <w:color w:val="auto"/>
              </w:rPr>
            </w:pPr>
          </w:p>
        </w:tc>
      </w:tr>
      <w:tr>
        <w:trPr>
          <w:trHeight w:val="270"/>
        </w:trPr>
        <w:tc>
          <w:tcPr>
            <w:tcW w:w="4240" w:type="dxa"/>
            <w:vAlign w:val="bottom"/>
          </w:tcPr>
          <w:p>
            <w:pPr>
              <w:ind w:left="200"/>
              <w:spacing w:after="0"/>
              <w:rPr>
                <w:sz w:val="20"/>
                <w:szCs w:val="20"/>
                <w:color w:val="auto"/>
              </w:rPr>
            </w:pPr>
            <w:r>
              <w:rPr>
                <w:rFonts w:ascii="Arial" w:cs="Arial" w:eastAsia="Arial" w:hAnsi="Arial"/>
                <w:sz w:val="18"/>
                <w:szCs w:val="18"/>
                <w:color w:val="auto"/>
              </w:rPr>
              <w:t>Effect of dilutive shares</w:t>
            </w:r>
          </w:p>
        </w:tc>
        <w:tc>
          <w:tcPr>
            <w:tcW w:w="360" w:type="dxa"/>
            <w:vAlign w:val="bottom"/>
          </w:tcPr>
          <w:p>
            <w:pPr>
              <w:spacing w:after="0"/>
              <w:rPr>
                <w:sz w:val="23"/>
                <w:szCs w:val="2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975,516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994,577</w:t>
            </w:r>
          </w:p>
        </w:tc>
        <w:tc>
          <w:tcPr>
            <w:tcW w:w="0" w:type="dxa"/>
            <w:vAlign w:val="bottom"/>
          </w:tcPr>
          <w:p>
            <w:pPr>
              <w:spacing w:after="0"/>
              <w:rPr>
                <w:sz w:val="1"/>
                <w:szCs w:val="1"/>
                <w:color w:val="auto"/>
              </w:rPr>
            </w:pPr>
          </w:p>
        </w:tc>
      </w:tr>
      <w:tr>
        <w:trPr>
          <w:trHeight w:val="263"/>
        </w:trPr>
        <w:tc>
          <w:tcPr>
            <w:tcW w:w="4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dilutive common shares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52,104,994</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46,211,780</w:t>
            </w:r>
          </w:p>
        </w:tc>
        <w:tc>
          <w:tcPr>
            <w:tcW w:w="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52,088,239</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46,159,825</w:t>
            </w:r>
          </w:p>
        </w:tc>
        <w:tc>
          <w:tcPr>
            <w:tcW w:w="0" w:type="dxa"/>
            <w:vAlign w:val="bottom"/>
          </w:tcPr>
          <w:p>
            <w:pPr>
              <w:spacing w:after="0"/>
              <w:rPr>
                <w:sz w:val="1"/>
                <w:szCs w:val="1"/>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Stock-based awards not included because to do so would</w:t>
            </w:r>
          </w:p>
        </w:tc>
        <w:tc>
          <w:tcPr>
            <w:tcW w:w="3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2,417,205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403,722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2,417,205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 antidilutive</w:t>
            </w: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3:</w:t>
      </w:r>
      <w:r>
        <w:rPr>
          <w:sz w:val="20"/>
          <w:szCs w:val="20"/>
          <w:color w:val="auto"/>
        </w:rPr>
        <w:tab/>
      </w:r>
      <w:r>
        <w:rPr>
          <w:rFonts w:ascii="Arial" w:cs="Arial" w:eastAsia="Arial" w:hAnsi="Arial"/>
          <w:sz w:val="18"/>
          <w:szCs w:val="18"/>
          <w:b w:val="1"/>
          <w:bCs w:val="1"/>
          <w:color w:val="auto"/>
        </w:rPr>
        <w:t>Securities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Available-for-Sale Debt and Equity Securities</w:t>
      </w:r>
    </w:p>
    <w:p>
      <w:pPr>
        <w:spacing w:after="0" w:line="164" w:lineRule="exact"/>
        <w:rPr>
          <w:sz w:val="20"/>
          <w:szCs w:val="20"/>
          <w:color w:val="auto"/>
        </w:rPr>
      </w:pPr>
    </w:p>
    <w:p>
      <w:pPr>
        <w:jc w:val="both"/>
        <w:ind w:left="180" w:right="180" w:firstLine="486"/>
        <w:spacing w:after="0" w:line="277" w:lineRule="auto"/>
        <w:rPr>
          <w:sz w:val="20"/>
          <w:szCs w:val="20"/>
          <w:color w:val="auto"/>
        </w:rPr>
      </w:pPr>
      <w:r>
        <w:rPr>
          <w:rFonts w:ascii="Arial" w:cs="Arial" w:eastAsia="Arial" w:hAnsi="Arial"/>
          <w:sz w:val="18"/>
          <w:szCs w:val="18"/>
          <w:color w:val="auto"/>
        </w:rPr>
        <w:t>The amortized cost and approximate fair values, together with gross unrealized gains and losses, of period end available-for-sale debt and equity securities consisted of the following:</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106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Approximate Fair</w:t>
            </w:r>
          </w:p>
        </w:tc>
      </w:t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80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20"/>
              <w:spacing w:after="0"/>
              <w:rPr>
                <w:sz w:val="20"/>
                <w:szCs w:val="20"/>
                <w:color w:val="auto"/>
              </w:rPr>
            </w:pPr>
            <w:r>
              <w:rPr>
                <w:rFonts w:ascii="Arial" w:cs="Arial" w:eastAsia="Arial" w:hAnsi="Arial"/>
                <w:sz w:val="18"/>
                <w:szCs w:val="18"/>
                <w:color w:val="auto"/>
              </w:rPr>
              <w:t>Mortgage-backed - GSE 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139,615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144,598</w:t>
            </w:r>
          </w:p>
        </w:tc>
      </w:tr>
      <w:tr>
        <w:trPr>
          <w:trHeight w:val="27"/>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Collateralized mortgage obligations - GSE residential</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94,189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95,641</w:t>
            </w:r>
          </w:p>
        </w:tc>
      </w:tr>
      <w:tr>
        <w:trPr>
          <w:trHeight w:val="243"/>
        </w:trPr>
        <w:tc>
          <w:tcPr>
            <w:tcW w:w="4380" w:type="dxa"/>
            <w:vAlign w:val="bottom"/>
          </w:tcPr>
          <w:p>
            <w:pPr>
              <w:ind w:left="22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429,603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26,966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456,314</w:t>
            </w:r>
          </w:p>
        </w:tc>
      </w:tr>
      <w:tr>
        <w:trPr>
          <w:trHeight w:val="27"/>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1,294</w:t>
            </w: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Total available-for-sale debt securities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664,619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33,507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697,847</w:t>
            </w:r>
          </w:p>
        </w:tc>
      </w:tr>
      <w:tr>
        <w:trPr>
          <w:trHeight w:val="27"/>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2,236</w:t>
            </w:r>
          </w:p>
        </w:tc>
      </w:tr>
      <w:tr>
        <w:trPr>
          <w:trHeight w:val="27"/>
        </w:trPr>
        <w:tc>
          <w:tcPr>
            <w:tcW w:w="4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2,236</w:t>
            </w:r>
          </w:p>
        </w:tc>
      </w:tr>
      <w:tr>
        <w:trPr>
          <w:trHeight w:val="264"/>
        </w:trPr>
        <w:tc>
          <w:tcPr>
            <w:tcW w:w="438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666,802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33,560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700,083</w:t>
            </w: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660" w:type="dxa"/>
            <w:vAlign w:val="bottom"/>
            <w:gridSpan w:val="7"/>
          </w:tcPr>
          <w:p>
            <w:pPr>
              <w:ind w:left="340"/>
              <w:spacing w:after="0"/>
              <w:rPr>
                <w:sz w:val="20"/>
                <w:szCs w:val="20"/>
                <w:color w:val="auto"/>
              </w:rPr>
            </w:pPr>
            <w:r>
              <w:rPr>
                <w:rFonts w:ascii="Arial" w:cs="Arial" w:eastAsia="Arial" w:hAnsi="Arial"/>
                <w:sz w:val="18"/>
                <w:szCs w:val="18"/>
                <w:color w:val="auto"/>
                <w:w w:val="96"/>
              </w:rPr>
              <w:t>Notes to Consolidated Financial Statements (unaudited)</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10"/>
        </w:trPr>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ind w:left="86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Approximate Fair</w:t>
            </w:r>
          </w:p>
        </w:tc>
      </w:tr>
      <w:tr>
        <w:trPr>
          <w:trHeight w:val="234"/>
        </w:trPr>
        <w:tc>
          <w:tcPr>
            <w:tcW w:w="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80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Mortgage-backed - GSE residential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151,037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152,512</w:t>
            </w:r>
          </w:p>
        </w:tc>
      </w:tr>
      <w:tr>
        <w:trPr>
          <w:trHeight w:val="27"/>
        </w:trPr>
        <w:tc>
          <w:tcPr>
            <w:tcW w:w="14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Collateralized mortgage obligations - GSE residential</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129,212</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State and political subdivisions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436,448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456,340</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1,409</w:t>
            </w:r>
          </w:p>
        </w:tc>
      </w:tr>
      <w:tr>
        <w:trPr>
          <w:trHeight w:val="237"/>
        </w:trPr>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Total available-for-sale debt securities</w:t>
            </w:r>
          </w:p>
        </w:tc>
        <w:tc>
          <w:tcPr>
            <w:tcW w:w="1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717,682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22,377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739,473</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2,161</w:t>
            </w:r>
          </w:p>
        </w:tc>
      </w:tr>
      <w:tr>
        <w:trPr>
          <w:trHeight w:val="27"/>
        </w:trPr>
        <w:tc>
          <w:tcPr>
            <w:tcW w:w="140" w:type="dxa"/>
            <w:vAlign w:val="bottom"/>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14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2,161</w:t>
            </w:r>
          </w:p>
        </w:tc>
      </w:tr>
      <w:tr>
        <w:trPr>
          <w:trHeight w:val="264"/>
        </w:trPr>
        <w:tc>
          <w:tcPr>
            <w:tcW w:w="140" w:type="dxa"/>
            <w:vAlign w:val="bottom"/>
          </w:tcPr>
          <w:p>
            <w:pPr>
              <w:spacing w:after="0"/>
              <w:rPr>
                <w:sz w:val="22"/>
                <w:szCs w:val="22"/>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2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719,872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22,377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741,634</w:t>
            </w:r>
          </w:p>
        </w:tc>
      </w:tr>
      <w:tr>
        <w:trPr>
          <w:trHeight w:val="20"/>
        </w:trPr>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carrying value of securities pledged as collateral was $56 million and $41 million at June 30, 2020 and December 31, 2019, respectively.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amortized cost and fair value of available-for-sale debt securities at June 30, 2020, by contractual maturity, are shown below:</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2020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Within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4"/>
              </w:rPr>
              <w:t>After One to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w w:val="93"/>
              </w:rPr>
              <w:t>After Five to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After</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Five Years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Ten Years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Ten Years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6"/>
          </w:tcPr>
          <w:p>
            <w:pPr>
              <w:jc w:val="right"/>
              <w:ind w:right="130"/>
              <w:spacing w:after="0"/>
              <w:rPr>
                <w:sz w:val="20"/>
                <w:szCs w:val="20"/>
                <w:color w:val="auto"/>
              </w:rPr>
            </w:pPr>
            <w:r>
              <w:rPr>
                <w:rFonts w:ascii="Arial" w:cs="Arial" w:eastAsia="Arial" w:hAnsi="Arial"/>
                <w:sz w:val="16"/>
                <w:szCs w:val="16"/>
                <w:i w:val="1"/>
                <w:iCs w:val="1"/>
                <w:color w:val="auto"/>
                <w:w w:val="97"/>
              </w:rPr>
              <w:t>(Dollars in thousands)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3900" w:type="dxa"/>
            <w:vAlign w:val="bottom"/>
          </w:tcPr>
          <w:p>
            <w:pPr>
              <w:ind w:left="140"/>
              <w:spacing w:after="0" w:line="230" w:lineRule="exact"/>
              <w:rPr>
                <w:sz w:val="20"/>
                <w:szCs w:val="20"/>
                <w:color w:val="auto"/>
              </w:rPr>
            </w:pPr>
            <w:r>
              <w:rPr>
                <w:rFonts w:ascii="Arial" w:cs="Arial" w:eastAsia="Arial" w:hAnsi="Arial"/>
                <w:sz w:val="18"/>
                <w:szCs w:val="18"/>
                <w:color w:val="auto"/>
              </w:rPr>
              <w:t>Mortgage-backed - GSE residential</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Amortized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139,339</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139,615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20"/>
              <w:spacing w:after="0"/>
              <w:rPr>
                <w:sz w:val="20"/>
                <w:szCs w:val="20"/>
                <w:color w:val="auto"/>
              </w:rPr>
            </w:pPr>
            <w:r>
              <w:rPr>
                <w:rFonts w:ascii="Arial" w:cs="Arial" w:eastAsia="Arial" w:hAnsi="Arial"/>
                <w:sz w:val="18"/>
                <w:szCs w:val="18"/>
                <w:color w:val="auto"/>
              </w:rPr>
              <w:t>Estimated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144,305</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144,598</w:t>
            </w: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3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176"/>
        </w:trPr>
        <w:tc>
          <w:tcPr>
            <w:tcW w:w="3900" w:type="dxa"/>
            <w:vAlign w:val="bottom"/>
          </w:tcPr>
          <w:p>
            <w:pPr>
              <w:ind w:left="140"/>
              <w:spacing w:after="0" w:line="176" w:lineRule="exact"/>
              <w:rPr>
                <w:sz w:val="20"/>
                <w:szCs w:val="20"/>
                <w:color w:val="auto"/>
              </w:rPr>
            </w:pPr>
            <w:r>
              <w:rPr>
                <w:rFonts w:ascii="Arial" w:cs="Arial" w:eastAsia="Arial" w:hAnsi="Arial"/>
                <w:sz w:val="18"/>
                <w:szCs w:val="18"/>
                <w:color w:val="auto"/>
              </w:rPr>
              <w:t>Collateralized mortgage obligations - GSE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3900" w:type="dxa"/>
            <w:vAlign w:val="bottom"/>
          </w:tcPr>
          <w:p>
            <w:pPr>
              <w:ind w:left="320"/>
              <w:spacing w:after="0" w:line="230" w:lineRule="exact"/>
              <w:rPr>
                <w:sz w:val="20"/>
                <w:szCs w:val="20"/>
                <w:color w:val="auto"/>
              </w:rPr>
            </w:pPr>
            <w:r>
              <w:rPr>
                <w:rFonts w:ascii="Arial" w:cs="Arial" w:eastAsia="Arial" w:hAnsi="Arial"/>
                <w:sz w:val="18"/>
                <w:szCs w:val="18"/>
                <w:color w:val="auto"/>
              </w:rPr>
              <w:t>residential</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Amortized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20"/>
              <w:spacing w:after="0"/>
              <w:rPr>
                <w:sz w:val="20"/>
                <w:szCs w:val="20"/>
                <w:color w:val="auto"/>
              </w:rPr>
            </w:pPr>
            <w:r>
              <w:rPr>
                <w:rFonts w:ascii="Arial" w:cs="Arial" w:eastAsia="Arial" w:hAnsi="Arial"/>
                <w:sz w:val="18"/>
                <w:szCs w:val="18"/>
                <w:color w:val="auto"/>
              </w:rPr>
              <w:t>Estimated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2,755</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92,886</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95,641</w:t>
            </w: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3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43"/>
        </w:trPr>
        <w:tc>
          <w:tcPr>
            <w:tcW w:w="390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Amortized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61,170</w:t>
            </w:r>
          </w:p>
        </w:tc>
        <w:tc>
          <w:tcPr>
            <w:tcW w:w="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360,546</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429,603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20"/>
              <w:spacing w:after="0"/>
              <w:rPr>
                <w:sz w:val="20"/>
                <w:szCs w:val="20"/>
                <w:color w:val="auto"/>
              </w:rPr>
            </w:pPr>
            <w:r>
              <w:rPr>
                <w:rFonts w:ascii="Arial" w:cs="Arial" w:eastAsia="Arial" w:hAnsi="Arial"/>
                <w:sz w:val="18"/>
                <w:szCs w:val="18"/>
                <w:color w:val="auto"/>
              </w:rPr>
              <w:t>Estimated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7,419</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66,034</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382,205</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456,314</w:t>
            </w: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9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Amortized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20"/>
              <w:spacing w:after="0"/>
              <w:rPr>
                <w:sz w:val="20"/>
                <w:szCs w:val="20"/>
                <w:color w:val="auto"/>
              </w:rPr>
            </w:pPr>
            <w:r>
              <w:rPr>
                <w:rFonts w:ascii="Arial" w:cs="Arial" w:eastAsia="Arial" w:hAnsi="Arial"/>
                <w:sz w:val="18"/>
                <w:szCs w:val="18"/>
                <w:color w:val="auto"/>
              </w:rPr>
              <w:t>Estimated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3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r>
      <w:tr>
        <w:trPr>
          <w:trHeight w:val="243"/>
        </w:trPr>
        <w:tc>
          <w:tcPr>
            <w:tcW w:w="3900" w:type="dxa"/>
            <w:vAlign w:val="bottom"/>
          </w:tcPr>
          <w:p>
            <w:pPr>
              <w:ind w:left="14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Amortized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64,764</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591,567</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664,619</w:t>
            </w:r>
          </w:p>
        </w:tc>
        <w:tc>
          <w:tcPr>
            <w:tcW w:w="200" w:type="dxa"/>
            <w:vAlign w:val="bottom"/>
            <w:tcBorders>
              <w:bottom w:val="single" w:sz="8" w:color="auto"/>
            </w:tcBorders>
            <w:shd w:val="clear" w:color="auto" w:fill="CCEEFF"/>
          </w:tcPr>
          <w:p>
            <w:pPr>
              <w:spacing w:after="0"/>
              <w:rPr>
                <w:sz w:val="24"/>
                <w:szCs w:val="24"/>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Pr>
          <w:p>
            <w:pPr>
              <w:ind w:left="320"/>
              <w:spacing w:after="0"/>
              <w:rPr>
                <w:sz w:val="20"/>
                <w:szCs w:val="20"/>
                <w:color w:val="auto"/>
              </w:rPr>
            </w:pPr>
            <w:r>
              <w:rPr>
                <w:rFonts w:ascii="Arial" w:cs="Arial" w:eastAsia="Arial" w:hAnsi="Arial"/>
                <w:sz w:val="18"/>
                <w:szCs w:val="18"/>
                <w:color w:val="auto"/>
              </w:rPr>
              <w:t>Estimated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7,834</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69,961</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619,396</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697,847</w:t>
            </w:r>
          </w:p>
        </w:tc>
        <w:tc>
          <w:tcPr>
            <w:tcW w:w="200" w:type="dxa"/>
            <w:vAlign w:val="bottom"/>
          </w:tcPr>
          <w:p>
            <w:pPr>
              <w:spacing w:after="0"/>
              <w:rPr>
                <w:sz w:val="21"/>
                <w:szCs w:val="2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yield</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ind w:left="540" w:hanging="170"/>
        <w:spacing w:after="0" w:line="219" w:lineRule="auto"/>
        <w:tabs>
          <w:tab w:leader="none" w:pos="540" w:val="left"/>
        </w:tabs>
        <w:numPr>
          <w:ilvl w:val="0"/>
          <w:numId w:val="2"/>
        </w:numPr>
        <w:rPr>
          <w:rFonts w:ascii="Arial" w:cs="Arial" w:eastAsia="Arial" w:hAnsi="Arial"/>
          <w:sz w:val="20"/>
          <w:szCs w:val="20"/>
          <w:color w:val="auto"/>
          <w:vertAlign w:val="superscript"/>
        </w:rPr>
      </w:pPr>
      <w:r>
        <w:rPr>
          <w:rFonts w:ascii="Arial" w:cs="Arial" w:eastAsia="Arial" w:hAnsi="Arial"/>
          <w:sz w:val="15"/>
          <w:szCs w:val="15"/>
          <w:color w:val="auto"/>
        </w:rPr>
        <w:t>Actual maturities may differ from contractual maturities because issuers may have the rights to call or prepay obligations with or without prepayment penalties.</w:t>
      </w:r>
    </w:p>
    <w:p>
      <w:pPr>
        <w:spacing w:after="0" w:line="23" w:lineRule="exact"/>
        <w:rPr>
          <w:rFonts w:ascii="Arial" w:cs="Arial" w:eastAsia="Arial" w:hAnsi="Arial"/>
          <w:sz w:val="20"/>
          <w:szCs w:val="20"/>
          <w:color w:val="auto"/>
          <w:vertAlign w:val="superscript"/>
        </w:rPr>
      </w:pPr>
    </w:p>
    <w:p>
      <w:pPr>
        <w:ind w:left="520" w:hanging="150"/>
        <w:spacing w:after="0" w:line="223" w:lineRule="auto"/>
        <w:tabs>
          <w:tab w:leader="none" w:pos="52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-260985</wp:posOffset>
            </wp:positionV>
            <wp:extent cx="45605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type w:val="continuous"/>
        </w:sectPr>
      </w:pPr>
    </w:p>
    <w:bookmarkStart w:id="17" w:name="page18"/>
    <w:bookmarkEnd w:id="17"/>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60" w:right="20" w:firstLine="486"/>
        <w:spacing w:after="0" w:line="286" w:lineRule="auto"/>
        <w:rPr>
          <w:sz w:val="20"/>
          <w:szCs w:val="20"/>
          <w:color w:val="auto"/>
        </w:rPr>
      </w:pPr>
      <w:r>
        <w:rPr>
          <w:rFonts w:ascii="Arial" w:cs="Arial" w:eastAsia="Arial" w:hAnsi="Arial"/>
          <w:sz w:val="17"/>
          <w:szCs w:val="17"/>
          <w:color w:val="auto"/>
        </w:rPr>
        <w:t>The following tables show gross unrealized losses, the number of securities that are in an unrealized loss position, and fair value of the Company’s investments with unrealized losses that are not deemed to be other-than-temporarily impaired (“OTTI”), aggregated by investment class and length of time that individual securities have been in a continuous unrealized loss position at June 30, 2020 and December 31, 2019:</w:t>
      </w:r>
    </w:p>
    <w:p>
      <w:pPr>
        <w:spacing w:after="0" w:line="200" w:lineRule="exact"/>
        <w:rPr>
          <w:sz w:val="20"/>
          <w:szCs w:val="20"/>
          <w:color w:val="auto"/>
        </w:rPr>
      </w:pP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June 30, 2020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3"/>
              </w:rPr>
              <w:t>12 Months or More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Unrealized</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Unrealized</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Securities</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7"/>
          </w:tcPr>
          <w:p>
            <w:pPr>
              <w:jc w:val="center"/>
              <w:ind w:right="200"/>
              <w:spacing w:after="0"/>
              <w:rPr>
                <w:sz w:val="20"/>
                <w:szCs w:val="20"/>
                <w:color w:val="auto"/>
              </w:rPr>
            </w:pPr>
            <w:r>
              <w:rPr>
                <w:rFonts w:ascii="Arial" w:cs="Arial" w:eastAsia="Arial" w:hAnsi="Arial"/>
                <w:sz w:val="16"/>
                <w:szCs w:val="16"/>
                <w:i w:val="1"/>
                <w:iCs w:val="1"/>
                <w:color w:val="auto"/>
                <w:w w:val="93"/>
              </w:rPr>
              <w:t>(Dollars in thousands)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0"/>
              </w:rPr>
              <w:t>Available-for-Sale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Mortgage-backed -</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vMerge w:val="restart"/>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gridSpan w:val="2"/>
          </w:tcPr>
          <w:p>
            <w:pPr>
              <w:ind w:left="320"/>
              <w:spacing w:after="0"/>
              <w:rPr>
                <w:sz w:val="20"/>
                <w:szCs w:val="20"/>
                <w:color w:val="auto"/>
              </w:rPr>
            </w:pPr>
            <w:r>
              <w:rPr>
                <w:rFonts w:ascii="Arial" w:cs="Arial" w:eastAsia="Arial" w:hAnsi="Arial"/>
                <w:sz w:val="18"/>
                <w:szCs w:val="18"/>
                <w:color w:val="auto"/>
              </w:rPr>
              <w:t>GSE residential</w:t>
            </w:r>
          </w:p>
        </w:tc>
        <w:tc>
          <w:tcPr>
            <w:tcW w:w="160" w:type="dxa"/>
            <w:vAlign w:val="bottom"/>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6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Collateralized</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7"/>
              </w:rPr>
              <w:t>obligations - GSE</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8"/>
              </w:rPr>
              <w:t>12,050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8"/>
              </w:rPr>
              <w:t>12,050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 and political</w:t>
            </w:r>
          </w:p>
        </w:tc>
        <w:tc>
          <w:tcPr>
            <w:tcW w:w="160" w:type="dxa"/>
            <w:vAlign w:val="bottom"/>
          </w:tcPr>
          <w:p>
            <w:pPr>
              <w:spacing w:after="0"/>
              <w:rPr>
                <w:sz w:val="15"/>
                <w:szCs w:val="15"/>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w w:val="98"/>
              </w:rPr>
              <w:t>11,471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11,498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1700" w:type="dxa"/>
            <w:vAlign w:val="bottom"/>
            <w:gridSpan w:val="2"/>
          </w:tcPr>
          <w:p>
            <w:pPr>
              <w:ind w:left="32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17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temporarily</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impaired debt</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w w:val="98"/>
              </w:rPr>
              <w:t>23,977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gridSpan w:val="2"/>
            <w:vMerge w:val="restart"/>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24,004</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December 31, 2019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9"/>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3"/>
              </w:rPr>
              <w:t>12 Months or More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Unrealized</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Securities</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7"/>
          </w:tcPr>
          <w:p>
            <w:pPr>
              <w:jc w:val="center"/>
              <w:ind w:right="220"/>
              <w:spacing w:after="0"/>
              <w:rPr>
                <w:sz w:val="20"/>
                <w:szCs w:val="20"/>
                <w:color w:val="auto"/>
              </w:rPr>
            </w:pPr>
            <w:r>
              <w:rPr>
                <w:rFonts w:ascii="Arial" w:cs="Arial" w:eastAsia="Arial" w:hAnsi="Arial"/>
                <w:sz w:val="16"/>
                <w:szCs w:val="16"/>
                <w:i w:val="1"/>
                <w:iCs w:val="1"/>
                <w:color w:val="auto"/>
                <w:w w:val="95"/>
              </w:rPr>
              <w:t>(Dollars in thousands)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0"/>
              </w:rPr>
              <w:t>Available-for-Sale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Mortgage-backed -</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7,959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260" w:type="dxa"/>
            <w:vAlign w:val="bottom"/>
            <w:gridSpan w:val="3"/>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w w:val="98"/>
              </w:rPr>
              <w:t>20,396</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28,355</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700" w:type="dxa"/>
            <w:vAlign w:val="bottom"/>
            <w:gridSpan w:val="2"/>
          </w:tcPr>
          <w:p>
            <w:pPr>
              <w:ind w:left="320"/>
              <w:spacing w:after="0"/>
              <w:rPr>
                <w:sz w:val="20"/>
                <w:szCs w:val="20"/>
                <w:color w:val="auto"/>
              </w:rPr>
            </w:pPr>
            <w:r>
              <w:rPr>
                <w:rFonts w:ascii="Arial" w:cs="Arial" w:eastAsia="Arial" w:hAnsi="Arial"/>
                <w:sz w:val="18"/>
                <w:szCs w:val="18"/>
                <w:color w:val="auto"/>
              </w:rPr>
              <w:t>GSE residential</w:t>
            </w: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3"/>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Collateralized</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7"/>
              </w:rPr>
              <w:t>obligations - GSE</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4"/>
              </w:rPr>
              <w:t>48,980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8"/>
              </w:rPr>
              <w:t>57,602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 and political</w:t>
            </w:r>
          </w:p>
        </w:tc>
        <w:tc>
          <w:tcPr>
            <w:tcW w:w="160" w:type="dxa"/>
            <w:vAlign w:val="bottom"/>
          </w:tcPr>
          <w:p>
            <w:pPr>
              <w:spacing w:after="0"/>
              <w:rPr>
                <w:sz w:val="15"/>
                <w:szCs w:val="15"/>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21,412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21,579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700" w:type="dxa"/>
            <w:vAlign w:val="bottom"/>
            <w:gridSpan w:val="2"/>
          </w:tcPr>
          <w:p>
            <w:pPr>
              <w:ind w:left="32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1680" w:type="dxa"/>
            <w:vAlign w:val="bottom"/>
          </w:tcPr>
          <w:p>
            <w:pPr>
              <w:ind w:left="20"/>
              <w:spacing w:after="0" w:line="156" w:lineRule="exact"/>
              <w:rPr>
                <w:sz w:val="20"/>
                <w:szCs w:val="20"/>
                <w:color w:val="auto"/>
              </w:rPr>
            </w:pPr>
            <w:r>
              <w:rPr>
                <w:rFonts w:ascii="Arial" w:cs="Arial" w:eastAsia="Arial" w:hAnsi="Arial"/>
                <w:sz w:val="18"/>
                <w:szCs w:val="18"/>
                <w:color w:val="auto"/>
              </w:rPr>
              <w:t>Total temporarily</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impaired debt</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78,881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260" w:type="dxa"/>
            <w:vAlign w:val="bottom"/>
            <w:gridSpan w:val="3"/>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1"/>
              <w:spacing w:after="0"/>
              <w:rPr>
                <w:sz w:val="20"/>
                <w:szCs w:val="20"/>
                <w:color w:val="auto"/>
              </w:rPr>
            </w:pPr>
            <w:r>
              <w:rPr>
                <w:rFonts w:ascii="Arial" w:cs="Arial" w:eastAsia="Arial" w:hAnsi="Arial"/>
                <w:sz w:val="18"/>
                <w:szCs w:val="18"/>
                <w:color w:val="auto"/>
                <w:w w:val="98"/>
              </w:rPr>
              <w:t>29,185</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9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w w:val="92"/>
              </w:rPr>
              <w:t>$ 108,066</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1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securities</w:t>
            </w: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left="160" w:right="80" w:firstLine="486"/>
        <w:spacing w:after="0" w:line="259" w:lineRule="auto"/>
        <w:rPr>
          <w:sz w:val="20"/>
          <w:szCs w:val="20"/>
          <w:color w:val="auto"/>
        </w:rPr>
      </w:pPr>
      <w:r>
        <w:rPr>
          <w:rFonts w:ascii="Arial" w:cs="Arial" w:eastAsia="Arial" w:hAnsi="Arial"/>
          <w:sz w:val="18"/>
          <w:szCs w:val="18"/>
          <w:color w:val="auto"/>
        </w:rPr>
        <w:t>As of June 30, 2020, the unrealized losses on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 collateralized mortgage-backed securities and other obligations were caused by interest rate changes and market assumptions about prepayment speeds.</w:t>
      </w:r>
    </w:p>
    <w:p>
      <w:pPr>
        <w:spacing w:after="0" w:line="133" w:lineRule="exact"/>
        <w:rPr>
          <w:sz w:val="20"/>
          <w:szCs w:val="20"/>
          <w:color w:val="auto"/>
        </w:rPr>
      </w:pPr>
    </w:p>
    <w:p>
      <w:pPr>
        <w:ind w:left="160" w:right="200" w:firstLine="486"/>
        <w:spacing w:after="0" w:line="263" w:lineRule="auto"/>
        <w:rPr>
          <w:sz w:val="20"/>
          <w:szCs w:val="20"/>
          <w:color w:val="auto"/>
        </w:rPr>
      </w:pPr>
      <w:r>
        <w:rPr>
          <w:rFonts w:ascii="Arial" w:cs="Arial" w:eastAsia="Arial" w:hAnsi="Arial"/>
          <w:sz w:val="18"/>
          <w:szCs w:val="18"/>
          <w:color w:val="auto"/>
        </w:rPr>
        <w:t>As of December 31, 2019, the unrealized losses on the Company’s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w:t>
      </w:r>
    </w:p>
    <w:p>
      <w:pPr>
        <w:sectPr>
          <w:pgSz w:w="11900" w:h="16838" w:orient="portrait"/>
          <w:cols w:equalWidth="0" w:num="1">
            <w:col w:w="11220"/>
          </w:cols>
          <w:pgMar w:left="34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type w:val="continuous"/>
        </w:sectPr>
      </w:pPr>
    </w:p>
    <w:bookmarkStart w:id="18" w:name="page19"/>
    <w:bookmarkEnd w:id="18"/>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collateralized mortgage-backed securities and obligations were caused by interest rate changes and market assumptions about prepayment speeds.</w:t>
      </w:r>
    </w:p>
    <w:p>
      <w:pPr>
        <w:spacing w:after="0" w:line="194" w:lineRule="exact"/>
        <w:rPr>
          <w:sz w:val="20"/>
          <w:szCs w:val="20"/>
          <w:color w:val="auto"/>
        </w:rPr>
      </w:pPr>
    </w:p>
    <w:p>
      <w:pPr>
        <w:ind w:left="180" w:right="200" w:firstLine="486"/>
        <w:spacing w:after="0" w:line="263" w:lineRule="auto"/>
        <w:rPr>
          <w:sz w:val="20"/>
          <w:szCs w:val="20"/>
          <w:color w:val="auto"/>
        </w:rPr>
      </w:pPr>
      <w:r>
        <w:rPr>
          <w:rFonts w:ascii="Arial" w:cs="Arial" w:eastAsia="Arial" w:hAnsi="Arial"/>
          <w:sz w:val="18"/>
          <w:szCs w:val="18"/>
          <w:color w:val="auto"/>
        </w:rPr>
        <w:t>The Company expects to recover the amortized cost basis over the term of the securities. Because the Company does not intend to sell the investments and it is not more likely than not the Company will be required to sell the investments before recovery of their amortized cost basis, which may be maturity, the Company does not consider those investments to be OTTI at June 30, 2020.</w:t>
      </w:r>
    </w:p>
    <w:p>
      <w:pPr>
        <w:spacing w:after="0" w:line="130" w:lineRule="exact"/>
        <w:rPr>
          <w:sz w:val="20"/>
          <w:szCs w:val="20"/>
          <w:color w:val="auto"/>
        </w:rPr>
      </w:pPr>
    </w:p>
    <w:p>
      <w:pPr>
        <w:ind w:left="180" w:right="200" w:firstLine="486"/>
        <w:spacing w:after="0" w:line="259" w:lineRule="auto"/>
        <w:rPr>
          <w:sz w:val="20"/>
          <w:szCs w:val="20"/>
          <w:color w:val="auto"/>
        </w:rPr>
      </w:pPr>
      <w:r>
        <w:rPr>
          <w:rFonts w:ascii="Arial" w:cs="Arial" w:eastAsia="Arial" w:hAnsi="Arial"/>
          <w:sz w:val="18"/>
          <w:szCs w:val="18"/>
          <w:color w:val="auto"/>
        </w:rPr>
        <w:t>Gains and losses on the sale of debt securities are recorded on the trade date and are determined using the specific identification method. Gross gains of $761 thousand and $453 thousand and gross losses of $47 thousand and $20 thousand resulting from sales of available-for-sale securities were realized for the six months ended June 30, 2020 and 2019, respectively. The gross gains as of June 30, 2020, included $75 thousand related to a previously disclosed OTTI municipal security that was settled in 2020.</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Equity Securities</w:t>
      </w:r>
    </w:p>
    <w:p>
      <w:pPr>
        <w:spacing w:after="0" w:line="164" w:lineRule="exact"/>
        <w:rPr>
          <w:sz w:val="20"/>
          <w:szCs w:val="20"/>
          <w:color w:val="auto"/>
        </w:rPr>
      </w:pPr>
    </w:p>
    <w:p>
      <w:pPr>
        <w:ind w:left="180" w:right="200" w:firstLine="486"/>
        <w:spacing w:after="0" w:line="263" w:lineRule="auto"/>
        <w:rPr>
          <w:sz w:val="20"/>
          <w:szCs w:val="20"/>
          <w:color w:val="auto"/>
        </w:rPr>
      </w:pPr>
      <w:r>
        <w:rPr>
          <w:rFonts w:ascii="Arial" w:cs="Arial" w:eastAsia="Arial" w:hAnsi="Arial"/>
          <w:sz w:val="18"/>
          <w:szCs w:val="18"/>
          <w:color w:val="auto"/>
        </w:rPr>
        <w:t>Equity securities consist of Community Reinvestment Act mutual funds. The fair value of the equity securities was $2 million at both June 30, 2020 and December 31, 2019. The following is a summary of the recorded fair value and the unrealized and realized gains and losses recognized in net income on available-for-sale equity securities: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gains recognized during the reporting period on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-139065</wp:posOffset>
            </wp:positionV>
            <wp:extent cx="70294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30" w:lineRule="exact"/>
        <w:rPr>
          <w:sz w:val="20"/>
          <w:szCs w:val="20"/>
          <w:color w:val="auto"/>
        </w:rPr>
      </w:pPr>
    </w:p>
    <w:p>
      <w:pPr>
        <w:ind w:left="360" w:right="60" w:hanging="161"/>
        <w:spacing w:after="0" w:line="235" w:lineRule="auto"/>
        <w:rPr>
          <w:sz w:val="20"/>
          <w:szCs w:val="20"/>
          <w:color w:val="auto"/>
        </w:rPr>
      </w:pPr>
      <w:r>
        <w:rPr>
          <w:rFonts w:ascii="Arial" w:cs="Arial" w:eastAsia="Arial" w:hAnsi="Arial"/>
          <w:sz w:val="18"/>
          <w:szCs w:val="18"/>
          <w:color w:val="auto"/>
        </w:rPr>
        <w:t>Less: net gains recognized during the reporting period on equity securities sold during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0</wp:posOffset>
            </wp:positionV>
            <wp:extent cx="702945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257175"/>
                    </a:xfrm>
                    <a:prstGeom prst="rect">
                      <a:avLst/>
                    </a:prstGeom>
                    <a:noFill/>
                  </pic:spPr>
                </pic:pic>
              </a:graphicData>
            </a:graphic>
          </wp:anchor>
        </w:drawing>
      </w:r>
    </w:p>
    <w:p>
      <w:pPr>
        <w:ind w:left="360" w:hanging="161"/>
        <w:spacing w:after="0" w:line="234" w:lineRule="auto"/>
        <w:rPr>
          <w:sz w:val="20"/>
          <w:szCs w:val="20"/>
          <w:color w:val="auto"/>
        </w:rPr>
      </w:pPr>
      <w:r>
        <w:rPr>
          <w:rFonts w:ascii="Arial" w:cs="Arial" w:eastAsia="Arial" w:hAnsi="Arial"/>
          <w:sz w:val="18"/>
          <w:szCs w:val="18"/>
          <w:color w:val="auto"/>
        </w:rPr>
        <w:t>Unrealized gain recognized during the reporting period on equity securities still held at the reporting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2020</w:t>
            </w:r>
          </w:p>
        </w:tc>
        <w:tc>
          <w:tcPr>
            <w:tcW w:w="36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64"/>
        </w:trPr>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gridSpan w:val="5"/>
          </w:tcPr>
          <w:p>
            <w:pPr>
              <w:ind w:left="20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405"/>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31"/>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
        </w:trPr>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-7620</wp:posOffset>
            </wp:positionV>
            <wp:extent cx="7969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-873760</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-1053465</wp:posOffset>
            </wp:positionV>
            <wp:extent cx="1645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920" w:space="60"/>
            <w:col w:w="80" w:space="340"/>
            <w:col w:w="4840"/>
          </w:cols>
          <w:pgMar w:left="320" w:top="179" w:right="339" w:bottom="1440" w:gutter="0" w:footer="0" w:header="0"/>
          <w:type w:val="continuous"/>
        </w:sect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Note 4:</w:t>
            </w:r>
          </w:p>
        </w:tc>
        <w:tc>
          <w:tcPr>
            <w:tcW w:w="5380" w:type="dxa"/>
            <w:vAlign w:val="bottom"/>
          </w:tcPr>
          <w:p>
            <w:pPr>
              <w:ind w:left="80"/>
              <w:spacing w:after="0"/>
              <w:rPr>
                <w:sz w:val="20"/>
                <w:szCs w:val="20"/>
                <w:color w:val="auto"/>
              </w:rPr>
            </w:pPr>
            <w:r>
              <w:rPr>
                <w:rFonts w:ascii="Arial" w:cs="Arial" w:eastAsia="Arial" w:hAnsi="Arial"/>
                <w:sz w:val="22"/>
                <w:szCs w:val="22"/>
                <w:b w:val="1"/>
                <w:bCs w:val="1"/>
                <w:color w:val="auto"/>
              </w:rPr>
              <w:t>Loans and Allowance for Loan Losses</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68"/>
        </w:trPr>
        <w:tc>
          <w:tcPr>
            <w:tcW w:w="160" w:type="dxa"/>
            <w:vAlign w:val="bottom"/>
          </w:tcPr>
          <w:p>
            <w:pPr>
              <w:spacing w:after="0"/>
              <w:rPr>
                <w:sz w:val="24"/>
                <w:szCs w:val="24"/>
                <w:color w:val="auto"/>
              </w:rPr>
            </w:pPr>
          </w:p>
        </w:tc>
        <w:tc>
          <w:tcPr>
            <w:tcW w:w="6440" w:type="dxa"/>
            <w:vAlign w:val="bottom"/>
            <w:gridSpan w:val="2"/>
          </w:tcPr>
          <w:p>
            <w:pPr>
              <w:ind w:left="500"/>
              <w:spacing w:after="0"/>
              <w:rPr>
                <w:sz w:val="20"/>
                <w:szCs w:val="20"/>
                <w:color w:val="auto"/>
              </w:rPr>
            </w:pPr>
            <w:r>
              <w:rPr>
                <w:rFonts w:ascii="Arial" w:cs="Arial" w:eastAsia="Arial" w:hAnsi="Arial"/>
                <w:sz w:val="18"/>
                <w:szCs w:val="18"/>
                <w:color w:val="auto"/>
              </w:rPr>
              <w:t>Categories of loans at June 30, 2020 and December 31, 2019 include:</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4"/>
                <w:szCs w:val="24"/>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2019</w:t>
            </w:r>
          </w:p>
        </w:tc>
      </w:tr>
      <w:tr>
        <w:trPr>
          <w:trHeight w:val="27"/>
        </w:trPr>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gridSpan w:val="4"/>
          </w:tcPr>
          <w:p>
            <w:pPr>
              <w:jc w:val="right"/>
              <w:ind w:right="149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1,356,817</w:t>
            </w:r>
          </w:p>
        </w:tc>
      </w:tr>
      <w:tr>
        <w:trPr>
          <w:trHeight w:val="243"/>
        </w:trPr>
        <w:tc>
          <w:tcPr>
            <w:tcW w:w="16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Energy</w:t>
            </w:r>
          </w:p>
        </w:tc>
        <w:tc>
          <w:tcPr>
            <w:tcW w:w="5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390,346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408,573</w:t>
            </w:r>
          </w:p>
        </w:tc>
      </w:tr>
      <w:tr>
        <w:trPr>
          <w:trHeight w:val="27"/>
        </w:trPr>
        <w:tc>
          <w:tcPr>
            <w:tcW w:w="160" w:type="dxa"/>
            <w:vAlign w:val="bottom"/>
          </w:tcPr>
          <w:p>
            <w:pPr>
              <w:spacing w:after="0"/>
              <w:rPr>
                <w:sz w:val="2"/>
                <w:szCs w:val="2"/>
                <w:color w:val="auto"/>
              </w:rPr>
            </w:pPr>
          </w:p>
        </w:tc>
        <w:tc>
          <w:tcPr>
            <w:tcW w:w="6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1,141,277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1,024,041</w:t>
            </w:r>
          </w:p>
        </w:tc>
      </w:tr>
      <w:tr>
        <w:trPr>
          <w:trHeight w:val="243"/>
        </w:trPr>
        <w:tc>
          <w:tcPr>
            <w:tcW w:w="16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Pr>
          <w:p>
            <w:pPr>
              <w:spacing w:after="0"/>
              <w:rPr>
                <w:sz w:val="21"/>
                <w:szCs w:val="21"/>
                <w:color w:val="auto"/>
              </w:rPr>
            </w:pP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661,691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628,418</w:t>
            </w:r>
          </w:p>
        </w:tc>
      </w:tr>
      <w:tr>
        <w:trPr>
          <w:trHeight w:val="27"/>
        </w:trPr>
        <w:tc>
          <w:tcPr>
            <w:tcW w:w="160" w:type="dxa"/>
            <w:vAlign w:val="bottom"/>
          </w:tcPr>
          <w:p>
            <w:pPr>
              <w:spacing w:after="0"/>
              <w:rPr>
                <w:sz w:val="2"/>
                <w:szCs w:val="2"/>
                <w:color w:val="auto"/>
              </w:rPr>
            </w:pPr>
          </w:p>
        </w:tc>
        <w:tc>
          <w:tcPr>
            <w:tcW w:w="6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536,270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398,695</w:t>
            </w:r>
          </w:p>
        </w:tc>
      </w:tr>
      <w:tr>
        <w:trPr>
          <w:trHeight w:val="243"/>
        </w:trPr>
        <w:tc>
          <w:tcPr>
            <w:tcW w:w="16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Paycheck Protection Program (“PPP”)</w:t>
            </w:r>
          </w:p>
        </w:tc>
        <w:tc>
          <w:tcPr>
            <w:tcW w:w="360" w:type="dxa"/>
            <w:vAlign w:val="bottom"/>
          </w:tcPr>
          <w:p>
            <w:pPr>
              <w:spacing w:after="0"/>
              <w:rPr>
                <w:sz w:val="21"/>
                <w:szCs w:val="21"/>
                <w:color w:val="auto"/>
              </w:rPr>
            </w:pP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369,022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5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45,716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45,163</w:t>
            </w:r>
          </w:p>
        </w:tc>
      </w:tr>
      <w:tr>
        <w:trPr>
          <w:trHeight w:val="237"/>
        </w:trPr>
        <w:tc>
          <w:tcPr>
            <w:tcW w:w="16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w w:val="93"/>
              </w:rPr>
              <w:t>Gross loans</w:t>
            </w:r>
          </w:p>
        </w:tc>
        <w:tc>
          <w:tcPr>
            <w:tcW w:w="5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4,429,241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3,861,707</w:t>
            </w:r>
          </w:p>
        </w:tc>
      </w:tr>
      <w:tr>
        <w:trPr>
          <w:trHeight w:val="27"/>
        </w:trPr>
        <w:tc>
          <w:tcPr>
            <w:tcW w:w="160" w:type="dxa"/>
            <w:vAlign w:val="bottom"/>
          </w:tcPr>
          <w:p>
            <w:pPr>
              <w:spacing w:after="0"/>
              <w:rPr>
                <w:sz w:val="2"/>
                <w:szCs w:val="2"/>
                <w:color w:val="auto"/>
              </w:rPr>
            </w:pPr>
          </w:p>
        </w:tc>
        <w:tc>
          <w:tcPr>
            <w:tcW w:w="6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Allowance for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56,896</w:t>
            </w:r>
          </w:p>
        </w:tc>
      </w:tr>
      <w:tr>
        <w:trPr>
          <w:trHeight w:val="243"/>
        </w:trPr>
        <w:tc>
          <w:tcPr>
            <w:tcW w:w="16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Less: Net deferred loan fees and costs</w:t>
            </w:r>
          </w:p>
        </w:tc>
        <w:tc>
          <w:tcPr>
            <w:tcW w:w="360" w:type="dxa"/>
            <w:vAlign w:val="bottom"/>
          </w:tcPr>
          <w:p>
            <w:pPr>
              <w:spacing w:after="0"/>
              <w:rPr>
                <w:sz w:val="21"/>
                <w:szCs w:val="21"/>
                <w:color w:val="auto"/>
              </w:rPr>
            </w:pP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9,463</w:t>
            </w:r>
          </w:p>
        </w:tc>
      </w:tr>
      <w:tr>
        <w:trPr>
          <w:trHeight w:val="27"/>
        </w:trPr>
        <w:tc>
          <w:tcPr>
            <w:tcW w:w="16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89"/>
        </w:trPr>
        <w:tc>
          <w:tcPr>
            <w:tcW w:w="160" w:type="dxa"/>
            <w:vAlign w:val="bottom"/>
          </w:tcPr>
          <w:p>
            <w:pPr>
              <w:spacing w:after="0"/>
              <w:rPr>
                <w:sz w:val="24"/>
                <w:szCs w:val="24"/>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loans</w:t>
            </w:r>
          </w:p>
        </w:tc>
        <w:tc>
          <w:tcPr>
            <w:tcW w:w="53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4,342,039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3,795,348</w:t>
            </w:r>
          </w:p>
        </w:tc>
      </w:tr>
      <w:tr>
        <w:trPr>
          <w:trHeight w:val="20"/>
        </w:trPr>
        <w:tc>
          <w:tcPr>
            <w:tcW w:w="1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Allowance for Loan Losses</w:t>
      </w:r>
    </w:p>
    <w:p>
      <w:pPr>
        <w:spacing w:after="0" w:line="164" w:lineRule="exact"/>
        <w:rPr>
          <w:sz w:val="20"/>
          <w:szCs w:val="20"/>
          <w:color w:val="auto"/>
        </w:rPr>
      </w:pPr>
    </w:p>
    <w:p>
      <w:pPr>
        <w:jc w:val="both"/>
        <w:ind w:left="180" w:right="100" w:firstLine="486"/>
        <w:spacing w:after="0" w:line="263"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130" w:lineRule="exact"/>
        <w:rPr>
          <w:sz w:val="20"/>
          <w:szCs w:val="20"/>
          <w:color w:val="auto"/>
        </w:rPr>
      </w:pPr>
    </w:p>
    <w:p>
      <w:pPr>
        <w:ind w:left="180" w:right="360" w:firstLine="486"/>
        <w:spacing w:after="0" w:line="277" w:lineRule="auto"/>
        <w:rPr>
          <w:sz w:val="20"/>
          <w:szCs w:val="20"/>
          <w:color w:val="auto"/>
        </w:rPr>
      </w:pPr>
      <w:r>
        <w:rPr>
          <w:rFonts w:ascii="Arial" w:cs="Arial" w:eastAsia="Arial" w:hAnsi="Arial"/>
          <w:sz w:val="18"/>
          <w:szCs w:val="18"/>
          <w:color w:val="auto"/>
        </w:rPr>
        <w:t>The allowance for loan losses is evaluated on a regular basis by management and is based upon management’s periodic review of its ability to collect the loans in light of historical experience, the nature and volume of the loan portfolio, adverse situations that may</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9" w:name="page20"/>
    <w:bookmarkEnd w:id="19"/>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60" w:right="440"/>
        <w:spacing w:after="0" w:line="277" w:lineRule="auto"/>
        <w:rPr>
          <w:sz w:val="20"/>
          <w:szCs w:val="20"/>
          <w:color w:val="auto"/>
        </w:rPr>
      </w:pPr>
      <w:r>
        <w:rPr>
          <w:rFonts w:ascii="Arial" w:cs="Arial" w:eastAsia="Arial" w:hAnsi="Arial"/>
          <w:sz w:val="18"/>
          <w:szCs w:val="18"/>
          <w:color w:val="auto"/>
        </w:rPr>
        <w:t>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16" w:lineRule="exact"/>
        <w:rPr>
          <w:sz w:val="20"/>
          <w:szCs w:val="20"/>
          <w:color w:val="auto"/>
        </w:rPr>
      </w:pPr>
    </w:p>
    <w:p>
      <w:pPr>
        <w:ind w:left="160" w:right="80" w:firstLine="486"/>
        <w:spacing w:after="0" w:line="255" w:lineRule="auto"/>
        <w:rPr>
          <w:sz w:val="20"/>
          <w:szCs w:val="20"/>
          <w:color w:val="auto"/>
        </w:rPr>
      </w:pPr>
      <w:r>
        <w:rPr>
          <w:rFonts w:ascii="Arial" w:cs="Arial" w:eastAsia="Arial" w:hAnsi="Arial"/>
          <w:sz w:val="18"/>
          <w:szCs w:val="18"/>
          <w:color w:val="auto"/>
        </w:rPr>
        <w:t>The allowance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all loans on accrual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138" w:lineRule="exact"/>
        <w:rPr>
          <w:sz w:val="20"/>
          <w:szCs w:val="20"/>
          <w:color w:val="auto"/>
        </w:rPr>
      </w:pPr>
    </w:p>
    <w:p>
      <w:pPr>
        <w:ind w:left="160" w:right="80" w:firstLine="486"/>
        <w:spacing w:after="0" w:line="275" w:lineRule="auto"/>
        <w:rPr>
          <w:sz w:val="20"/>
          <w:szCs w:val="20"/>
          <w:color w:val="auto"/>
        </w:rPr>
      </w:pPr>
      <w:r>
        <w:rPr>
          <w:rFonts w:ascii="Arial" w:cs="Arial" w:eastAsia="Arial" w:hAnsi="Arial"/>
          <w:sz w:val="17"/>
          <w:szCs w:val="17"/>
          <w:color w:val="auto"/>
        </w:rPr>
        <w:t>The Company evaluates the loan risk grading system definitions, portfolio segment definitions, and allowance for loan loss methodology on an ongoing basis. During the quarter ended June 30, 2020, the Company distinguished between performing and nonperforming substandard loans, as previously discussed in Note 1: Nature of Operations and Summary of Significant Accounting Policies. In addition, the Company separated out PPP loans that are 100% guaranteed by the Small Business Administration (“SBA”). No additional changes to loan definitions, segmentation, and Allowance for Loan Losses (“ALLL”) methodology occurred during the second quarter of 2020.</w:t>
      </w:r>
    </w:p>
    <w:p>
      <w:pPr>
        <w:spacing w:after="0" w:line="365" w:lineRule="exact"/>
        <w:rPr>
          <w:sz w:val="20"/>
          <w:szCs w:val="20"/>
          <w:color w:val="auto"/>
        </w:rPr>
      </w:pPr>
    </w:p>
    <w:p>
      <w:pPr>
        <w:ind w:left="160" w:right="400" w:firstLine="486"/>
        <w:spacing w:after="0" w:line="342" w:lineRule="auto"/>
        <w:rPr>
          <w:sz w:val="20"/>
          <w:szCs w:val="20"/>
          <w:color w:val="auto"/>
        </w:rPr>
      </w:pPr>
      <w:r>
        <w:rPr>
          <w:rFonts w:ascii="Arial" w:cs="Arial" w:eastAsia="Arial" w:hAnsi="Arial"/>
          <w:sz w:val="16"/>
          <w:szCs w:val="16"/>
          <w:color w:val="auto"/>
        </w:rPr>
        <w:t>The following tables summarize the activity in the allowance for loan losses by portfolio segment and disaggregated based on the Company’s impairment methodology. The allocation in one portfolio segment does not preclude its availability to absorb losses in other segments:</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Construction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Commercial</w:t>
            </w:r>
          </w:p>
        </w:tc>
        <w:tc>
          <w:tcPr>
            <w:tcW w:w="1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and Land</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Real Estate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Development</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 Estate</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PPP</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Three months ended June 30, 2020</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660" w:type="dxa"/>
            <w:vAlign w:val="bottom"/>
            <w:gridSpan w:val="4"/>
          </w:tcPr>
          <w:p>
            <w:pPr>
              <w:ind w:left="2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12,623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5,021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51,458</w:t>
            </w:r>
          </w:p>
        </w:tc>
        <w:tc>
          <w:tcPr>
            <w:tcW w:w="0" w:type="dxa"/>
            <w:vAlign w:val="bottom"/>
          </w:tcPr>
          <w:p>
            <w:pPr>
              <w:spacing w:after="0"/>
              <w:rPr>
                <w:sz w:val="1"/>
                <w:szCs w:val="1"/>
                <w:color w:val="auto"/>
              </w:rPr>
            </w:pPr>
          </w:p>
        </w:tc>
      </w:tr>
      <w:tr>
        <w:trPr>
          <w:trHeight w:val="166"/>
        </w:trPr>
        <w:tc>
          <w:tcPr>
            <w:tcW w:w="1460" w:type="dxa"/>
            <w:vAlign w:val="bottom"/>
          </w:tcPr>
          <w:p>
            <w:pPr>
              <w:ind w:left="100"/>
              <w:spacing w:after="0" w:line="166" w:lineRule="exact"/>
              <w:rPr>
                <w:sz w:val="20"/>
                <w:szCs w:val="20"/>
                <w:color w:val="auto"/>
              </w:rPr>
            </w:pPr>
            <w:r>
              <w:rPr>
                <w:rFonts w:ascii="Arial" w:cs="Arial" w:eastAsia="Arial" w:hAnsi="Arial"/>
                <w:sz w:val="16"/>
                <w:szCs w:val="16"/>
                <w:color w:val="auto"/>
                <w:w w:val="91"/>
              </w:rPr>
              <w:t>Provision charged to</w:t>
            </w:r>
          </w:p>
        </w:tc>
        <w:tc>
          <w:tcPr>
            <w:tcW w:w="12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5,499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10,773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21,000</w:t>
            </w:r>
          </w:p>
        </w:tc>
        <w:tc>
          <w:tcPr>
            <w:tcW w:w="0" w:type="dxa"/>
            <w:vAlign w:val="bottom"/>
          </w:tcPr>
          <w:p>
            <w:pPr>
              <w:spacing w:after="0"/>
              <w:rPr>
                <w:sz w:val="1"/>
                <w:szCs w:val="1"/>
                <w:color w:val="auto"/>
              </w:rPr>
            </w:pPr>
          </w:p>
        </w:tc>
      </w:tr>
      <w:tr>
        <w:trPr>
          <w:trHeight w:val="209"/>
        </w:trPr>
        <w:tc>
          <w:tcPr>
            <w:tcW w:w="1460" w:type="dxa"/>
            <w:vAlign w:val="bottom"/>
          </w:tcPr>
          <w:p>
            <w:pPr>
              <w:ind w:left="2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Charge-offs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24"/>
        </w:trPr>
        <w:tc>
          <w:tcPr>
            <w:tcW w:w="1460" w:type="dxa"/>
            <w:vAlign w:val="bottom"/>
          </w:tcPr>
          <w:p>
            <w:pPr>
              <w:ind w:left="100"/>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26,543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17,372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16,899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71,185</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Construction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and Land</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Real Estate</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Development</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PPP</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9"/>
              </w:rPr>
              <w:t>Three months ended June 30, 2019</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gridSpan w:val="4"/>
          </w:tcPr>
          <w:p>
            <w:pPr>
              <w:ind w:left="2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40,001</w:t>
            </w:r>
          </w:p>
        </w:tc>
        <w:tc>
          <w:tcPr>
            <w:tcW w:w="0" w:type="dxa"/>
            <w:vAlign w:val="bottom"/>
          </w:tcPr>
          <w:p>
            <w:pPr>
              <w:spacing w:after="0"/>
              <w:rPr>
                <w:sz w:val="1"/>
                <w:szCs w:val="1"/>
                <w:color w:val="auto"/>
              </w:rPr>
            </w:pPr>
          </w:p>
        </w:tc>
      </w:tr>
      <w:tr>
        <w:trPr>
          <w:trHeight w:val="166"/>
        </w:trPr>
        <w:tc>
          <w:tcPr>
            <w:tcW w:w="1480" w:type="dxa"/>
            <w:vAlign w:val="bottom"/>
          </w:tcPr>
          <w:p>
            <w:pPr>
              <w:ind w:left="100"/>
              <w:spacing w:after="0" w:line="166" w:lineRule="exact"/>
              <w:rPr>
                <w:sz w:val="20"/>
                <w:szCs w:val="20"/>
                <w:color w:val="auto"/>
              </w:rPr>
            </w:pPr>
            <w:r>
              <w:rPr>
                <w:rFonts w:ascii="Arial" w:cs="Arial" w:eastAsia="Arial" w:hAnsi="Arial"/>
                <w:sz w:val="16"/>
                <w:szCs w:val="16"/>
                <w:color w:val="auto"/>
                <w:w w:val="93"/>
              </w:rPr>
              <w:t>Provision charged to</w:t>
            </w:r>
          </w:p>
        </w:tc>
        <w:tc>
          <w:tcPr>
            <w:tcW w:w="120" w:type="dxa"/>
            <w:vAlign w:val="bottom"/>
          </w:tcPr>
          <w:p>
            <w:pPr>
              <w:spacing w:after="0"/>
              <w:rPr>
                <w:sz w:val="14"/>
                <w:szCs w:val="14"/>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09"/>
        </w:trPr>
        <w:tc>
          <w:tcPr>
            <w:tcW w:w="1480" w:type="dxa"/>
            <w:vAlign w:val="bottom"/>
          </w:tcPr>
          <w:p>
            <w:pPr>
              <w:ind w:left="2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Charge-offs</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1480" w:type="dxa"/>
            <w:vAlign w:val="bottom"/>
          </w:tcPr>
          <w:p>
            <w:pPr>
              <w:ind w:left="100"/>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7,533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42,852</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17"/>
          </w:tcPr>
          <w:p>
            <w:pPr>
              <w:ind w:left="520"/>
              <w:spacing w:after="0"/>
              <w:rPr>
                <w:sz w:val="20"/>
                <w:szCs w:val="20"/>
                <w:color w:val="auto"/>
              </w:rPr>
            </w:pPr>
            <w:r>
              <w:rPr>
                <w:rFonts w:ascii="Arial" w:cs="Arial" w:eastAsia="Arial" w:hAnsi="Arial"/>
                <w:sz w:val="18"/>
                <w:szCs w:val="18"/>
                <w:color w:val="auto"/>
                <w:w w:val="91"/>
              </w:rPr>
              <w:t>Notes to Consolidated Financial Statements (unaudited)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8"/>
              </w:rPr>
              <w:t>Construction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Commercial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and Land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1"/>
              </w:rPr>
              <w:t>Commercial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2"/>
              </w:rPr>
              <w:t>Energy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Real Estate</w:t>
            </w:r>
          </w:p>
        </w:tc>
        <w:tc>
          <w:tcPr>
            <w:tcW w:w="2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7"/>
              </w:rPr>
              <w:t>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Real Estate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PPP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Consumer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ind w:left="20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20" w:type="dxa"/>
            <w:vAlign w:val="bottom"/>
            <w:gridSpan w:val="8"/>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w w:val="93"/>
              </w:rPr>
              <w:t>Allowance for loan losses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620" w:type="dxa"/>
            <w:vAlign w:val="bottom"/>
            <w:gridSpan w:val="3"/>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35,864</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8,085</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3,516</w:t>
            </w: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9"/>
                <w:szCs w:val="19"/>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56,896</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Provision charged to</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8,771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13,085</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34,950</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6"/>
                <w:szCs w:val="16"/>
                <w:color w:val="auto"/>
              </w:rPr>
              <w:t>Charge-offs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(20,736)</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7"/>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26,543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17,372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16,899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5,019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71,185</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8"/>
              </w:rPr>
              <w:t>Construction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Commercial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and Land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Commercial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Energy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7"/>
              </w:rPr>
              <w:t>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Real Estate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6"/>
                <w:szCs w:val="16"/>
                <w:b w:val="1"/>
                <w:bCs w:val="1"/>
                <w:color w:val="auto"/>
              </w:rPr>
              <w:t>PPP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Consumer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ind w:left="30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660" w:type="dxa"/>
            <w:vAlign w:val="bottom"/>
            <w:gridSpan w:val="7"/>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6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7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w w:val="93"/>
              </w:rPr>
              <w:t>Allowance for loan losses</w:t>
            </w: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16,584</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19"/>
                <w:szCs w:val="19"/>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2,475</w:t>
            </w:r>
          </w:p>
        </w:tc>
        <w:tc>
          <w:tcPr>
            <w:tcW w:w="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37,826</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60" w:type="dxa"/>
            <w:vAlign w:val="bottom"/>
          </w:tcPr>
          <w:p>
            <w:pPr>
              <w:spacing w:after="0"/>
              <w:rPr>
                <w:sz w:val="14"/>
                <w:szCs w:val="14"/>
                <w:color w:val="auto"/>
              </w:rPr>
            </w:pPr>
          </w:p>
        </w:tc>
        <w:tc>
          <w:tcPr>
            <w:tcW w:w="1460" w:type="dxa"/>
            <w:vAlign w:val="bottom"/>
            <w:gridSpan w:val="2"/>
            <w:shd w:val="clear" w:color="auto" w:fill="CCEEFF"/>
          </w:tcPr>
          <w:p>
            <w:pPr>
              <w:ind w:left="100"/>
              <w:spacing w:after="0" w:line="166" w:lineRule="exact"/>
              <w:rPr>
                <w:sz w:val="20"/>
                <w:szCs w:val="20"/>
                <w:color w:val="auto"/>
              </w:rPr>
            </w:pPr>
            <w:r>
              <w:rPr>
                <w:rFonts w:ascii="Arial" w:cs="Arial" w:eastAsia="Arial" w:hAnsi="Arial"/>
                <w:sz w:val="16"/>
                <w:szCs w:val="16"/>
                <w:color w:val="auto"/>
                <w:w w:val="91"/>
              </w:rPr>
              <w:t>Provision charged to</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7,631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(3,538)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5,700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color w:val="auto"/>
              </w:rPr>
              <w:t>Charge-offs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(1,254)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60" w:type="dxa"/>
            <w:vAlign w:val="bottom"/>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Recoveries</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22,975</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7,533</w:t>
            </w: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2,602</w:t>
            </w: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42,852</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3"/>
        </w:trPr>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Construction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Commercial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and Land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8"/>
              </w:rPr>
              <w:t>Commercial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Energy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Real Estate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6"/>
                <w:szCs w:val="16"/>
                <w:b w:val="1"/>
                <w:bCs w:val="1"/>
                <w:color w:val="auto"/>
              </w:rPr>
              <w:t>PPP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Consumer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20955</wp:posOffset>
            </wp:positionV>
            <wp:extent cx="6043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34925</wp:posOffset>
            </wp:positionV>
            <wp:extent cx="702945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June 30, 2020</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Period end allowance for loan losses allocated to:</w:t>
      </w:r>
    </w:p>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Individually</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6,992</w:t>
            </w:r>
          </w:p>
        </w:tc>
        <w:tc>
          <w:tcPr>
            <w:tcW w:w="0" w:type="dxa"/>
            <w:vAlign w:val="bottom"/>
          </w:tcPr>
          <w:p>
            <w:pPr>
              <w:spacing w:after="0"/>
              <w:rPr>
                <w:sz w:val="1"/>
                <w:szCs w:val="1"/>
                <w:color w:val="auto"/>
              </w:rPr>
            </w:pPr>
          </w:p>
        </w:tc>
      </w:tr>
      <w:tr>
        <w:trPr>
          <w:trHeight w:val="212"/>
        </w:trPr>
        <w:tc>
          <w:tcPr>
            <w:tcW w:w="1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60" w:type="dxa"/>
            <w:vAlign w:val="bottom"/>
          </w:tcPr>
          <w:p>
            <w:pPr>
              <w:ind w:left="200"/>
              <w:spacing w:after="0" w:line="146" w:lineRule="exact"/>
              <w:rPr>
                <w:sz w:val="20"/>
                <w:szCs w:val="20"/>
                <w:color w:val="auto"/>
              </w:rPr>
            </w:pPr>
            <w:r>
              <w:rPr>
                <w:rFonts w:ascii="Arial" w:cs="Arial" w:eastAsia="Arial" w:hAnsi="Arial"/>
                <w:sz w:val="16"/>
                <w:szCs w:val="16"/>
                <w:color w:val="auto"/>
              </w:rPr>
              <w:t>Collectively</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23,610</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15,430</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15,195</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5,019</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4,455</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64,193</w:t>
            </w: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26,543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4,868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71,185</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60" w:type="dxa"/>
            <w:vAlign w:val="bottom"/>
            <w:shd w:val="clear" w:color="auto" w:fill="CCEEFF"/>
          </w:tcPr>
          <w:p>
            <w:pPr>
              <w:ind w:left="200"/>
              <w:spacing w:after="0" w:line="166" w:lineRule="exact"/>
              <w:rPr>
                <w:sz w:val="20"/>
                <w:szCs w:val="20"/>
                <w:color w:val="auto"/>
              </w:rPr>
            </w:pPr>
            <w:r>
              <w:rPr>
                <w:rFonts w:ascii="Arial" w:cs="Arial" w:eastAsia="Arial" w:hAnsi="Arial"/>
                <w:sz w:val="16"/>
                <w:szCs w:val="16"/>
                <w:color w:val="auto"/>
              </w:rPr>
              <w:t>Individually</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11,831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15,532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10,909</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6,981</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45,502</w:t>
            </w:r>
          </w:p>
        </w:tc>
        <w:tc>
          <w:tcPr>
            <w:tcW w:w="0" w:type="dxa"/>
            <w:vAlign w:val="bottom"/>
          </w:tcPr>
          <w:p>
            <w:pPr>
              <w:spacing w:after="0"/>
              <w:rPr>
                <w:sz w:val="1"/>
                <w:szCs w:val="1"/>
                <w:color w:val="auto"/>
              </w:rPr>
            </w:pPr>
          </w:p>
        </w:tc>
      </w:tr>
      <w:tr>
        <w:trPr>
          <w:trHeight w:val="212"/>
        </w:trPr>
        <w:tc>
          <w:tcPr>
            <w:tcW w:w="1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60" w:type="dxa"/>
            <w:vAlign w:val="bottom"/>
          </w:tcPr>
          <w:p>
            <w:pPr>
              <w:ind w:left="200"/>
              <w:spacing w:after="0" w:line="146" w:lineRule="exact"/>
              <w:rPr>
                <w:sz w:val="20"/>
                <w:szCs w:val="20"/>
                <w:color w:val="auto"/>
              </w:rPr>
            </w:pPr>
            <w:r>
              <w:rPr>
                <w:rFonts w:ascii="Arial" w:cs="Arial" w:eastAsia="Arial" w:hAnsi="Arial"/>
                <w:sz w:val="16"/>
                <w:szCs w:val="16"/>
                <w:color w:val="auto"/>
              </w:rPr>
              <w:t>Collectively</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1,273,088</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374,814</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1,130,368</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661,691</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529,289</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369,022</w:t>
            </w:r>
          </w:p>
        </w:tc>
        <w:tc>
          <w:tcPr>
            <w:tcW w:w="8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45,467</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4,383,739</w:t>
            </w: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1,284,919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390,346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1,141,277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661,691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536,270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369,022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45,716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4,429,241</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520"/>
        <w:spacing w:after="0"/>
        <w:rPr>
          <w:sz w:val="20"/>
          <w:szCs w:val="20"/>
          <w:color w:val="auto"/>
        </w:rPr>
      </w:pPr>
      <w:r>
        <w:rPr>
          <w:rFonts w:ascii="Arial" w:cs="Arial" w:eastAsia="Arial" w:hAnsi="Arial"/>
          <w:sz w:val="16"/>
          <w:szCs w:val="16"/>
          <w:b w:val="1"/>
          <w:bCs w:val="1"/>
          <w:color w:val="auto"/>
        </w:rPr>
        <w:t>Construction</w:t>
      </w:r>
    </w:p>
    <w:p>
      <w:pPr>
        <w:spacing w:after="0" w:line="26" w:lineRule="exact"/>
        <w:rPr>
          <w:sz w:val="20"/>
          <w:szCs w:val="20"/>
          <w:color w:val="auto"/>
        </w:rPr>
      </w:pPr>
    </w:p>
    <w:p>
      <w:pPr>
        <w:ind w:left="4260"/>
        <w:spacing w:after="0"/>
        <w:tabs>
          <w:tab w:leader="none" w:pos="5540" w:val="left"/>
          <w:tab w:leader="none" w:pos="6680" w:val="left"/>
        </w:tabs>
        <w:rPr>
          <w:sz w:val="20"/>
          <w:szCs w:val="20"/>
          <w:color w:val="auto"/>
        </w:rPr>
      </w:pPr>
      <w:r>
        <w:rPr>
          <w:rFonts w:ascii="Arial" w:cs="Arial" w:eastAsia="Arial" w:hAnsi="Arial"/>
          <w:sz w:val="16"/>
          <w:szCs w:val="16"/>
          <w:b w:val="1"/>
          <w:bCs w:val="1"/>
          <w:color w:val="auto"/>
        </w:rPr>
        <w:t>Commercial</w:t>
      </w:r>
      <w:r>
        <w:rPr>
          <w:sz w:val="20"/>
          <w:szCs w:val="20"/>
          <w:color w:val="auto"/>
        </w:rPr>
        <w:tab/>
      </w:r>
      <w:r>
        <w:rPr>
          <w:rFonts w:ascii="Arial" w:cs="Arial" w:eastAsia="Arial" w:hAnsi="Arial"/>
          <w:sz w:val="16"/>
          <w:szCs w:val="16"/>
          <w:b w:val="1"/>
          <w:bCs w:val="1"/>
          <w:color w:val="auto"/>
        </w:rPr>
        <w:t>and Land</w:t>
      </w:r>
      <w:r>
        <w:rPr>
          <w:sz w:val="20"/>
          <w:szCs w:val="20"/>
          <w:color w:val="auto"/>
        </w:rPr>
        <w:tab/>
      </w:r>
      <w:r>
        <w:rPr>
          <w:rFonts w:ascii="Arial" w:cs="Arial" w:eastAsia="Arial" w:hAnsi="Arial"/>
          <w:sz w:val="14"/>
          <w:szCs w:val="14"/>
          <w:b w:val="1"/>
          <w:bCs w:val="1"/>
          <w:color w:val="auto"/>
        </w:rPr>
        <w:t>Residential</w:t>
      </w:r>
    </w:p>
    <w:p>
      <w:pPr>
        <w:spacing w:after="0" w:line="19" w:lineRule="exact"/>
        <w:rPr>
          <w:sz w:val="20"/>
          <w:szCs w:val="20"/>
          <w:color w:val="auto"/>
        </w:rPr>
      </w:pPr>
    </w:p>
    <w:p>
      <w:pPr>
        <w:ind w:left="1860"/>
        <w:spacing w:after="0"/>
        <w:tabs>
          <w:tab w:leader="none" w:pos="3200" w:val="left"/>
          <w:tab w:leader="none" w:pos="4260" w:val="left"/>
          <w:tab w:leader="none" w:pos="5420" w:val="left"/>
          <w:tab w:leader="none" w:pos="6680" w:val="left"/>
          <w:tab w:leader="none" w:pos="8120" w:val="left"/>
          <w:tab w:leader="none" w:pos="9100" w:val="left"/>
          <w:tab w:leader="none" w:pos="10480" w:val="left"/>
        </w:tabs>
        <w:rPr>
          <w:sz w:val="20"/>
          <w:szCs w:val="20"/>
          <w:color w:val="auto"/>
        </w:rPr>
      </w:pPr>
      <w:r>
        <w:rPr>
          <w:rFonts w:ascii="Arial" w:cs="Arial" w:eastAsia="Arial" w:hAnsi="Arial"/>
          <w:sz w:val="16"/>
          <w:szCs w:val="16"/>
          <w:b w:val="1"/>
          <w:bCs w:val="1"/>
          <w:color w:val="auto"/>
        </w:rPr>
        <w:t>Commercial</w:t>
      </w:r>
      <w:r>
        <w:rPr>
          <w:sz w:val="20"/>
          <w:szCs w:val="20"/>
          <w:color w:val="auto"/>
        </w:rPr>
        <w:tab/>
      </w:r>
      <w:r>
        <w:rPr>
          <w:rFonts w:ascii="Arial" w:cs="Arial" w:eastAsia="Arial" w:hAnsi="Arial"/>
          <w:sz w:val="16"/>
          <w:szCs w:val="16"/>
          <w:b w:val="1"/>
          <w:bCs w:val="1"/>
          <w:color w:val="auto"/>
        </w:rPr>
        <w:t>Energy</w:t>
      </w:r>
      <w:r>
        <w:rPr>
          <w:sz w:val="20"/>
          <w:szCs w:val="20"/>
          <w:color w:val="auto"/>
        </w:rPr>
        <w:tab/>
      </w:r>
      <w:r>
        <w:rPr>
          <w:rFonts w:ascii="Arial" w:cs="Arial" w:eastAsia="Arial" w:hAnsi="Arial"/>
          <w:sz w:val="16"/>
          <w:szCs w:val="16"/>
          <w:b w:val="1"/>
          <w:bCs w:val="1"/>
          <w:color w:val="auto"/>
        </w:rPr>
        <w:t>Real Estate</w:t>
      </w:r>
      <w:r>
        <w:rPr>
          <w:sz w:val="20"/>
          <w:szCs w:val="20"/>
          <w:color w:val="auto"/>
        </w:rPr>
        <w:tab/>
      </w:r>
      <w:r>
        <w:rPr>
          <w:rFonts w:ascii="Arial" w:cs="Arial" w:eastAsia="Arial" w:hAnsi="Arial"/>
          <w:sz w:val="16"/>
          <w:szCs w:val="16"/>
          <w:b w:val="1"/>
          <w:bCs w:val="1"/>
          <w:color w:val="auto"/>
        </w:rPr>
        <w:t>Development</w:t>
      </w:r>
      <w:r>
        <w:rPr>
          <w:sz w:val="20"/>
          <w:szCs w:val="20"/>
          <w:color w:val="auto"/>
        </w:rPr>
        <w:tab/>
      </w:r>
      <w:r>
        <w:rPr>
          <w:rFonts w:ascii="Arial" w:cs="Arial" w:eastAsia="Arial" w:hAnsi="Arial"/>
          <w:sz w:val="16"/>
          <w:szCs w:val="16"/>
          <w:b w:val="1"/>
          <w:bCs w:val="1"/>
          <w:color w:val="auto"/>
        </w:rPr>
        <w:t>Real Estate</w:t>
      </w:r>
      <w:r>
        <w:rPr>
          <w:sz w:val="20"/>
          <w:szCs w:val="20"/>
          <w:color w:val="auto"/>
        </w:rPr>
        <w:tab/>
      </w:r>
      <w:r>
        <w:rPr>
          <w:rFonts w:ascii="Arial" w:cs="Arial" w:eastAsia="Arial" w:hAnsi="Arial"/>
          <w:sz w:val="16"/>
          <w:szCs w:val="16"/>
          <w:b w:val="1"/>
          <w:bCs w:val="1"/>
          <w:color w:val="auto"/>
        </w:rPr>
        <w:t>PPP</w:t>
      </w:r>
      <w:r>
        <w:rPr>
          <w:sz w:val="20"/>
          <w:szCs w:val="20"/>
          <w:color w:val="auto"/>
        </w:rPr>
        <w:tab/>
      </w:r>
      <w:r>
        <w:rPr>
          <w:rFonts w:ascii="Arial" w:cs="Arial" w:eastAsia="Arial" w:hAnsi="Arial"/>
          <w:sz w:val="16"/>
          <w:szCs w:val="16"/>
          <w:b w:val="1"/>
          <w:bCs w:val="1"/>
          <w:color w:val="auto"/>
        </w:rPr>
        <w:t>Consumer</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33020</wp:posOffset>
            </wp:positionV>
            <wp:extent cx="60432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62"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34925</wp:posOffset>
            </wp:positionV>
            <wp:extent cx="702945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December 31, 2019</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Period end allowance for loan losses allocated to:</w:t>
      </w:r>
    </w:p>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Individually</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19,942</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1,949</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22,298</w:t>
            </w:r>
          </w:p>
        </w:tc>
        <w:tc>
          <w:tcPr>
            <w:tcW w:w="0" w:type="dxa"/>
            <w:vAlign w:val="bottom"/>
          </w:tcPr>
          <w:p>
            <w:pPr>
              <w:spacing w:after="0"/>
              <w:rPr>
                <w:sz w:val="1"/>
                <w:szCs w:val="1"/>
                <w:color w:val="auto"/>
              </w:rPr>
            </w:pPr>
          </w:p>
        </w:tc>
      </w:tr>
      <w:tr>
        <w:trPr>
          <w:trHeight w:val="212"/>
        </w:trPr>
        <w:tc>
          <w:tcPr>
            <w:tcW w:w="1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60" w:type="dxa"/>
            <w:vAlign w:val="bottom"/>
          </w:tcPr>
          <w:p>
            <w:pPr>
              <w:ind w:left="200"/>
              <w:spacing w:after="0" w:line="146" w:lineRule="exact"/>
              <w:rPr>
                <w:sz w:val="20"/>
                <w:szCs w:val="20"/>
                <w:color w:val="auto"/>
              </w:rPr>
            </w:pPr>
            <w:r>
              <w:rPr>
                <w:rFonts w:ascii="Arial" w:cs="Arial" w:eastAsia="Arial" w:hAnsi="Arial"/>
                <w:sz w:val="16"/>
                <w:szCs w:val="16"/>
                <w:color w:val="auto"/>
              </w:rPr>
              <w:t>Collectively</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15,922</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4,616</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7,875</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4"/>
                <w:szCs w:val="14"/>
                <w:color w:val="auto"/>
              </w:rPr>
            </w:pP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34,598</w:t>
            </w: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35,864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6,565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8,085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2,546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56,896</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60" w:type="dxa"/>
            <w:vAlign w:val="bottom"/>
            <w:shd w:val="clear" w:color="auto" w:fill="CCEEFF"/>
          </w:tcPr>
          <w:p>
            <w:pPr>
              <w:ind w:left="200"/>
              <w:spacing w:after="0" w:line="166" w:lineRule="exact"/>
              <w:rPr>
                <w:sz w:val="20"/>
                <w:szCs w:val="20"/>
                <w:color w:val="auto"/>
              </w:rPr>
            </w:pPr>
            <w:r>
              <w:rPr>
                <w:rFonts w:ascii="Arial" w:cs="Arial" w:eastAsia="Arial" w:hAnsi="Arial"/>
                <w:sz w:val="16"/>
                <w:szCs w:val="16"/>
                <w:color w:val="auto"/>
              </w:rPr>
              <w:t>Individually</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70,876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9,744</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10,492</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93,500</w:t>
            </w:r>
          </w:p>
        </w:tc>
        <w:tc>
          <w:tcPr>
            <w:tcW w:w="0" w:type="dxa"/>
            <w:vAlign w:val="bottom"/>
          </w:tcPr>
          <w:p>
            <w:pPr>
              <w:spacing w:after="0"/>
              <w:rPr>
                <w:sz w:val="1"/>
                <w:szCs w:val="1"/>
                <w:color w:val="auto"/>
              </w:rPr>
            </w:pPr>
          </w:p>
        </w:tc>
      </w:tr>
      <w:tr>
        <w:trPr>
          <w:trHeight w:val="212"/>
        </w:trPr>
        <w:tc>
          <w:tcPr>
            <w:tcW w:w="1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60" w:type="dxa"/>
            <w:vAlign w:val="bottom"/>
          </w:tcPr>
          <w:p>
            <w:pPr>
              <w:ind w:left="200"/>
              <w:spacing w:after="0" w:line="146" w:lineRule="exact"/>
              <w:rPr>
                <w:sz w:val="20"/>
                <w:szCs w:val="20"/>
                <w:color w:val="auto"/>
              </w:rPr>
            </w:pPr>
            <w:r>
              <w:rPr>
                <w:rFonts w:ascii="Arial" w:cs="Arial" w:eastAsia="Arial" w:hAnsi="Arial"/>
                <w:sz w:val="16"/>
                <w:szCs w:val="16"/>
                <w:color w:val="auto"/>
              </w:rPr>
              <w:t>Collectively</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360"/>
              <w:spacing w:after="0" w:line="162" w:lineRule="exact"/>
              <w:rPr>
                <w:sz w:val="20"/>
                <w:szCs w:val="20"/>
                <w:color w:val="auto"/>
              </w:rPr>
            </w:pPr>
            <w:r>
              <w:rPr>
                <w:rFonts w:ascii="Arial" w:cs="Arial" w:eastAsia="Arial" w:hAnsi="Arial"/>
                <w:sz w:val="16"/>
                <w:szCs w:val="16"/>
                <w:color w:val="auto"/>
              </w:rPr>
              <w:t>evaluated for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1,285,941</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398,829</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1,013,549</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628,418</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396,307</w:t>
            </w:r>
          </w:p>
        </w:tc>
        <w:tc>
          <w:tcPr>
            <w:tcW w:w="100" w:type="dxa"/>
            <w:vAlign w:val="bottom"/>
          </w:tcPr>
          <w:p>
            <w:pPr>
              <w:spacing w:after="0"/>
              <w:rPr>
                <w:sz w:val="14"/>
                <w:szCs w:val="14"/>
                <w:color w:val="auto"/>
              </w:rPr>
            </w:pP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45,163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3,768,207</w:t>
            </w: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1,356,817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408,573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1,024,041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628,418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398,695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45,163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3,861,707</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Risk Profile</w:t>
      </w:r>
    </w:p>
    <w:p>
      <w:pPr>
        <w:spacing w:after="0" w:line="164" w:lineRule="exact"/>
        <w:rPr>
          <w:sz w:val="20"/>
          <w:szCs w:val="20"/>
          <w:color w:val="auto"/>
        </w:rPr>
      </w:pPr>
    </w:p>
    <w:p>
      <w:pPr>
        <w:ind w:left="180" w:right="340" w:firstLine="486"/>
        <w:spacing w:after="0" w:line="308" w:lineRule="auto"/>
        <w:rPr>
          <w:sz w:val="20"/>
          <w:szCs w:val="20"/>
          <w:color w:val="auto"/>
        </w:rPr>
      </w:pPr>
      <w:r>
        <w:rPr>
          <w:rFonts w:ascii="Arial" w:cs="Arial" w:eastAsia="Arial" w:hAnsi="Arial"/>
          <w:sz w:val="17"/>
          <w:szCs w:val="17"/>
          <w:color w:val="auto"/>
        </w:rPr>
        <w:t>The Company analyzes its loan portfolio based on internal rating categories (grades 1 - 8), portfolio segmentation and payment activity. These categories are utilized to develop the associated allowance for loan losses. A description of the loan grades and segments follows: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Grades</w:t>
      </w:r>
    </w:p>
    <w:p>
      <w:pPr>
        <w:spacing w:after="0" w:line="167" w:lineRule="exact"/>
        <w:rPr>
          <w:sz w:val="20"/>
          <w:szCs w:val="20"/>
          <w:color w:val="auto"/>
        </w:rPr>
      </w:pPr>
    </w:p>
    <w:p>
      <w:pPr>
        <w:ind w:left="1300" w:right="100" w:hanging="644"/>
        <w:spacing w:after="0" w:line="26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Pass (risk rating 1-4) </w:t>
      </w:r>
      <w:r>
        <w:rPr>
          <w:rFonts w:ascii="Arial" w:cs="Arial" w:eastAsia="Arial" w:hAnsi="Arial"/>
          <w:sz w:val="18"/>
          <w:szCs w:val="18"/>
          <w:color w:val="auto"/>
        </w:rPr>
        <w:t>- Considered satisfactory. Includes borrowers that generally maintain good liquidity and financial condition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is currently protected with sales trends remaining flat or declining. Most ratios compare favorably with industry norms and Company policies. Debt is programmed and timely repayment is expected.</w:t>
      </w:r>
    </w:p>
    <w:p>
      <w:pPr>
        <w:spacing w:after="0" w:line="67" w:lineRule="exact"/>
        <w:rPr>
          <w:rFonts w:ascii="Arial" w:cs="Arial" w:eastAsia="Arial" w:hAnsi="Arial"/>
          <w:sz w:val="18"/>
          <w:szCs w:val="18"/>
          <w:color w:val="auto"/>
        </w:rPr>
      </w:pPr>
    </w:p>
    <w:p>
      <w:pPr>
        <w:jc w:val="both"/>
        <w:ind w:left="1300" w:right="280" w:hanging="644"/>
        <w:spacing w:after="0" w:line="303"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Special Mention (risk rating 5) </w:t>
      </w:r>
      <w:r>
        <w:rPr>
          <w:rFonts w:ascii="Arial" w:cs="Arial" w:eastAsia="Arial" w:hAnsi="Arial"/>
          <w:sz w:val="16"/>
          <w:szCs w:val="16"/>
          <w:color w:val="auto"/>
        </w:rPr>
        <w:t>- Borrowers generally exhibit adverse trends in operations or an imbalanced position in their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42" w:lineRule="exact"/>
        <w:rPr>
          <w:rFonts w:ascii="Arial" w:cs="Arial" w:eastAsia="Arial" w:hAnsi="Arial"/>
          <w:sz w:val="16"/>
          <w:szCs w:val="16"/>
          <w:color w:val="auto"/>
        </w:rPr>
      </w:pPr>
    </w:p>
    <w:p>
      <w:pPr>
        <w:ind w:left="1300" w:right="180" w:hanging="644"/>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Substandard (risk rating 6) </w:t>
      </w:r>
      <w:r>
        <w:rPr>
          <w:rFonts w:ascii="Arial" w:cs="Arial" w:eastAsia="Arial" w:hAnsi="Arial"/>
          <w:sz w:val="18"/>
          <w:szCs w:val="18"/>
          <w:color w:val="auto"/>
        </w:rPr>
        <w:t>- Credits generally exhibit well-defined weakness(es) that jeopardize repayment. Credits are inadequately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75" w:lineRule="exact"/>
        <w:rPr>
          <w:rFonts w:ascii="Arial" w:cs="Arial" w:eastAsia="Arial" w:hAnsi="Arial"/>
          <w:sz w:val="18"/>
          <w:szCs w:val="18"/>
          <w:color w:val="auto"/>
        </w:rPr>
      </w:pPr>
    </w:p>
    <w:p>
      <w:pPr>
        <w:ind w:left="1300" w:right="100" w:hanging="644"/>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Doubtful (risk rating 7) </w:t>
      </w:r>
      <w:r>
        <w:rPr>
          <w:rFonts w:ascii="Arial" w:cs="Arial" w:eastAsia="Arial" w:hAnsi="Arial"/>
          <w:sz w:val="18"/>
          <w:szCs w:val="18"/>
          <w:color w:val="auto"/>
        </w:rPr>
        <w:t>- Credits which exhibit weaknesses inherent in a substandard credit with the added characteristic that these</w:t>
      </w:r>
      <w:r>
        <w:rPr>
          <w:rFonts w:ascii="Arial" w:cs="Arial" w:eastAsia="Arial" w:hAnsi="Arial"/>
          <w:sz w:val="18"/>
          <w:szCs w:val="18"/>
          <w:b w:val="1"/>
          <w:bCs w:val="1"/>
          <w:color w:val="auto"/>
        </w:rPr>
        <w:t xml:space="preserve"> </w:t>
      </w:r>
      <w:r>
        <w:rPr>
          <w:rFonts w:ascii="Arial" w:cs="Arial" w:eastAsia="Arial" w:hAnsi="Arial"/>
          <w:sz w:val="18"/>
          <w:szCs w:val="18"/>
          <w:color w:val="auto"/>
        </w:rPr>
        <w:t>weaknesses make collection or liquidation in full highly questionable and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71" w:lineRule="exact"/>
        <w:rPr>
          <w:rFonts w:ascii="Arial" w:cs="Arial" w:eastAsia="Arial" w:hAnsi="Arial"/>
          <w:sz w:val="18"/>
          <w:szCs w:val="18"/>
          <w:color w:val="auto"/>
        </w:rPr>
      </w:pPr>
    </w:p>
    <w:p>
      <w:pPr>
        <w:ind w:left="1300" w:right="240" w:hanging="644"/>
        <w:spacing w:after="0" w:line="282"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Loss (risk rating 8) </w:t>
      </w:r>
      <w:r>
        <w:rPr>
          <w:rFonts w:ascii="Arial" w:cs="Arial" w:eastAsia="Arial" w:hAnsi="Arial"/>
          <w:sz w:val="18"/>
          <w:szCs w:val="18"/>
          <w:color w:val="auto"/>
        </w:rPr>
        <w:t>- Credits which are considered uncollectible or of such little value that their continuance as a bankable asset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Segments</w:t>
      </w:r>
    </w:p>
    <w:p>
      <w:pPr>
        <w:spacing w:after="0" w:line="167" w:lineRule="exact"/>
        <w:rPr>
          <w:sz w:val="20"/>
          <w:szCs w:val="20"/>
          <w:color w:val="auto"/>
        </w:rPr>
      </w:pPr>
    </w:p>
    <w:p>
      <w:pPr>
        <w:ind w:left="1300" w:right="80" w:hanging="644"/>
        <w:spacing w:after="0" w:line="266"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 Includes loans to commercial customers for use in financing working capital needs, equipment purchases and expansions.</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is primarily from the cash flow of a borrower’s principal business operation. Credit risk is driven by creditworthiness of a borrower and the economic conditions that impact the cash flow stability from business operations.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2" w:name="page23"/>
    <w:bookmarkEnd w:id="22"/>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5" w:lineRule="exact"/>
        <w:rPr>
          <w:sz w:val="20"/>
          <w:szCs w:val="20"/>
          <w:color w:val="auto"/>
        </w:rPr>
      </w:pPr>
    </w:p>
    <w:p>
      <w:pPr>
        <w:ind w:left="1280" w:right="20" w:hanging="644"/>
        <w:spacing w:after="0" w:line="261"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 Includes loans to oil and natural gas customers for use in financing working capital needs, exploration and production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71" w:lineRule="exact"/>
        <w:rPr>
          <w:rFonts w:ascii="Arial" w:cs="Arial" w:eastAsia="Arial" w:hAnsi="Arial"/>
          <w:sz w:val="18"/>
          <w:szCs w:val="18"/>
          <w:color w:val="auto"/>
        </w:rPr>
      </w:pPr>
    </w:p>
    <w:p>
      <w:pPr>
        <w:ind w:left="1280" w:right="80" w:hanging="644"/>
        <w:spacing w:after="0" w:line="281" w:lineRule="auto"/>
        <w:tabs>
          <w:tab w:leader="none" w:pos="127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Commercial Real Estate </w:t>
      </w:r>
      <w:r>
        <w:rPr>
          <w:rFonts w:ascii="Arial" w:cs="Arial" w:eastAsia="Arial" w:hAnsi="Arial"/>
          <w:sz w:val="17"/>
          <w:szCs w:val="17"/>
          <w:color w:val="auto"/>
        </w:rPr>
        <w:t>- Loans typically involve larger principal amounts, and repayment of these loans is generally dependent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56" w:lineRule="exact"/>
        <w:rPr>
          <w:rFonts w:ascii="Arial" w:cs="Arial" w:eastAsia="Arial" w:hAnsi="Arial"/>
          <w:sz w:val="17"/>
          <w:szCs w:val="17"/>
          <w:color w:val="auto"/>
        </w:rPr>
      </w:pPr>
    </w:p>
    <w:p>
      <w:pPr>
        <w:ind w:left="1280" w:right="100" w:hanging="644"/>
        <w:spacing w:after="0" w:line="274" w:lineRule="auto"/>
        <w:tabs>
          <w:tab w:leader="none" w:pos="127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and Land Development </w:t>
      </w:r>
      <w:r>
        <w:rPr>
          <w:rFonts w:ascii="Arial" w:cs="Arial" w:eastAsia="Arial" w:hAnsi="Arial"/>
          <w:sz w:val="17"/>
          <w:szCs w:val="17"/>
          <w:color w:val="auto"/>
        </w:rPr>
        <w:t>- Loans are usually based upon estimates of costs and estimated value of the completed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and include independent appraisal reviews and a 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65" w:lineRule="exact"/>
        <w:rPr>
          <w:rFonts w:ascii="Arial" w:cs="Arial" w:eastAsia="Arial" w:hAnsi="Arial"/>
          <w:sz w:val="17"/>
          <w:szCs w:val="17"/>
          <w:color w:val="auto"/>
        </w:rPr>
      </w:pPr>
    </w:p>
    <w:p>
      <w:pPr>
        <w:ind w:left="1280" w:right="120" w:hanging="644"/>
        <w:spacing w:after="0" w:line="261"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Residential Real Estate </w:t>
      </w:r>
      <w:r>
        <w:rPr>
          <w:rFonts w:ascii="Arial" w:cs="Arial" w:eastAsia="Arial" w:hAnsi="Arial"/>
          <w:sz w:val="18"/>
          <w:szCs w:val="18"/>
          <w:color w:val="auto"/>
        </w:rPr>
        <w:t>- The loans are generally secured by owner-occupied 1-4 family residences or multifamily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of these loans is primarily dependent on the personal income and credit rating of the borrowers or underlying tenants. Credit risk in these loans can be impacted by economic conditions within or outside the borrower’s market areas that might impact either property values, a borrower’s personal income, or residents’ income.</w:t>
      </w:r>
    </w:p>
    <w:p>
      <w:pPr>
        <w:spacing w:after="0" w:line="71" w:lineRule="exact"/>
        <w:rPr>
          <w:rFonts w:ascii="Arial" w:cs="Arial" w:eastAsia="Arial" w:hAnsi="Arial"/>
          <w:sz w:val="18"/>
          <w:szCs w:val="18"/>
          <w:color w:val="auto"/>
        </w:rPr>
      </w:pPr>
    </w:p>
    <w:p>
      <w:pPr>
        <w:ind w:left="1280" w:right="100" w:hanging="644"/>
        <w:spacing w:after="0" w:line="289" w:lineRule="auto"/>
        <w:tabs>
          <w:tab w:leader="none" w:pos="127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PPP </w:t>
      </w:r>
      <w:r>
        <w:rPr>
          <w:rFonts w:ascii="Arial" w:cs="Arial" w:eastAsia="Arial" w:hAnsi="Arial"/>
          <w:sz w:val="17"/>
          <w:szCs w:val="17"/>
          <w:color w:val="auto"/>
        </w:rPr>
        <w:t>- The loans were established by the CARES Act which authorized forgivable loans to small businesses to pay their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COVID-19 pandemic. The program requires all loan terms to be the same for everyone. The loans are 100 percent guaranteed by the SBA and repayment is primarily dependent on the borrower’s cash flow or SBA repayment approval.</w:t>
      </w:r>
    </w:p>
    <w:p>
      <w:pPr>
        <w:spacing w:after="0" w:line="49" w:lineRule="exact"/>
        <w:rPr>
          <w:rFonts w:ascii="Arial" w:cs="Arial" w:eastAsia="Arial" w:hAnsi="Arial"/>
          <w:sz w:val="17"/>
          <w:szCs w:val="17"/>
          <w:color w:val="auto"/>
        </w:rPr>
      </w:pPr>
    </w:p>
    <w:p>
      <w:pPr>
        <w:ind w:left="1280" w:right="140" w:hanging="644"/>
        <w:spacing w:after="0" w:line="261"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Consumer </w:t>
      </w:r>
      <w:r>
        <w:rPr>
          <w:rFonts w:ascii="Arial" w:cs="Arial" w:eastAsia="Arial" w:hAnsi="Arial"/>
          <w:sz w:val="18"/>
          <w:szCs w:val="18"/>
          <w:color w:val="auto"/>
        </w:rPr>
        <w:t>- The loan portfolio consists of revolving lines of credit and various term loans such as automobile loans and loans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purposes. Repayment is 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130" w:lineRule="exact"/>
        <w:rPr>
          <w:sz w:val="20"/>
          <w:szCs w:val="20"/>
          <w:color w:val="auto"/>
        </w:rPr>
      </w:pPr>
    </w:p>
    <w:p>
      <w:pPr>
        <w:ind w:left="160" w:right="160" w:firstLine="486"/>
        <w:spacing w:after="0" w:line="277" w:lineRule="auto"/>
        <w:rPr>
          <w:sz w:val="20"/>
          <w:szCs w:val="20"/>
          <w:color w:val="auto"/>
        </w:rPr>
      </w:pPr>
      <w:r>
        <w:rPr>
          <w:rFonts w:ascii="Arial" w:cs="Arial" w:eastAsia="Arial" w:hAnsi="Arial"/>
          <w:sz w:val="18"/>
          <w:szCs w:val="18"/>
          <w:color w:val="auto"/>
        </w:rPr>
        <w:t>The following tables present the credit risk profile of the Company’s loan portfolio based on an internal rating categories (grades 1 - 8), portfolio segmentation, and payment activity:</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Substandard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Substandard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Pass</w:t>
            </w: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Mention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Performing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Nonperforming</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Doubtful</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6"/>
                <w:szCs w:val="16"/>
                <w:i w:val="1"/>
                <w:iCs w:val="1"/>
                <w:color w:val="auto"/>
                <w:w w:val="95"/>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1,143,316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53,411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77,226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7,662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1,284,919</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390,346</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1,069,590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39,332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25,355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6,187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1,141,277</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land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655,200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661,691</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528,510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3,935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536,270</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369,022</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45,716</w:t>
            </w:r>
          </w:p>
        </w:tc>
      </w:tr>
      <w:tr>
        <w:trPr>
          <w:trHeight w:val="27"/>
        </w:trPr>
        <w:tc>
          <w:tcPr>
            <w:tcW w:w="1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1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4,021,662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170,450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199,595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29,030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4,429,241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30"/>
        </w:trPr>
        <w:tc>
          <w:tcPr>
            <w:tcW w:w="210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9"/>
          </w:tcPr>
          <w:p>
            <w:pPr>
              <w:jc w:val="right"/>
              <w:spacing w:after="0"/>
              <w:rPr>
                <w:sz w:val="20"/>
                <w:szCs w:val="20"/>
                <w:color w:val="auto"/>
              </w:rPr>
            </w:pPr>
            <w:r>
              <w:rPr>
                <w:rFonts w:ascii="Arial" w:cs="Arial" w:eastAsia="Arial" w:hAnsi="Arial"/>
                <w:sz w:val="18"/>
                <w:szCs w:val="18"/>
                <w:color w:val="auto"/>
                <w:w w:val="90"/>
              </w:rPr>
              <w:t>Notes to Consolidated Financial Statements (unaudited)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92"/>
        </w:trPr>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Substandard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Substandard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Mention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Performing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Nonperforming</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Doubtful</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6"/>
                <w:szCs w:val="16"/>
                <w:i w:val="1"/>
                <w:iCs w:val="1"/>
                <w:color w:val="auto"/>
                <w:w w:val="95"/>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1,258,952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27,069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38,666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32,130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1,356,817</w:t>
            </w:r>
          </w:p>
        </w:tc>
      </w:tr>
      <w:tr>
        <w:trPr>
          <w:trHeight w:val="27"/>
        </w:trPr>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408,573</w:t>
            </w:r>
          </w:p>
        </w:tc>
      </w:tr>
      <w:tr>
        <w:trPr>
          <w:trHeight w:val="243"/>
        </w:trPr>
        <w:tc>
          <w:tcPr>
            <w:tcW w:w="140" w:type="dxa"/>
            <w:vAlign w:val="bottom"/>
          </w:tcPr>
          <w:p>
            <w:pPr>
              <w:spacing w:after="0"/>
              <w:rPr>
                <w:sz w:val="21"/>
                <w:szCs w:val="21"/>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1,007,921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9,311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1,024,041</w:t>
            </w:r>
          </w:p>
        </w:tc>
      </w:tr>
      <w:tr>
        <w:trPr>
          <w:trHeight w:val="27"/>
        </w:trPr>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140" w:type="dxa"/>
            <w:vAlign w:val="bottom"/>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land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140" w:type="dxa"/>
            <w:vAlign w:val="bottom"/>
          </w:tcPr>
          <w:p>
            <w:pPr>
              <w:spacing w:after="0"/>
              <w:rPr>
                <w:sz w:val="20"/>
                <w:szCs w:val="20"/>
                <w:color w:val="auto"/>
              </w:rPr>
            </w:pPr>
          </w:p>
        </w:tc>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628,418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628,418</w:t>
            </w:r>
          </w:p>
        </w:tc>
      </w:tr>
      <w:tr>
        <w:trPr>
          <w:trHeight w:val="243"/>
        </w:trPr>
        <w:tc>
          <w:tcPr>
            <w:tcW w:w="140" w:type="dxa"/>
            <w:vAlign w:val="bottom"/>
          </w:tcPr>
          <w:p>
            <w:pPr>
              <w:spacing w:after="0"/>
              <w:rPr>
                <w:sz w:val="21"/>
                <w:szCs w:val="21"/>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394,495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1,942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398,695</w:t>
            </w:r>
          </w:p>
        </w:tc>
      </w:tr>
      <w:tr>
        <w:trPr>
          <w:trHeight w:val="27"/>
        </w:trPr>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45,163</w:t>
            </w:r>
          </w:p>
        </w:tc>
      </w:tr>
      <w:tr>
        <w:trPr>
          <w:trHeight w:val="27"/>
        </w:trPr>
        <w:tc>
          <w:tcPr>
            <w:tcW w:w="140" w:type="dxa"/>
            <w:vAlign w:val="bottom"/>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140" w:type="dxa"/>
            <w:vAlign w:val="bottom"/>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3,727,182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47,629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47,221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34,192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3,861,707</w:t>
            </w:r>
          </w:p>
        </w:tc>
      </w:tr>
      <w:tr>
        <w:trPr>
          <w:trHeight w:val="20"/>
        </w:trPr>
        <w:tc>
          <w:tcPr>
            <w:tcW w:w="14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Aging Analysis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Company’s loan portfolio aging analysis of the recorded investment in loans as of June 30, 2020 and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Loans &gt;= 90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30-59 Days</w:t>
            </w: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60-89 Days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Loans</w:t>
            </w: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Days and</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Past Due</w:t>
            </w:r>
          </w:p>
        </w:tc>
        <w:tc>
          <w:tcPr>
            <w:tcW w:w="1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More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Total Past Due</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w:t>
            </w:r>
          </w:p>
        </w:tc>
        <w:tc>
          <w:tcPr>
            <w:tcW w:w="1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Accruing</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6"/>
          </w:tcPr>
          <w:p>
            <w:pPr>
              <w:jc w:val="right"/>
              <w:ind w:right="50"/>
              <w:spacing w:after="0"/>
              <w:rPr>
                <w:sz w:val="20"/>
                <w:szCs w:val="20"/>
                <w:color w:val="auto"/>
              </w:rPr>
            </w:pPr>
            <w:r>
              <w:rPr>
                <w:rFonts w:ascii="Arial" w:cs="Arial" w:eastAsia="Arial" w:hAnsi="Arial"/>
                <w:sz w:val="16"/>
                <w:szCs w:val="16"/>
                <w:i w:val="1"/>
                <w:iCs w:val="1"/>
                <w:color w:val="auto"/>
                <w:w w:val="97"/>
              </w:rPr>
              <w:t>(Dollars 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4,645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3,391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7,315</w:t>
            </w:r>
          </w:p>
        </w:tc>
        <w:tc>
          <w:tcPr>
            <w:tcW w:w="5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1,269,568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1,284,919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368,988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8,009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1,128,557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1,141,277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661,497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661,691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530,998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536,270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369,022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369,022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45,579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45,716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14,205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20,676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4,374,209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4,429,241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Loans &gt;= 90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30-59 Days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60-89 Days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90 Days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Loans</w:t>
            </w: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Days and</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Total Past Due</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w:t>
            </w: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Accruing</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6"/>
          </w:tcPr>
          <w:p>
            <w:pPr>
              <w:jc w:val="right"/>
              <w:ind w:right="50"/>
              <w:spacing w:after="0"/>
              <w:rPr>
                <w:sz w:val="20"/>
                <w:szCs w:val="20"/>
                <w:color w:val="auto"/>
              </w:rPr>
            </w:pPr>
            <w:r>
              <w:rPr>
                <w:rFonts w:ascii="Arial" w:cs="Arial" w:eastAsia="Arial" w:hAnsi="Arial"/>
                <w:sz w:val="16"/>
                <w:szCs w:val="16"/>
                <w:i w:val="1"/>
                <w:iCs w:val="1"/>
                <w:color w:val="auto"/>
                <w:w w:val="97"/>
              </w:rPr>
              <w:t>(Dollars 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30,911</w:t>
            </w:r>
          </w:p>
        </w:tc>
        <w:tc>
          <w:tcPr>
            <w:tcW w:w="5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32,278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1,324,539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1,356,817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401,640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1,019,136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1,024,041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Construction and land</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628,222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628,418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394,429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398,695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44,907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48,834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3,812,873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3,861,707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4" w:name="page25"/>
    <w:bookmarkEnd w:id="24"/>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Impaired Loans</w:t>
      </w:r>
    </w:p>
    <w:p>
      <w:pPr>
        <w:spacing w:after="0" w:line="164" w:lineRule="exact"/>
        <w:rPr>
          <w:sz w:val="20"/>
          <w:szCs w:val="20"/>
          <w:color w:val="auto"/>
        </w:rPr>
      </w:pPr>
    </w:p>
    <w:p>
      <w:pPr>
        <w:ind w:left="180" w:right="120" w:firstLine="486"/>
        <w:spacing w:after="0" w:line="279" w:lineRule="auto"/>
        <w:rPr>
          <w:sz w:val="20"/>
          <w:szCs w:val="20"/>
          <w:color w:val="auto"/>
        </w:rPr>
      </w:pPr>
      <w:r>
        <w:rPr>
          <w:rFonts w:ascii="Arial" w:cs="Arial" w:eastAsia="Arial" w:hAnsi="Arial"/>
          <w:sz w:val="17"/>
          <w:szCs w:val="17"/>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117" w:lineRule="exact"/>
        <w:rPr>
          <w:sz w:val="20"/>
          <w:szCs w:val="20"/>
          <w:color w:val="auto"/>
        </w:rPr>
      </w:pPr>
    </w:p>
    <w:p>
      <w:pPr>
        <w:ind w:left="180" w:right="80" w:firstLine="486"/>
        <w:spacing w:after="0" w:line="277" w:lineRule="auto"/>
        <w:rPr>
          <w:sz w:val="20"/>
          <w:szCs w:val="20"/>
          <w:color w:val="auto"/>
        </w:rPr>
      </w:pPr>
      <w:r>
        <w:rPr>
          <w:rFonts w:ascii="Arial" w:cs="Arial" w:eastAsia="Arial" w:hAnsi="Arial"/>
          <w:sz w:val="18"/>
          <w:szCs w:val="18"/>
          <w:color w:val="auto"/>
        </w:rPr>
        <w:t>Groups of loans with similar risk characteristics are collectively evaluated for impairment based on the group’s historical loss experience adjusted for changes in trends, conditions and other relevant factors that affect repayment of the loans.</w:t>
      </w:r>
    </w:p>
    <w:p>
      <w:pPr>
        <w:spacing w:after="0" w:line="116" w:lineRule="exact"/>
        <w:rPr>
          <w:sz w:val="20"/>
          <w:szCs w:val="20"/>
          <w:color w:val="auto"/>
        </w:rPr>
      </w:pPr>
    </w:p>
    <w:p>
      <w:pPr>
        <w:ind w:left="180" w:right="560" w:firstLine="486"/>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including all restructured and formerly restructured loans, for the periods ended June 30, 2020 and December 31, 2019:</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Unpaid</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4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Recorded Balance</w:t>
            </w:r>
          </w:p>
        </w:tc>
        <w:tc>
          <w:tcPr>
            <w:tcW w:w="240" w:type="dxa"/>
            <w:vAlign w:val="bottom"/>
          </w:tcPr>
          <w:p>
            <w:pPr>
              <w:spacing w:after="0"/>
              <w:rPr>
                <w:sz w:val="23"/>
                <w:szCs w:val="23"/>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Principal Balance</w:t>
            </w:r>
          </w:p>
        </w:tc>
        <w:tc>
          <w:tcPr>
            <w:tcW w:w="240" w:type="dxa"/>
            <w:vAlign w:val="bottom"/>
          </w:tcPr>
          <w:p>
            <w:pPr>
              <w:spacing w:after="0"/>
              <w:rPr>
                <w:sz w:val="23"/>
                <w:szCs w:val="23"/>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Specific Allowance</w:t>
            </w:r>
          </w:p>
        </w:tc>
      </w:tr>
      <w:tr>
        <w:trPr>
          <w:trHeight w:val="27"/>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3"/>
              </w:rPr>
              <w:t>(Dollars in thousands)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Loans without a specific valuation</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PPP</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Loans with a specific valuation</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2,933</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15,532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18,244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1,942</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PPP</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2,933</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15,532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18,244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1,942</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10,909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w:t>
            </w:r>
          </w:p>
        </w:tc>
      </w:tr>
      <w:tr>
        <w:trPr>
          <w:trHeight w:val="243"/>
        </w:trPr>
        <w:tc>
          <w:tcPr>
            <w:tcW w:w="4420" w:type="dxa"/>
            <w:vAlign w:val="bottom"/>
          </w:tcPr>
          <w:p>
            <w:pPr>
              <w:ind w:left="220"/>
              <w:spacing w:after="0"/>
              <w:rPr>
                <w:sz w:val="20"/>
                <w:szCs w:val="20"/>
                <w:color w:val="auto"/>
              </w:rPr>
            </w:pPr>
            <w:r>
              <w:rPr>
                <w:rFonts w:ascii="Arial" w:cs="Arial" w:eastAsia="Arial" w:hAnsi="Arial"/>
                <w:sz w:val="18"/>
                <w:szCs w:val="18"/>
                <w:color w:val="auto"/>
              </w:rPr>
              <w:t>PPP</w:t>
            </w:r>
          </w:p>
        </w:tc>
        <w:tc>
          <w:tcPr>
            <w:tcW w:w="240" w:type="dxa"/>
            <w:vAlign w:val="bottom"/>
          </w:tcPr>
          <w:p>
            <w:pPr>
              <w:spacing w:after="0"/>
              <w:rPr>
                <w:sz w:val="21"/>
                <w:szCs w:val="21"/>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4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45,502</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66,254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6,992</w:t>
            </w:r>
          </w:p>
        </w:tc>
      </w:tr>
      <w:tr>
        <w:trPr>
          <w:trHeight w:val="27"/>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5820" w:type="dxa"/>
            <w:vAlign w:val="bottom"/>
            <w:gridSpan w:val="7"/>
          </w:tcPr>
          <w:p>
            <w:pPr>
              <w:ind w:left="340"/>
              <w:spacing w:after="0"/>
              <w:rPr>
                <w:sz w:val="20"/>
                <w:szCs w:val="20"/>
                <w:color w:val="auto"/>
              </w:rPr>
            </w:pPr>
            <w:r>
              <w:rPr>
                <w:rFonts w:ascii="Arial" w:cs="Arial" w:eastAsia="Arial" w:hAnsi="Arial"/>
                <w:sz w:val="18"/>
                <w:szCs w:val="18"/>
                <w:color w:val="auto"/>
              </w:rPr>
              <w:t>Notes to Consolidated Financial Statements (unaudited)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810"/>
        </w:trPr>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Unpaid</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Recorded Balance</w:t>
            </w:r>
          </w:p>
        </w:tc>
        <w:tc>
          <w:tcPr>
            <w:tcW w:w="220" w:type="dxa"/>
            <w:vAlign w:val="bottom"/>
          </w:tcPr>
          <w:p>
            <w:pPr>
              <w:spacing w:after="0"/>
              <w:rPr>
                <w:sz w:val="23"/>
                <w:szCs w:val="23"/>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Principal Balance</w:t>
            </w:r>
          </w:p>
        </w:tc>
        <w:tc>
          <w:tcPr>
            <w:tcW w:w="220" w:type="dxa"/>
            <w:vAlign w:val="bottom"/>
          </w:tcPr>
          <w:p>
            <w:pPr>
              <w:spacing w:after="0"/>
              <w:rPr>
                <w:sz w:val="23"/>
                <w:szCs w:val="23"/>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Specific Allowance</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Loans without a specific valuation</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Energy</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PPP</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Loans with a specific valuation</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19,942</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Energy</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1,949</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PPP</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19,942</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Energy</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9,744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12,744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1,949</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Construction and land development</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r>
      <w:tr>
        <w:trPr>
          <w:trHeight w:val="243"/>
        </w:trPr>
        <w:tc>
          <w:tcPr>
            <w:tcW w:w="14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PPP</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93,500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101,500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22,298</w:t>
            </w:r>
          </w:p>
        </w:tc>
      </w:tr>
      <w:tr>
        <w:trPr>
          <w:trHeight w:val="27"/>
        </w:trPr>
        <w:tc>
          <w:tcPr>
            <w:tcW w:w="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
        </w:trPr>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160" w:right="480" w:firstLine="486"/>
        <w:spacing w:after="0" w:line="277" w:lineRule="auto"/>
        <w:rPr>
          <w:sz w:val="20"/>
          <w:szCs w:val="20"/>
          <w:color w:val="auto"/>
        </w:rPr>
      </w:pPr>
      <w:r>
        <w:rPr>
          <w:rFonts w:ascii="Arial" w:cs="Arial" w:eastAsia="Arial" w:hAnsi="Arial"/>
          <w:sz w:val="18"/>
          <w:szCs w:val="18"/>
          <w:color w:val="auto"/>
        </w:rPr>
        <w:t>The table below shows interest income recognized during the three and six month periods ended June 30, 2020 and 2019 for impaired loans, including all restructured and formerly restructured loans, held at the end of each period:</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0"/>
                <w:szCs w:val="20"/>
                <w:color w:val="auto"/>
              </w:rPr>
            </w:pPr>
          </w:p>
        </w:tc>
        <w:tc>
          <w:tcPr>
            <w:tcW w:w="17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Six Months Ended</w:t>
            </w:r>
          </w:p>
        </w:tc>
      </w:tr>
      <w:tr>
        <w:trPr>
          <w:trHeight w:val="270"/>
        </w:trPr>
        <w:tc>
          <w:tcPr>
            <w:tcW w:w="6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3"/>
                <w:szCs w:val="23"/>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2019</w:t>
            </w: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70"/>
              <w:spacing w:after="0"/>
              <w:rPr>
                <w:sz w:val="20"/>
                <w:szCs w:val="20"/>
                <w:color w:val="auto"/>
              </w:rPr>
            </w:pPr>
            <w:r>
              <w:rPr>
                <w:rFonts w:ascii="Arial" w:cs="Arial" w:eastAsia="Arial" w:hAnsi="Arial"/>
                <w:sz w:val="16"/>
                <w:szCs w:val="16"/>
                <w:i w:val="1"/>
                <w:iCs w:val="1"/>
                <w:color w:val="auto"/>
                <w:w w:val="97"/>
              </w:rPr>
              <w:t>(Dollars 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980" w:type="dxa"/>
            <w:vAlign w:val="bottom"/>
          </w:tcPr>
          <w:p>
            <w:pPr>
              <w:ind w:left="140"/>
              <w:spacing w:after="0"/>
              <w:rPr>
                <w:sz w:val="20"/>
                <w:szCs w:val="20"/>
                <w:color w:val="auto"/>
              </w:rPr>
            </w:pPr>
            <w:r>
              <w:rPr>
                <w:rFonts w:ascii="Arial" w:cs="Arial" w:eastAsia="Arial" w:hAnsi="Arial"/>
                <w:sz w:val="18"/>
                <w:szCs w:val="18"/>
                <w:color w:val="auto"/>
              </w:rPr>
              <w:t>Total interest income recognized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507</w:t>
            </w:r>
          </w:p>
        </w:tc>
        <w:tc>
          <w:tcPr>
            <w:tcW w:w="3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2,227</w:t>
            </w:r>
          </w:p>
        </w:tc>
      </w:tr>
      <w:tr>
        <w:trPr>
          <w:trHeight w:val="21"/>
        </w:trPr>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79"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type w:val="continuous"/>
        </w:sectPr>
      </w:pPr>
    </w:p>
    <w:bookmarkStart w:id="26" w:name="page27"/>
    <w:bookmarkEnd w:id="26"/>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right="360" w:firstLine="486"/>
        <w:spacing w:after="0" w:line="277" w:lineRule="auto"/>
        <w:rPr>
          <w:sz w:val="20"/>
          <w:szCs w:val="20"/>
          <w:color w:val="auto"/>
        </w:rPr>
      </w:pPr>
      <w:r>
        <w:rPr>
          <w:rFonts w:ascii="Arial" w:cs="Arial" w:eastAsia="Arial" w:hAnsi="Arial"/>
          <w:sz w:val="18"/>
          <w:szCs w:val="18"/>
          <w:color w:val="auto"/>
        </w:rPr>
        <w:t>The table below shows the three and six month average balance of impaired loans as of June 30, 2020 and 2019 by loan category for impaired loans, including all restructured and formerly restructured loans, held at the end of each period:</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0"/>
                <w:szCs w:val="20"/>
                <w:color w:val="auto"/>
              </w:rPr>
            </w:pPr>
          </w:p>
        </w:tc>
        <w:tc>
          <w:tcPr>
            <w:tcW w:w="17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Six Months Ended</w:t>
            </w:r>
          </w:p>
        </w:tc>
      </w:tr>
      <w:tr>
        <w:trPr>
          <w:trHeight w:val="270"/>
        </w:trPr>
        <w:tc>
          <w:tcPr>
            <w:tcW w:w="6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3"/>
                <w:szCs w:val="23"/>
                <w:color w:val="auto"/>
              </w:rPr>
            </w:pPr>
          </w:p>
        </w:tc>
        <w:tc>
          <w:tcPr>
            <w:tcW w:w="1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8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74,259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17,527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13,850</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14,661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2,428</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980" w:type="dxa"/>
            <w:vAlign w:val="bottom"/>
          </w:tcPr>
          <w:p>
            <w:pPr>
              <w:ind w:left="140"/>
              <w:spacing w:after="0"/>
              <w:rPr>
                <w:sz w:val="20"/>
                <w:szCs w:val="20"/>
                <w:color w:val="auto"/>
              </w:rPr>
            </w:pPr>
            <w:r>
              <w:rPr>
                <w:rFonts w:ascii="Arial" w:cs="Arial" w:eastAsia="Arial" w:hAnsi="Arial"/>
                <w:sz w:val="18"/>
                <w:szCs w:val="18"/>
                <w:color w:val="auto"/>
              </w:rPr>
              <w:t>Total average impaired loans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46,971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79,760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54,779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105,223</w:t>
            </w:r>
          </w:p>
        </w:tc>
      </w:tr>
      <w:tr>
        <w:trPr>
          <w:trHeight w:val="21"/>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Non-accrual Loans</w:t>
      </w:r>
    </w:p>
    <w:p>
      <w:pPr>
        <w:spacing w:after="0" w:line="164"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Nonperforming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111" w:lineRule="exact"/>
        <w:rPr>
          <w:sz w:val="20"/>
          <w:szCs w:val="20"/>
          <w:color w:val="auto"/>
        </w:rPr>
      </w:pPr>
    </w:p>
    <w:p>
      <w:pPr>
        <w:ind w:left="180" w:right="40" w:firstLine="486"/>
        <w:spacing w:after="0" w:line="279" w:lineRule="auto"/>
        <w:rPr>
          <w:sz w:val="20"/>
          <w:szCs w:val="20"/>
          <w:color w:val="auto"/>
        </w:rPr>
      </w:pPr>
      <w:r>
        <w:rPr>
          <w:rFonts w:ascii="Arial" w:cs="Arial" w:eastAsia="Arial" w:hAnsi="Arial"/>
          <w:sz w:val="17"/>
          <w:szCs w:val="17"/>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June 30, 2020 and December 31, 2019:</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4"/>
          </w:tcPr>
          <w:p>
            <w:pPr>
              <w:jc w:val="right"/>
              <w:ind w:right="119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32,130</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15,384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4,540</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1,063</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1,942</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PPP</w:t>
            </w:r>
          </w:p>
        </w:tc>
        <w:tc>
          <w:tcPr>
            <w:tcW w:w="28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040" w:type="dxa"/>
            <w:vAlign w:val="bottom"/>
          </w:tcPr>
          <w:p>
            <w:pPr>
              <w:ind w:left="140"/>
              <w:spacing w:after="0"/>
              <w:rPr>
                <w:sz w:val="20"/>
                <w:szCs w:val="20"/>
                <w:color w:val="auto"/>
              </w:rPr>
            </w:pPr>
            <w:r>
              <w:rPr>
                <w:rFonts w:ascii="Arial" w:cs="Arial" w:eastAsia="Arial" w:hAnsi="Arial"/>
                <w:sz w:val="18"/>
                <w:szCs w:val="18"/>
                <w:color w:val="auto"/>
              </w:rPr>
              <w:t>Total non-accrual loans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37,534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39,675</w:t>
            </w: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Troubled Debt Restructurings</w:t>
      </w:r>
    </w:p>
    <w:p>
      <w:pPr>
        <w:spacing w:after="0" w:line="164"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Restructured loans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80" w:right="140" w:firstLine="486"/>
        <w:spacing w:after="0" w:line="277" w:lineRule="auto"/>
        <w:rPr>
          <w:sz w:val="20"/>
          <w:szCs w:val="20"/>
          <w:color w:val="auto"/>
        </w:rPr>
      </w:pPr>
      <w:r>
        <w:rPr>
          <w:rFonts w:ascii="Arial" w:cs="Arial" w:eastAsia="Arial" w:hAnsi="Arial"/>
          <w:sz w:val="18"/>
          <w:szCs w:val="18"/>
          <w:color w:val="auto"/>
        </w:rPr>
        <w:t>The table below presents loans restructured, excluding loans restructured as a result of the COVID-19 pandemic, during the three and six months ended June 30, 2020 and 2019, including the post-modification outstanding balance and the type of concession made:</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96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2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 Interest rate reduction</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3,171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Reduction of monthly payment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994</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 Extension of maturity date</w:t>
            </w:r>
          </w:p>
        </w:tc>
        <w:tc>
          <w:tcPr>
            <w:tcW w:w="104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30,005</w:t>
            </w:r>
          </w:p>
        </w:tc>
      </w:tr>
      <w:tr>
        <w:trPr>
          <w:trHeight w:val="27"/>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 Extension of maturity date</w:t>
            </w:r>
          </w:p>
        </w:tc>
        <w:tc>
          <w:tcPr>
            <w:tcW w:w="104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 Reduction of monthly payment</w:t>
            </w:r>
          </w:p>
        </w:tc>
        <w:tc>
          <w:tcPr>
            <w:tcW w:w="104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3,767</w:t>
            </w:r>
          </w:p>
        </w:tc>
      </w:tr>
      <w:tr>
        <w:trPr>
          <w:trHeight w:val="27"/>
        </w:trPr>
        <w:tc>
          <w:tcPr>
            <w:tcW w:w="5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 Payment deferral</w:t>
            </w: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troubled debt restructurings during applicable period</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30,005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5,576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34,766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As of June 30, 2020 and December 31, 2019, the Company had $749 thousand and $934 thousand, respectively, in unfunded commitments to borrowers whose terms have been modified in TDRs. For the three and six-month periods ended June 30, 2020, the modifications related to the TDRs above did not impact the allowance for loan losses because the loans were previously impaired and evaluated on an individual basis or enough collateral was obtained to provide an additional commitment.</w:t>
      </w:r>
    </w:p>
    <w:p>
      <w:pPr>
        <w:spacing w:after="0" w:line="133" w:lineRule="exact"/>
        <w:rPr>
          <w:sz w:val="20"/>
          <w:szCs w:val="20"/>
          <w:color w:val="auto"/>
        </w:rPr>
      </w:pPr>
    </w:p>
    <w:p>
      <w:pPr>
        <w:ind w:left="180" w:right="120" w:firstLine="486"/>
        <w:spacing w:after="0" w:line="263" w:lineRule="auto"/>
        <w:rPr>
          <w:sz w:val="20"/>
          <w:szCs w:val="20"/>
          <w:color w:val="auto"/>
        </w:rPr>
      </w:pPr>
      <w:r>
        <w:rPr>
          <w:rFonts w:ascii="Arial" w:cs="Arial" w:eastAsia="Arial" w:hAnsi="Arial"/>
          <w:sz w:val="18"/>
          <w:szCs w:val="18"/>
          <w:color w:val="auto"/>
        </w:rPr>
        <w:t>The balance of restructured loans, excluding loans restructured as a result of the COVID-19 pandemic, is provided below as of June 30, 2020 and December 31, 2019. In addition, the balance of those loans that are in default at any time during the past twelve months at June 30, 2020 and December 31, 2019 is provided below:</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34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Balance 90 days</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Balance 90 days</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8"/>
              </w:rPr>
              <w:t>past due at any</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past due at any</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5"/>
                <w:szCs w:val="15"/>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time during</w:t>
            </w: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5"/>
                <w:szCs w:val="15"/>
                <w:color w:val="auto"/>
              </w:rPr>
            </w:pPr>
          </w:p>
        </w:tc>
        <w:tc>
          <w:tcPr>
            <w:tcW w:w="13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time during</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7"/>
              </w:rPr>
              <w:t>previous 12</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previous 12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of Loans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20"/>
              <w:spacing w:after="0" w:line="230" w:lineRule="exact"/>
              <w:rPr>
                <w:sz w:val="20"/>
                <w:szCs w:val="20"/>
                <w:color w:val="auto"/>
              </w:rPr>
            </w:pPr>
            <w:r>
              <w:rPr>
                <w:rFonts w:ascii="Arial" w:cs="Arial" w:eastAsia="Arial" w:hAnsi="Arial"/>
                <w:sz w:val="18"/>
                <w:szCs w:val="18"/>
                <w:b w:val="1"/>
                <w:bCs w:val="1"/>
                <w:color w:val="auto"/>
                <w:w w:val="83"/>
              </w:rPr>
              <w:t>months</w:t>
            </w:r>
            <w:r>
              <w:rPr>
                <w:rFonts w:ascii="Arial" w:cs="Arial" w:eastAsia="Arial" w:hAnsi="Arial"/>
                <w:sz w:val="23"/>
                <w:szCs w:val="23"/>
                <w:b w:val="1"/>
                <w:bCs w:val="1"/>
                <w:color w:val="auto"/>
                <w:w w:val="83"/>
                <w:vertAlign w:val="superscript"/>
              </w:rPr>
              <w:t>(1)</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of Loans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
              <w:spacing w:after="0" w:line="230" w:lineRule="exact"/>
              <w:rPr>
                <w:sz w:val="20"/>
                <w:szCs w:val="20"/>
                <w:color w:val="auto"/>
              </w:rPr>
            </w:pPr>
            <w:r>
              <w:rPr>
                <w:rFonts w:ascii="Arial" w:cs="Arial" w:eastAsia="Arial" w:hAnsi="Arial"/>
                <w:sz w:val="18"/>
                <w:szCs w:val="18"/>
                <w:b w:val="1"/>
                <w:bCs w:val="1"/>
                <w:color w:val="auto"/>
                <w:w w:val="83"/>
              </w:rPr>
              <w:t>months</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ind w:left="6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Energy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2,864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PPP</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color w:val="auto"/>
              </w:rPr>
              <w:t>Total troubled debt restructured loans</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39,543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17145</wp:posOffset>
            </wp:positionV>
            <wp:extent cx="4980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3" w:lineRule="exact"/>
        <w:rPr>
          <w:sz w:val="20"/>
          <w:szCs w:val="20"/>
          <w:color w:val="auto"/>
        </w:rPr>
      </w:pPr>
    </w:p>
    <w:p>
      <w:pPr>
        <w:ind w:left="360" w:hanging="172"/>
        <w:spacing w:after="0"/>
        <w:tabs>
          <w:tab w:leader="none" w:pos="3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-124460</wp:posOffset>
            </wp:positionV>
            <wp:extent cx="4980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TDRs above had an allowance of $3 million and $18 million as of June 30, 2020 and December 31, 2019, respectively.</w:t>
      </w:r>
    </w:p>
    <w:p>
      <w:pPr>
        <w:spacing w:after="0" w:line="200" w:lineRule="exact"/>
        <w:rPr>
          <w:sz w:val="20"/>
          <w:szCs w:val="20"/>
          <w:color w:val="auto"/>
        </w:rPr>
      </w:pPr>
    </w:p>
    <w:p>
      <w:pPr>
        <w:spacing w:after="0" w:line="37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5:</w:t>
      </w:r>
      <w:r>
        <w:rPr>
          <w:sz w:val="20"/>
          <w:szCs w:val="20"/>
          <w:color w:val="auto"/>
        </w:rPr>
        <w:tab/>
      </w:r>
      <w:r>
        <w:rPr>
          <w:rFonts w:ascii="Arial" w:cs="Arial" w:eastAsia="Arial" w:hAnsi="Arial"/>
          <w:sz w:val="19"/>
          <w:szCs w:val="19"/>
          <w:b w:val="1"/>
          <w:bCs w:val="1"/>
          <w:color w:val="auto"/>
        </w:rPr>
        <w:t>Derivatives and Hedging</w:t>
      </w:r>
    </w:p>
    <w:p>
      <w:pPr>
        <w:spacing w:after="0" w:line="165" w:lineRule="exact"/>
        <w:rPr>
          <w:sz w:val="20"/>
          <w:szCs w:val="20"/>
          <w:color w:val="auto"/>
        </w:rPr>
      </w:pPr>
    </w:p>
    <w:p>
      <w:pPr>
        <w:jc w:val="both"/>
        <w:ind w:left="180" w:right="500" w:firstLine="486"/>
        <w:spacing w:after="0" w:line="286" w:lineRule="auto"/>
        <w:rPr>
          <w:sz w:val="20"/>
          <w:szCs w:val="20"/>
          <w:color w:val="auto"/>
        </w:rPr>
      </w:pPr>
      <w:r>
        <w:rPr>
          <w:rFonts w:ascii="Arial" w:cs="Arial" w:eastAsia="Arial" w:hAnsi="Arial"/>
          <w:sz w:val="17"/>
          <w:szCs w:val="17"/>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8" w:name="page29"/>
    <w:bookmarkEnd w:id="28"/>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jc w:val="both"/>
        <w:ind w:left="160" w:right="160"/>
        <w:spacing w:after="0" w:line="263" w:lineRule="auto"/>
        <w:rPr>
          <w:sz w:val="20"/>
          <w:szCs w:val="20"/>
          <w:color w:val="auto"/>
        </w:rPr>
      </w:pPr>
      <w:r>
        <w:rPr>
          <w:rFonts w:ascii="Arial" w:cs="Arial" w:eastAsia="Arial" w:hAnsi="Arial"/>
          <w:sz w:val="18"/>
          <w:szCs w:val="18"/>
          <w:color w:val="auto"/>
        </w:rPr>
        <w:t>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 The gains and losses are included in “other assets” on the Statement of Cash Flows.</w:t>
      </w:r>
    </w:p>
    <w:p>
      <w:pPr>
        <w:spacing w:after="0" w:line="130" w:lineRule="exact"/>
        <w:rPr>
          <w:sz w:val="20"/>
          <w:szCs w:val="20"/>
          <w:color w:val="auto"/>
        </w:rPr>
      </w:pPr>
    </w:p>
    <w:p>
      <w:pPr>
        <w:ind w:left="160" w:right="20" w:firstLine="486"/>
        <w:spacing w:after="0" w:line="259" w:lineRule="auto"/>
        <w:rPr>
          <w:sz w:val="20"/>
          <w:szCs w:val="20"/>
          <w:color w:val="auto"/>
        </w:rPr>
      </w:pPr>
      <w:r>
        <w:rPr>
          <w:rFonts w:ascii="Arial" w:cs="Arial" w:eastAsia="Arial" w:hAnsi="Arial"/>
          <w:sz w:val="18"/>
          <w:szCs w:val="18"/>
          <w:color w:val="auto"/>
        </w:rPr>
        <w:t>During 2019, the Company changed an input associated with the fair market value related to derivatives not designated as hedges. The model utilized to calculate the non-performance risk, also known as the credit valuation adjustment, or CVA, was adjusted from a more conservative default methodology to a review of the historical defaults recognized by the Company. Management believes this change better aligns with the Company’s credit methodology and underwriting standards.</w:t>
      </w:r>
    </w:p>
    <w:p>
      <w:pPr>
        <w:spacing w:after="0" w:line="133" w:lineRule="exact"/>
        <w:rPr>
          <w:sz w:val="20"/>
          <w:szCs w:val="20"/>
          <w:color w:val="auto"/>
        </w:rPr>
      </w:pPr>
    </w:p>
    <w:p>
      <w:pPr>
        <w:ind w:left="160" w:right="560" w:firstLine="486"/>
        <w:spacing w:after="0" w:line="277" w:lineRule="auto"/>
        <w:rPr>
          <w:sz w:val="20"/>
          <w:szCs w:val="20"/>
          <w:color w:val="auto"/>
        </w:rPr>
      </w:pPr>
      <w:r>
        <w:rPr>
          <w:rFonts w:ascii="Arial" w:cs="Arial" w:eastAsia="Arial" w:hAnsi="Arial"/>
          <w:sz w:val="18"/>
          <w:szCs w:val="18"/>
          <w:color w:val="auto"/>
        </w:rPr>
        <w:t>As of June 30, 2020 and December 31, 2019, the Company had the following outstanding derivatives that were not designated as hedges in qualifying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100330</wp:posOffset>
            </wp:positionV>
            <wp:extent cx="5434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6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4320" w:type="dxa"/>
            <w:vAlign w:val="bottom"/>
            <w:gridSpan w:val="4"/>
          </w:tcPr>
          <w:p>
            <w:pPr>
              <w:ind w:left="1600"/>
              <w:spacing w:after="0"/>
              <w:rPr>
                <w:sz w:val="20"/>
                <w:szCs w:val="20"/>
                <w:color w:val="auto"/>
              </w:rPr>
            </w:pPr>
            <w:r>
              <w:rPr>
                <w:rFonts w:ascii="Arial" w:cs="Arial" w:eastAsia="Arial" w:hAnsi="Arial"/>
                <w:sz w:val="18"/>
                <w:szCs w:val="18"/>
                <w:b w:val="1"/>
                <w:bCs w:val="1"/>
                <w:color w:val="auto"/>
              </w:rPr>
              <w:t>June 30, 2020</w:t>
            </w:r>
          </w:p>
        </w:tc>
        <w:tc>
          <w:tcPr>
            <w:tcW w:w="4240" w:type="dxa"/>
            <w:vAlign w:val="bottom"/>
            <w:gridSpan w:val="3"/>
          </w:tcPr>
          <w:p>
            <w:pPr>
              <w:jc w:val="right"/>
              <w:ind w:right="131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25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Product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Notional Amount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4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5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3"/>
          </w:tcPr>
          <w:p>
            <w:pPr>
              <w:ind w:left="106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Back-to-back swaps</w:t>
            </w:r>
          </w:p>
        </w:tc>
        <w:tc>
          <w:tcPr>
            <w:tcW w:w="2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487,255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380,050</w:t>
            </w:r>
          </w:p>
        </w:tc>
      </w:tr>
      <w:tr>
        <w:trPr>
          <w:trHeight w:val="27"/>
        </w:trPr>
        <w:tc>
          <w:tcPr>
            <w:tcW w:w="25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the fair value of the Company’s derivative financial instruments and their classification on the Balance Sheet as of</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June 30, 2020 and December 31, 2019:</w:t>
      </w: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Asset Derivatives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Liability Derivatives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Balance Sheet</w:t>
            </w:r>
          </w:p>
        </w:tc>
        <w:tc>
          <w:tcPr>
            <w:tcW w:w="4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Balance Sheet</w:t>
            </w:r>
          </w:p>
        </w:tc>
        <w:tc>
          <w:tcPr>
            <w:tcW w:w="52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2260" w:type="dxa"/>
            <w:vAlign w:val="bottom"/>
          </w:tcPr>
          <w:p>
            <w:pPr>
              <w:spacing w:after="0"/>
              <w:rPr>
                <w:sz w:val="23"/>
                <w:szCs w:val="23"/>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Location</w:t>
            </w:r>
          </w:p>
        </w:tc>
        <w:tc>
          <w:tcPr>
            <w:tcW w:w="440" w:type="dxa"/>
            <w:vAlign w:val="bottom"/>
          </w:tcPr>
          <w:p>
            <w:pPr>
              <w:spacing w:after="0"/>
              <w:rPr>
                <w:sz w:val="23"/>
                <w:szCs w:val="23"/>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3"/>
                <w:szCs w:val="23"/>
                <w:color w:val="auto"/>
              </w:rPr>
            </w:pPr>
          </w:p>
        </w:tc>
        <w:tc>
          <w:tcPr>
            <w:tcW w:w="13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Location</w:t>
            </w:r>
          </w:p>
        </w:tc>
        <w:tc>
          <w:tcPr>
            <w:tcW w:w="52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3"/>
                <w:szCs w:val="23"/>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22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ind w:left="52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1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140"/>
              <w:spacing w:after="0"/>
              <w:rPr>
                <w:sz w:val="20"/>
                <w:szCs w:val="20"/>
                <w:color w:val="auto"/>
              </w:rPr>
            </w:pPr>
            <w:r>
              <w:rPr>
                <w:rFonts w:ascii="Arial" w:cs="Arial" w:eastAsia="Arial" w:hAnsi="Arial"/>
                <w:sz w:val="18"/>
                <w:szCs w:val="18"/>
                <w:color w:val="auto"/>
              </w:rPr>
              <w:t>Interest rate products</w:t>
            </w:r>
          </w:p>
        </w:tc>
        <w:tc>
          <w:tcPr>
            <w:tcW w:w="14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29,302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9,838</w:t>
            </w:r>
          </w:p>
        </w:tc>
        <w:tc>
          <w:tcPr>
            <w:tcW w:w="8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29,432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9,907</w:t>
            </w:r>
          </w:p>
        </w:tc>
      </w:tr>
    </w:tbl>
    <w:p>
      <w:pPr>
        <w:spacing w:after="0" w:line="175" w:lineRule="exact"/>
        <w:rPr>
          <w:sz w:val="20"/>
          <w:szCs w:val="20"/>
          <w:color w:val="auto"/>
        </w:rPr>
      </w:pPr>
    </w:p>
    <w:p>
      <w:pPr>
        <w:ind w:left="160" w:right="440" w:firstLine="486"/>
        <w:spacing w:after="0" w:line="263" w:lineRule="auto"/>
        <w:rPr>
          <w:sz w:val="20"/>
          <w:szCs w:val="20"/>
          <w:color w:val="auto"/>
        </w:rPr>
      </w:pPr>
      <w:r>
        <w:rPr>
          <w:rFonts w:ascii="Arial" w:cs="Arial" w:eastAsia="Arial" w:hAnsi="Arial"/>
          <w:sz w:val="18"/>
          <w:szCs w:val="18"/>
          <w:color w:val="auto"/>
        </w:rPr>
        <w:t>The effect of the Company’s derivative financial instruments that are not designated as hedging instruments are reported on the Consolidated Statements of Operations as swap fee income, net. The effect of the Company’s derivative financial instruments gain and loss are reported on the Consolidated Statements of Cash Flows within other assets and other liabilities.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tables below show a gross presentation, the effects of offsetting, and a net presentation of the Company’s derivatives as of June 30, 2020 and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8"/>
              </w:rPr>
              <w:t>June 30, 2020</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6"/>
          </w:tcPr>
          <w:p>
            <w:pPr>
              <w:jc w:val="center"/>
              <w:ind w:left="352"/>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4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89"/>
              </w:rPr>
              <w:t>Gross Amounts Not Offset in the Statement of</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Financial Position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vMerge w:val="restart"/>
          </w:tcPr>
          <w:p>
            <w:pPr>
              <w:jc w:val="center"/>
              <w:ind w:right="12"/>
              <w:spacing w:after="0"/>
              <w:rPr>
                <w:sz w:val="20"/>
                <w:szCs w:val="20"/>
                <w:color w:val="auto"/>
              </w:rPr>
            </w:pPr>
            <w:r>
              <w:rPr>
                <w:rFonts w:ascii="Arial" w:cs="Arial" w:eastAsia="Arial" w:hAnsi="Arial"/>
                <w:sz w:val="18"/>
                <w:szCs w:val="18"/>
                <w:b w:val="1"/>
                <w:bCs w:val="1"/>
                <w:color w:val="auto"/>
                <w:w w:val="88"/>
              </w:rPr>
              <w:t>Gross Amounts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Net Amounts of</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Gross Amounts of</w:t>
            </w:r>
          </w:p>
        </w:tc>
        <w:tc>
          <w:tcPr>
            <w:tcW w:w="160" w:type="dxa"/>
            <w:vAlign w:val="bottom"/>
          </w:tcPr>
          <w:p>
            <w:pPr>
              <w:spacing w:after="0"/>
              <w:rPr>
                <w:sz w:val="18"/>
                <w:szCs w:val="18"/>
                <w:color w:val="auto"/>
              </w:rPr>
            </w:pPr>
          </w:p>
        </w:tc>
        <w:tc>
          <w:tcPr>
            <w:tcW w:w="13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Offset in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Assets presented 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4"/>
              </w:rPr>
              <w:t>Recognized Assets</w:t>
            </w:r>
          </w:p>
        </w:tc>
        <w:tc>
          <w:tcPr>
            <w:tcW w:w="160" w:type="dxa"/>
            <w:vAlign w:val="bottom"/>
          </w:tcPr>
          <w:p>
            <w:pPr>
              <w:spacing w:after="0"/>
              <w:rPr>
                <w:sz w:val="18"/>
                <w:szCs w:val="18"/>
                <w:color w:val="auto"/>
              </w:rPr>
            </w:pPr>
          </w:p>
        </w:tc>
        <w:tc>
          <w:tcPr>
            <w:tcW w:w="13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Statement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Statement of</w:t>
            </w:r>
          </w:p>
        </w:tc>
        <w:tc>
          <w:tcPr>
            <w:tcW w:w="14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Cash Collateral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and Liabilities</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Financial Position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Financial Position</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Instruments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Received</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7"/>
        </w:trPr>
        <w:tc>
          <w:tcPr>
            <w:tcW w:w="26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Offsetting of derivative</w:t>
            </w:r>
          </w:p>
        </w:tc>
        <w:tc>
          <w:tcPr>
            <w:tcW w:w="8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220"/>
              <w:spacing w:after="0"/>
              <w:rPr>
                <w:sz w:val="20"/>
                <w:szCs w:val="20"/>
                <w:color w:val="auto"/>
              </w:rPr>
            </w:pPr>
            <w:r>
              <w:rPr>
                <w:rFonts w:ascii="Arial" w:cs="Arial" w:eastAsia="Arial" w:hAnsi="Arial"/>
                <w:sz w:val="18"/>
                <w:szCs w:val="18"/>
                <w:color w:val="auto"/>
              </w:rPr>
              <w:t>Derivatives</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29,302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29,302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29,294</w:t>
            </w:r>
          </w:p>
        </w:tc>
        <w:tc>
          <w:tcPr>
            <w:tcW w:w="0" w:type="dxa"/>
            <w:vAlign w:val="bottom"/>
          </w:tcPr>
          <w:p>
            <w:pPr>
              <w:spacing w:after="0"/>
              <w:rPr>
                <w:sz w:val="1"/>
                <w:szCs w:val="1"/>
                <w:color w:val="auto"/>
              </w:rPr>
            </w:pPr>
          </w:p>
        </w:tc>
      </w:tr>
      <w:tr>
        <w:trPr>
          <w:trHeight w:val="27"/>
        </w:trPr>
        <w:tc>
          <w:tcPr>
            <w:tcW w:w="26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Offsetting of derivative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220"/>
              <w:spacing w:after="0"/>
              <w:rPr>
                <w:sz w:val="20"/>
                <w:szCs w:val="20"/>
                <w:color w:val="auto"/>
              </w:rPr>
            </w:pPr>
            <w:r>
              <w:rPr>
                <w:rFonts w:ascii="Arial" w:cs="Arial" w:eastAsia="Arial" w:hAnsi="Arial"/>
                <w:sz w:val="18"/>
                <w:szCs w:val="18"/>
                <w:color w:val="auto"/>
              </w:rPr>
              <w:t>Derivatives</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29,432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29,432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30"/>
        </w:trPr>
        <w:tc>
          <w:tcPr>
            <w:tcW w:w="200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gridSpan w:val="9"/>
          </w:tcPr>
          <w:p>
            <w:pPr>
              <w:jc w:val="right"/>
              <w:ind w:right="730"/>
              <w:spacing w:after="0"/>
              <w:rPr>
                <w:sz w:val="20"/>
                <w:szCs w:val="20"/>
                <w:color w:val="auto"/>
              </w:rPr>
            </w:pPr>
            <w:r>
              <w:rPr>
                <w:rFonts w:ascii="Arial" w:cs="Arial" w:eastAsia="Arial" w:hAnsi="Arial"/>
                <w:sz w:val="18"/>
                <w:szCs w:val="18"/>
                <w:color w:val="auto"/>
                <w:w w:val="90"/>
              </w:rPr>
              <w:t>Notes to Consolidated Financial Statements (unaudited)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5"/>
          </w:tcPr>
          <w:p>
            <w:pPr>
              <w:ind w:left="116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ind w:left="116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4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89"/>
              </w:rPr>
              <w:t>Gross Amounts Not Offset in the Statement of</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Financial Position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Gross Amounts</w:t>
            </w:r>
          </w:p>
        </w:tc>
        <w:tc>
          <w:tcPr>
            <w:tcW w:w="120" w:type="dxa"/>
            <w:vAlign w:val="bottom"/>
          </w:tcPr>
          <w:p>
            <w:pPr>
              <w:spacing w:after="0"/>
              <w:rPr>
                <w:sz w:val="2"/>
                <w:szCs w:val="2"/>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Net Amounts of</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Gross Amounts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Offset in the</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Assets presented 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Recognized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Statement of</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Statement of</w:t>
            </w:r>
          </w:p>
        </w:tc>
        <w:tc>
          <w:tcPr>
            <w:tcW w:w="14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Cash Collateral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Liabilities</w:t>
            </w:r>
          </w:p>
        </w:tc>
        <w:tc>
          <w:tcPr>
            <w:tcW w:w="80" w:type="dxa"/>
            <w:vAlign w:val="bottom"/>
          </w:tcPr>
          <w:p>
            <w:pPr>
              <w:spacing w:after="0"/>
              <w:rPr>
                <w:sz w:val="20"/>
                <w:szCs w:val="20"/>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Financial Position</w:t>
            </w: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Financial Position</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Instruments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Received</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Offsetting of derivative</w:t>
            </w:r>
          </w:p>
        </w:tc>
        <w:tc>
          <w:tcPr>
            <w:tcW w:w="8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Derivatives</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9,838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Offsetting of derivative liabilities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Derivatives</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9,907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presentation above can be reconciled to the tabular disclosure of fair value.</w:t>
      </w:r>
    </w:p>
    <w:p>
      <w:pPr>
        <w:spacing w:after="0" w:line="171" w:lineRule="exact"/>
        <w:rPr>
          <w:sz w:val="20"/>
          <w:szCs w:val="20"/>
          <w:color w:val="auto"/>
        </w:rPr>
      </w:pPr>
    </w:p>
    <w:p>
      <w:pPr>
        <w:ind w:left="180" w:right="120" w:firstLine="486"/>
        <w:spacing w:after="0" w:line="301" w:lineRule="auto"/>
        <w:rPr>
          <w:sz w:val="20"/>
          <w:szCs w:val="20"/>
          <w:color w:val="auto"/>
        </w:rPr>
      </w:pPr>
      <w:r>
        <w:rPr>
          <w:rFonts w:ascii="Arial" w:cs="Arial" w:eastAsia="Arial" w:hAnsi="Arial"/>
          <w:sz w:val="16"/>
          <w:szCs w:val="16"/>
          <w:color w:val="auto"/>
        </w:rPr>
        <w:t>The Company has agreements with some of its derivative counterparties that contain a provision where if the Company fails to maintain its status as a well capitalized institution, then the Company could be considered in default. As of June 30, 2020, the Company had minimum collateral posting thresholds with certain of its derivative counterparties and had posted collateral of $31 million. If the Company had breached any of the underlying provisions at June 30, 2020, it could have been required to settle its obligations under the agreements at their termination value of $30 million.</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 and Other Intangible Assets</w:t>
      </w:r>
    </w:p>
    <w:p>
      <w:pPr>
        <w:spacing w:after="0" w:line="165" w:lineRule="exact"/>
        <w:rPr>
          <w:sz w:val="20"/>
          <w:szCs w:val="20"/>
          <w:color w:val="auto"/>
        </w:rPr>
      </w:pPr>
    </w:p>
    <w:p>
      <w:pPr>
        <w:ind w:left="180" w:right="20" w:firstLine="486"/>
        <w:spacing w:after="0" w:line="301" w:lineRule="auto"/>
        <w:rPr>
          <w:sz w:val="20"/>
          <w:szCs w:val="20"/>
          <w:color w:val="auto"/>
        </w:rPr>
      </w:pPr>
      <w:r>
        <w:rPr>
          <w:rFonts w:ascii="Arial" w:cs="Arial" w:eastAsia="Arial" w:hAnsi="Arial"/>
          <w:sz w:val="16"/>
          <w:szCs w:val="16"/>
          <w:color w:val="auto"/>
        </w:rPr>
        <w:t>In accordance with GAAP, the Company performs annual tests to identify impairment of goodwill. The tests are required to be performed annually and more frequently if events or circumstances indicate a potential impairment may exist. The Company compares the fair value of the reporting unit with its carrying amount, including goodwill. If the carrying amount of a reporting unit exceeds its fair value, an impairment loss is recognized in an amount equal to that excess. The Tulsa, Oklahoma market represented the reporting unit and included all goodwill previously recorded.</w:t>
      </w:r>
    </w:p>
    <w:p>
      <w:pPr>
        <w:spacing w:after="0" w:line="103"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As a result of the recent economic conditions resulting from the COVID-19 pandemic and oil market volatility, the Company conducted a June 30, 2020 interim goodwill impairment test. The interim test required a goodwill impairment charge of $7 million, representing full impairment of goodwill. The primary causes of the goodwill impairment were economic conditions, volatility in the market capitalization of the Company, increased loan provision in light of the COVID-19 pandemic, and other changes in key variables driven by the uncertain macro-environment that when combined, resulted in the fair value of the reporting unit being less than the carrying value.</w:t>
      </w:r>
    </w:p>
    <w:p>
      <w:pPr>
        <w:spacing w:after="0" w:line="134"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The fair value of the reporting unit was determined using a combination of: (i) the capitalization of earnings method, an income approach, and (ii) the public company method, a market approach. The income approach estimated fair value by determining the cash flow in a single period, adjusted for growth that is adjusted by a capitalization rate. The market approach estimated fair value by averaging the price-to-book multiples from peer, public banks and adding a control premium.</w:t>
      </w:r>
    </w:p>
    <w:p>
      <w:pPr>
        <w:spacing w:after="0" w:line="133" w:lineRule="exact"/>
        <w:rPr>
          <w:sz w:val="20"/>
          <w:szCs w:val="20"/>
          <w:color w:val="auto"/>
        </w:rPr>
      </w:pPr>
    </w:p>
    <w:p>
      <w:pPr>
        <w:ind w:left="180" w:right="380" w:firstLine="486"/>
        <w:spacing w:after="0" w:line="277" w:lineRule="auto"/>
        <w:rPr>
          <w:sz w:val="20"/>
          <w:szCs w:val="20"/>
          <w:color w:val="auto"/>
        </w:rPr>
      </w:pPr>
      <w:r>
        <w:rPr>
          <w:rFonts w:ascii="Arial" w:cs="Arial" w:eastAsia="Arial" w:hAnsi="Arial"/>
          <w:sz w:val="18"/>
          <w:szCs w:val="18"/>
          <w:color w:val="auto"/>
        </w:rPr>
        <w:t>The Company conducted an interim impairment test of its core deposit intangible (“CDI”) as of June 30, 2020. The Company used an income approach to calculate a CDI fair market value. The results indicated the CDI was not impaired as of June 30, 2020.</w:t>
      </w:r>
    </w:p>
    <w:p>
      <w:pPr>
        <w:spacing w:after="0" w:line="116" w:lineRule="exact"/>
        <w:rPr>
          <w:sz w:val="20"/>
          <w:szCs w:val="20"/>
          <w:color w:val="auto"/>
        </w:rPr>
      </w:pPr>
    </w:p>
    <w:p>
      <w:pPr>
        <w:ind w:left="180" w:right="60" w:firstLine="486"/>
        <w:spacing w:after="0" w:line="259" w:lineRule="auto"/>
        <w:rPr>
          <w:sz w:val="20"/>
          <w:szCs w:val="20"/>
          <w:color w:val="auto"/>
        </w:rPr>
      </w:pPr>
      <w:r>
        <w:rPr>
          <w:rFonts w:ascii="Arial" w:cs="Arial" w:eastAsia="Arial" w:hAnsi="Arial"/>
          <w:sz w:val="18"/>
          <w:szCs w:val="18"/>
          <w:color w:val="auto"/>
        </w:rPr>
        <w:t>Fair value determinations require considerable judgment and are sensitive to changes in underlying assumptions, estimates, and market factors. Estimating the fair value of individual reporting units requires management to make assumptions and estimates regarding the Company’s future plans, as well as industry, economic, and regulatory conditions. These assumptions and estimates include estimated future cash flows, income tax rates, discount rates, growth rates, and other market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 in the Company’s goodwill and CDI for the six-months ended June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Goodwill</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Core Deposit Intangible</w:t>
            </w:r>
          </w:p>
        </w:tc>
        <w:tc>
          <w:tcPr>
            <w:tcW w:w="160" w:type="dxa"/>
            <w:vAlign w:val="bottom"/>
          </w:tcPr>
          <w:p>
            <w:pPr>
              <w:spacing w:after="0"/>
              <w:rPr>
                <w:sz w:val="20"/>
                <w:szCs w:val="20"/>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Total Intangible Assets</w:t>
            </w:r>
          </w:p>
        </w:tc>
      </w:tr>
      <w:tr>
        <w:trPr>
          <w:trHeight w:val="27"/>
        </w:trPr>
        <w:tc>
          <w:tcPr>
            <w:tcW w:w="44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5"/>
              </w:rPr>
              <w:t>(Dollars in thousands)</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7,694</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15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(7,397)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(7,397)</w:t>
            </w:r>
          </w:p>
        </w:tc>
      </w:tr>
      <w:tr>
        <w:trPr>
          <w:trHeight w:val="27"/>
        </w:trPr>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247</w:t>
            </w:r>
          </w:p>
        </w:tc>
      </w:tr>
      <w:tr>
        <w:trPr>
          <w:trHeight w:val="21"/>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80"/>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rPr>
              <w:t>Note 7:</w:t>
            </w:r>
          </w:p>
        </w:tc>
        <w:tc>
          <w:tcPr>
            <w:tcW w:w="3920" w:type="dxa"/>
            <w:vAlign w:val="bottom"/>
            <w:gridSpan w:val="7"/>
          </w:tcPr>
          <w:p>
            <w:pPr>
              <w:jc w:val="center"/>
              <w:ind w:right="960"/>
              <w:spacing w:after="0"/>
              <w:rPr>
                <w:sz w:val="20"/>
                <w:szCs w:val="20"/>
                <w:color w:val="auto"/>
              </w:rPr>
            </w:pPr>
            <w:r>
              <w:rPr>
                <w:rFonts w:ascii="Arial" w:cs="Arial" w:eastAsia="Arial" w:hAnsi="Arial"/>
                <w:sz w:val="22"/>
                <w:szCs w:val="22"/>
                <w:b w:val="1"/>
                <w:bCs w:val="1"/>
                <w:color w:val="auto"/>
                <w:w w:val="87"/>
              </w:rPr>
              <w:t>Time Deposits and Borrowings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60" w:type="dxa"/>
            <w:vAlign w:val="bottom"/>
          </w:tcPr>
          <w:p>
            <w:pPr>
              <w:spacing w:after="0"/>
              <w:rPr>
                <w:sz w:val="24"/>
                <w:szCs w:val="24"/>
                <w:color w:val="auto"/>
              </w:rPr>
            </w:pPr>
          </w:p>
        </w:tc>
        <w:tc>
          <w:tcPr>
            <w:tcW w:w="8700" w:type="dxa"/>
            <w:vAlign w:val="bottom"/>
            <w:gridSpan w:val="17"/>
          </w:tcPr>
          <w:p>
            <w:pPr>
              <w:ind w:left="500"/>
              <w:spacing w:after="0"/>
              <w:rPr>
                <w:sz w:val="20"/>
                <w:szCs w:val="20"/>
                <w:color w:val="auto"/>
              </w:rPr>
            </w:pPr>
            <w:r>
              <w:rPr>
                <w:rFonts w:ascii="Arial" w:cs="Arial" w:eastAsia="Arial" w:hAnsi="Arial"/>
                <w:sz w:val="18"/>
                <w:szCs w:val="18"/>
                <w:color w:val="auto"/>
                <w:w w:val="94"/>
              </w:rPr>
              <w:t>The scheduled maturities, excluding interest, of the Company’s borrowings at June 30, 2020 were as follows: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June 30, 2020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Within One</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One to Two</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Two to Three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to Four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Four to Five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center"/>
              <w:ind w:left="571"/>
              <w:spacing w:after="0"/>
              <w:rPr>
                <w:sz w:val="20"/>
                <w:szCs w:val="20"/>
                <w:color w:val="auto"/>
              </w:rPr>
            </w:pPr>
            <w:r>
              <w:rPr>
                <w:rFonts w:ascii="Arial" w:cs="Arial" w:eastAsia="Arial" w:hAnsi="Arial"/>
                <w:sz w:val="16"/>
                <w:szCs w:val="16"/>
                <w:i w:val="1"/>
                <w:iCs w:val="1"/>
                <w:color w:val="auto"/>
                <w:w w:val="93"/>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Time deposits</w:t>
            </w:r>
          </w:p>
        </w:tc>
        <w:tc>
          <w:tcPr>
            <w:tcW w:w="1540" w:type="dxa"/>
            <w:vAlign w:val="bottom"/>
            <w:tcBorders>
              <w:bottom w:val="single" w:sz="8" w:color="CCEEFF"/>
            </w:tcBorders>
            <w:gridSpan w:val="2"/>
            <w:shd w:val="clear" w:color="auto" w:fill="CCEEFF"/>
          </w:tcPr>
          <w:p>
            <w:pPr>
              <w:jc w:val="center"/>
              <w:ind w:left="134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932,443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1,160,541</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Fed funds purchased &amp;</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49,881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49,881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20" w:type="dxa"/>
            <w:vAlign w:val="bottom"/>
            <w:gridSpan w:val="3"/>
          </w:tcPr>
          <w:p>
            <w:pPr>
              <w:ind w:left="200"/>
              <w:spacing w:after="0"/>
              <w:rPr>
                <w:sz w:val="20"/>
                <w:szCs w:val="20"/>
                <w:color w:val="auto"/>
              </w:rPr>
            </w:pPr>
            <w:r>
              <w:rPr>
                <w:rFonts w:ascii="Arial" w:cs="Arial" w:eastAsia="Arial" w:hAnsi="Arial"/>
                <w:sz w:val="18"/>
                <w:szCs w:val="18"/>
                <w:color w:val="auto"/>
              </w:rPr>
              <w:t>repurchase agreements</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FHLB borrowings</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450,617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Trust preferred securities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center"/>
              <w:ind w:left="134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1,145,324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119,492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139,091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36,085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1,661,981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20" w:hanging="150"/>
        <w:spacing w:after="0"/>
        <w:tabs>
          <w:tab w:leader="none" w:pos="3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contract value of the trust preferred securities is $2.6 million and is currently being accreted to the maturity date of 2035.</w:t>
      </w:r>
    </w:p>
    <w:p>
      <w:pPr>
        <w:spacing w:after="0" w:line="200" w:lineRule="exact"/>
        <w:rPr>
          <w:sz w:val="20"/>
          <w:szCs w:val="20"/>
          <w:color w:val="auto"/>
        </w:rPr>
      </w:pP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8:</w:t>
      </w:r>
      <w:r>
        <w:rPr>
          <w:sz w:val="20"/>
          <w:szCs w:val="20"/>
          <w:color w:val="auto"/>
        </w:rPr>
        <w:tab/>
      </w:r>
      <w:r>
        <w:rPr>
          <w:rFonts w:ascii="Arial" w:cs="Arial" w:eastAsia="Arial" w:hAnsi="Arial"/>
          <w:sz w:val="19"/>
          <w:szCs w:val="19"/>
          <w:b w:val="1"/>
          <w:bCs w:val="1"/>
          <w:color w:val="auto"/>
        </w:rPr>
        <w:t>Change in Accumulated Other Comprehensive Income (“AOCI”)</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Amounts reclassified from AOCI and the affected line items in the consolidated Statements of Operations during the three and six months ended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June 30, 2020 and 2019, were as follows:</w:t>
      </w:r>
    </w:p>
    <w:p>
      <w:pPr>
        <w:sectPr>
          <w:pgSz w:w="11900" w:h="16838" w:orient="portrait"/>
          <w:cols w:equalWidth="0" w:num="1">
            <w:col w:w="11240"/>
          </w:cols>
          <w:pgMar w:left="320" w:top="1341" w:right="339" w:bottom="1440" w:gutter="0" w:footer="0" w:header="0"/>
        </w:sect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5"/>
          </w:tcPr>
          <w:p>
            <w:pPr>
              <w:ind w:left="1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Unrealized gains on available-for-sale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2"/>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5"/>
        </w:trPr>
        <w:tc>
          <w:tcPr>
            <w:tcW w:w="32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r>
              <w:rPr>
                <w:rFonts w:ascii="Arial" w:cs="Arial" w:eastAsia="Arial" w:hAnsi="Arial"/>
                <w:sz w:val="18"/>
                <w:szCs w:val="18"/>
                <w:color w:val="auto"/>
              </w:rPr>
              <w:t>Amount reclassified before tax</w:t>
            </w:r>
          </w:p>
        </w:tc>
        <w:tc>
          <w:tcPr>
            <w:tcW w:w="2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Less: tax effect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20" w:type="dxa"/>
            <w:vAlign w:val="bottom"/>
          </w:tcPr>
          <w:p>
            <w:pPr>
              <w:ind w:left="100"/>
              <w:spacing w:after="0"/>
              <w:rPr>
                <w:sz w:val="20"/>
                <w:szCs w:val="20"/>
                <w:color w:val="auto"/>
              </w:rPr>
            </w:pPr>
            <w:r>
              <w:rPr>
                <w:rFonts w:ascii="Arial" w:cs="Arial" w:eastAsia="Arial" w:hAnsi="Arial"/>
                <w:sz w:val="18"/>
                <w:szCs w:val="18"/>
                <w:color w:val="auto"/>
              </w:rPr>
              <w:t>Net reclassified amount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-822325</wp:posOffset>
            </wp:positionV>
            <wp:extent cx="702945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25717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-385445</wp:posOffset>
            </wp:positionV>
            <wp:extent cx="70294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420" w:right="440" w:firstLine="10"/>
        <w:spacing w:after="0" w:line="480" w:lineRule="auto"/>
        <w:rPr>
          <w:sz w:val="20"/>
          <w:szCs w:val="20"/>
          <w:color w:val="auto"/>
        </w:rPr>
      </w:pPr>
      <w:r>
        <w:rPr>
          <w:rFonts w:ascii="Arial" w:cs="Arial" w:eastAsia="Arial" w:hAnsi="Arial"/>
          <w:sz w:val="15"/>
          <w:szCs w:val="15"/>
          <w:b w:val="1"/>
          <w:bCs w:val="1"/>
          <w:color w:val="auto"/>
        </w:rPr>
        <w:t>Affected Line Item in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1791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04"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Gain on sale of available-for-sale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587" w:lineRule="exact"/>
        <w:rPr>
          <w:sz w:val="20"/>
          <w:szCs w:val="20"/>
          <w:color w:val="auto"/>
        </w:rPr>
      </w:pPr>
    </w:p>
    <w:p>
      <w:pPr>
        <w:sectPr>
          <w:pgSz w:w="11900" w:h="16838" w:orient="portrait"/>
          <w:cols w:equalWidth="0" w:num="2">
            <w:col w:w="8320" w:space="120"/>
            <w:col w:w="2800"/>
          </w:cols>
          <w:pgMar w:left="320" w:top="1341" w:right="339" w:bottom="1440" w:gutter="0" w:footer="0" w:header="0"/>
          <w:type w:val="continuous"/>
        </w:sectPr>
      </w:pPr>
    </w:p>
    <w:p>
      <w:pPr>
        <w:spacing w:after="0" w:line="3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9:</w:t>
      </w:r>
      <w:r>
        <w:rPr>
          <w:sz w:val="20"/>
          <w:szCs w:val="20"/>
          <w:color w:val="auto"/>
        </w:rPr>
        <w:tab/>
      </w:r>
      <w:r>
        <w:rPr>
          <w:rFonts w:ascii="Arial" w:cs="Arial" w:eastAsia="Arial" w:hAnsi="Arial"/>
          <w:sz w:val="19"/>
          <w:szCs w:val="19"/>
          <w:b w:val="1"/>
          <w:bCs w:val="1"/>
          <w:color w:val="auto"/>
        </w:rPr>
        <w:t>Regulatory Matters</w:t>
      </w:r>
    </w:p>
    <w:p>
      <w:pPr>
        <w:spacing w:after="0" w:line="165" w:lineRule="exact"/>
        <w:rPr>
          <w:sz w:val="20"/>
          <w:szCs w:val="20"/>
          <w:color w:val="auto"/>
        </w:rPr>
      </w:pPr>
    </w:p>
    <w:p>
      <w:pPr>
        <w:ind w:left="180" w:right="80" w:firstLine="486"/>
        <w:spacing w:after="0" w:line="259"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June 30, 2020, the Company and the Bank met all capital adequacy requirements to which they are subject.</w:t>
      </w:r>
    </w:p>
    <w:p>
      <w:pPr>
        <w:spacing w:after="0" w:line="133" w:lineRule="exact"/>
        <w:rPr>
          <w:sz w:val="20"/>
          <w:szCs w:val="20"/>
          <w:color w:val="auto"/>
        </w:rPr>
      </w:pPr>
    </w:p>
    <w:p>
      <w:pPr>
        <w:ind w:left="180" w:right="60" w:firstLine="486"/>
        <w:spacing w:after="0" w:line="279" w:lineRule="auto"/>
        <w:rPr>
          <w:sz w:val="20"/>
          <w:szCs w:val="20"/>
          <w:color w:val="auto"/>
        </w:rPr>
      </w:pPr>
      <w:r>
        <w:rPr>
          <w:rFonts w:ascii="Arial" w:cs="Arial" w:eastAsia="Arial" w:hAnsi="Arial"/>
          <w:sz w:val="17"/>
          <w:szCs w:val="17"/>
          <w:color w:val="auto"/>
        </w:rPr>
        <w:t>The capital rules require us to maintain a 2.5% capital conservation buffer with respect to Common Equity Tier I capital, Tier I capital to risk-weighted assets, and total capital to risk-weighted assets, which is included in the column “Minimum Capital Required - Basel III Fully Phased-In”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type w:val="continuous"/>
        </w:sectPr>
      </w:pPr>
    </w:p>
    <w:bookmarkStart w:id="31" w:name="page32"/>
    <w:bookmarkEnd w:id="31"/>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and the Bank’s actual capital amounts and ratios as of June 30, 2020 and December 31, 2019 are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Minimum Capital Required -</w:t>
            </w:r>
          </w:p>
        </w:tc>
        <w:tc>
          <w:tcPr>
            <w:tcW w:w="120" w:type="dxa"/>
            <w:vAlign w:val="bottom"/>
          </w:tcPr>
          <w:p>
            <w:pPr>
              <w:spacing w:after="0"/>
              <w:rPr>
                <w:sz w:val="18"/>
                <w:szCs w:val="18"/>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Required to be Considered</w:t>
            </w: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Basel III Fully Phased-In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Well Capitalized</w:t>
            </w:r>
          </w:p>
        </w:tc>
      </w:tr>
      <w:tr>
        <w:trPr>
          <w:trHeight w:val="27"/>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Amount</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Ratio</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Ratio</w:t>
            </w:r>
          </w:p>
        </w:tc>
      </w:tr>
      <w:tr>
        <w:trPr>
          <w:trHeight w:val="27"/>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17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642,345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508,386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591,096</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508,256</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484,053</w:t>
            </w: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Tier I Capital to Risk-Weighted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3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581,634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411,551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530,458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411,445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387,242</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Common Equity Tier 1 to Risk-Weighted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580,692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338,924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530,458</w:t>
            </w: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338,837</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314,634</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6.5</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Tier I Capital to Average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3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581,634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216,445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530,458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216,457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270,571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3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633,228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495,095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581,600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494,954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471,385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Tier I Capital to Risk-Weighted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576,332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400,791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524,704</w:t>
            </w: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400,677</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377,108</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8.0</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Equity Tier 1 to Risk-Weighted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3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575,411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330,063</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524,704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329,970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306,400</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Tier I Capital to Average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576,332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191,099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524,704</w:t>
            </w: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191,170</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238,963</w:t>
            </w: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r>
    </w:tbl>
    <w:p>
      <w:pPr>
        <w:spacing w:after="0" w:line="200" w:lineRule="exact"/>
        <w:rPr>
          <w:sz w:val="20"/>
          <w:szCs w:val="20"/>
          <w:color w:val="auto"/>
        </w:rPr>
      </w:pPr>
    </w:p>
    <w:p>
      <w:pPr>
        <w:spacing w:after="0" w:line="3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10:</w:t>
      </w:r>
      <w:r>
        <w:rPr>
          <w:sz w:val="20"/>
          <w:szCs w:val="20"/>
          <w:color w:val="auto"/>
        </w:rPr>
        <w:tab/>
      </w:r>
      <w:r>
        <w:rPr>
          <w:rFonts w:ascii="Arial" w:cs="Arial" w:eastAsia="Arial" w:hAnsi="Arial"/>
          <w:sz w:val="18"/>
          <w:szCs w:val="18"/>
          <w:b w:val="1"/>
          <w:bCs w:val="1"/>
          <w:color w:val="auto"/>
        </w:rPr>
        <w:t>Stock-Based Compensation</w:t>
      </w:r>
    </w:p>
    <w:p>
      <w:pPr>
        <w:spacing w:after="0" w:line="165" w:lineRule="exact"/>
        <w:rPr>
          <w:sz w:val="20"/>
          <w:szCs w:val="20"/>
          <w:color w:val="auto"/>
        </w:rPr>
      </w:pPr>
    </w:p>
    <w:p>
      <w:pPr>
        <w:ind w:left="180" w:right="220" w:firstLine="486"/>
        <w:spacing w:after="0" w:line="301" w:lineRule="auto"/>
        <w:rPr>
          <w:sz w:val="20"/>
          <w:szCs w:val="20"/>
          <w:color w:val="auto"/>
        </w:rPr>
      </w:pPr>
      <w:r>
        <w:rPr>
          <w:rFonts w:ascii="Arial" w:cs="Arial" w:eastAsia="Arial" w:hAnsi="Arial"/>
          <w:sz w:val="16"/>
          <w:szCs w:val="16"/>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suspended effective April 1, 2019 and was subsequently reinstated during the third quarter of 2020. The aggregate number of shares authorized for future issuance under the Omnibus Plan is 1,956,634 shares as of June 30,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2" w:name="page33"/>
    <w:bookmarkEnd w:id="32"/>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stock-based compensation for the three and six months ended June 30, 2020 and 2019:</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6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appreciation rights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Performance based stock awards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and awards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1,465</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 Based Stock Awards (“PBSAs”)</w:t>
      </w:r>
    </w:p>
    <w:p>
      <w:pPr>
        <w:spacing w:after="0" w:line="164"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The Company awards PBSAs to key officers of the Company. The stock settled awards are typically granted annually as determined by the Compensation Committee. The performance 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34" w:lineRule="exact"/>
        <w:rPr>
          <w:sz w:val="20"/>
          <w:szCs w:val="20"/>
          <w:color w:val="auto"/>
        </w:rPr>
      </w:pPr>
    </w:p>
    <w:p>
      <w:pPr>
        <w:ind w:left="180" w:right="380" w:firstLine="486"/>
        <w:spacing w:after="0" w:line="277" w:lineRule="auto"/>
        <w:rPr>
          <w:sz w:val="20"/>
          <w:szCs w:val="20"/>
          <w:color w:val="auto"/>
        </w:rPr>
      </w:pPr>
      <w:r>
        <w:rPr>
          <w:rFonts w:ascii="Arial" w:cs="Arial" w:eastAsia="Arial" w:hAnsi="Arial"/>
          <w:sz w:val="18"/>
          <w:szCs w:val="18"/>
          <w:color w:val="auto"/>
        </w:rPr>
        <w:t>During the six months ended June 30, 2020, the Company granted 41,283 PBSAs. The performance metrics include three year cumulative net income and return on average assets.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and changes in the performance-based awards:</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460" w:type="dxa"/>
            <w:vAlign w:val="bottom"/>
            <w:gridSpan w:val="3"/>
          </w:tcPr>
          <w:p>
            <w:pPr>
              <w:ind w:left="920"/>
              <w:spacing w:after="0"/>
              <w:rPr>
                <w:sz w:val="20"/>
                <w:szCs w:val="20"/>
                <w:color w:val="auto"/>
              </w:rPr>
            </w:pPr>
            <w:r>
              <w:rPr>
                <w:rFonts w:ascii="Arial" w:cs="Arial" w:eastAsia="Arial" w:hAnsi="Arial"/>
                <w:sz w:val="18"/>
                <w:szCs w:val="18"/>
                <w:b w:val="1"/>
                <w:bCs w:val="1"/>
                <w:color w:val="auto"/>
              </w:rPr>
              <w:t>Performance Based Stock Awards</w:t>
            </w:r>
          </w:p>
        </w:tc>
      </w:tr>
      <w:tr>
        <w:trPr>
          <w:trHeight w:val="27"/>
        </w:trPr>
        <w:tc>
          <w:tcPr>
            <w:tcW w:w="66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8"/>
        </w:trPr>
        <w:tc>
          <w:tcPr>
            <w:tcW w:w="6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Weighted-Average Grant</w:t>
            </w:r>
          </w:p>
        </w:tc>
      </w:tr>
      <w:tr>
        <w:trPr>
          <w:trHeight w:val="234"/>
        </w:trPr>
        <w:tc>
          <w:tcPr>
            <w:tcW w:w="6620" w:type="dxa"/>
            <w:vAlign w:val="bottom"/>
          </w:tcPr>
          <w:p>
            <w:pPr>
              <w:spacing w:after="0"/>
              <w:rPr>
                <w:sz w:val="20"/>
                <w:szCs w:val="20"/>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66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2020</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192,248</w:t>
            </w:r>
          </w:p>
        </w:tc>
        <w:tc>
          <w:tcPr>
            <w:tcW w:w="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$9.88</w:t>
            </w: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Granted</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41,283</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13.55</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2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0.00</w:t>
            </w:r>
          </w:p>
        </w:tc>
      </w:tr>
      <w:tr>
        <w:trPr>
          <w:trHeight w:val="27"/>
        </w:trPr>
        <w:tc>
          <w:tcPr>
            <w:tcW w:w="66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June 30,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233,531</w:t>
            </w:r>
          </w:p>
        </w:tc>
        <w:tc>
          <w:tcPr>
            <w:tcW w:w="8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180" w:right="20" w:firstLine="486"/>
        <w:spacing w:after="0" w:line="277" w:lineRule="auto"/>
        <w:rPr>
          <w:sz w:val="20"/>
          <w:szCs w:val="20"/>
          <w:color w:val="auto"/>
        </w:rPr>
      </w:pPr>
      <w:r>
        <w:rPr>
          <w:rFonts w:ascii="Arial" w:cs="Arial" w:eastAsia="Arial" w:hAnsi="Arial"/>
          <w:sz w:val="18"/>
          <w:szCs w:val="18"/>
          <w:color w:val="auto"/>
        </w:rPr>
        <w:t>Unrecognized stock-based compensation related to the performance awards issued through June 30, 2020 was $622 thousand and is expected to be recognized over 2.3 years.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Stock Units (“RSUs”) and Restricted Stock Awards (“RSAs”)</w:t>
      </w:r>
    </w:p>
    <w:p>
      <w:pPr>
        <w:spacing w:after="0" w:line="164" w:lineRule="exact"/>
        <w:rPr>
          <w:sz w:val="20"/>
          <w:szCs w:val="20"/>
          <w:color w:val="auto"/>
        </w:rPr>
      </w:pPr>
    </w:p>
    <w:p>
      <w:pPr>
        <w:ind w:left="180" w:right="340" w:firstLine="486"/>
        <w:spacing w:after="0" w:line="311" w:lineRule="auto"/>
        <w:rPr>
          <w:sz w:val="20"/>
          <w:szCs w:val="20"/>
          <w:color w:val="auto"/>
        </w:rPr>
      </w:pPr>
      <w:r>
        <w:rPr>
          <w:rFonts w:ascii="Arial" w:cs="Arial" w:eastAsia="Arial" w:hAnsi="Arial"/>
          <w:sz w:val="16"/>
          <w:szCs w:val="16"/>
          <w:color w:val="auto"/>
        </w:rPr>
        <w:t>The Company issues RSUs and RSAs to provide additional incentives to key officers, employees, and nonemployee directors. Awards are typically granted annually as determined by the Compensation Committee. The service based RSUs typically cliff-vest at the end of three years for awards issued prior to 2019 and vest in equal amounts over three years for all other RSUs. The service based RSAs typically cliff-vest after one year.</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620" w:type="dxa"/>
            <w:vAlign w:val="bottom"/>
          </w:tcPr>
          <w:p>
            <w:pPr>
              <w:ind w:left="500"/>
              <w:spacing w:after="0"/>
              <w:rPr>
                <w:sz w:val="20"/>
                <w:szCs w:val="20"/>
                <w:color w:val="auto"/>
              </w:rPr>
            </w:pPr>
            <w:r>
              <w:rPr>
                <w:rFonts w:ascii="Arial" w:cs="Arial" w:eastAsia="Arial" w:hAnsi="Arial"/>
                <w:sz w:val="18"/>
                <w:szCs w:val="18"/>
                <w:color w:val="auto"/>
                <w:w w:val="93"/>
              </w:rPr>
              <w:t>The following table summarizes the status of and changes in the RSUs and RSAs: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0"/>
        </w:trPr>
        <w:tc>
          <w:tcPr>
            <w:tcW w:w="6620" w:type="dxa"/>
            <w:vAlign w:val="bottom"/>
          </w:tcPr>
          <w:p>
            <w:pPr>
              <w:spacing w:after="0"/>
              <w:rPr>
                <w:sz w:val="23"/>
                <w:szCs w:val="23"/>
                <w:color w:val="auto"/>
              </w:rPr>
            </w:pPr>
          </w:p>
        </w:tc>
        <w:tc>
          <w:tcPr>
            <w:tcW w:w="4460" w:type="dxa"/>
            <w:vAlign w:val="bottom"/>
            <w:gridSpan w:val="3"/>
          </w:tcPr>
          <w:p>
            <w:pPr>
              <w:ind w:left="880"/>
              <w:spacing w:after="0"/>
              <w:rPr>
                <w:sz w:val="20"/>
                <w:szCs w:val="20"/>
                <w:color w:val="auto"/>
              </w:rPr>
            </w:pPr>
            <w:r>
              <w:rPr>
                <w:rFonts w:ascii="Arial" w:cs="Arial" w:eastAsia="Arial" w:hAnsi="Arial"/>
                <w:sz w:val="18"/>
                <w:szCs w:val="18"/>
                <w:b w:val="1"/>
                <w:bCs w:val="1"/>
                <w:color w:val="auto"/>
              </w:rPr>
              <w:t>Restricted Stock Units and Awards</w:t>
            </w:r>
          </w:p>
        </w:tc>
      </w:tr>
      <w:tr>
        <w:trPr>
          <w:trHeight w:val="27"/>
        </w:trPr>
        <w:tc>
          <w:tcPr>
            <w:tcW w:w="66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8"/>
        </w:trPr>
        <w:tc>
          <w:tcPr>
            <w:tcW w:w="6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Weighted-Average Grant</w:t>
            </w:r>
          </w:p>
        </w:tc>
      </w:tr>
      <w:tr>
        <w:trPr>
          <w:trHeight w:val="234"/>
        </w:trPr>
        <w:tc>
          <w:tcPr>
            <w:tcW w:w="6620" w:type="dxa"/>
            <w:vAlign w:val="bottom"/>
          </w:tcPr>
          <w:p>
            <w:pPr>
              <w:spacing w:after="0"/>
              <w:rPr>
                <w:sz w:val="20"/>
                <w:szCs w:val="20"/>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66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2020</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340,780</w:t>
            </w:r>
          </w:p>
        </w:tc>
        <w:tc>
          <w:tcPr>
            <w:tcW w:w="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$15.35</w:t>
            </w: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Granted</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293,297</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11.84</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(106,146)</w:t>
            </w:r>
          </w:p>
        </w:tc>
        <w:tc>
          <w:tcPr>
            <w:tcW w:w="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12.58</w:t>
            </w: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(5,952)</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14.25</w:t>
            </w:r>
          </w:p>
        </w:tc>
      </w:tr>
      <w:tr>
        <w:trPr>
          <w:trHeight w:val="27"/>
        </w:trPr>
        <w:tc>
          <w:tcPr>
            <w:tcW w:w="66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June 30,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521,979</w:t>
            </w:r>
          </w:p>
        </w:tc>
        <w:tc>
          <w:tcPr>
            <w:tcW w:w="8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600" w:firstLine="486"/>
        <w:spacing w:after="0" w:line="277" w:lineRule="auto"/>
        <w:rPr>
          <w:sz w:val="20"/>
          <w:szCs w:val="20"/>
          <w:color w:val="auto"/>
        </w:rPr>
      </w:pPr>
      <w:r>
        <w:rPr>
          <w:rFonts w:ascii="Arial" w:cs="Arial" w:eastAsia="Arial" w:hAnsi="Arial"/>
          <w:sz w:val="18"/>
          <w:szCs w:val="18"/>
          <w:color w:val="auto"/>
        </w:rPr>
        <w:t>Unrecognized stock-based compensation related to the RSUs and RSAs issued through June 30, 2020 was $5 million and is expected to be recognized over 1.8 years.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3" w:name="page34"/>
    <w:bookmarkEnd w:id="33"/>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Note 11:</w:t>
      </w:r>
      <w:r>
        <w:rPr>
          <w:sz w:val="20"/>
          <w:szCs w:val="20"/>
          <w:color w:val="auto"/>
        </w:rPr>
        <w:tab/>
      </w:r>
      <w:r>
        <w:rPr>
          <w:rFonts w:ascii="Arial" w:cs="Arial" w:eastAsia="Arial" w:hAnsi="Arial"/>
          <w:sz w:val="19"/>
          <w:szCs w:val="19"/>
          <w:b w:val="1"/>
          <w:bCs w:val="1"/>
          <w:color w:val="auto"/>
        </w:rPr>
        <w:t>Income Tax</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 income tax expense (benefit) reconciliation at the statutory rate to the Company’s actual income tax expense (benefit) is shown below:</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6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Computed at the statutory rate (21%)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Tax-exempt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137</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 tax credit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State income taxes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960</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Actual tax expense (benefit)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2,716</w:t>
            </w: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0080" w:type="dxa"/>
            <w:vAlign w:val="bottom"/>
            <w:gridSpan w:val="5"/>
          </w:tcPr>
          <w:p>
            <w:pPr>
              <w:ind w:left="500"/>
              <w:spacing w:after="0"/>
              <w:rPr>
                <w:sz w:val="20"/>
                <w:szCs w:val="20"/>
                <w:color w:val="auto"/>
              </w:rPr>
            </w:pPr>
            <w:r>
              <w:rPr>
                <w:rFonts w:ascii="Arial" w:cs="Arial" w:eastAsia="Arial" w:hAnsi="Arial"/>
                <w:sz w:val="18"/>
                <w:szCs w:val="18"/>
                <w:color w:val="auto"/>
                <w:w w:val="91"/>
              </w:rPr>
              <w:t>The tax effects of temporary differences related to deferred taxes shown on the consolidated Balance Sheets are presented below:</w:t>
            </w:r>
          </w:p>
        </w:tc>
        <w:tc>
          <w:tcPr>
            <w:tcW w:w="1000" w:type="dxa"/>
            <w:vAlign w:val="bottom"/>
          </w:tcPr>
          <w:p>
            <w:pPr>
              <w:spacing w:after="0"/>
              <w:rPr>
                <w:sz w:val="20"/>
                <w:szCs w:val="20"/>
                <w:color w:val="auto"/>
              </w:rPr>
            </w:pPr>
          </w:p>
        </w:tc>
      </w:tr>
      <w:tr>
        <w:trPr>
          <w:trHeight w:val="365"/>
        </w:trPr>
        <w:tc>
          <w:tcPr>
            <w:tcW w:w="58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June 30, 2020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8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20" w:type="dxa"/>
            <w:vAlign w:val="bottom"/>
            <w:gridSpan w:val="3"/>
          </w:tcPr>
          <w:p>
            <w:pPr>
              <w:jc w:val="right"/>
              <w:ind w:right="810"/>
              <w:spacing w:after="0"/>
              <w:rPr>
                <w:sz w:val="20"/>
                <w:szCs w:val="20"/>
                <w:color w:val="auto"/>
              </w:rPr>
            </w:pPr>
            <w:r>
              <w:rPr>
                <w:rFonts w:ascii="Arial" w:cs="Arial" w:eastAsia="Arial" w:hAnsi="Arial"/>
                <w:sz w:val="16"/>
                <w:szCs w:val="16"/>
                <w:i w:val="1"/>
                <w:iCs w:val="1"/>
                <w:color w:val="auto"/>
                <w:w w:val="96"/>
              </w:rPr>
              <w:t>(Dollars in thousands)</w:t>
            </w:r>
          </w:p>
        </w:tc>
        <w:tc>
          <w:tcPr>
            <w:tcW w:w="100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Allowance for loan losses</w:t>
            </w:r>
          </w:p>
        </w:tc>
        <w:tc>
          <w:tcPr>
            <w:tcW w:w="1840" w:type="dxa"/>
            <w:vAlign w:val="bottom"/>
          </w:tcPr>
          <w:p>
            <w:pPr>
              <w:jc w:val="right"/>
              <w:ind w:right="16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17,426</w:t>
            </w:r>
          </w:p>
        </w:tc>
        <w:tc>
          <w:tcPr>
            <w:tcW w:w="100" w:type="dxa"/>
            <w:vAlign w:val="bottom"/>
          </w:tcPr>
          <w:p>
            <w:pPr>
              <w:spacing w:after="0"/>
              <w:rPr>
                <w:sz w:val="21"/>
                <w:szCs w:val="21"/>
                <w:color w:val="auto"/>
              </w:rPr>
            </w:pP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13,928</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incentive</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Impairment of available-for-sale securities</w:t>
            </w:r>
          </w:p>
        </w:tc>
        <w:tc>
          <w:tcPr>
            <w:tcW w:w="18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493</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Valuation allowance on real estate</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Loan fees</w:t>
            </w:r>
          </w:p>
        </w:tc>
        <w:tc>
          <w:tcPr>
            <w:tcW w:w="18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2,317</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operating loss carryover</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2,131</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compensation</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2,444</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State tax credit</w:t>
            </w:r>
          </w:p>
        </w:tc>
        <w:tc>
          <w:tcPr>
            <w:tcW w:w="18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3,287</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r>
      <w:tr>
        <w:trPr>
          <w:trHeight w:val="237"/>
        </w:trPr>
        <w:tc>
          <w:tcPr>
            <w:tcW w:w="5820" w:type="dxa"/>
            <w:vAlign w:val="bottom"/>
          </w:tcPr>
          <w:p>
            <w:pPr>
              <w:ind w:left="340"/>
              <w:spacing w:after="0"/>
              <w:rPr>
                <w:sz w:val="20"/>
                <w:szCs w:val="20"/>
                <w:color w:val="auto"/>
              </w:rPr>
            </w:pPr>
            <w:r>
              <w:rPr>
                <w:rFonts w:ascii="Arial" w:cs="Arial" w:eastAsia="Arial" w:hAnsi="Arial"/>
                <w:sz w:val="18"/>
                <w:szCs w:val="18"/>
                <w:color w:val="auto"/>
              </w:rPr>
              <w:t>Total deferred tax asset</w:t>
            </w:r>
          </w:p>
        </w:tc>
        <w:tc>
          <w:tcPr>
            <w:tcW w:w="18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28,754</w:t>
            </w: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25,314</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Fair market value adjustments - trust preferred securities</w:t>
            </w:r>
          </w:p>
        </w:tc>
        <w:tc>
          <w:tcPr>
            <w:tcW w:w="1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 on securities available-for-sale</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(5,339)</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FHLB stock basis</w:t>
            </w:r>
          </w:p>
        </w:tc>
        <w:tc>
          <w:tcPr>
            <w:tcW w:w="1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5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Premises and equipment</w:t>
            </w:r>
          </w:p>
        </w:tc>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58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liability</w:t>
            </w:r>
          </w:p>
        </w:tc>
        <w:tc>
          <w:tcPr>
            <w:tcW w:w="18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(13,913)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w:t>
            </w:r>
          </w:p>
        </w:tc>
      </w:tr>
      <w:tr>
        <w:trPr>
          <w:trHeight w:val="263"/>
        </w:trPr>
        <w:tc>
          <w:tcPr>
            <w:tcW w:w="5820" w:type="dxa"/>
            <w:vAlign w:val="bottom"/>
          </w:tcPr>
          <w:p>
            <w:pPr>
              <w:ind w:left="540"/>
              <w:spacing w:after="0"/>
              <w:rPr>
                <w:sz w:val="20"/>
                <w:szCs w:val="20"/>
                <w:color w:val="auto"/>
              </w:rPr>
            </w:pPr>
            <w:r>
              <w:rPr>
                <w:rFonts w:ascii="Arial" w:cs="Arial" w:eastAsia="Arial" w:hAnsi="Arial"/>
                <w:sz w:val="18"/>
                <w:szCs w:val="18"/>
                <w:color w:val="auto"/>
              </w:rPr>
              <w:t>Net deferred tax asset</w:t>
            </w:r>
          </w:p>
        </w:tc>
        <w:tc>
          <w:tcPr>
            <w:tcW w:w="1840" w:type="dxa"/>
            <w:vAlign w:val="bottom"/>
            <w:tcBorders>
              <w:top w:val="single" w:sz="8" w:color="auto"/>
              <w:bottom w:val="single" w:sz="8" w:color="auto"/>
            </w:tcBorders>
          </w:tcPr>
          <w:p>
            <w:pPr>
              <w:jc w:val="right"/>
              <w:ind w:right="16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14,841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13,782</w:t>
            </w:r>
          </w:p>
        </w:tc>
      </w:tr>
      <w:tr>
        <w:trPr>
          <w:trHeight w:val="21"/>
        </w:trPr>
        <w:tc>
          <w:tcPr>
            <w:tcW w:w="58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CARES Act</w:t>
      </w:r>
    </w:p>
    <w:p>
      <w:pPr>
        <w:spacing w:after="0" w:line="164" w:lineRule="exact"/>
        <w:rPr>
          <w:sz w:val="20"/>
          <w:szCs w:val="20"/>
          <w:color w:val="auto"/>
        </w:rPr>
      </w:pPr>
    </w:p>
    <w:p>
      <w:pPr>
        <w:ind w:left="180" w:right="60" w:firstLine="486"/>
        <w:spacing w:after="0" w:line="277" w:lineRule="auto"/>
        <w:rPr>
          <w:sz w:val="20"/>
          <w:szCs w:val="20"/>
          <w:color w:val="auto"/>
        </w:rPr>
      </w:pPr>
      <w:r>
        <w:rPr>
          <w:rFonts w:ascii="Arial" w:cs="Arial" w:eastAsia="Arial" w:hAnsi="Arial"/>
          <w:sz w:val="18"/>
          <w:szCs w:val="18"/>
          <w:color w:val="auto"/>
        </w:rPr>
        <w:t>The CARES Act, which was enacted on March 27, 2020 in the U.S., includes many measures to assist companies, including temporary changes to income and non-income-based tax laws. Some of the key tax-related provisions of the bill include:</w:t>
      </w:r>
    </w:p>
    <w:p>
      <w:pPr>
        <w:spacing w:after="0" w:line="11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Allowing NOLs originating in 2018, 2019 or 2020 to be carried back five years; and</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4" w:name="page35"/>
    <w:bookmarkEnd w:id="34"/>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300" w:right="120" w:hanging="644"/>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net interest expense deduction limit to 50% of adjusted taxable income from 30% for tax years beginning January 1, 2019 and 2020.</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would be able to carry back a portion of a net operating loss if incurred during 2020 to offset income from the prior year.</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continues to analyze the potential impact of this legislation on its financial position and results of operations.</w:t>
      </w:r>
    </w:p>
    <w:p>
      <w:pPr>
        <w:spacing w:after="0" w:line="200" w:lineRule="exact"/>
        <w:rPr>
          <w:sz w:val="20"/>
          <w:szCs w:val="20"/>
          <w:color w:val="auto"/>
        </w:rPr>
      </w:pPr>
    </w:p>
    <w:p>
      <w:pPr>
        <w:spacing w:after="0" w:line="32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12:</w:t>
      </w:r>
      <w:r>
        <w:rPr>
          <w:sz w:val="20"/>
          <w:szCs w:val="20"/>
          <w:color w:val="auto"/>
        </w:rPr>
        <w:tab/>
      </w:r>
      <w:r>
        <w:rPr>
          <w:rFonts w:ascii="Arial" w:cs="Arial" w:eastAsia="Arial" w:hAnsi="Arial"/>
          <w:sz w:val="19"/>
          <w:szCs w:val="19"/>
          <w:b w:val="1"/>
          <w:bCs w:val="1"/>
          <w:color w:val="auto"/>
        </w:rPr>
        <w:t>Disclosures about Fair Value of Financial Instruments</w:t>
      </w:r>
    </w:p>
    <w:p>
      <w:pPr>
        <w:spacing w:after="0" w:line="165"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1300" w:right="80" w:hanging="647"/>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supported by little or no market activity and significant to the fair value of the assets or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Recurring Measurements</w:t>
      </w:r>
    </w:p>
    <w:p>
      <w:pPr>
        <w:spacing w:after="0" w:line="164" w:lineRule="exact"/>
        <w:rPr>
          <w:sz w:val="20"/>
          <w:szCs w:val="20"/>
          <w:color w:val="auto"/>
        </w:rPr>
      </w:pPr>
    </w:p>
    <w:p>
      <w:pPr>
        <w:ind w:left="180" w:right="460" w:firstLine="486"/>
        <w:spacing w:after="0" w:line="342" w:lineRule="auto"/>
        <w:rPr>
          <w:sz w:val="20"/>
          <w:szCs w:val="20"/>
          <w:color w:val="auto"/>
        </w:rPr>
      </w:pPr>
      <w:r>
        <w:rPr>
          <w:rFonts w:ascii="Arial" w:cs="Arial" w:eastAsia="Arial" w:hAnsi="Arial"/>
          <w:sz w:val="16"/>
          <w:szCs w:val="16"/>
          <w:color w:val="auto"/>
        </w:rPr>
        <w:t>The following list presents the assets and liabilities recognized in the accompanying consolidated Balance Sheets measured at fair value on a recurring basis and the level within the fair value hierarchy in which the fair value measurements fall at June 30, 2020 and December 31, 2019:</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360" w:hanging="161"/>
        <w:spacing w:after="0" w:line="258" w:lineRule="auto"/>
        <w:rPr>
          <w:sz w:val="20"/>
          <w:szCs w:val="20"/>
          <w:color w:val="auto"/>
        </w:rPr>
      </w:pPr>
      <w:r>
        <w:rPr>
          <w:rFonts w:ascii="Arial" w:cs="Arial" w:eastAsia="Arial" w:hAnsi="Arial"/>
          <w:sz w:val="17"/>
          <w:szCs w:val="17"/>
          <w:color w:val="auto"/>
        </w:rPr>
        <w:t>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Valuation</w:t>
            </w:r>
          </w:p>
        </w:tc>
        <w:tc>
          <w:tcPr>
            <w:tcW w:w="20" w:type="dxa"/>
            <w:vAlign w:val="bottom"/>
          </w:tcPr>
          <w:p>
            <w:pPr>
              <w:spacing w:after="0"/>
              <w:rPr>
                <w:sz w:val="18"/>
                <w:szCs w:val="18"/>
                <w:color w:val="auto"/>
              </w:rPr>
            </w:pPr>
          </w:p>
        </w:tc>
        <w:tc>
          <w:tcPr>
            <w:tcW w:w="1820" w:type="dxa"/>
            <w:vAlign w:val="bottom"/>
            <w:gridSpan w:val="3"/>
          </w:tcPr>
          <w:p>
            <w:pPr>
              <w:ind w:left="220"/>
              <w:spacing w:after="0"/>
              <w:rPr>
                <w:sz w:val="20"/>
                <w:szCs w:val="20"/>
                <w:color w:val="auto"/>
              </w:rPr>
            </w:pPr>
            <w:r>
              <w:rPr>
                <w:rFonts w:ascii="Arial" w:cs="Arial" w:eastAsia="Arial" w:hAnsi="Arial"/>
                <w:sz w:val="18"/>
                <w:szCs w:val="18"/>
                <w:b w:val="1"/>
                <w:bCs w:val="1"/>
                <w:color w:val="auto"/>
              </w:rPr>
              <w:t>Where Fair Value</w:t>
            </w:r>
          </w:p>
        </w:tc>
        <w:tc>
          <w:tcPr>
            <w:tcW w:w="0" w:type="dxa"/>
            <w:vAlign w:val="bottom"/>
          </w:tcPr>
          <w:p>
            <w:pPr>
              <w:spacing w:after="0"/>
              <w:rPr>
                <w:sz w:val="1"/>
                <w:szCs w:val="1"/>
                <w:color w:val="auto"/>
              </w:rPr>
            </w:pPr>
          </w:p>
        </w:tc>
      </w:tr>
      <w:tr>
        <w:trPr>
          <w:trHeight w:val="234"/>
        </w:trPr>
        <w:tc>
          <w:tcPr>
            <w:tcW w:w="6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Fair Value Description</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Hierarchy Level</w:t>
            </w:r>
          </w:p>
        </w:tc>
        <w:tc>
          <w:tcPr>
            <w:tcW w:w="20" w:type="dxa"/>
            <w:vAlign w:val="bottom"/>
          </w:tcPr>
          <w:p>
            <w:pPr>
              <w:spacing w:after="0"/>
              <w:rPr>
                <w:sz w:val="20"/>
                <w:szCs w:val="20"/>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Balance Can Be Found</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w w:val="99"/>
              </w:rPr>
              <w:t>Where quoted market prices are available in an active market, securities are</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182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3: Securities</w:t>
              </w:r>
            </w:hyperlink>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w w:val="97"/>
              </w:rPr>
              <w:t>classified within Level 1 of the valuation hierarchy. If quoted market prices are</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w w:val="95"/>
              </w:rPr>
              <w:t>not available, then fair values are estimated by using quoted prices of securities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w w:val="99"/>
              </w:rPr>
              <w:t>with similar characteristics or independent asset pricing services and pricing</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w w:val="95"/>
              </w:rPr>
              <w:t>models, the inputs of which are market-based or independently sourced market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w w:val="96"/>
              </w:rPr>
              <w:t>parameters, including, but not limited to, yield curves, interest rates, volatilities,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prepayments, defaults, cumulative loss projections and cash flows.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w w:val="92"/>
              </w:rPr>
              <w:t>Fair value of the interest rate swaps is obtained from independent pricing services</w:t>
            </w:r>
          </w:p>
        </w:tc>
        <w:tc>
          <w:tcPr>
            <w:tcW w:w="148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8"/>
                <w:szCs w:val="18"/>
                <w:color w:val="auto"/>
              </w:rPr>
            </w:pPr>
          </w:p>
        </w:tc>
        <w:tc>
          <w:tcPr>
            <w:tcW w:w="1820" w:type="dxa"/>
            <w:vAlign w:val="bottom"/>
            <w:gridSpan w:val="3"/>
          </w:tcPr>
          <w:p>
            <w:pPr>
              <w:spacing w:after="0" w:line="196" w:lineRule="exact"/>
              <w:rPr>
                <w:rFonts w:ascii="Arial" w:cs="Arial" w:eastAsia="Arial" w:hAnsi="Arial"/>
                <w:sz w:val="18"/>
                <w:szCs w:val="18"/>
                <w:color w:val="0000FF"/>
                <w:w w:val="96"/>
              </w:rPr>
            </w:pPr>
            <w:hyperlink w:anchor="page28">
              <w:r>
                <w:rPr>
                  <w:rFonts w:ascii="Arial" w:cs="Arial" w:eastAsia="Arial" w:hAnsi="Arial"/>
                  <w:sz w:val="18"/>
                  <w:szCs w:val="18"/>
                  <w:color w:val="0000FF"/>
                  <w:w w:val="96"/>
                </w:rPr>
                <w:t>Note 5: Derivatives and</w:t>
              </w:r>
            </w:hyperlink>
          </w:p>
        </w:tc>
        <w:tc>
          <w:tcPr>
            <w:tcW w:w="0" w:type="dxa"/>
            <w:vAlign w:val="bottom"/>
          </w:tcPr>
          <w:p>
            <w:pPr>
              <w:spacing w:after="0"/>
              <w:rPr>
                <w:sz w:val="1"/>
                <w:szCs w:val="1"/>
                <w:color w:val="auto"/>
              </w:rPr>
            </w:pPr>
          </w:p>
        </w:tc>
      </w:tr>
      <w:tr>
        <w:trPr>
          <w:trHeight w:val="156"/>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based on quoted market prices for similar derivative contracts.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28">
              <w:r>
                <w:rPr>
                  <w:rFonts w:ascii="Arial" w:cs="Arial" w:eastAsia="Arial" w:hAnsi="Arial"/>
                  <w:sz w:val="16"/>
                  <w:szCs w:val="16"/>
                  <w:color w:val="0000FF"/>
                </w:rPr>
                <w:t>Hedging</w:t>
              </w:r>
            </w:hyperlink>
          </w:p>
        </w:tc>
        <w:tc>
          <w:tcPr>
            <w:tcW w:w="1100" w:type="dxa"/>
            <w:vAlign w:val="bottom"/>
            <w:tcBorders>
              <w:top w:val="single" w:sz="8" w:color="0000FF"/>
              <w:bottom w:val="single" w:sz="8" w:color="0000FF"/>
            </w:tcBorders>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04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-1294130</wp:posOffset>
            </wp:positionV>
            <wp:extent cx="7029450" cy="1003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0" cy="100330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1500" w:space="380"/>
            <w:col w:w="9360"/>
          </w:cols>
          <w:pgMar w:left="320" w:top="179" w:right="339" w:bottom="1440" w:gutter="0" w:footer="0" w:header="0"/>
          <w:type w:val="continuous"/>
        </w:sectPr>
      </w:pPr>
    </w:p>
    <w:p>
      <w:pPr>
        <w:spacing w:after="0"/>
        <w:rPr>
          <w:sz w:val="20"/>
          <w:szCs w:val="20"/>
          <w:color w:val="auto"/>
        </w:rPr>
      </w:pPr>
      <w:r>
        <w:rPr>
          <w:rFonts w:ascii="Arial" w:cs="Arial" w:eastAsia="Arial" w:hAnsi="Arial"/>
          <w:sz w:val="20"/>
          <w:szCs w:val="20"/>
          <w:u w:val="single" w:color="auto"/>
          <w:color w:val="auto"/>
        </w:rPr>
        <w:t>Nonrecurring Measurements</w:t>
      </w:r>
    </w:p>
    <w:p>
      <w:pPr>
        <w:spacing w:after="0" w:line="164" w:lineRule="exact"/>
        <w:rPr>
          <w:sz w:val="20"/>
          <w:szCs w:val="20"/>
          <w:color w:val="auto"/>
        </w:rPr>
      </w:pPr>
    </w:p>
    <w:p>
      <w:pPr>
        <w:ind w:left="180" w:right="280" w:firstLine="486"/>
        <w:spacing w:after="0" w:line="277" w:lineRule="auto"/>
        <w:rPr>
          <w:sz w:val="20"/>
          <w:szCs w:val="20"/>
          <w:color w:val="auto"/>
        </w:rPr>
      </w:pPr>
      <w:r>
        <w:rPr>
          <w:rFonts w:ascii="Arial" w:cs="Arial" w:eastAsia="Arial" w:hAnsi="Arial"/>
          <w:sz w:val="18"/>
          <w:szCs w:val="18"/>
          <w:color w:val="auto"/>
        </w:rPr>
        <w:t>The following tables present assets measured at fair value on a nonrecurring basis and the level within the fair value hierarchy in which the fair value measurements fall at June 30, 2020 and December 31, 2019:</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June 30, 2020</w:t>
            </w: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40" w:type="dxa"/>
            <w:vAlign w:val="bottom"/>
            <w:gridSpan w:val="4"/>
          </w:tcPr>
          <w:p>
            <w:pPr>
              <w:jc w:val="center"/>
              <w:ind w:left="1211"/>
              <w:spacing w:after="0"/>
              <w:rPr>
                <w:sz w:val="20"/>
                <w:szCs w:val="20"/>
                <w:color w:val="auto"/>
              </w:rPr>
            </w:pPr>
            <w:r>
              <w:rPr>
                <w:rFonts w:ascii="Arial" w:cs="Arial" w:eastAsia="Arial" w:hAnsi="Arial"/>
                <w:sz w:val="18"/>
                <w:szCs w:val="18"/>
                <w:b w:val="1"/>
                <w:bCs w:val="1"/>
                <w:color w:val="auto"/>
                <w:w w:val="91"/>
              </w:rPr>
              <w:t>Fair Value Measurements Using</w:t>
            </w:r>
          </w:p>
        </w:tc>
        <w:tc>
          <w:tcPr>
            <w:tcW w:w="1440" w:type="dxa"/>
            <w:vAlign w:val="bottom"/>
          </w:tcPr>
          <w:p>
            <w:pPr>
              <w:spacing w:after="0"/>
              <w:rPr>
                <w:sz w:val="23"/>
                <w:szCs w:val="23"/>
                <w:color w:val="auto"/>
              </w:rPr>
            </w:pPr>
          </w:p>
        </w:tc>
      </w:tr>
      <w:tr>
        <w:trPr>
          <w:trHeight w:val="27"/>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Quoted Prices in</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Active Markets for</w:t>
            </w:r>
          </w:p>
        </w:tc>
        <w:tc>
          <w:tcPr>
            <w:tcW w:w="26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Significant Other</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88"/>
              </w:rPr>
              <w:t>Identical Assets</w:t>
            </w:r>
          </w:p>
        </w:tc>
        <w:tc>
          <w:tcPr>
            <w:tcW w:w="26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Arial" w:cs="Arial" w:eastAsia="Arial" w:hAnsi="Arial"/>
                <w:sz w:val="18"/>
                <w:szCs w:val="18"/>
                <w:b w:val="1"/>
                <w:bCs w:val="1"/>
                <w:color w:val="auto"/>
              </w:rPr>
              <w:t>Observable Inputs</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Unobservable Inputs</w:t>
            </w:r>
          </w:p>
        </w:tc>
      </w:tr>
      <w:tr>
        <w:trPr>
          <w:trHeight w:val="234"/>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680" w:type="dxa"/>
            <w:vAlign w:val="bottom"/>
          </w:tcPr>
          <w:p>
            <w:pPr>
              <w:jc w:val="center"/>
              <w:ind w:right="31"/>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(Level 2)</w:t>
            </w:r>
          </w:p>
        </w:tc>
        <w:tc>
          <w:tcPr>
            <w:tcW w:w="52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3"/>
          </w:tcPr>
          <w:p>
            <w:pPr>
              <w:ind w:left="102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32,024</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Foreclosed assets held-for-sale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2,502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2,502</w:t>
            </w: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5" w:name="page36"/>
    <w:bookmarkEnd w:id="35"/>
    <w:tbl>
      <w:tblPr>
        <w:tblLayout w:type="fixed"/>
        <w:tblInd w:w="20" w:type="dxa"/>
        <w:tblCellMar>
          <w:top w:w="0" w:type="dxa"/>
          <w:left w:w="0" w:type="dxa"/>
          <w:bottom w:w="0" w:type="dxa"/>
          <w:right w:w="0" w:type="dxa"/>
        </w:tblCellMar>
      </w:tblPr>
      <w:tr>
        <w:trPr>
          <w:trHeight w:val="230"/>
        </w:trPr>
        <w:tc>
          <w:tcPr>
            <w:tcW w:w="35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5700" w:type="dxa"/>
            <w:vAlign w:val="bottom"/>
            <w:gridSpan w:val="5"/>
          </w:tcPr>
          <w:p>
            <w:pPr>
              <w:ind w:left="40"/>
              <w:spacing w:after="0"/>
              <w:rPr>
                <w:sz w:val="20"/>
                <w:szCs w:val="20"/>
                <w:color w:val="auto"/>
              </w:rPr>
            </w:pPr>
            <w:r>
              <w:rPr>
                <w:rFonts w:ascii="Arial" w:cs="Arial" w:eastAsia="Arial" w:hAnsi="Arial"/>
                <w:sz w:val="18"/>
                <w:szCs w:val="18"/>
                <w:color w:val="auto"/>
              </w:rPr>
              <w:t>Notes to Consolidated Financial Statements (unaudited)</w:t>
            </w: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810"/>
        </w:trPr>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 2019</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40" w:type="dxa"/>
            <w:vAlign w:val="bottom"/>
            <w:gridSpan w:val="3"/>
          </w:tcPr>
          <w:p>
            <w:pPr>
              <w:jc w:val="center"/>
              <w:ind w:left="1211"/>
              <w:spacing w:after="0"/>
              <w:rPr>
                <w:sz w:val="20"/>
                <w:szCs w:val="20"/>
                <w:color w:val="auto"/>
              </w:rPr>
            </w:pPr>
            <w:r>
              <w:rPr>
                <w:rFonts w:ascii="Arial" w:cs="Arial" w:eastAsia="Arial" w:hAnsi="Arial"/>
                <w:sz w:val="18"/>
                <w:szCs w:val="18"/>
                <w:b w:val="1"/>
                <w:bCs w:val="1"/>
                <w:color w:val="auto"/>
                <w:w w:val="91"/>
              </w:rPr>
              <w:t>Fair Value Measurements Using</w:t>
            </w:r>
          </w:p>
        </w:tc>
        <w:tc>
          <w:tcPr>
            <w:tcW w:w="1440" w:type="dxa"/>
            <w:vAlign w:val="bottom"/>
          </w:tcPr>
          <w:p>
            <w:pPr>
              <w:spacing w:after="0"/>
              <w:rPr>
                <w:sz w:val="23"/>
                <w:szCs w:val="23"/>
                <w:color w:val="auto"/>
              </w:rPr>
            </w:pPr>
          </w:p>
        </w:tc>
      </w:tr>
      <w:tr>
        <w:trPr>
          <w:trHeight w:val="27"/>
        </w:trPr>
        <w:tc>
          <w:tcPr>
            <w:tcW w:w="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Quoted Prices in</w:t>
            </w: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ind w:right="311"/>
              <w:spacing w:after="0"/>
              <w:rPr>
                <w:sz w:val="20"/>
                <w:szCs w:val="20"/>
                <w:color w:val="auto"/>
              </w:rPr>
            </w:pPr>
            <w:r>
              <w:rPr>
                <w:rFonts w:ascii="Arial" w:cs="Arial" w:eastAsia="Arial" w:hAnsi="Arial"/>
                <w:sz w:val="18"/>
                <w:szCs w:val="18"/>
                <w:b w:val="1"/>
                <w:bCs w:val="1"/>
                <w:color w:val="auto"/>
                <w:w w:val="93"/>
              </w:rPr>
              <w:t>Active Markets for</w:t>
            </w: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Significant Other</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ind w:right="351"/>
              <w:spacing w:after="0"/>
              <w:rPr>
                <w:sz w:val="20"/>
                <w:szCs w:val="20"/>
                <w:color w:val="auto"/>
              </w:rPr>
            </w:pPr>
            <w:r>
              <w:rPr>
                <w:rFonts w:ascii="Arial" w:cs="Arial" w:eastAsia="Arial" w:hAnsi="Arial"/>
                <w:sz w:val="18"/>
                <w:szCs w:val="18"/>
                <w:b w:val="1"/>
                <w:bCs w:val="1"/>
                <w:color w:val="auto"/>
                <w:w w:val="88"/>
              </w:rPr>
              <w:t>Identical Assets</w:t>
            </w:r>
          </w:p>
        </w:tc>
        <w:tc>
          <w:tcPr>
            <w:tcW w:w="1680" w:type="dxa"/>
            <w:vAlign w:val="bottom"/>
          </w:tcPr>
          <w:p>
            <w:pPr>
              <w:ind w:left="40"/>
              <w:spacing w:after="0"/>
              <w:rPr>
                <w:sz w:val="20"/>
                <w:szCs w:val="20"/>
                <w:color w:val="auto"/>
              </w:rPr>
            </w:pPr>
            <w:r>
              <w:rPr>
                <w:rFonts w:ascii="Arial" w:cs="Arial" w:eastAsia="Arial" w:hAnsi="Arial"/>
                <w:sz w:val="18"/>
                <w:szCs w:val="18"/>
                <w:b w:val="1"/>
                <w:bCs w:val="1"/>
                <w:color w:val="auto"/>
              </w:rPr>
              <w:t>Observable Inputs</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940" w:type="dxa"/>
            <w:vAlign w:val="bottom"/>
          </w:tcPr>
          <w:p>
            <w:pPr>
              <w:jc w:val="center"/>
              <w:ind w:right="291"/>
              <w:spacing w:after="0"/>
              <w:rPr>
                <w:sz w:val="20"/>
                <w:szCs w:val="20"/>
                <w:color w:val="auto"/>
              </w:rPr>
            </w:pPr>
            <w:r>
              <w:rPr>
                <w:rFonts w:ascii="Arial" w:cs="Arial" w:eastAsia="Arial" w:hAnsi="Arial"/>
                <w:sz w:val="18"/>
                <w:szCs w:val="18"/>
                <w:b w:val="1"/>
                <w:bCs w:val="1"/>
                <w:color w:val="auto"/>
                <w:w w:val="93"/>
              </w:rPr>
              <w:t>(Level 1)</w:t>
            </w: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(Level 2)</w:t>
            </w:r>
          </w:p>
        </w:tc>
        <w:tc>
          <w:tcPr>
            <w:tcW w:w="520" w:type="dxa"/>
            <w:vAlign w:val="bottom"/>
          </w:tcPr>
          <w:p>
            <w:pPr>
              <w:spacing w:after="0"/>
              <w:rPr>
                <w:sz w:val="20"/>
                <w:szCs w:val="20"/>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ind w:left="102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20,889</w:t>
            </w:r>
          </w:p>
        </w:tc>
      </w:tr>
      <w:tr>
        <w:trPr>
          <w:trHeight w:val="27"/>
        </w:trPr>
        <w:tc>
          <w:tcPr>
            <w:tcW w:w="14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Following is a description of the valuation methodologies and inputs used for assets measured at fair value on a nonrecurring basis and recognized in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Collateral-dependent Impaired Loans, Net of ALLL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collateral-dependent impaired loans is based on the appraised fair value of the collateral, less estimated cost to sell.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Collateral-dependent impaired loans are classified within Level 3 of the fair value hierarchy.</w:t>
      </w:r>
    </w:p>
    <w:p>
      <w:pPr>
        <w:spacing w:after="0" w:line="157" w:lineRule="exact"/>
        <w:rPr>
          <w:sz w:val="20"/>
          <w:szCs w:val="20"/>
          <w:color w:val="auto"/>
        </w:rPr>
      </w:pPr>
    </w:p>
    <w:p>
      <w:pPr>
        <w:ind w:left="180" w:right="200" w:firstLine="486"/>
        <w:spacing w:after="0" w:line="286" w:lineRule="auto"/>
        <w:rPr>
          <w:sz w:val="20"/>
          <w:szCs w:val="20"/>
          <w:color w:val="auto"/>
        </w:rPr>
      </w:pPr>
      <w:r>
        <w:rPr>
          <w:rFonts w:ascii="Arial" w:cs="Arial" w:eastAsia="Arial" w:hAnsi="Arial"/>
          <w:sz w:val="17"/>
          <w:szCs w:val="17"/>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111" w:lineRule="exact"/>
        <w:rPr>
          <w:sz w:val="20"/>
          <w:szCs w:val="20"/>
          <w:color w:val="auto"/>
        </w:rPr>
      </w:pPr>
    </w:p>
    <w:p>
      <w:pPr>
        <w:ind w:left="180" w:right="180" w:firstLine="486"/>
        <w:spacing w:after="0" w:line="259" w:lineRule="auto"/>
        <w:rPr>
          <w:sz w:val="20"/>
          <w:szCs w:val="20"/>
          <w:color w:val="auto"/>
        </w:rPr>
      </w:pPr>
      <w:r>
        <w:rPr>
          <w:rFonts w:ascii="Arial" w:cs="Arial" w:eastAsia="Arial" w:hAnsi="Arial"/>
          <w:sz w:val="18"/>
          <w:szCs w:val="18"/>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Foreclosed Assets Held-for-Sale</w:t>
      </w:r>
    </w:p>
    <w:p>
      <w:pPr>
        <w:spacing w:after="0" w:line="171" w:lineRule="exact"/>
        <w:rPr>
          <w:sz w:val="20"/>
          <w:szCs w:val="20"/>
          <w:color w:val="auto"/>
        </w:rPr>
      </w:pPr>
    </w:p>
    <w:p>
      <w:pPr>
        <w:jc w:val="both"/>
        <w:ind w:left="180" w:right="200" w:firstLine="486"/>
        <w:spacing w:after="0" w:line="263" w:lineRule="auto"/>
        <w:rPr>
          <w:sz w:val="20"/>
          <w:szCs w:val="20"/>
          <w:color w:val="auto"/>
        </w:rPr>
      </w:pPr>
      <w:r>
        <w:rPr>
          <w:rFonts w:ascii="Arial" w:cs="Arial" w:eastAsia="Arial" w:hAnsi="Arial"/>
          <w:sz w:val="18"/>
          <w:szCs w:val="18"/>
          <w:color w:val="auto"/>
        </w:rPr>
        <w:t>The estimated fair value of foreclosed assets held-for-sale is based on the appraised fair value of the collateral, less estimated cost to sell and are classified within Level 3 of the fair value hierarchy. The Company considers the appraisal or evaluation as the starting point for determining fair value and then considers other factors and events in the environment that may affect the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Unobservable (Level 3) Inputs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quantitative information about unobservable inputs used in nonrecurring Level 3 fair value measurements at June 30,</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 and December 31, 2019:</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00" w:type="dxa"/>
            <w:vAlign w:val="bottom"/>
            <w:gridSpan w:val="2"/>
          </w:tcPr>
          <w:p>
            <w:pPr>
              <w:jc w:val="center"/>
              <w:ind w:left="371"/>
              <w:spacing w:after="0"/>
              <w:rPr>
                <w:sz w:val="20"/>
                <w:szCs w:val="20"/>
                <w:color w:val="auto"/>
              </w:rPr>
            </w:pPr>
            <w:r>
              <w:rPr>
                <w:rFonts w:ascii="Arial" w:cs="Arial" w:eastAsia="Arial" w:hAnsi="Arial"/>
                <w:sz w:val="18"/>
                <w:szCs w:val="18"/>
                <w:b w:val="1"/>
                <w:bCs w:val="1"/>
                <w:color w:val="auto"/>
                <w:w w:val="88"/>
              </w:rPr>
              <w:t>June 30, 2020</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Range</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2040" w:type="dxa"/>
            <w:vAlign w:val="bottom"/>
          </w:tcPr>
          <w:p>
            <w:pPr>
              <w:ind w:left="200"/>
              <w:spacing w:after="0"/>
              <w:rPr>
                <w:sz w:val="20"/>
                <w:szCs w:val="20"/>
                <w:color w:val="auto"/>
              </w:rPr>
            </w:pPr>
            <w:r>
              <w:rPr>
                <w:rFonts w:ascii="Arial" w:cs="Arial" w:eastAsia="Arial" w:hAnsi="Arial"/>
                <w:sz w:val="18"/>
                <w:szCs w:val="18"/>
                <w:b w:val="1"/>
                <w:bCs w:val="1"/>
                <w:color w:val="auto"/>
              </w:rPr>
              <w:t>Unobservable Inputs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00" w:type="dxa"/>
            <w:vAlign w:val="bottom"/>
            <w:gridSpan w:val="2"/>
          </w:tcPr>
          <w:p>
            <w:pPr>
              <w:jc w:val="center"/>
              <w:ind w:left="371"/>
              <w:spacing w:after="0"/>
              <w:rPr>
                <w:sz w:val="20"/>
                <w:szCs w:val="20"/>
                <w:color w:val="auto"/>
              </w:rPr>
            </w:pPr>
            <w:r>
              <w:rPr>
                <w:rFonts w:ascii="Arial" w:cs="Arial" w:eastAsia="Arial" w:hAnsi="Arial"/>
                <w:sz w:val="16"/>
                <w:szCs w:val="16"/>
                <w:i w:val="1"/>
                <w:iCs w:val="1"/>
                <w:color w:val="auto"/>
                <w:w w:val="95"/>
              </w:rPr>
              <w:t>(Dollars in thousands)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comparable</w:t>
            </w:r>
          </w:p>
        </w:tc>
        <w:tc>
          <w:tcPr>
            <w:tcW w:w="2040" w:type="dxa"/>
            <w:vAlign w:val="bottom"/>
            <w:shd w:val="clear" w:color="auto" w:fill="CCEEFF"/>
          </w:tcPr>
          <w:p>
            <w:pPr>
              <w:spacing w:after="0"/>
              <w:rPr>
                <w:sz w:val="19"/>
                <w:szCs w:val="19"/>
                <w:color w:val="auto"/>
              </w:rPr>
            </w:pPr>
          </w:p>
        </w:tc>
        <w:tc>
          <w:tcPr>
            <w:tcW w:w="2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 - 15%</w:t>
            </w:r>
          </w:p>
        </w:tc>
        <w:tc>
          <w:tcPr>
            <w:tcW w:w="0" w:type="dxa"/>
            <w:vAlign w:val="bottom"/>
          </w:tcPr>
          <w:p>
            <w:pPr>
              <w:spacing w:after="0"/>
              <w:rPr>
                <w:sz w:val="1"/>
                <w:szCs w:val="1"/>
                <w:color w:val="auto"/>
              </w:rPr>
            </w:pPr>
          </w:p>
        </w:tc>
      </w:tr>
      <w:tr>
        <w:trPr>
          <w:trHeight w:val="28"/>
        </w:trPr>
        <w:tc>
          <w:tcPr>
            <w:tcW w:w="3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32,024</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properties</w:t>
            </w:r>
          </w:p>
        </w:tc>
        <w:tc>
          <w:tcPr>
            <w:tcW w:w="20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Marketability discount</w:t>
            </w:r>
          </w:p>
        </w:tc>
        <w:tc>
          <w:tcPr>
            <w:tcW w:w="20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Market comparable</w:t>
            </w:r>
          </w:p>
        </w:tc>
        <w:tc>
          <w:tcPr>
            <w:tcW w:w="2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Foreclosed assets held-for-sale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2,502</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properties</w:t>
            </w:r>
          </w:p>
        </w:tc>
        <w:tc>
          <w:tcPr>
            <w:tcW w:w="2040" w:type="dxa"/>
            <w:vAlign w:val="bottom"/>
          </w:tcPr>
          <w:p>
            <w:pPr>
              <w:ind w:left="200"/>
              <w:spacing w:after="0"/>
              <w:rPr>
                <w:sz w:val="20"/>
                <w:szCs w:val="20"/>
                <w:color w:val="auto"/>
              </w:rPr>
            </w:pPr>
            <w:r>
              <w:rPr>
                <w:rFonts w:ascii="Arial" w:cs="Arial" w:eastAsia="Arial" w:hAnsi="Arial"/>
                <w:sz w:val="18"/>
                <w:szCs w:val="18"/>
                <w:color w:val="auto"/>
              </w:rPr>
              <w:t>Marketability discount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00" w:type="dxa"/>
            <w:vAlign w:val="bottom"/>
            <w:gridSpan w:val="2"/>
          </w:tcPr>
          <w:p>
            <w:pPr>
              <w:ind w:left="1560"/>
              <w:spacing w:after="0"/>
              <w:rPr>
                <w:sz w:val="20"/>
                <w:szCs w:val="20"/>
                <w:color w:val="auto"/>
              </w:rPr>
            </w:pPr>
            <w:r>
              <w:rPr>
                <w:rFonts w:ascii="Arial" w:cs="Arial" w:eastAsia="Arial" w:hAnsi="Arial"/>
                <w:sz w:val="18"/>
                <w:szCs w:val="18"/>
                <w:b w:val="1"/>
                <w:bCs w:val="1"/>
                <w:color w:val="auto"/>
              </w:rPr>
              <w:t>December 31, 2019</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Range</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2040" w:type="dxa"/>
            <w:vAlign w:val="bottom"/>
          </w:tcPr>
          <w:p>
            <w:pPr>
              <w:ind w:left="200"/>
              <w:spacing w:after="0"/>
              <w:rPr>
                <w:sz w:val="20"/>
                <w:szCs w:val="20"/>
                <w:color w:val="auto"/>
              </w:rPr>
            </w:pPr>
            <w:r>
              <w:rPr>
                <w:rFonts w:ascii="Arial" w:cs="Arial" w:eastAsia="Arial" w:hAnsi="Arial"/>
                <w:sz w:val="18"/>
                <w:szCs w:val="18"/>
                <w:b w:val="1"/>
                <w:bCs w:val="1"/>
                <w:color w:val="auto"/>
              </w:rPr>
              <w:t>Unobservable Inputs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00" w:type="dxa"/>
            <w:vAlign w:val="bottom"/>
            <w:gridSpan w:val="2"/>
          </w:tcPr>
          <w:p>
            <w:pPr>
              <w:ind w:left="1540"/>
              <w:spacing w:after="0"/>
              <w:rPr>
                <w:sz w:val="20"/>
                <w:szCs w:val="20"/>
                <w:color w:val="auto"/>
              </w:rPr>
            </w:pPr>
            <w:r>
              <w:rPr>
                <w:rFonts w:ascii="Arial" w:cs="Arial" w:eastAsia="Arial" w:hAnsi="Arial"/>
                <w:sz w:val="16"/>
                <w:szCs w:val="16"/>
                <w:i w:val="1"/>
                <w:iCs w:val="1"/>
                <w:color w:val="auto"/>
              </w:rPr>
              <w:t>(Dollars in thousands)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comparable</w:t>
            </w:r>
          </w:p>
        </w:tc>
        <w:tc>
          <w:tcPr>
            <w:tcW w:w="2040" w:type="dxa"/>
            <w:vAlign w:val="bottom"/>
            <w:shd w:val="clear" w:color="auto" w:fill="CCEEFF"/>
          </w:tcPr>
          <w:p>
            <w:pPr>
              <w:spacing w:after="0"/>
              <w:rPr>
                <w:sz w:val="19"/>
                <w:szCs w:val="19"/>
                <w:color w:val="auto"/>
              </w:rPr>
            </w:pPr>
          </w:p>
        </w:tc>
        <w:tc>
          <w:tcPr>
            <w:tcW w:w="202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10% - 15%</w:t>
            </w:r>
          </w:p>
        </w:tc>
        <w:tc>
          <w:tcPr>
            <w:tcW w:w="0" w:type="dxa"/>
            <w:vAlign w:val="bottom"/>
          </w:tcPr>
          <w:p>
            <w:pPr>
              <w:spacing w:after="0"/>
              <w:rPr>
                <w:sz w:val="1"/>
                <w:szCs w:val="1"/>
                <w:color w:val="auto"/>
              </w:rPr>
            </w:pPr>
          </w:p>
        </w:tc>
      </w:tr>
      <w:tr>
        <w:trPr>
          <w:trHeight w:val="28"/>
        </w:trPr>
        <w:tc>
          <w:tcPr>
            <w:tcW w:w="3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20,889</w:t>
            </w: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properties</w:t>
            </w:r>
          </w:p>
        </w:tc>
        <w:tc>
          <w:tcPr>
            <w:tcW w:w="20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Marketability discount</w:t>
            </w:r>
          </w:p>
        </w:tc>
        <w:tc>
          <w:tcPr>
            <w:tcW w:w="20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6" w:name="page37"/>
    <w:bookmarkEnd w:id="36"/>
    <w:p>
      <w:pPr>
        <w:spacing w:after="0"/>
        <w:tabs>
          <w:tab w:leader="none" w:pos="358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estimated fair values of the Company’s financial instruments at June 30, 2020 and December 31, 2019:</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Fair Value Measurements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194,371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194,371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194,371</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700,083</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4,342,039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4,334,224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4,334,224</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20,675</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19,399</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29,302</w:t>
            </w:r>
          </w:p>
        </w:tc>
      </w:tr>
      <w:tr>
        <w:trPr>
          <w:trHeight w:val="237"/>
        </w:trPr>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5,305,869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194,371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748,784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4,354,899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5,298,054</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4,304,143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750,333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3,599,237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4,349,570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Federal funds purchased and repurchase agreements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49,881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49,881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49,881</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450,617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468,650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468,650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2,843</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29,432</w:t>
            </w:r>
          </w:p>
        </w:tc>
      </w:tr>
      <w:tr>
        <w:trPr>
          <w:trHeight w:val="236"/>
        </w:trPr>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4,837,858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750,333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552,528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3,599,237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4,902,098</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Fair Value Measurements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187,320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187,320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187,320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741,634</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3,795,348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3,810,818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3,810,818</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17,278</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15,716</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9,838</w:t>
            </w:r>
          </w:p>
        </w:tc>
      </w:tr>
      <w:tr>
        <w:trPr>
          <w:trHeight w:val="237"/>
        </w:trPr>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4,767,134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187,320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767,188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3,828,096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4,782,604</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3,923,759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521,826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3,407,012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3,928,838</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Federal funds purchased and repurchase agreements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14,921</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358,743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357,859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357,859</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2,147</w:t>
            </w: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4,584</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9,907</w:t>
            </w:r>
          </w:p>
        </w:tc>
      </w:tr>
      <w:tr>
        <w:trPr>
          <w:trHeight w:val="236"/>
        </w:trPr>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4,312,835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521,826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389,418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3,407,012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4,318,256</w:t>
            </w:r>
          </w:p>
        </w:tc>
      </w:tr>
      <w:tr>
        <w:trPr>
          <w:trHeight w:val="27"/>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type w:val="continuous"/>
        </w:sectPr>
      </w:pPr>
    </w:p>
    <w:bookmarkStart w:id="37" w:name="page38"/>
    <w:bookmarkEnd w:id="37"/>
    <w:p>
      <w:pPr>
        <w:ind w:left="20"/>
        <w:spacing w:after="0"/>
        <w:tabs>
          <w:tab w:leader="none" w:pos="36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13:</w:t>
      </w:r>
      <w:r>
        <w:rPr>
          <w:sz w:val="20"/>
          <w:szCs w:val="20"/>
          <w:color w:val="auto"/>
        </w:rPr>
        <w:tab/>
      </w:r>
      <w:r>
        <w:rPr>
          <w:rFonts w:ascii="Arial" w:cs="Arial" w:eastAsia="Arial" w:hAnsi="Arial"/>
          <w:sz w:val="19"/>
          <w:szCs w:val="19"/>
          <w:b w:val="1"/>
          <w:bCs w:val="1"/>
          <w:color w:val="auto"/>
        </w:rPr>
        <w:t>Commitments and Credit Risk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commitments at June 30, 2020 and December 31, 2019:</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 2020</w:t>
            </w:r>
          </w:p>
        </w:tc>
        <w:tc>
          <w:tcPr>
            <w:tcW w:w="300" w:type="dxa"/>
            <w:vAlign w:val="bottom"/>
          </w:tcPr>
          <w:p>
            <w:pPr>
              <w:spacing w:after="0"/>
              <w:rPr>
                <w:sz w:val="20"/>
                <w:szCs w:val="20"/>
                <w:color w:val="auto"/>
              </w:rPr>
            </w:pPr>
          </w:p>
        </w:tc>
        <w:tc>
          <w:tcPr>
            <w:tcW w:w="214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December 31, 2019</w:t>
            </w:r>
          </w:p>
        </w:tc>
      </w:tr>
      <w:tr>
        <w:trPr>
          <w:trHeight w:val="27"/>
        </w:trPr>
        <w:tc>
          <w:tcPr>
            <w:tcW w:w="6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4"/>
          </w:tcPr>
          <w:p>
            <w:pPr>
              <w:spacing w:after="0"/>
              <w:rPr>
                <w:sz w:val="2"/>
                <w:szCs w:val="2"/>
                <w:color w:val="auto"/>
              </w:rPr>
            </w:pPr>
          </w:p>
        </w:tc>
      </w:tr>
      <w:tr>
        <w:trPr>
          <w:trHeight w:val="217"/>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80" w:type="dxa"/>
            <w:vAlign w:val="bottom"/>
            <w:gridSpan w:val="4"/>
          </w:tcPr>
          <w:p>
            <w:pPr>
              <w:jc w:val="right"/>
              <w:ind w:right="167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to originate loans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134,652</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Standby letters of credit</w:t>
            </w:r>
          </w:p>
        </w:tc>
        <w:tc>
          <w:tcPr>
            <w:tcW w:w="400" w:type="dxa"/>
            <w:vAlign w:val="bottom"/>
          </w:tcPr>
          <w:p>
            <w:pPr>
              <w:spacing w:after="0"/>
              <w:rPr>
                <w:sz w:val="21"/>
                <w:szCs w:val="21"/>
                <w:color w:val="auto"/>
              </w:rPr>
            </w:pP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38,342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39,035</w:t>
            </w: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4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1,290,998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1,351,873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Future lease commitments</w:t>
            </w:r>
          </w:p>
        </w:tc>
        <w:tc>
          <w:tcPr>
            <w:tcW w:w="400" w:type="dxa"/>
            <w:vAlign w:val="bottom"/>
          </w:tcPr>
          <w:p>
            <w:pPr>
              <w:spacing w:after="0"/>
              <w:rPr>
                <w:sz w:val="21"/>
                <w:szCs w:val="21"/>
                <w:color w:val="auto"/>
              </w:rPr>
            </w:pP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17,205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20,935</w:t>
            </w: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8"/>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1,459,984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1,546,495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14:</w:t>
      </w:r>
      <w:r>
        <w:rPr>
          <w:sz w:val="20"/>
          <w:szCs w:val="20"/>
          <w:color w:val="auto"/>
        </w:rPr>
        <w:tab/>
      </w:r>
      <w:r>
        <w:rPr>
          <w:rFonts w:ascii="Arial" w:cs="Arial" w:eastAsia="Arial" w:hAnsi="Arial"/>
          <w:sz w:val="19"/>
          <w:szCs w:val="19"/>
          <w:b w:val="1"/>
          <w:bCs w:val="1"/>
          <w:color w:val="auto"/>
        </w:rPr>
        <w:t>Legal and Regulatory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 Litigation</w:t>
      </w:r>
    </w:p>
    <w:p>
      <w:pPr>
        <w:spacing w:after="0" w:line="164" w:lineRule="exact"/>
        <w:rPr>
          <w:sz w:val="20"/>
          <w:szCs w:val="20"/>
          <w:color w:val="auto"/>
        </w:rPr>
      </w:pPr>
    </w:p>
    <w:p>
      <w:pPr>
        <w:ind w:left="180" w:right="380" w:firstLine="486"/>
        <w:spacing w:after="0" w:line="263" w:lineRule="auto"/>
        <w:rPr>
          <w:sz w:val="20"/>
          <w:szCs w:val="20"/>
          <w:color w:val="auto"/>
        </w:rPr>
      </w:pPr>
      <w:r>
        <w:rPr>
          <w:rFonts w:ascii="Arial" w:cs="Arial" w:eastAsia="Arial" w:hAnsi="Arial"/>
          <w:sz w:val="18"/>
          <w:szCs w:val="18"/>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results of operations and cash flows of the Company.</w:t>
      </w:r>
    </w:p>
    <w:p>
      <w:pPr>
        <w:spacing w:after="0" w:line="3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Note 15:</w:t>
      </w:r>
      <w:r>
        <w:rPr>
          <w:sz w:val="20"/>
          <w:szCs w:val="20"/>
          <w:color w:val="auto"/>
        </w:rPr>
        <w:tab/>
      </w:r>
      <w:r>
        <w:rPr>
          <w:rFonts w:ascii="Arial" w:cs="Arial" w:eastAsia="Arial" w:hAnsi="Arial"/>
          <w:sz w:val="18"/>
          <w:szCs w:val="18"/>
          <w:b w:val="1"/>
          <w:bCs w:val="1"/>
          <w:color w:val="auto"/>
        </w:rPr>
        <w:t>Subsequent Events</w:t>
      </w:r>
    </w:p>
    <w:p>
      <w:pPr>
        <w:spacing w:after="0" w:line="165" w:lineRule="exact"/>
        <w:rPr>
          <w:sz w:val="20"/>
          <w:szCs w:val="20"/>
          <w:color w:val="auto"/>
        </w:rPr>
      </w:pPr>
    </w:p>
    <w:p>
      <w:pPr>
        <w:ind w:left="180" w:right="340" w:firstLine="486"/>
        <w:spacing w:after="0" w:line="277" w:lineRule="auto"/>
        <w:rPr>
          <w:sz w:val="20"/>
          <w:szCs w:val="20"/>
          <w:color w:val="auto"/>
        </w:rPr>
      </w:pPr>
      <w:r>
        <w:rPr>
          <w:rFonts w:ascii="Arial" w:cs="Arial" w:eastAsia="Arial" w:hAnsi="Arial"/>
          <w:sz w:val="18"/>
          <w:szCs w:val="18"/>
          <w:color w:val="auto"/>
        </w:rPr>
        <w:t>Subsequent to June 30, 2020, the Company reinstated its Employee Stock Purchase Plan. The first offering period is between July 1, 2020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80"/>
        <w:spacing w:after="0" w:line="263"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114" w:lineRule="exact"/>
        <w:rPr>
          <w:sz w:val="20"/>
          <w:szCs w:val="20"/>
          <w:color w:val="auto"/>
        </w:rPr>
      </w:pPr>
    </w:p>
    <w:p>
      <w:pPr>
        <w:ind w:left="180" w:firstLine="486"/>
        <w:spacing w:after="0" w:line="271" w:lineRule="auto"/>
        <w:rPr>
          <w:sz w:val="20"/>
          <w:szCs w:val="20"/>
          <w:color w:val="auto"/>
        </w:rPr>
      </w:pPr>
      <w:r>
        <w:rPr>
          <w:rFonts w:ascii="Arial" w:cs="Arial" w:eastAsia="Arial" w:hAnsi="Arial"/>
          <w:sz w:val="17"/>
          <w:szCs w:val="17"/>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2019 filed with the Securities and Exchange Commission (“SEC”) on March 10, 2020 (the “2019 Form 10-K”). Results of operations for the three and six month periods ended June 30, 2020 are not necessarily indicative of results to be attained for any other period. Certain statements in this report contain forward-looking statements regarding our future plans, objectives, beliefs, expectations, representations and projections. See "Forward-Looking Information" which is incorporated herein by reference. Actual results could differ materially from the anticipated results and other expectations expressed in our forward-looking statements as a result of a number of factors, including but not limited to those discussed in Item 1A – "Risk Factors" in the 2019 Form 10-K, as supplemented by Item 1A – "Risk Factors" in this report.</w:t>
      </w:r>
    </w:p>
    <w:p>
      <w:pPr>
        <w:spacing w:after="0" w:line="124" w:lineRule="exact"/>
        <w:rPr>
          <w:sz w:val="20"/>
          <w:szCs w:val="20"/>
          <w:color w:val="auto"/>
        </w:rPr>
      </w:pPr>
    </w:p>
    <w:p>
      <w:pPr>
        <w:ind w:left="180" w:right="20" w:firstLine="486"/>
        <w:spacing w:after="0" w:line="286" w:lineRule="auto"/>
        <w:rPr>
          <w:sz w:val="20"/>
          <w:szCs w:val="20"/>
          <w:color w:val="auto"/>
        </w:rPr>
      </w:pPr>
      <w:r>
        <w:rPr>
          <w:rFonts w:ascii="Arial" w:cs="Arial" w:eastAsia="Arial" w:hAnsi="Arial"/>
          <w:sz w:val="17"/>
          <w:szCs w:val="17"/>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wholly-owned consolidated subsidiary.</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2020 Highlights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second quarter ended June 30, 2020, we accomplished the following:</w:t>
      </w:r>
    </w:p>
    <w:p>
      <w:pPr>
        <w:spacing w:after="0" w:line="17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total assets $395 million or 8% during the quarter to $5.5 billion, driven by a $418 million or 10% increase in gross loans;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deposits by $331 million from the previous quarter and $720 million or 20% over the last twelve months.</w:t>
      </w:r>
    </w:p>
    <w:p>
      <w:pPr>
        <w:spacing w:after="0" w:line="171"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executed our succession plan pursuant to which Michael J. Maddox was named as the Company’s Chief Executive Officer effective June 1, 2020, to succeed George F. Jones, Jr., who was appointed as Vice Chairman.</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Efficiency ratio of 71% for the second quarter of 2020 compared to 60% during the second quarter of 2019. The second quarter 2020 efficiency ratio was impacted by a $7 million non-cash goodwill impairment charge;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Non-GAAP core operating efficiency ratio of 53% for the second quarter of 2020 compared to 58% during the second quarter of 2019;</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 value per share of $11.66 at June 30, 2020 compared to $11.58 at December 31, 2019 and $11.00 at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Update on the COVID-19 Global Pandemic (“COVID-19”) Impact</w:t>
      </w:r>
    </w:p>
    <w:p>
      <w:pPr>
        <w:spacing w:after="0" w:line="165" w:lineRule="exact"/>
        <w:rPr>
          <w:sz w:val="20"/>
          <w:szCs w:val="20"/>
          <w:color w:val="auto"/>
        </w:rPr>
      </w:pPr>
    </w:p>
    <w:p>
      <w:pPr>
        <w:ind w:left="180" w:right="40" w:firstLine="486"/>
        <w:spacing w:after="0" w:line="291" w:lineRule="auto"/>
        <w:rPr>
          <w:sz w:val="20"/>
          <w:szCs w:val="20"/>
          <w:color w:val="auto"/>
        </w:rPr>
      </w:pPr>
      <w:r>
        <w:rPr>
          <w:rFonts w:ascii="Arial" w:cs="Arial" w:eastAsia="Arial" w:hAnsi="Arial"/>
          <w:sz w:val="16"/>
          <w:szCs w:val="16"/>
          <w:color w:val="auto"/>
        </w:rPr>
        <w:t>On March 11, 2020, the World Health Organization declared a global pandemic related to the COVID-19 pandemic and, on March 13, 2020, the U.S. government declared a national emergency with respect to the outbreak. Governmental authorities, including those in states in which we operate, responded to the outbreak by issuing stay at home orders, enacting travel restrictions, closing businesses and schools, and undertaking additional measures to contain the outbreak, some of which are continuing or may be reinstated. Most industries and individuals have been and are expected to continue to be impacted as a result of the COVID-19 pandemic and measures taken in response thereto. Many Americans have been furloughed or lost their jobs as many businesses closed or experienced a reduction in business activity. The COVID-19 pandemic has caused, and is expected to continue to cause, economic uncertainty and a disruption to the financial markets, the duration and extent of which is not currently known.</w:t>
      </w:r>
    </w:p>
    <w:p>
      <w:pPr>
        <w:spacing w:after="0" w:line="112" w:lineRule="exact"/>
        <w:rPr>
          <w:sz w:val="20"/>
          <w:szCs w:val="20"/>
          <w:color w:val="auto"/>
        </w:rPr>
      </w:pPr>
    </w:p>
    <w:p>
      <w:pPr>
        <w:ind w:left="180" w:right="120" w:firstLine="486"/>
        <w:spacing w:after="0" w:line="254" w:lineRule="auto"/>
        <w:rPr>
          <w:sz w:val="20"/>
          <w:szCs w:val="20"/>
          <w:color w:val="auto"/>
        </w:rPr>
      </w:pPr>
      <w:r>
        <w:rPr>
          <w:rFonts w:ascii="Arial" w:cs="Arial" w:eastAsia="Arial" w:hAnsi="Arial"/>
          <w:sz w:val="18"/>
          <w:szCs w:val="18"/>
          <w:color w:val="auto"/>
        </w:rPr>
        <w:t>The U.S. government enacted several new pieces of legislation to assist businesses and individuals negatively impacted by the pandemic. The Families First Coronavirus Response Act was signed into law on March 18, 2020 and provides for, among other things, emergency paid sick leave and family medical leave to employees, expanded unemployment benefits, and tax credits to businesses to offset the costs of providing the leave benefits under the act. The Coronavirus Aid, Relief and Economic Security Act (the "CARES Act") was signed into law on March 27, 2020 and was the largest-ever economic stimulus package in U.S. history. The CARES Act provides for, among other things, expanded unemployment insurance payments, the establishment of the Paycheck Protection Program ("PPP"), the establishment of the Main Street Lending Program and recovery rebates for individual taxpayers.</w:t>
      </w:r>
    </w:p>
    <w:p>
      <w:pPr>
        <w:spacing w:after="0" w:line="141" w:lineRule="exact"/>
        <w:rPr>
          <w:sz w:val="20"/>
          <w:szCs w:val="20"/>
          <w:color w:val="auto"/>
        </w:rPr>
      </w:pPr>
    </w:p>
    <w:p>
      <w:pPr>
        <w:ind w:left="180" w:right="80" w:firstLine="486"/>
        <w:spacing w:after="0" w:line="277" w:lineRule="auto"/>
        <w:rPr>
          <w:sz w:val="20"/>
          <w:szCs w:val="20"/>
          <w:color w:val="auto"/>
        </w:rPr>
      </w:pPr>
      <w:r>
        <w:rPr>
          <w:rFonts w:ascii="Arial" w:cs="Arial" w:eastAsia="Arial" w:hAnsi="Arial"/>
          <w:sz w:val="18"/>
          <w:szCs w:val="18"/>
          <w:color w:val="auto"/>
        </w:rPr>
        <w:t>A discussion of the impact of the COVID-19 pandemic on the Company and its operations and measures undertaken by the Company in response thereto is provided below.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Bank Operations</w:t>
      </w:r>
    </w:p>
    <w:p>
      <w:pPr>
        <w:spacing w:after="0" w:line="164" w:lineRule="exact"/>
        <w:rPr>
          <w:sz w:val="20"/>
          <w:szCs w:val="20"/>
          <w:color w:val="auto"/>
        </w:rPr>
      </w:pPr>
    </w:p>
    <w:p>
      <w:pPr>
        <w:ind w:left="180" w:right="200" w:firstLine="486"/>
        <w:spacing w:after="0" w:line="259" w:lineRule="auto"/>
        <w:rPr>
          <w:sz w:val="20"/>
          <w:szCs w:val="20"/>
          <w:color w:val="auto"/>
        </w:rPr>
      </w:pPr>
      <w:r>
        <w:rPr>
          <w:rFonts w:ascii="Arial" w:cs="Arial" w:eastAsia="Arial" w:hAnsi="Arial"/>
          <w:sz w:val="18"/>
          <w:szCs w:val="18"/>
          <w:color w:val="auto"/>
        </w:rPr>
        <w:t>The Company implemented its business continuity procedures in March 2020 as a result of the COVID-19 pandemic. At June 30, 2020, 90% of our employees performed their duties on a rotation schedule that allowed team members to work in the office as needed while limiting exposure risk to our employees and customers. No material interruptions to our business occurred. Loan and deposit services continued to function as normal using alternative procedures. No significant changes to underlying processes were identified.</w:t>
      </w:r>
    </w:p>
    <w:p>
      <w:pPr>
        <w:spacing w:after="0" w:line="133" w:lineRule="exact"/>
        <w:rPr>
          <w:sz w:val="20"/>
          <w:szCs w:val="20"/>
          <w:color w:val="auto"/>
        </w:rPr>
      </w:pPr>
    </w:p>
    <w:p>
      <w:pPr>
        <w:ind w:left="180" w:right="180" w:firstLine="486"/>
        <w:spacing w:after="0" w:line="259" w:lineRule="auto"/>
        <w:rPr>
          <w:sz w:val="20"/>
          <w:szCs w:val="20"/>
          <w:color w:val="auto"/>
        </w:rPr>
      </w:pPr>
      <w:r>
        <w:rPr>
          <w:rFonts w:ascii="Arial" w:cs="Arial" w:eastAsia="Arial" w:hAnsi="Arial"/>
          <w:sz w:val="18"/>
          <w:szCs w:val="18"/>
          <w:color w:val="auto"/>
        </w:rPr>
        <w:t>We complied with federal, state, and local ordinances enacted as a result of the COVID-19 pandemic. These included: (i) restrictions on gatherings, (ii) physical distancing, (iii) travel restrictions, and (iv) face coverings. We met with customers by appointment and our drive-thru locations operated during normal hours. Our lenders and branch network provided extraordinary service to our customers through use of technology, including mobile, online, and over the phone.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Paycheck Protection Program (“PPP”) Lending Facility and Loans</w:t>
      </w:r>
    </w:p>
    <w:p>
      <w:pPr>
        <w:spacing w:after="0" w:line="164" w:lineRule="exact"/>
        <w:rPr>
          <w:sz w:val="20"/>
          <w:szCs w:val="20"/>
          <w:color w:val="auto"/>
        </w:rPr>
      </w:pPr>
    </w:p>
    <w:p>
      <w:pPr>
        <w:ind w:left="180" w:firstLine="486"/>
        <w:spacing w:after="0" w:line="279" w:lineRule="auto"/>
        <w:rPr>
          <w:sz w:val="20"/>
          <w:szCs w:val="20"/>
          <w:color w:val="auto"/>
        </w:rPr>
      </w:pPr>
      <w:r>
        <w:rPr>
          <w:rFonts w:ascii="Arial" w:cs="Arial" w:eastAsia="Arial" w:hAnsi="Arial"/>
          <w:sz w:val="17"/>
          <w:szCs w:val="17"/>
          <w:color w:val="auto"/>
        </w:rPr>
        <w:t>The PPP was established by the CARES Act and authorized forgivable loans to small businesses to pay their employees and certain other expenses during the COVID-19 pandemic. The program requires all loan terms to be the same for everyone. The Bank, an existing, preferred Small Business Administration (“SBA”) lender, provided approximately $369 million in loans to support current customers and foster relationships with new customers. The Company’s organizational structure and infrastructure absorbed the increased demand in PPP funding.</w:t>
      </w:r>
    </w:p>
    <w:p>
      <w:pPr>
        <w:spacing w:after="0" w:line="117" w:lineRule="exact"/>
        <w:rPr>
          <w:sz w:val="20"/>
          <w:szCs w:val="20"/>
          <w:color w:val="auto"/>
        </w:rPr>
      </w:pPr>
    </w:p>
    <w:p>
      <w:pPr>
        <w:ind w:left="180" w:right="120" w:firstLine="486"/>
        <w:spacing w:after="0" w:line="277" w:lineRule="auto"/>
        <w:rPr>
          <w:sz w:val="20"/>
          <w:szCs w:val="20"/>
          <w:color w:val="auto"/>
        </w:rPr>
      </w:pPr>
      <w:r>
        <w:rPr>
          <w:rFonts w:ascii="Arial" w:cs="Arial" w:eastAsia="Arial" w:hAnsi="Arial"/>
          <w:sz w:val="18"/>
          <w:szCs w:val="18"/>
          <w:color w:val="auto"/>
        </w:rPr>
        <w:t>The loans earn interest at 1% and included fees between 1% and 5% depending on the size of the loan. The majority of the PPP loans will mature in two years. The following table summarizes the impact of the PPP loans on our financials:</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As of or For the Period Ended June 30, 2020</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ind w:right="52"/>
              <w:spacing w:after="0"/>
              <w:rPr>
                <w:sz w:val="20"/>
                <w:szCs w:val="20"/>
                <w:color w:val="auto"/>
              </w:rPr>
            </w:pPr>
            <w:r>
              <w:rPr>
                <w:rFonts w:ascii="Arial" w:cs="Arial" w:eastAsia="Arial" w:hAnsi="Arial"/>
                <w:sz w:val="18"/>
                <w:szCs w:val="18"/>
                <w:b w:val="1"/>
                <w:bCs w:val="1"/>
                <w:color w:val="auto"/>
                <w:w w:val="93"/>
              </w:rPr>
              <w:t>Total Origination</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18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1"/>
              </w:rPr>
              <w:t>Outstanding Balance</w:t>
            </w:r>
          </w:p>
        </w:tc>
        <w:tc>
          <w:tcPr>
            <w:tcW w:w="240" w:type="dxa"/>
            <w:vAlign w:val="bottom"/>
          </w:tcPr>
          <w:p>
            <w:pPr>
              <w:spacing w:after="0"/>
              <w:rPr>
                <w:sz w:val="20"/>
                <w:szCs w:val="20"/>
                <w:color w:val="auto"/>
              </w:rPr>
            </w:pPr>
          </w:p>
        </w:tc>
        <w:tc>
          <w:tcPr>
            <w:tcW w:w="1640" w:type="dxa"/>
            <w:vAlign w:val="bottom"/>
          </w:tcPr>
          <w:p>
            <w:pPr>
              <w:jc w:val="center"/>
              <w:ind w:right="52"/>
              <w:spacing w:after="0"/>
              <w:rPr>
                <w:sz w:val="20"/>
                <w:szCs w:val="20"/>
                <w:color w:val="auto"/>
              </w:rPr>
            </w:pPr>
            <w:r>
              <w:rPr>
                <w:rFonts w:ascii="Arial" w:cs="Arial" w:eastAsia="Arial" w:hAnsi="Arial"/>
                <w:sz w:val="18"/>
                <w:szCs w:val="18"/>
                <w:b w:val="1"/>
                <w:bCs w:val="1"/>
                <w:color w:val="auto"/>
                <w:w w:val="82"/>
              </w:rPr>
              <w:t>Fees</w:t>
            </w:r>
          </w:p>
        </w:tc>
        <w:tc>
          <w:tcPr>
            <w:tcW w:w="420" w:type="dxa"/>
            <w:vAlign w:val="bottom"/>
          </w:tcPr>
          <w:p>
            <w:pPr>
              <w:spacing w:after="0"/>
              <w:rPr>
                <w:sz w:val="20"/>
                <w:szCs w:val="20"/>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Earned Fees</w:t>
            </w:r>
          </w:p>
        </w:tc>
        <w:tc>
          <w:tcPr>
            <w:tcW w:w="3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Unearned Fees</w:t>
            </w:r>
          </w:p>
        </w:tc>
      </w:tr>
      <w:tr>
        <w:trPr>
          <w:trHeight w:val="27"/>
        </w:trPr>
        <w:tc>
          <w:tcPr>
            <w:tcW w:w="3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3"/>
          </w:tcPr>
          <w:p>
            <w:pPr>
              <w:jc w:val="center"/>
              <w:ind w:right="70"/>
              <w:spacing w:after="0"/>
              <w:rPr>
                <w:sz w:val="20"/>
                <w:szCs w:val="20"/>
                <w:color w:val="auto"/>
              </w:rPr>
            </w:pPr>
            <w:r>
              <w:rPr>
                <w:rFonts w:ascii="Arial" w:cs="Arial" w:eastAsia="Arial" w:hAnsi="Arial"/>
                <w:sz w:val="16"/>
                <w:szCs w:val="16"/>
                <w:i w:val="1"/>
                <w:iCs w:val="1"/>
                <w:color w:val="auto"/>
                <w:w w:val="93"/>
              </w:rPr>
              <w:t>(Dollars in thousands)</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 Loans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9,930</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7,885</w:t>
            </w:r>
          </w:p>
        </w:tc>
      </w:tr>
      <w:tr>
        <w:trPr>
          <w:trHeight w:val="27"/>
        </w:trPr>
        <w:tc>
          <w:tcPr>
            <w:tcW w:w="3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right="340" w:firstLine="486"/>
        <w:spacing w:after="0" w:line="308" w:lineRule="auto"/>
        <w:rPr>
          <w:sz w:val="20"/>
          <w:szCs w:val="20"/>
          <w:color w:val="auto"/>
        </w:rPr>
      </w:pPr>
      <w:r>
        <w:rPr>
          <w:rFonts w:ascii="Arial" w:cs="Arial" w:eastAsia="Arial" w:hAnsi="Arial"/>
          <w:sz w:val="17"/>
          <w:szCs w:val="17"/>
          <w:color w:val="auto"/>
        </w:rPr>
        <w:t>The loans originated under the PPP received a zero percent risk weight under the regulatory capital rules which resulted in increased Common Equity Tier 1, Tier 1, and Tier 2 capital ratios, but the PPP loans are included in the calculation of our Leverage ratio.</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Management Review for Impairment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current economic conditions in our markets, the Company reviewed the following areas for potential impairment:</w:t>
      </w:r>
    </w:p>
    <w:p>
      <w:pPr>
        <w:spacing w:after="0" w:line="167" w:lineRule="exact"/>
        <w:rPr>
          <w:sz w:val="20"/>
          <w:szCs w:val="20"/>
          <w:color w:val="auto"/>
        </w:rPr>
      </w:pPr>
    </w:p>
    <w:p>
      <w:pPr>
        <w:ind w:left="1300" w:right="340" w:hanging="644"/>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Goodwill</w:t>
      </w:r>
      <w:r>
        <w:rPr>
          <w:rFonts w:ascii="Arial" w:cs="Arial" w:eastAsia="Arial" w:hAnsi="Arial"/>
          <w:sz w:val="18"/>
          <w:szCs w:val="18"/>
          <w:b w:val="1"/>
          <w:bCs w:val="1"/>
          <w:color w:val="auto"/>
        </w:rPr>
        <w:t xml:space="preserve"> </w:t>
      </w:r>
      <w:r>
        <w:rPr>
          <w:rFonts w:ascii="Arial" w:cs="Arial" w:eastAsia="Arial" w:hAnsi="Arial"/>
          <w:sz w:val="18"/>
          <w:szCs w:val="18"/>
          <w:color w:val="auto"/>
        </w:rPr>
        <w:t>- Goodwill was reviewed for impairment during the second quarter of 2020 and resulted in a $7 million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representing the total value of goodwill previously reported. See </w:t>
      </w:r>
      <w:r>
        <w:rPr>
          <w:rFonts w:ascii="Arial" w:cs="Arial" w:eastAsia="Arial" w:hAnsi="Arial"/>
          <w:sz w:val="18"/>
          <w:szCs w:val="18"/>
          <w:i w:val="1"/>
          <w:iCs w:val="1"/>
          <w:color w:val="auto"/>
        </w:rPr>
        <w:t>Note 6: Goodwill and Core Deposit Intangible</w:t>
      </w:r>
      <w:r>
        <w:rPr>
          <w:rFonts w:ascii="Arial" w:cs="Arial" w:eastAsia="Arial" w:hAnsi="Arial"/>
          <w:sz w:val="18"/>
          <w:szCs w:val="18"/>
          <w:color w:val="auto"/>
        </w:rPr>
        <w:t xml:space="preserve"> within the Unaudited Notes to the Financial Statements and the </w:t>
      </w:r>
      <w:r>
        <w:rPr>
          <w:rFonts w:ascii="Arial" w:cs="Arial" w:eastAsia="Arial" w:hAnsi="Arial"/>
          <w:sz w:val="18"/>
          <w:szCs w:val="18"/>
          <w:i w:val="1"/>
          <w:iCs w:val="1"/>
          <w:color w:val="auto"/>
        </w:rPr>
        <w:t>Non-Interest Expense</w:t>
      </w:r>
      <w:r>
        <w:rPr>
          <w:rFonts w:ascii="Arial" w:cs="Arial" w:eastAsia="Arial" w:hAnsi="Arial"/>
          <w:sz w:val="18"/>
          <w:szCs w:val="18"/>
          <w:color w:val="auto"/>
        </w:rPr>
        <w:t xml:space="preserve"> section within Management’s Discussion and Analysis for more information.</w:t>
      </w:r>
    </w:p>
    <w:p>
      <w:pPr>
        <w:spacing w:after="0" w:line="71" w:lineRule="exact"/>
        <w:rPr>
          <w:rFonts w:ascii="Arial" w:cs="Arial" w:eastAsia="Arial" w:hAnsi="Arial"/>
          <w:sz w:val="18"/>
          <w:szCs w:val="18"/>
          <w:color w:val="auto"/>
        </w:rPr>
      </w:pPr>
    </w:p>
    <w:p>
      <w:pPr>
        <w:ind w:left="1300" w:right="60" w:hanging="644"/>
        <w:spacing w:after="0" w:line="281" w:lineRule="auto"/>
        <w:tabs>
          <w:tab w:leader="none" w:pos="1295"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Core Deposit Intangible (“CDI”)</w:t>
      </w:r>
      <w:r>
        <w:rPr>
          <w:rFonts w:ascii="Arial" w:cs="Arial" w:eastAsia="Arial" w:hAnsi="Arial"/>
          <w:sz w:val="17"/>
          <w:szCs w:val="17"/>
          <w:b w:val="1"/>
          <w:bCs w:val="1"/>
          <w:color w:val="auto"/>
        </w:rPr>
        <w:t xml:space="preserve"> </w:t>
      </w:r>
      <w:r>
        <w:rPr>
          <w:rFonts w:ascii="Arial" w:cs="Arial" w:eastAsia="Arial" w:hAnsi="Arial"/>
          <w:sz w:val="17"/>
          <w:szCs w:val="17"/>
          <w:color w:val="auto"/>
        </w:rPr>
        <w:t>- A significant adverse change in the business climate resulted in a quantitative impairment analysis</w:t>
      </w:r>
      <w:r>
        <w:rPr>
          <w:rFonts w:ascii="Arial" w:cs="Arial" w:eastAsia="Arial" w:hAnsi="Arial"/>
          <w:sz w:val="17"/>
          <w:szCs w:val="17"/>
          <w:b w:val="1"/>
          <w:bCs w:val="1"/>
          <w:color w:val="auto"/>
        </w:rPr>
        <w:t xml:space="preserve"> </w:t>
      </w:r>
      <w:r>
        <w:rPr>
          <w:rFonts w:ascii="Arial" w:cs="Arial" w:eastAsia="Arial" w:hAnsi="Arial"/>
          <w:sz w:val="17"/>
          <w:szCs w:val="17"/>
          <w:color w:val="auto"/>
        </w:rPr>
        <w:t>on our CDI as of June 30, 2020. The analysis was performed on the Tulsa branch’s deposits with an origination date before August 2013, the date of acquisition. The Company estimated the present value of future cash flows expected to be received over the estimated remaining life. The Company determined the CDI was not impaired as of June 30, 2020.</w:t>
      </w:r>
    </w:p>
    <w:p>
      <w:pPr>
        <w:spacing w:after="0" w:line="56" w:lineRule="exact"/>
        <w:rPr>
          <w:rFonts w:ascii="Arial" w:cs="Arial" w:eastAsia="Arial" w:hAnsi="Arial"/>
          <w:sz w:val="17"/>
          <w:szCs w:val="17"/>
          <w:color w:val="auto"/>
        </w:rPr>
      </w:pPr>
    </w:p>
    <w:p>
      <w:pPr>
        <w:ind w:left="1300" w:right="140" w:hanging="644"/>
        <w:spacing w:after="0" w:line="282"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Available-for-Sale Investment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 reviewed the securities portfolio for indications of impairment.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did not identify any impaired securities as of June 30, 2020.</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Modifications, Credit Quality, and Allowance for Loan Losses (“ALLL”)</w:t>
      </w:r>
    </w:p>
    <w:p>
      <w:pPr>
        <w:spacing w:after="0" w:line="164" w:lineRule="exact"/>
        <w:rPr>
          <w:sz w:val="20"/>
          <w:szCs w:val="20"/>
          <w:color w:val="auto"/>
        </w:rPr>
      </w:pPr>
    </w:p>
    <w:p>
      <w:pPr>
        <w:ind w:left="180" w:right="40" w:firstLine="486"/>
        <w:spacing w:after="0" w:line="286" w:lineRule="auto"/>
        <w:rPr>
          <w:sz w:val="20"/>
          <w:szCs w:val="20"/>
          <w:color w:val="auto"/>
        </w:rPr>
      </w:pPr>
      <w:r>
        <w:rPr>
          <w:rFonts w:ascii="Arial" w:cs="Arial" w:eastAsia="Arial" w:hAnsi="Arial"/>
          <w:sz w:val="17"/>
          <w:szCs w:val="17"/>
          <w:color w:val="auto"/>
        </w:rPr>
        <w:t>The CARES Act allows financial institutions to elect to suspend GAAP principles and regulatory determinations for loan modifications relating to COVID-19 that would otherwise be categorized as TDRs from March 1, 2020 to the earlier of December 31, 2020 or 60 days after the national emergency related to the COVID-19 pandemic ends as long as the loan was not more than 30 days past due as of December 31,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260" w:firstLine="486"/>
        <w:spacing w:after="0" w:line="257" w:lineRule="auto"/>
        <w:rPr>
          <w:sz w:val="20"/>
          <w:szCs w:val="20"/>
          <w:color w:val="auto"/>
        </w:rPr>
      </w:pPr>
      <w:r>
        <w:rPr>
          <w:rFonts w:ascii="Arial" w:cs="Arial" w:eastAsia="Arial" w:hAnsi="Arial"/>
          <w:sz w:val="18"/>
          <w:szCs w:val="18"/>
          <w:color w:val="auto"/>
        </w:rPr>
        <w:t>The Company elected the above guidance for accounting and regulatory purposes. The Company established a process, headed by the Office of the Chief Credit Officer, to evaluate loan modifications related to the COVID-19 pandemic. The modified loans typically received a 3- to 6-month payment deferral, change in rate, or modified principal and interest payments to interest-only payments. After the deferral period, the modified loan terms either require all accrued interest to be paid or capitalized and amortized over the original loan term. The Company may provide an additional deferral period to customers on an as needed basis.</w:t>
      </w:r>
    </w:p>
    <w:p>
      <w:pPr>
        <w:spacing w:after="0" w:line="134" w:lineRule="exact"/>
        <w:rPr>
          <w:sz w:val="20"/>
          <w:szCs w:val="20"/>
          <w:color w:val="auto"/>
        </w:rPr>
      </w:pPr>
    </w:p>
    <w:p>
      <w:pPr>
        <w:ind w:left="180" w:right="440" w:firstLine="486"/>
        <w:spacing w:after="0" w:line="277" w:lineRule="auto"/>
        <w:rPr>
          <w:sz w:val="20"/>
          <w:szCs w:val="20"/>
          <w:color w:val="auto"/>
        </w:rPr>
      </w:pPr>
      <w:r>
        <w:rPr>
          <w:rFonts w:ascii="Arial" w:cs="Arial" w:eastAsia="Arial" w:hAnsi="Arial"/>
          <w:sz w:val="18"/>
          <w:szCs w:val="18"/>
          <w:color w:val="auto"/>
        </w:rPr>
        <w:t>Deferred loan interest continues to accrue until determined that it is more likely than not that we will be unable to collect the accrued interest balance. Information regarding the loan modifications outstanding at June 30, 2020 is provided below:</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Loan Modifications by Category Impacted by the COVID-19 Pandemic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31115</wp:posOffset>
            </wp:positionV>
            <wp:extent cx="70294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 Loans</w:t>
            </w:r>
          </w:p>
        </w:tc>
        <w:tc>
          <w:tcPr>
            <w:tcW w:w="200" w:type="dxa"/>
            <w:vAlign w:val="bottom"/>
          </w:tcPr>
          <w:p>
            <w:pPr>
              <w:spacing w:after="0"/>
              <w:rPr>
                <w:sz w:val="20"/>
                <w:szCs w:val="20"/>
                <w:color w:val="auto"/>
              </w:rPr>
            </w:pPr>
          </w:p>
        </w:tc>
        <w:tc>
          <w:tcPr>
            <w:tcW w:w="2260" w:type="dxa"/>
            <w:vAlign w:val="bottom"/>
            <w:gridSpan w:val="3"/>
          </w:tcPr>
          <w:p>
            <w:pPr>
              <w:ind w:left="120"/>
              <w:spacing w:after="0"/>
              <w:rPr>
                <w:sz w:val="20"/>
                <w:szCs w:val="20"/>
                <w:color w:val="auto"/>
              </w:rPr>
            </w:pPr>
            <w:r>
              <w:rPr>
                <w:rFonts w:ascii="Arial" w:cs="Arial" w:eastAsia="Arial" w:hAnsi="Arial"/>
                <w:sz w:val="18"/>
                <w:szCs w:val="18"/>
                <w:b w:val="1"/>
                <w:bCs w:val="1"/>
                <w:color w:val="auto"/>
              </w:rPr>
              <w:t>Value of Loans</w:t>
            </w:r>
          </w:p>
        </w:tc>
        <w:tc>
          <w:tcPr>
            <w:tcW w:w="28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Percent of Gross Loans in Category</w:t>
            </w:r>
          </w:p>
        </w:tc>
        <w:tc>
          <w:tcPr>
            <w:tcW w:w="2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3"/>
          </w:tcPr>
          <w:p>
            <w:pPr>
              <w:ind w:left="760"/>
              <w:spacing w:after="0"/>
              <w:rPr>
                <w:sz w:val="20"/>
                <w:szCs w:val="20"/>
                <w:color w:val="auto"/>
              </w:rPr>
            </w:pPr>
            <w:r>
              <w:rPr>
                <w:rFonts w:ascii="Arial" w:cs="Arial" w:eastAsia="Arial" w:hAnsi="Arial"/>
                <w:sz w:val="16"/>
                <w:szCs w:val="16"/>
                <w:i w:val="1"/>
                <w:iCs w:val="1"/>
                <w:color w:val="auto"/>
                <w:w w:val="95"/>
              </w:rPr>
              <w:t>(Dollars in thousands)</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275,917</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Energy</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30,212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356,611</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21,177</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25,526</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w:t>
            </w:r>
          </w:p>
        </w:tc>
        <w:tc>
          <w:tcPr>
            <w:tcW w:w="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709,443</w:t>
            </w:r>
          </w:p>
        </w:tc>
        <w:tc>
          <w:tcPr>
            <w:tcW w:w="3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Loan Modifications by Type of Modification Impacted by the COVID-19 Pandemic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31115</wp:posOffset>
            </wp:positionV>
            <wp:extent cx="7029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160" w:type="dxa"/>
            <w:vAlign w:val="bottom"/>
          </w:tcPr>
          <w:p>
            <w:pPr>
              <w:ind w:left="720"/>
              <w:spacing w:after="0"/>
              <w:rPr>
                <w:sz w:val="20"/>
                <w:szCs w:val="20"/>
                <w:color w:val="auto"/>
              </w:rPr>
            </w:pPr>
            <w:r>
              <w:rPr>
                <w:rFonts w:ascii="Arial" w:cs="Arial" w:eastAsia="Arial" w:hAnsi="Arial"/>
                <w:sz w:val="18"/>
                <w:szCs w:val="18"/>
                <w:b w:val="1"/>
                <w:bCs w:val="1"/>
                <w:color w:val="auto"/>
                <w:w w:val="95"/>
              </w:rPr>
              <w:t>Number of Loans</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jc w:val="right"/>
              <w:ind w:right="750"/>
              <w:spacing w:after="0"/>
              <w:rPr>
                <w:sz w:val="20"/>
                <w:szCs w:val="20"/>
                <w:color w:val="auto"/>
              </w:rPr>
            </w:pPr>
            <w:r>
              <w:rPr>
                <w:rFonts w:ascii="Arial" w:cs="Arial" w:eastAsia="Arial" w:hAnsi="Arial"/>
                <w:sz w:val="18"/>
                <w:szCs w:val="18"/>
                <w:b w:val="1"/>
                <w:bCs w:val="1"/>
                <w:color w:val="auto"/>
                <w:w w:val="96"/>
              </w:rPr>
              <w:t>Value of Loans</w:t>
            </w:r>
          </w:p>
        </w:tc>
      </w:tr>
      <w:tr>
        <w:trPr>
          <w:trHeight w:val="27"/>
        </w:trPr>
        <w:tc>
          <w:tcPr>
            <w:tcW w:w="51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6"/>
                <w:szCs w:val="16"/>
                <w:i w:val="1"/>
                <w:iCs w:val="1"/>
                <w:color w:val="auto"/>
                <w:w w:val="97"/>
              </w:rPr>
              <w:t>(Dollars in thousands)</w:t>
            </w:r>
          </w:p>
        </w:tc>
        <w:tc>
          <w:tcPr>
            <w:tcW w:w="210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 deferral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290,796</w:t>
            </w:r>
          </w:p>
        </w:tc>
      </w:tr>
      <w:tr>
        <w:trPr>
          <w:trHeight w:val="24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Interest-only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306,210</w:t>
            </w:r>
          </w:p>
        </w:tc>
      </w:tr>
      <w:tr>
        <w:trPr>
          <w:trHeight w:val="27"/>
        </w:trPr>
        <w:tc>
          <w:tcPr>
            <w:tcW w:w="5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(multiple modifications, change in rate and/or payment)</w:t>
            </w:r>
          </w:p>
        </w:tc>
        <w:tc>
          <w:tcPr>
            <w:tcW w:w="2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112,437</w:t>
            </w:r>
          </w:p>
        </w:tc>
      </w:tr>
      <w:tr>
        <w:trPr>
          <w:trHeight w:val="263"/>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709,443</w:t>
            </w:r>
          </w:p>
        </w:tc>
      </w:tr>
      <w:tr>
        <w:trPr>
          <w:trHeight w:val="20"/>
        </w:trPr>
        <w:tc>
          <w:tcPr>
            <w:tcW w:w="5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140" w:firstLine="486"/>
        <w:spacing w:after="0" w:line="301" w:lineRule="auto"/>
        <w:rPr>
          <w:sz w:val="20"/>
          <w:szCs w:val="20"/>
          <w:color w:val="auto"/>
        </w:rPr>
      </w:pPr>
      <w:r>
        <w:rPr>
          <w:rFonts w:ascii="Arial" w:cs="Arial" w:eastAsia="Arial" w:hAnsi="Arial"/>
          <w:sz w:val="16"/>
          <w:szCs w:val="16"/>
          <w:color w:val="auto"/>
        </w:rPr>
        <w:t>The Company’s second quarter 2020 credit quality metrics provided in the selected financial data and discussed in detail within the ALLL and Nonperforming Assets sections below were primarily driven by the economic environment as a result of the COVID-19 pandemic. The Company is working with borrowers to understand the long-term effects of the COVID-19 pandemic and its impact on future credit quality metrics. At this time, the extent and duration of the impact of the COVID-19 pandemic are unknown and therefore the Company is unable to quantify the ultimate impact.</w:t>
      </w:r>
    </w:p>
    <w:p>
      <w:pPr>
        <w:spacing w:after="0" w:line="103" w:lineRule="exact"/>
        <w:rPr>
          <w:sz w:val="20"/>
          <w:szCs w:val="20"/>
          <w:color w:val="auto"/>
        </w:rPr>
      </w:pPr>
    </w:p>
    <w:p>
      <w:pPr>
        <w:ind w:left="180" w:right="40" w:firstLine="486"/>
        <w:spacing w:after="0" w:line="254" w:lineRule="auto"/>
        <w:rPr>
          <w:sz w:val="20"/>
          <w:szCs w:val="20"/>
          <w:color w:val="auto"/>
        </w:rPr>
      </w:pPr>
      <w:r>
        <w:rPr>
          <w:rFonts w:ascii="Arial" w:cs="Arial" w:eastAsia="Arial" w:hAnsi="Arial"/>
          <w:sz w:val="18"/>
          <w:szCs w:val="18"/>
          <w:color w:val="auto"/>
        </w:rPr>
        <w:t>During the first quarter of 2020, the Company did not identify any specific borrowers that were directly impacted by the COVID-19 pandemic. As a result, the Company used qualitative factor adjustments to the ALLL model to account for the unknown impact of the COVID-19 pandemic on the loan portfolio. During the second quarter of 2020, the Company was able to identify certain borrowers impacted by the COVID-19 pandemic. Approximately $731 million of loans, or 17% of the portfolio, were downgraded. In addition, the Company distinguished between performing and nonperforming substandard loans. Refer to Note 1: Nature of Operations and Summary of Significant Accounting Policies and Note 4: Loans and Allowance for Loan Losses within the Notes to the Unaudited Financial Statements and the Allowance for Loan Losses discussion in Management’s Discussion and Analysis for more information.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discussion regarding changes during the second quarter of 2020 to the ALLL is provided in the allowance for loan loss section below.</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waterfall graph showing the changes in our ALLL between December 31, 2019 and June 30, 2020 is provided below: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391795</wp:posOffset>
            </wp:positionV>
            <wp:extent cx="6360795" cy="3129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60795"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 Includes change in impaired loans, loan growth, and other adjustments.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Management allocated the ALLL to our loan portfolio for the periods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29210</wp:posOffset>
            </wp:positionV>
            <wp:extent cx="6360795" cy="3171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6079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Portfolio Stress Testing</w:t>
      </w:r>
    </w:p>
    <w:p>
      <w:pPr>
        <w:spacing w:after="0" w:line="164"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The Company aggressively stress-tested our credit and capital using Fed-defined and other more stressful COVID-19 pandemic recessionary scenarios. We modeled an immediate absorption to our capital of 13 quarters of losses utilizing historical loss factors provided by the Federal Reserve for banks between $1 billion and $10 billion. The second quarter common equity tier 1 ratio stress test results showed that the Company is well-capitalized and can comfortably accommodate stressful pandemic scenarios.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Portfolio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COVID-19 pandemic, the Company plans to do the following:</w:t>
      </w:r>
    </w:p>
    <w:p>
      <w:pPr>
        <w:spacing w:after="0" w:line="17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 overall loan growth to focus on current customers;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floors on loans;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unfunded credit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Loans</w:t>
      </w:r>
    </w:p>
    <w:p>
      <w:pPr>
        <w:spacing w:after="0" w:line="171" w:lineRule="exact"/>
        <w:rPr>
          <w:sz w:val="20"/>
          <w:szCs w:val="20"/>
          <w:color w:val="auto"/>
        </w:rPr>
      </w:pPr>
    </w:p>
    <w:p>
      <w:pPr>
        <w:jc w:val="both"/>
        <w:ind w:left="180" w:right="160" w:firstLine="486"/>
        <w:spacing w:after="0" w:line="286" w:lineRule="auto"/>
        <w:rPr>
          <w:sz w:val="20"/>
          <w:szCs w:val="20"/>
          <w:color w:val="auto"/>
        </w:rPr>
      </w:pPr>
      <w:r>
        <w:rPr>
          <w:rFonts w:ascii="Arial" w:cs="Arial" w:eastAsia="Arial" w:hAnsi="Arial"/>
          <w:sz w:val="17"/>
          <w:szCs w:val="17"/>
          <w:color w:val="auto"/>
        </w:rPr>
        <w:t>As of June 30, 2020, energy loans totaled $390 million or 9% of our total loan portfolio. Energy loans were comprised of 64% predominately oil backed loans and 36% predominately natural gas backed loans. Our customer base has significant experience in the energy sector and the Company has an experienced group of energy lenders and credit officers that are proactively monitoring the portfolio.</w:t>
      </w:r>
    </w:p>
    <w:p>
      <w:pPr>
        <w:spacing w:after="0" w:line="111" w:lineRule="exact"/>
        <w:rPr>
          <w:sz w:val="20"/>
          <w:szCs w:val="20"/>
          <w:color w:val="auto"/>
        </w:rPr>
      </w:pPr>
    </w:p>
    <w:p>
      <w:pPr>
        <w:ind w:left="180" w:right="60" w:firstLine="486"/>
        <w:spacing w:after="0" w:line="263" w:lineRule="auto"/>
        <w:rPr>
          <w:sz w:val="20"/>
          <w:szCs w:val="20"/>
          <w:color w:val="auto"/>
        </w:rPr>
      </w:pPr>
      <w:r>
        <w:rPr>
          <w:rFonts w:ascii="Arial" w:cs="Arial" w:eastAsia="Arial" w:hAnsi="Arial"/>
          <w:sz w:val="18"/>
          <w:szCs w:val="18"/>
          <w:color w:val="auto"/>
        </w:rPr>
        <w:t>During the second quarter of 2020, $239 million of energy loans, representing 61% of the energy portfolio, had a risk rating downgrade as a result of the impact of low oil and gas prices and COVID-19 pandemic. The impact to the ALLL from the risk rating downgrades were partially offset by a decrease in qualitative factors.</w:t>
      </w:r>
    </w:p>
    <w:p>
      <w:pPr>
        <w:spacing w:after="0" w:line="130" w:lineRule="exact"/>
        <w:rPr>
          <w:sz w:val="20"/>
          <w:szCs w:val="20"/>
          <w:color w:val="auto"/>
        </w:rPr>
      </w:pPr>
    </w:p>
    <w:p>
      <w:pPr>
        <w:ind w:left="180" w:right="80" w:firstLine="486"/>
        <w:spacing w:after="0" w:line="257" w:lineRule="auto"/>
        <w:rPr>
          <w:sz w:val="20"/>
          <w:szCs w:val="20"/>
          <w:color w:val="auto"/>
        </w:rPr>
      </w:pPr>
      <w:r>
        <w:rPr>
          <w:rFonts w:ascii="Arial" w:cs="Arial" w:eastAsia="Arial" w:hAnsi="Arial"/>
          <w:sz w:val="18"/>
          <w:szCs w:val="18"/>
          <w:color w:val="auto"/>
        </w:rPr>
        <w:t>While we believe our reserve against the energy portfolio at June 30, 2020 is adequate, the dramatic decrease in demand for oil and natural gas created by the COVID-19 pandemic and other economic conditions have caused considerable pricing volatility and uncertainty in the market. Depressed prices may strain our customers’ cash flows, lower their liquidity, and decrease property values that could continue to create negative grade migration over the next several quarters. The length of the COVID-19 pandemic disruption and the pace of economic recovery will determine the severity of the grade migration and potential loss impact within the energy loan portfolio.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Loans</w:t>
      </w:r>
    </w:p>
    <w:p>
      <w:pPr>
        <w:spacing w:after="0" w:line="171" w:lineRule="exact"/>
        <w:rPr>
          <w:sz w:val="20"/>
          <w:szCs w:val="20"/>
          <w:color w:val="auto"/>
        </w:rPr>
      </w:pPr>
    </w:p>
    <w:p>
      <w:pPr>
        <w:ind w:left="180" w:right="80" w:firstLine="486"/>
        <w:spacing w:after="0" w:line="342" w:lineRule="auto"/>
        <w:rPr>
          <w:sz w:val="20"/>
          <w:szCs w:val="20"/>
          <w:color w:val="auto"/>
        </w:rPr>
      </w:pPr>
      <w:r>
        <w:rPr>
          <w:rFonts w:ascii="Arial" w:cs="Arial" w:eastAsia="Arial" w:hAnsi="Arial"/>
          <w:sz w:val="16"/>
          <w:szCs w:val="16"/>
          <w:color w:val="auto"/>
        </w:rPr>
        <w:t>Our real estate loans are comprised of construction and development loans, 1-4 family loans and commercial real estate loans. There is significant uncertainty regarding the impact of the COVID-19 pandemic on our real estate loan portfolio, but we continue to monitor the following industries: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Real Estate Industries with Increased Monitoring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31115</wp:posOffset>
            </wp:positionV>
            <wp:extent cx="7029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Industry</w:t>
            </w:r>
          </w:p>
        </w:tc>
        <w:tc>
          <w:tcPr>
            <w:tcW w:w="340" w:type="dxa"/>
            <w:vAlign w:val="bottom"/>
          </w:tcPr>
          <w:p>
            <w:pPr>
              <w:spacing w:after="0"/>
              <w:rPr>
                <w:sz w:val="20"/>
                <w:szCs w:val="20"/>
                <w:color w:val="auto"/>
              </w:rPr>
            </w:pPr>
          </w:p>
        </w:tc>
        <w:tc>
          <w:tcPr>
            <w:tcW w:w="2800" w:type="dxa"/>
            <w:vAlign w:val="bottom"/>
          </w:tcPr>
          <w:p>
            <w:pPr>
              <w:jc w:val="right"/>
              <w:ind w:right="852"/>
              <w:spacing w:after="0"/>
              <w:rPr>
                <w:sz w:val="20"/>
                <w:szCs w:val="20"/>
                <w:color w:val="auto"/>
              </w:rPr>
            </w:pPr>
            <w:r>
              <w:rPr>
                <w:rFonts w:ascii="Arial" w:cs="Arial" w:eastAsia="Arial" w:hAnsi="Arial"/>
                <w:sz w:val="18"/>
                <w:szCs w:val="18"/>
                <w:b w:val="1"/>
                <w:bCs w:val="1"/>
                <w:color w:val="auto"/>
              </w:rPr>
              <w:t>Outstanding Balance</w:t>
            </w:r>
          </w:p>
        </w:tc>
        <w:tc>
          <w:tcPr>
            <w:tcW w:w="26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 of Gross Loans</w:t>
            </w:r>
          </w:p>
        </w:tc>
        <w:tc>
          <w:tcPr>
            <w:tcW w:w="200" w:type="dxa"/>
            <w:vAlign w:val="bottom"/>
          </w:tcPr>
          <w:p>
            <w:pPr>
              <w:spacing w:after="0"/>
              <w:rPr>
                <w:sz w:val="20"/>
                <w:szCs w:val="20"/>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gridSpan w:val="2"/>
          </w:tcPr>
          <w:p>
            <w:pPr>
              <w:jc w:val="right"/>
              <w:ind w:right="197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197,755</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Hotel and Lodging</w:t>
            </w:r>
          </w:p>
        </w:tc>
        <w:tc>
          <w:tcPr>
            <w:tcW w:w="340" w:type="dxa"/>
            <w:vAlign w:val="bottom"/>
          </w:tcPr>
          <w:p>
            <w:pPr>
              <w:spacing w:after="0"/>
              <w:rPr>
                <w:sz w:val="21"/>
                <w:szCs w:val="21"/>
                <w:color w:val="auto"/>
              </w:rPr>
            </w:pPr>
          </w:p>
        </w:tc>
        <w:tc>
          <w:tcPr>
            <w:tcW w:w="2800" w:type="dxa"/>
            <w:vAlign w:val="bottom"/>
          </w:tcPr>
          <w:p>
            <w:pPr>
              <w:jc w:val="right"/>
              <w:ind w:right="432"/>
              <w:spacing w:after="0"/>
              <w:rPr>
                <w:sz w:val="20"/>
                <w:szCs w:val="20"/>
                <w:color w:val="auto"/>
              </w:rPr>
            </w:pPr>
            <w:r>
              <w:rPr>
                <w:rFonts w:ascii="Arial" w:cs="Arial" w:eastAsia="Arial" w:hAnsi="Arial"/>
                <w:sz w:val="18"/>
                <w:szCs w:val="18"/>
                <w:color w:val="auto"/>
              </w:rPr>
              <w:t>167,079</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Medical</w:t>
            </w:r>
          </w:p>
        </w:tc>
        <w:tc>
          <w:tcPr>
            <w:tcW w:w="3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56,536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Senior Living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800" w:type="dxa"/>
            <w:vAlign w:val="bottom"/>
          </w:tcPr>
          <w:p>
            <w:pPr>
              <w:jc w:val="right"/>
              <w:ind w:right="432"/>
              <w:spacing w:after="0"/>
              <w:rPr>
                <w:sz w:val="20"/>
                <w:szCs w:val="20"/>
                <w:color w:val="auto"/>
              </w:rPr>
            </w:pPr>
            <w:r>
              <w:rPr>
                <w:rFonts w:ascii="Arial" w:cs="Arial" w:eastAsia="Arial" w:hAnsi="Arial"/>
                <w:sz w:val="18"/>
                <w:szCs w:val="18"/>
                <w:color w:val="auto"/>
              </w:rPr>
              <w:t>104,126</w:t>
            </w:r>
          </w:p>
        </w:tc>
        <w:tc>
          <w:tcPr>
            <w:tcW w:w="26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industries were identified based on the following changed economic conditions:</w:t>
      </w:r>
    </w:p>
    <w:p>
      <w:pPr>
        <w:spacing w:after="0" w:line="17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of travel restrictions;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Cancellation of events and large gatherings;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in demand for senior living housing;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Furlough of workers and increase in unemployment numbers.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second quarter of 2020, the Bank worked with business owners in these industries by deferring loan payments and funding of PPP</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Loans</w:t>
      </w:r>
    </w:p>
    <w:p>
      <w:pPr>
        <w:spacing w:after="0" w:line="171"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The Company provides a mix of variable-rate and fixed-rate commercial loans across various industries. We extend commercial loans on an unsecured and secured basis. There is significant uncertainty regarding the impact the COVID-19 pandemic will have on our commercial loan portfolio as well, but we identified the following industries that received an increase in monitoring:</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Commercial Industries with Increased Monitoring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31115</wp:posOffset>
            </wp:positionV>
            <wp:extent cx="70123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Industry</w:t>
            </w:r>
          </w:p>
        </w:tc>
        <w:tc>
          <w:tcPr>
            <w:tcW w:w="360" w:type="dxa"/>
            <w:vAlign w:val="bottom"/>
          </w:tcPr>
          <w:p>
            <w:pPr>
              <w:spacing w:after="0"/>
              <w:rPr>
                <w:sz w:val="20"/>
                <w:szCs w:val="20"/>
                <w:color w:val="auto"/>
              </w:rPr>
            </w:pPr>
          </w:p>
        </w:tc>
        <w:tc>
          <w:tcPr>
            <w:tcW w:w="2800" w:type="dxa"/>
            <w:vAlign w:val="bottom"/>
          </w:tcPr>
          <w:p>
            <w:pPr>
              <w:jc w:val="right"/>
              <w:ind w:right="852"/>
              <w:spacing w:after="0"/>
              <w:rPr>
                <w:sz w:val="20"/>
                <w:szCs w:val="20"/>
                <w:color w:val="auto"/>
              </w:rPr>
            </w:pPr>
            <w:r>
              <w:rPr>
                <w:rFonts w:ascii="Arial" w:cs="Arial" w:eastAsia="Arial" w:hAnsi="Arial"/>
                <w:sz w:val="18"/>
                <w:szCs w:val="18"/>
                <w:b w:val="1"/>
                <w:bCs w:val="1"/>
                <w:color w:val="auto"/>
              </w:rPr>
              <w:t>Outstanding Balance</w:t>
            </w:r>
          </w:p>
        </w:tc>
        <w:tc>
          <w:tcPr>
            <w:tcW w:w="2620" w:type="dxa"/>
            <w:vAlign w:val="bottom"/>
          </w:tcPr>
          <w:p>
            <w:pPr>
              <w:ind w:left="460"/>
              <w:spacing w:after="0"/>
              <w:rPr>
                <w:sz w:val="20"/>
                <w:szCs w:val="20"/>
                <w:color w:val="auto"/>
              </w:rPr>
            </w:pPr>
            <w:r>
              <w:rPr>
                <w:rFonts w:ascii="Arial" w:cs="Arial" w:eastAsia="Arial" w:hAnsi="Arial"/>
                <w:sz w:val="18"/>
                <w:szCs w:val="18"/>
                <w:b w:val="1"/>
                <w:bCs w:val="1"/>
                <w:color w:val="auto"/>
              </w:rPr>
              <w:t>Percent of Gross Loans</w:t>
            </w:r>
          </w:p>
        </w:tc>
        <w:tc>
          <w:tcPr>
            <w:tcW w:w="200" w:type="dxa"/>
            <w:vAlign w:val="bottom"/>
          </w:tcPr>
          <w:p>
            <w:pPr>
              <w:spacing w:after="0"/>
              <w:rPr>
                <w:sz w:val="20"/>
                <w:szCs w:val="20"/>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20" w:type="dxa"/>
            <w:vAlign w:val="bottom"/>
            <w:gridSpan w:val="2"/>
          </w:tcPr>
          <w:p>
            <w:pPr>
              <w:ind w:left="188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Recreation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86,878</w:t>
            </w:r>
          </w:p>
        </w:tc>
        <w:tc>
          <w:tcPr>
            <w:tcW w:w="2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w w:val="95"/>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Restaurants</w:t>
            </w:r>
          </w:p>
        </w:tc>
        <w:tc>
          <w:tcPr>
            <w:tcW w:w="360" w:type="dxa"/>
            <w:vAlign w:val="bottom"/>
          </w:tcPr>
          <w:p>
            <w:pPr>
              <w:spacing w:after="0"/>
              <w:rPr>
                <w:sz w:val="21"/>
                <w:szCs w:val="21"/>
                <w:color w:val="auto"/>
              </w:rPr>
            </w:pPr>
          </w:p>
        </w:tc>
        <w:tc>
          <w:tcPr>
            <w:tcW w:w="2800" w:type="dxa"/>
            <w:vAlign w:val="bottom"/>
          </w:tcPr>
          <w:p>
            <w:pPr>
              <w:jc w:val="right"/>
              <w:ind w:right="392"/>
              <w:spacing w:after="0"/>
              <w:rPr>
                <w:sz w:val="20"/>
                <w:szCs w:val="20"/>
                <w:color w:val="auto"/>
              </w:rPr>
            </w:pPr>
            <w:r>
              <w:rPr>
                <w:rFonts w:ascii="Arial" w:cs="Arial" w:eastAsia="Arial" w:hAnsi="Arial"/>
                <w:sz w:val="18"/>
                <w:szCs w:val="18"/>
                <w:color w:val="auto"/>
              </w:rPr>
              <w:t>60,994</w:t>
            </w:r>
          </w:p>
        </w:tc>
        <w:tc>
          <w:tcPr>
            <w:tcW w:w="2620" w:type="dxa"/>
            <w:vAlign w:val="bottom"/>
          </w:tcPr>
          <w:p>
            <w:pPr>
              <w:ind w:left="2360"/>
              <w:spacing w:after="0"/>
              <w:rPr>
                <w:sz w:val="20"/>
                <w:szCs w:val="20"/>
                <w:color w:val="auto"/>
              </w:rPr>
            </w:pPr>
            <w:r>
              <w:rPr>
                <w:rFonts w:ascii="Arial" w:cs="Arial" w:eastAsia="Arial" w:hAnsi="Arial"/>
                <w:sz w:val="18"/>
                <w:szCs w:val="18"/>
                <w:color w:val="auto"/>
                <w:w w:val="95"/>
              </w:rPr>
              <w:t>1.4</w:t>
            </w:r>
          </w:p>
        </w:tc>
        <w:tc>
          <w:tcPr>
            <w:tcW w:w="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Aircraft and Aviation</w:t>
            </w:r>
          </w:p>
        </w:tc>
        <w:tc>
          <w:tcPr>
            <w:tcW w:w="36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52,379</w:t>
            </w:r>
          </w:p>
        </w:tc>
        <w:tc>
          <w:tcPr>
            <w:tcW w:w="26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w w:val="95"/>
              </w:rPr>
              <w:t>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Consumer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800" w:type="dxa"/>
            <w:vAlign w:val="bottom"/>
          </w:tcPr>
          <w:p>
            <w:pPr>
              <w:jc w:val="right"/>
              <w:ind w:right="392"/>
              <w:spacing w:after="0"/>
              <w:rPr>
                <w:sz w:val="20"/>
                <w:szCs w:val="20"/>
                <w:color w:val="auto"/>
              </w:rPr>
            </w:pPr>
            <w:r>
              <w:rPr>
                <w:rFonts w:ascii="Arial" w:cs="Arial" w:eastAsia="Arial" w:hAnsi="Arial"/>
                <w:sz w:val="18"/>
                <w:szCs w:val="18"/>
                <w:color w:val="auto"/>
              </w:rPr>
              <w:t>45,716</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w w:val="95"/>
              </w:rPr>
              <w:t>1.0 %</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industries were identified based on the following changed economic conditions:</w:t>
      </w:r>
    </w:p>
    <w:p>
      <w:pPr>
        <w:spacing w:after="0" w:line="17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travel, entertainment, and restaurant restrictions;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 of events and large gatherings;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closures for those deemed “nonessential” by the government;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Furlough of workers and increase in unemployment numbers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worked with business owners in these industries by deferring loan payments and funding PPP loans.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Implications Related to the CARES 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anticipate significant changes in its tax position as a result of the CARES Act.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Data (unaudited)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Selected financial data for and as of our previous five quarters and the six months ended June 30, 2020 and 2019 is presented below:</w:t>
      </w:r>
    </w:p>
    <w:p>
      <w:pPr>
        <w:spacing w:after="0" w:line="7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7"/>
          </w:tcPr>
          <w:p>
            <w:pPr>
              <w:ind w:left="40"/>
              <w:spacing w:after="0"/>
              <w:rPr>
                <w:sz w:val="20"/>
                <w:szCs w:val="20"/>
                <w:color w:val="auto"/>
              </w:rPr>
            </w:pPr>
            <w:r>
              <w:rPr>
                <w:rFonts w:ascii="Arial" w:cs="Arial" w:eastAsia="Arial" w:hAnsi="Arial"/>
                <w:sz w:val="18"/>
                <w:szCs w:val="18"/>
                <w:b w:val="1"/>
                <w:bCs w:val="1"/>
                <w:color w:val="auto"/>
                <w:w w:val="91"/>
              </w:rPr>
              <w:t>As of or For the Six Months</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9"/>
          </w:tcPr>
          <w:p>
            <w:pPr>
              <w:ind w:left="80"/>
              <w:spacing w:after="0"/>
              <w:rPr>
                <w:sz w:val="20"/>
                <w:szCs w:val="20"/>
                <w:color w:val="auto"/>
              </w:rPr>
            </w:pPr>
            <w:r>
              <w:rPr>
                <w:rFonts w:ascii="Arial" w:cs="Arial" w:eastAsia="Arial" w:hAnsi="Arial"/>
                <w:sz w:val="18"/>
                <w:szCs w:val="18"/>
                <w:b w:val="1"/>
                <w:bCs w:val="1"/>
                <w:color w:val="auto"/>
                <w:w w:val="92"/>
              </w:rPr>
              <w:t>As of or For the Three Months Ended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Ended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June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March</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9"/>
              </w:rPr>
              <w:t>December</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88"/>
              </w:rPr>
              <w:t>September</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June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June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June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Basic earnings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0.22</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Book value per share</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Tangible book value per share</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Selected Operating Ratios</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Yield on securities - tax equivalent</w:t>
            </w:r>
            <w:r>
              <w:rPr>
                <w:rFonts w:ascii="Arial" w:cs="Arial" w:eastAsia="Arial" w:hAnsi="Arial"/>
                <w:sz w:val="23"/>
                <w:szCs w:val="23"/>
                <w:color w:val="auto"/>
                <w:w w:val="99"/>
                <w:vertAlign w:val="superscript"/>
              </w:rPr>
              <w:t>(2)</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Yield on loans</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Yield on interest-earning assets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Cost of interest-bearing deposits</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total deposits</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Cost of funds</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Arial" w:cs="Arial" w:eastAsia="Arial" w:hAnsi="Arial"/>
                <w:sz w:val="18"/>
                <w:szCs w:val="18"/>
                <w:color w:val="auto"/>
              </w:rPr>
              <w:t>Return on average assets</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Non-GAAP core operating return on</w:t>
            </w: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80"/>
              <w:spacing w:after="0" w:line="230" w:lineRule="exact"/>
              <w:rPr>
                <w:sz w:val="20"/>
                <w:szCs w:val="20"/>
                <w:color w:val="auto"/>
              </w:rPr>
            </w:pPr>
            <w:r>
              <w:rPr>
                <w:rFonts w:ascii="Arial" w:cs="Arial" w:eastAsia="Arial" w:hAnsi="Arial"/>
                <w:sz w:val="18"/>
                <w:szCs w:val="18"/>
                <w:color w:val="auto"/>
              </w:rPr>
              <w:t>average assets</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Return on average equity</w:t>
      </w:r>
    </w:p>
    <w:p>
      <w:pPr>
        <w:spacing w:after="0" w:line="23" w:lineRule="exact"/>
        <w:rPr>
          <w:sz w:val="20"/>
          <w:szCs w:val="20"/>
          <w:color w:val="auto"/>
        </w:rPr>
      </w:pPr>
    </w:p>
    <w:p>
      <w:pPr>
        <w:ind w:left="440" w:right="280" w:hanging="161"/>
        <w:spacing w:after="0" w:line="234" w:lineRule="auto"/>
        <w:rPr>
          <w:sz w:val="20"/>
          <w:szCs w:val="20"/>
          <w:color w:val="auto"/>
        </w:rPr>
      </w:pPr>
      <w:r>
        <w:rPr>
          <w:rFonts w:ascii="Arial" w:cs="Arial" w:eastAsia="Arial" w:hAnsi="Arial"/>
          <w:sz w:val="18"/>
          <w:szCs w:val="18"/>
          <w:color w:val="auto"/>
        </w:rPr>
        <w:t>Non-GAAP core operating return on average common equity</w:t>
      </w:r>
      <w:r>
        <w:rPr>
          <w:rFonts w:ascii="Arial" w:cs="Arial" w:eastAsia="Arial" w:hAnsi="Arial"/>
          <w:sz w:val="23"/>
          <w:szCs w:val="23"/>
          <w:color w:val="auto"/>
          <w:vertAlign w:val="superscript"/>
        </w:rPr>
        <w:t>(4)</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Non-interest expense to average assets</w:t>
      </w:r>
      <w:r>
        <w:rPr>
          <w:rFonts w:ascii="Arial" w:cs="Arial" w:eastAsia="Arial" w:hAnsi="Arial"/>
          <w:sz w:val="19"/>
          <w:szCs w:val="19"/>
          <w:color w:val="auto"/>
          <w:vertAlign w:val="superscript"/>
        </w:rPr>
        <w:t>(5)</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Efficiency ratio</w:t>
      </w:r>
      <w:r>
        <w:rPr>
          <w:rFonts w:ascii="Arial" w:cs="Arial" w:eastAsia="Arial" w:hAnsi="Arial"/>
          <w:sz w:val="23"/>
          <w:szCs w:val="23"/>
          <w:color w:val="auto"/>
          <w:vertAlign w:val="superscript"/>
        </w:rPr>
        <w:t>(6)</w:t>
      </w:r>
    </w:p>
    <w:p>
      <w:pPr>
        <w:ind w:left="440" w:right="220" w:hanging="161"/>
        <w:spacing w:after="0" w:line="234" w:lineRule="auto"/>
        <w:rPr>
          <w:sz w:val="20"/>
          <w:szCs w:val="20"/>
          <w:color w:val="auto"/>
        </w:rPr>
      </w:pPr>
      <w:r>
        <w:rPr>
          <w:rFonts w:ascii="Arial" w:cs="Arial" w:eastAsia="Arial" w:hAnsi="Arial"/>
          <w:sz w:val="16"/>
          <w:szCs w:val="16"/>
          <w:color w:val="auto"/>
        </w:rPr>
        <w:t>Non-GAAP core operating efficiency ratio - tax equivalent</w:t>
      </w:r>
      <w:r>
        <w:rPr>
          <w:rFonts w:ascii="Arial" w:cs="Arial" w:eastAsia="Arial" w:hAnsi="Arial"/>
          <w:sz w:val="20"/>
          <w:szCs w:val="20"/>
          <w:color w:val="auto"/>
          <w:vertAlign w:val="superscript"/>
        </w:rPr>
        <w:t>(2)(7)</w:t>
      </w:r>
    </w:p>
    <w:p>
      <w:pPr>
        <w:spacing w:after="0" w:line="1" w:lineRule="exact"/>
        <w:rPr>
          <w:sz w:val="20"/>
          <w:szCs w:val="20"/>
          <w:color w:val="auto"/>
        </w:rPr>
      </w:pPr>
    </w:p>
    <w:p>
      <w:pPr>
        <w:ind w:left="440" w:right="240" w:hanging="161"/>
        <w:spacing w:after="0" w:line="226" w:lineRule="auto"/>
        <w:rPr>
          <w:sz w:val="20"/>
          <w:szCs w:val="20"/>
          <w:color w:val="auto"/>
        </w:rPr>
      </w:pPr>
      <w:r>
        <w:rPr>
          <w:rFonts w:ascii="Arial" w:cs="Arial" w:eastAsia="Arial" w:hAnsi="Arial"/>
          <w:sz w:val="18"/>
          <w:szCs w:val="18"/>
          <w:color w:val="auto"/>
        </w:rPr>
        <w:t>Non-interest-bearing deposits to total deposits</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Loans to deposits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Credit Quality Ratios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As of or For the Six Months</w:t>
            </w:r>
          </w:p>
        </w:tc>
      </w:tr>
      <w:tr>
        <w:trPr>
          <w:trHeight w:val="234"/>
        </w:trPr>
        <w:tc>
          <w:tcPr>
            <w:tcW w:w="1220" w:type="dxa"/>
            <w:vAlign w:val="bottom"/>
          </w:tcPr>
          <w:p>
            <w:pPr>
              <w:spacing w:after="0"/>
              <w:rPr>
                <w:sz w:val="20"/>
                <w:szCs w:val="20"/>
                <w:color w:val="auto"/>
              </w:rPr>
            </w:pPr>
          </w:p>
        </w:tc>
        <w:tc>
          <w:tcPr>
            <w:tcW w:w="35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6"/>
              </w:rPr>
              <w:t>As of or For the Three Months 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Ended</w:t>
            </w:r>
          </w:p>
        </w:tc>
        <w:tc>
          <w:tcPr>
            <w:tcW w:w="780" w:type="dxa"/>
            <w:vAlign w:val="bottom"/>
          </w:tcPr>
          <w:p>
            <w:pPr>
              <w:spacing w:after="0"/>
              <w:rPr>
                <w:sz w:val="20"/>
                <w:szCs w:val="20"/>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September</w:t>
            </w: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w:t>
            </w: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June</w:t>
            </w: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June</w:t>
            </w:r>
          </w:p>
        </w:tc>
      </w:tr>
      <w:tr>
        <w:trPr>
          <w:trHeight w:val="270"/>
        </w:trPr>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30,</w:t>
            </w: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31,</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31,</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30,</w:t>
            </w: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30,</w:t>
            </w: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30,</w:t>
            </w:r>
          </w:p>
        </w:tc>
      </w:tr>
      <w:tr>
        <w:trPr>
          <w:trHeight w:val="270"/>
        </w:trPr>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70"/>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(4.84)</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2.53</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(0.46)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7.58</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3"/>
                <w:szCs w:val="23"/>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(1.15)</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7.87</w:t>
            </w:r>
          </w:p>
        </w:tc>
      </w:tr>
      <w:tr>
        <w:trPr>
          <w:trHeight w:val="405"/>
        </w:trPr>
        <w:tc>
          <w:tcPr>
            <w:tcW w:w="1220" w:type="dxa"/>
            <w:vAlign w:val="bottom"/>
          </w:tcPr>
          <w:p>
            <w:pPr>
              <w:jc w:val="right"/>
              <w:ind w:right="310"/>
              <w:spacing w:after="0"/>
              <w:rPr>
                <w:sz w:val="20"/>
                <w:szCs w:val="20"/>
                <w:color w:val="auto"/>
              </w:rPr>
            </w:pPr>
            <w:r>
              <w:rPr>
                <w:rFonts w:ascii="Arial" w:cs="Arial" w:eastAsia="Arial" w:hAnsi="Arial"/>
                <w:sz w:val="18"/>
                <w:szCs w:val="18"/>
                <w:color w:val="auto"/>
              </w:rPr>
              <w:t>0.03</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2.53</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(0.46)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7.58</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1.28</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7.43</w:t>
            </w:r>
          </w:p>
        </w:tc>
      </w:tr>
      <w:tr>
        <w:trPr>
          <w:trHeight w:val="270"/>
        </w:trPr>
        <w:tc>
          <w:tcPr>
            <w:tcW w:w="1220" w:type="dxa"/>
            <w:vAlign w:val="bottom"/>
          </w:tcPr>
          <w:p>
            <w:pPr>
              <w:jc w:val="right"/>
              <w:ind w:right="310"/>
              <w:spacing w:after="0"/>
              <w:rPr>
                <w:sz w:val="20"/>
                <w:szCs w:val="20"/>
                <w:color w:val="auto"/>
              </w:rPr>
            </w:pPr>
            <w:r>
              <w:rPr>
                <w:rFonts w:ascii="Arial" w:cs="Arial" w:eastAsia="Arial" w:hAnsi="Arial"/>
                <w:sz w:val="18"/>
                <w:szCs w:val="18"/>
                <w:color w:val="auto"/>
              </w:rPr>
              <w:t>2.21</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1.80</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1.81</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1.82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2.10</w:t>
            </w:r>
          </w:p>
        </w:tc>
      </w:tr>
      <w:tr>
        <w:trPr>
          <w:trHeight w:val="270"/>
        </w:trPr>
        <w:tc>
          <w:tcPr>
            <w:tcW w:w="1220" w:type="dxa"/>
            <w:vAlign w:val="bottom"/>
          </w:tcPr>
          <w:p>
            <w:pPr>
              <w:jc w:val="right"/>
              <w:ind w:right="310"/>
              <w:spacing w:after="0"/>
              <w:rPr>
                <w:sz w:val="20"/>
                <w:szCs w:val="20"/>
                <w:color w:val="auto"/>
              </w:rPr>
            </w:pPr>
            <w:r>
              <w:rPr>
                <w:rFonts w:ascii="Arial" w:cs="Arial" w:eastAsia="Arial" w:hAnsi="Arial"/>
                <w:sz w:val="18"/>
                <w:szCs w:val="18"/>
                <w:color w:val="auto"/>
              </w:rPr>
              <w:t>70.81</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55.11</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55.60</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54.29</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3"/>
                <w:szCs w:val="23"/>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63.29</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62.11</w:t>
            </w:r>
          </w:p>
        </w:tc>
      </w:tr>
      <w:tr>
        <w:trPr>
          <w:trHeight w:val="405"/>
        </w:trPr>
        <w:tc>
          <w:tcPr>
            <w:tcW w:w="1220" w:type="dxa"/>
            <w:vAlign w:val="bottom"/>
          </w:tcPr>
          <w:p>
            <w:pPr>
              <w:jc w:val="right"/>
              <w:ind w:right="310"/>
              <w:spacing w:after="0"/>
              <w:rPr>
                <w:sz w:val="20"/>
                <w:szCs w:val="20"/>
                <w:color w:val="auto"/>
              </w:rPr>
            </w:pPr>
            <w:r>
              <w:rPr>
                <w:rFonts w:ascii="Arial" w:cs="Arial" w:eastAsia="Arial" w:hAnsi="Arial"/>
                <w:sz w:val="18"/>
                <w:szCs w:val="18"/>
                <w:color w:val="auto"/>
              </w:rPr>
              <w:t>53.09</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54.18</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54.66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53.43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53.61</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60.71</w:t>
            </w:r>
          </w:p>
        </w:tc>
      </w:tr>
      <w:tr>
        <w:trPr>
          <w:trHeight w:val="405"/>
        </w:trPr>
        <w:tc>
          <w:tcPr>
            <w:tcW w:w="1220" w:type="dxa"/>
            <w:vAlign w:val="bottom"/>
          </w:tcPr>
          <w:p>
            <w:pPr>
              <w:jc w:val="right"/>
              <w:ind w:right="310"/>
              <w:spacing w:after="0"/>
              <w:rPr>
                <w:sz w:val="20"/>
                <w:szCs w:val="20"/>
                <w:color w:val="auto"/>
              </w:rPr>
            </w:pPr>
            <w:r>
              <w:rPr>
                <w:rFonts w:ascii="Arial" w:cs="Arial" w:eastAsia="Arial" w:hAnsi="Arial"/>
                <w:sz w:val="18"/>
                <w:szCs w:val="18"/>
                <w:color w:val="auto"/>
              </w:rPr>
              <w:t>17.43</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14.28</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13.30</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14.05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17.43</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14.28</w:t>
            </w:r>
          </w:p>
        </w:tc>
      </w:tr>
      <w:tr>
        <w:trPr>
          <w:trHeight w:val="270"/>
        </w:trPr>
        <w:tc>
          <w:tcPr>
            <w:tcW w:w="1220" w:type="dxa"/>
            <w:vAlign w:val="bottom"/>
          </w:tcPr>
          <w:p>
            <w:pPr>
              <w:jc w:val="right"/>
              <w:ind w:right="90"/>
              <w:spacing w:after="0"/>
              <w:rPr>
                <w:sz w:val="20"/>
                <w:szCs w:val="20"/>
                <w:color w:val="auto"/>
              </w:rPr>
            </w:pPr>
            <w:r>
              <w:rPr>
                <w:rFonts w:ascii="Arial" w:cs="Arial" w:eastAsia="Arial" w:hAnsi="Arial"/>
                <w:sz w:val="18"/>
                <w:szCs w:val="18"/>
                <w:color w:val="auto"/>
              </w:rPr>
              <w:t>102.53 %</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100.75 %</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98.18 %</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99.23 %</w:t>
            </w:r>
          </w:p>
        </w:tc>
        <w:tc>
          <w:tcPr>
            <w:tcW w:w="920" w:type="dxa"/>
            <w:vAlign w:val="bottom"/>
          </w:tcPr>
          <w:p>
            <w:pPr>
              <w:jc w:val="right"/>
              <w:spacing w:after="0"/>
              <w:rPr>
                <w:sz w:val="20"/>
                <w:szCs w:val="20"/>
                <w:color w:val="auto"/>
              </w:rPr>
            </w:pPr>
            <w:r>
              <w:rPr>
                <w:rFonts w:ascii="Arial" w:cs="Arial" w:eastAsia="Arial" w:hAnsi="Arial"/>
                <w:sz w:val="18"/>
                <w:szCs w:val="18"/>
                <w:color w:val="auto"/>
              </w:rPr>
              <w:t>96.74 %</w:t>
            </w:r>
          </w:p>
        </w:tc>
        <w:tc>
          <w:tcPr>
            <w:tcW w:w="100" w:type="dxa"/>
            <w:vAlign w:val="bottom"/>
          </w:tcPr>
          <w:p>
            <w:pPr>
              <w:spacing w:after="0"/>
              <w:rPr>
                <w:sz w:val="23"/>
                <w:szCs w:val="23"/>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102.53 %</w:t>
            </w:r>
          </w:p>
        </w:tc>
        <w:tc>
          <w:tcPr>
            <w:tcW w:w="780" w:type="dxa"/>
            <w:vAlign w:val="bottom"/>
          </w:tcPr>
          <w:p>
            <w:pPr>
              <w:jc w:val="right"/>
              <w:spacing w:after="0"/>
              <w:rPr>
                <w:sz w:val="20"/>
                <w:szCs w:val="20"/>
                <w:color w:val="auto"/>
              </w:rPr>
            </w:pPr>
            <w:r>
              <w:rPr>
                <w:rFonts w:ascii="Arial" w:cs="Arial" w:eastAsia="Arial" w:hAnsi="Arial"/>
                <w:sz w:val="18"/>
                <w:szCs w:val="18"/>
                <w:color w:val="auto"/>
              </w:rPr>
              <w:t>96.74 %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-1268095</wp:posOffset>
            </wp:positionV>
            <wp:extent cx="702945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0" cy="2571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-839470</wp:posOffset>
            </wp:positionV>
            <wp:extent cx="70294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-410845</wp:posOffset>
            </wp:positionV>
            <wp:extent cx="7029450"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0" cy="2571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17145</wp:posOffset>
            </wp:positionV>
            <wp:extent cx="70294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3200" w:space="60"/>
            <w:col w:w="7980"/>
          </w:cols>
          <w:pgMar w:left="320" w:top="125" w:right="339" w:bottom="1440" w:gutter="0" w:footer="0" w:header="0"/>
        </w:sectPr>
      </w:pP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Allowance for loan losses to total loans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Nonperforming assets to total assets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Nonperforming loans to total loans</w:t>
      </w:r>
    </w:p>
    <w:p>
      <w:pPr>
        <w:spacing w:after="0" w:line="23" w:lineRule="exact"/>
        <w:rPr>
          <w:sz w:val="20"/>
          <w:szCs w:val="20"/>
          <w:color w:val="auto"/>
        </w:rPr>
      </w:pPr>
    </w:p>
    <w:p>
      <w:pPr>
        <w:ind w:left="440" w:right="840" w:hanging="161"/>
        <w:spacing w:after="0" w:line="234" w:lineRule="auto"/>
        <w:rPr>
          <w:sz w:val="20"/>
          <w:szCs w:val="20"/>
          <w:color w:val="auto"/>
        </w:rPr>
      </w:pPr>
      <w:r>
        <w:rPr>
          <w:rFonts w:ascii="Arial" w:cs="Arial" w:eastAsia="Arial" w:hAnsi="Arial"/>
          <w:sz w:val="18"/>
          <w:szCs w:val="18"/>
          <w:color w:val="auto"/>
        </w:rPr>
        <w:t>Allowance for loan losses to nonperforming loans</w:t>
      </w:r>
    </w:p>
    <w:p>
      <w:pPr>
        <w:spacing w:after="0" w:line="1" w:lineRule="exact"/>
        <w:rPr>
          <w:sz w:val="20"/>
          <w:szCs w:val="20"/>
          <w:color w:val="auto"/>
        </w:rPr>
      </w:pPr>
    </w:p>
    <w:p>
      <w:pPr>
        <w:ind w:left="440" w:right="40" w:hanging="116"/>
        <w:spacing w:after="0" w:line="220" w:lineRule="auto"/>
        <w:rPr>
          <w:sz w:val="20"/>
          <w:szCs w:val="20"/>
          <w:color w:val="auto"/>
        </w:rPr>
      </w:pPr>
      <w:r>
        <w:rPr>
          <w:rFonts w:ascii="Arial" w:cs="Arial" w:eastAsia="Arial" w:hAnsi="Arial"/>
          <w:sz w:val="18"/>
          <w:szCs w:val="18"/>
          <w:color w:val="auto"/>
        </w:rPr>
        <w:t>Net charge-offs (recoveries) to average loans</w:t>
      </w:r>
      <w:r>
        <w:rPr>
          <w:rFonts w:ascii="Arial" w:cs="Arial" w:eastAsia="Arial" w:hAnsi="Arial"/>
          <w:sz w:val="23"/>
          <w:szCs w:val="23"/>
          <w:color w:val="auto"/>
          <w:vertAlign w:val="superscript"/>
        </w:rPr>
        <w:t>(5)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Capital Ratios</w:t>
      </w:r>
    </w:p>
    <w:p>
      <w:pPr>
        <w:spacing w:after="0" w:line="74" w:lineRule="exact"/>
        <w:rPr>
          <w:sz w:val="20"/>
          <w:szCs w:val="20"/>
          <w:color w:val="auto"/>
        </w:rPr>
      </w:pPr>
    </w:p>
    <w:p>
      <w:pPr>
        <w:ind w:left="300" w:hanging="14"/>
        <w:spacing w:after="0" w:line="297" w:lineRule="auto"/>
        <w:rPr>
          <w:sz w:val="20"/>
          <w:szCs w:val="20"/>
          <w:color w:val="auto"/>
        </w:rPr>
      </w:pPr>
      <w:r>
        <w:rPr>
          <w:rFonts w:ascii="Arial" w:cs="Arial" w:eastAsia="Arial" w:hAnsi="Arial"/>
          <w:sz w:val="18"/>
          <w:szCs w:val="18"/>
          <w:color w:val="auto"/>
        </w:rPr>
        <w:t>Total stockholders’ equity to total assets Tier 1 leverage ratio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equity tier 1 capital ratio</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Tier 1 risk-based capital ratio</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risk-based capital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1.61 %</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1.29 %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1.48 %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1.18 %</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1.24 %</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1.61 %</w:t>
            </w:r>
          </w:p>
        </w:tc>
        <w:tc>
          <w:tcPr>
            <w:tcW w:w="88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0"/>
        </w:trPr>
        <w:tc>
          <w:tcPr>
            <w:tcW w:w="940" w:type="dxa"/>
            <w:vAlign w:val="bottom"/>
          </w:tcPr>
          <w:p>
            <w:pPr>
              <w:jc w:val="right"/>
              <w:ind w:right="350"/>
              <w:spacing w:after="0"/>
              <w:rPr>
                <w:sz w:val="20"/>
                <w:szCs w:val="20"/>
                <w:color w:val="auto"/>
              </w:rPr>
            </w:pPr>
            <w:r>
              <w:rPr>
                <w:rFonts w:ascii="Arial" w:cs="Arial" w:eastAsia="Arial" w:hAnsi="Arial"/>
                <w:sz w:val="18"/>
                <w:szCs w:val="18"/>
                <w:color w:val="auto"/>
              </w:rPr>
              <w:t>0.74</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0.59</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0.97</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1.18</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0.74</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1.18</w:t>
            </w:r>
          </w:p>
        </w:tc>
      </w:tr>
      <w:tr>
        <w:trPr>
          <w:trHeight w:val="270"/>
        </w:trPr>
        <w:tc>
          <w:tcPr>
            <w:tcW w:w="940" w:type="dxa"/>
            <w:vAlign w:val="bottom"/>
          </w:tcPr>
          <w:p>
            <w:pPr>
              <w:jc w:val="right"/>
              <w:ind w:right="350"/>
              <w:spacing w:after="0"/>
              <w:rPr>
                <w:sz w:val="20"/>
                <w:szCs w:val="20"/>
                <w:color w:val="auto"/>
              </w:rPr>
            </w:pPr>
            <w:r>
              <w:rPr>
                <w:rFonts w:ascii="Arial" w:cs="Arial" w:eastAsia="Arial" w:hAnsi="Arial"/>
                <w:sz w:val="18"/>
                <w:szCs w:val="18"/>
                <w:color w:val="auto"/>
              </w:rPr>
              <w:t>0.86</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0.66</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1.15</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1.22</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1.45</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0.86</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1.45</w:t>
            </w:r>
          </w:p>
        </w:tc>
      </w:tr>
      <w:tr>
        <w:trPr>
          <w:trHeight w:val="405"/>
        </w:trPr>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188.55</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195.99</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128.54</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97.12</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85.22</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188.55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85.22</w:t>
            </w:r>
          </w:p>
        </w:tc>
      </w:tr>
      <w:tr>
        <w:trPr>
          <w:trHeight w:val="405"/>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0.12 %</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2.00 %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0.58 %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0.53 %</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1.01 %</w:t>
            </w:r>
          </w:p>
        </w:tc>
        <w:tc>
          <w:tcPr>
            <w:tcW w:w="880" w:type="dxa"/>
            <w:vAlign w:val="bottom"/>
          </w:tcPr>
          <w:p>
            <w:pPr>
              <w:jc w:val="right"/>
              <w:spacing w:after="0"/>
              <w:rPr>
                <w:sz w:val="20"/>
                <w:szCs w:val="20"/>
                <w:color w:val="auto"/>
              </w:rPr>
            </w:pPr>
            <w:r>
              <w:rPr>
                <w:rFonts w:ascii="Arial" w:cs="Arial" w:eastAsia="Arial" w:hAnsi="Arial"/>
                <w:sz w:val="18"/>
                <w:szCs w:val="18"/>
                <w:color w:val="auto"/>
              </w:rPr>
              <w:t>0.04 %</w:t>
            </w:r>
          </w:p>
        </w:tc>
      </w:tr>
      <w:tr>
        <w:trPr>
          <w:trHeight w:val="54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11.13 %</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12.08 %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12.20 %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12.95 %</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11.16 %</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11.13 %</w:t>
            </w:r>
          </w:p>
        </w:tc>
        <w:tc>
          <w:tcPr>
            <w:tcW w:w="880" w:type="dxa"/>
            <w:vAlign w:val="bottom"/>
          </w:tcPr>
          <w:p>
            <w:pPr>
              <w:jc w:val="right"/>
              <w:spacing w:after="0"/>
              <w:rPr>
                <w:sz w:val="20"/>
                <w:szCs w:val="20"/>
                <w:color w:val="auto"/>
              </w:rPr>
            </w:pPr>
            <w:r>
              <w:rPr>
                <w:rFonts w:ascii="Arial" w:cs="Arial" w:eastAsia="Arial" w:hAnsi="Arial"/>
                <w:sz w:val="18"/>
                <w:szCs w:val="18"/>
                <w:color w:val="auto"/>
              </w:rPr>
              <w:t>11.16 %</w:t>
            </w:r>
          </w:p>
        </w:tc>
      </w:tr>
      <w:tr>
        <w:trPr>
          <w:trHeight w:val="270"/>
        </w:trPr>
        <w:tc>
          <w:tcPr>
            <w:tcW w:w="940" w:type="dxa"/>
            <w:vAlign w:val="bottom"/>
          </w:tcPr>
          <w:p>
            <w:pPr>
              <w:jc w:val="right"/>
              <w:ind w:right="350"/>
              <w:spacing w:after="0"/>
              <w:rPr>
                <w:sz w:val="20"/>
                <w:szCs w:val="20"/>
                <w:color w:val="auto"/>
              </w:rPr>
            </w:pPr>
            <w:r>
              <w:rPr>
                <w:rFonts w:ascii="Arial" w:cs="Arial" w:eastAsia="Arial" w:hAnsi="Arial"/>
                <w:sz w:val="18"/>
                <w:szCs w:val="18"/>
                <w:color w:val="auto"/>
              </w:rPr>
              <w:t>10.75</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11.81</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12.06</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12.57</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10.87</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10.75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10.87</w:t>
            </w:r>
          </w:p>
        </w:tc>
      </w:tr>
      <w:tr>
        <w:trPr>
          <w:trHeight w:val="270"/>
        </w:trPr>
        <w:tc>
          <w:tcPr>
            <w:tcW w:w="940" w:type="dxa"/>
            <w:vAlign w:val="bottom"/>
          </w:tcPr>
          <w:p>
            <w:pPr>
              <w:jc w:val="right"/>
              <w:ind w:right="350"/>
              <w:spacing w:after="0"/>
              <w:rPr>
                <w:sz w:val="20"/>
                <w:szCs w:val="20"/>
                <w:color w:val="auto"/>
              </w:rPr>
            </w:pPr>
            <w:r>
              <w:rPr>
                <w:rFonts w:ascii="Arial" w:cs="Arial" w:eastAsia="Arial" w:hAnsi="Arial"/>
                <w:sz w:val="18"/>
                <w:szCs w:val="18"/>
                <w:color w:val="auto"/>
              </w:rPr>
              <w:t>11.99</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12.08</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12.20</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12.91</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11.02</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11.99</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11.02</w:t>
            </w:r>
          </w:p>
        </w:tc>
      </w:tr>
      <w:tr>
        <w:trPr>
          <w:trHeight w:val="270"/>
        </w:trPr>
        <w:tc>
          <w:tcPr>
            <w:tcW w:w="940" w:type="dxa"/>
            <w:vAlign w:val="bottom"/>
          </w:tcPr>
          <w:p>
            <w:pPr>
              <w:jc w:val="right"/>
              <w:ind w:right="350"/>
              <w:spacing w:after="0"/>
              <w:rPr>
                <w:sz w:val="20"/>
                <w:szCs w:val="20"/>
                <w:color w:val="auto"/>
              </w:rPr>
            </w:pPr>
            <w:r>
              <w:rPr>
                <w:rFonts w:ascii="Arial" w:cs="Arial" w:eastAsia="Arial" w:hAnsi="Arial"/>
                <w:sz w:val="18"/>
                <w:szCs w:val="18"/>
                <w:color w:val="auto"/>
              </w:rPr>
              <w:t>12.01</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12.10</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12.22</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12.93</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11.04</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12.01</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11.04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13.27 %</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13.17 %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13.43 %</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13.90 %</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12.04 %</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13.27 %</w:t>
            </w:r>
          </w:p>
        </w:tc>
        <w:tc>
          <w:tcPr>
            <w:tcW w:w="880" w:type="dxa"/>
            <w:vAlign w:val="bottom"/>
          </w:tcPr>
          <w:p>
            <w:pPr>
              <w:jc w:val="right"/>
              <w:spacing w:after="0"/>
              <w:rPr>
                <w:sz w:val="20"/>
                <w:szCs w:val="20"/>
                <w:color w:val="auto"/>
              </w:rPr>
            </w:pPr>
            <w:r>
              <w:rPr>
                <w:rFonts w:ascii="Arial" w:cs="Arial" w:eastAsia="Arial" w:hAnsi="Arial"/>
                <w:sz w:val="18"/>
                <w:szCs w:val="18"/>
                <w:color w:val="auto"/>
              </w:rPr>
              <w:t>12.04 %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-1868170</wp:posOffset>
            </wp:positionV>
            <wp:extent cx="70294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-1525270</wp:posOffset>
            </wp:positionV>
            <wp:extent cx="702945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0" cy="25717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-1010920</wp:posOffset>
            </wp:positionV>
            <wp:extent cx="70294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-668020</wp:posOffset>
            </wp:positionV>
            <wp:extent cx="70294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-325120</wp:posOffset>
            </wp:positionV>
            <wp:extent cx="70294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180" w:space="400"/>
            <w:col w:w="7660"/>
          </w:cols>
          <w:pgMar w:left="320" w:top="125" w:right="339" w:bottom="1440" w:gutter="0" w:footer="0" w:header="0"/>
          <w:type w:val="continuous"/>
        </w:sectPr>
      </w:pPr>
    </w:p>
    <w:p>
      <w:pPr>
        <w:ind w:left="360" w:right="260" w:hanging="10"/>
        <w:spacing w:after="0" w:line="225" w:lineRule="auto"/>
        <w:tabs>
          <w:tab w:leader="none" w:pos="509"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Tangible common stockholders’ equity and tangible book value per share are non-GAAP financial measures. The most directly comparable GAAP measures are stockholders’ equity and book value per share. See “GAAP Reconciliation and Management Explanation of Non-GAAP Financial Measures” for a reconciliation of these measures.</w:t>
      </w:r>
    </w:p>
    <w:p>
      <w:pPr>
        <w:spacing w:after="0" w:line="2" w:lineRule="exact"/>
        <w:rPr>
          <w:rFonts w:ascii="Arial" w:cs="Arial" w:eastAsia="Arial" w:hAnsi="Arial"/>
          <w:sz w:val="19"/>
          <w:szCs w:val="19"/>
          <w:color w:val="auto"/>
          <w:vertAlign w:val="superscript"/>
        </w:rPr>
      </w:pPr>
    </w:p>
    <w:p>
      <w:pPr>
        <w:ind w:left="520" w:hanging="170"/>
        <w:spacing w:after="0" w:line="225" w:lineRule="auto"/>
        <w:tabs>
          <w:tab w:leader="none" w:pos="52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Tax exempt income (tax-free municipal securities) is calculated on a tax equivalent basis. The incremental tax rate used is 21.0%.</w:t>
      </w:r>
    </w:p>
    <w:p>
      <w:pPr>
        <w:spacing w:after="0" w:line="24" w:lineRule="exact"/>
        <w:rPr>
          <w:rFonts w:ascii="Arial" w:cs="Arial" w:eastAsia="Arial" w:hAnsi="Arial"/>
          <w:sz w:val="20"/>
          <w:szCs w:val="20"/>
          <w:color w:val="auto"/>
          <w:vertAlign w:val="superscript"/>
        </w:rPr>
      </w:pPr>
    </w:p>
    <w:p>
      <w:pPr>
        <w:ind w:left="360" w:right="20" w:hanging="10"/>
        <w:spacing w:after="0" w:line="199" w:lineRule="auto"/>
        <w:tabs>
          <w:tab w:leader="none" w:pos="52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Non-GAAP core operating return on average assets is a non-GAAP financial measure. The most directly comparable GAAP measure is return on average assets. See “GAAP Reconciliation and Management Explanation of Non-GAAP Financial Measures” for a reconciliation of this measure.</w:t>
      </w:r>
    </w:p>
    <w:p>
      <w:pPr>
        <w:spacing w:after="0" w:line="11" w:lineRule="exact"/>
        <w:rPr>
          <w:rFonts w:ascii="Arial" w:cs="Arial" w:eastAsia="Arial" w:hAnsi="Arial"/>
          <w:sz w:val="21"/>
          <w:szCs w:val="21"/>
          <w:color w:val="auto"/>
          <w:vertAlign w:val="superscript"/>
        </w:rPr>
      </w:pPr>
    </w:p>
    <w:p>
      <w:pPr>
        <w:ind w:left="360" w:right="120" w:hanging="10"/>
        <w:spacing w:after="0" w:line="219" w:lineRule="auto"/>
        <w:tabs>
          <w:tab w:leader="none" w:pos="523"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Non-GAAP core operating return on average equity is a non-GAAP financial measure. The most directly comparable GAAP financial measure is return on average equity. See “GAAP Reconciliation and Management Explanation of Non-GAAP Financial Measures” for a reconciliation of this measure.</w:t>
      </w:r>
    </w:p>
    <w:p>
      <w:pPr>
        <w:spacing w:after="0" w:line="10" w:lineRule="exact"/>
        <w:rPr>
          <w:rFonts w:ascii="Arial" w:cs="Arial" w:eastAsia="Arial" w:hAnsi="Arial"/>
          <w:sz w:val="20"/>
          <w:szCs w:val="20"/>
          <w:color w:val="auto"/>
          <w:vertAlign w:val="superscript"/>
        </w:rPr>
      </w:pPr>
    </w:p>
    <w:p>
      <w:pPr>
        <w:ind w:left="500" w:hanging="150"/>
        <w:spacing w:after="0"/>
        <w:tabs>
          <w:tab w:leader="none" w:pos="5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Interim periods are annualized.</w:t>
      </w:r>
    </w:p>
    <w:p>
      <w:pPr>
        <w:spacing w:after="0" w:line="23" w:lineRule="exact"/>
        <w:rPr>
          <w:rFonts w:ascii="Arial" w:cs="Arial" w:eastAsia="Arial" w:hAnsi="Arial"/>
          <w:sz w:val="18"/>
          <w:szCs w:val="18"/>
          <w:color w:val="auto"/>
          <w:vertAlign w:val="superscript"/>
        </w:rPr>
      </w:pPr>
    </w:p>
    <w:p>
      <w:pPr>
        <w:ind w:left="500" w:hanging="150"/>
        <w:spacing w:after="0" w:line="223" w:lineRule="auto"/>
        <w:tabs>
          <w:tab w:leader="none" w:pos="5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We calculate efficiency ratio as non-interest expense divided by the sum of net interest income and non-interest income.</w:t>
      </w:r>
    </w:p>
    <w:p>
      <w:pPr>
        <w:spacing w:after="0" w:line="23" w:lineRule="exact"/>
        <w:rPr>
          <w:rFonts w:ascii="Arial" w:cs="Arial" w:eastAsia="Arial" w:hAnsi="Arial"/>
          <w:sz w:val="18"/>
          <w:szCs w:val="18"/>
          <w:color w:val="auto"/>
          <w:vertAlign w:val="superscript"/>
        </w:rPr>
      </w:pPr>
    </w:p>
    <w:p>
      <w:pPr>
        <w:ind w:left="360" w:right="600" w:hanging="10"/>
        <w:spacing w:after="0" w:line="211" w:lineRule="auto"/>
        <w:tabs>
          <w:tab w:leader="none" w:pos="523"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Non-GAAP core operating efficiency ratio - tax equivalent is a non-GAAP financial measure. The most directly comparable GAAP financial measure is the efficiency ratio. See “GAAP Reconciliation and Management Explanation of Non-GAAP Financial Measures” for a reconciliation of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results of operations were as follows for the periods shown:</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0"/>
              </w:rPr>
              <w:t>Six Months Ended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35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5"/>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41,157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21,000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2,850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18,150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34,950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29,250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31,010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21,960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9,050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53,233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44,591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8,642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(7,356)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9,439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(16,795)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6"/>
              </w:rPr>
              <w:t>(178)%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18,789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line="156" w:lineRule="exact"/>
              <w:rPr>
                <w:sz w:val="20"/>
                <w:szCs w:val="20"/>
                <w:color w:val="auto"/>
              </w:rPr>
            </w:pPr>
            <w:r>
              <w:rPr>
                <w:rFonts w:ascii="Arial" w:cs="Arial" w:eastAsia="Arial" w:hAnsi="Arial"/>
                <w:sz w:val="18"/>
                <w:szCs w:val="18"/>
                <w:color w:val="auto"/>
                <w:w w:val="94"/>
              </w:rPr>
              <w:t>Net income (loss) available to</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(7,356)</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9,439</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8"/>
              </w:rPr>
              <w:t>(16,795)</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color w:val="auto"/>
                <w:w w:val="96"/>
              </w:rPr>
              <w:t>(178)%</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18,614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(22,113)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280" w:type="dxa"/>
            <w:vAlign w:val="bottom"/>
          </w:tcPr>
          <w:p>
            <w:pPr>
              <w:ind w:left="200"/>
              <w:spacing w:after="0" w:line="202" w:lineRule="exact"/>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Non-GAAP core operating</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9,754</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(9,713)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6"/>
              </w:rPr>
              <w:t>(100)%</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17,743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(13,845)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240" w:right="1000" w:firstLine="2"/>
        <w:spacing w:after="0" w:line="226" w:lineRule="auto"/>
        <w:tabs>
          <w:tab w:leader="none" w:pos="403"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Non-GAAP core operating income is a non-GAAP financial measure. The most directly comparable measure under GAAP is net income. See “GAAP Reconciliation and Management Explanation of Non-GAAP Financial Measures” for a reconciliation of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Interest Income</w:t>
      </w:r>
    </w:p>
    <w:p>
      <w:pPr>
        <w:spacing w:after="0" w:line="200" w:lineRule="exact"/>
        <w:rPr>
          <w:sz w:val="20"/>
          <w:szCs w:val="20"/>
          <w:color w:val="auto"/>
        </w:rPr>
      </w:pPr>
    </w:p>
    <w:p>
      <w:pPr>
        <w:spacing w:after="0" w:line="207" w:lineRule="exact"/>
        <w:rPr>
          <w:sz w:val="20"/>
          <w:szCs w:val="20"/>
          <w:color w:val="auto"/>
        </w:rPr>
      </w:pPr>
    </w:p>
    <w:p>
      <w:pPr>
        <w:ind w:left="180" w:right="40" w:firstLine="486"/>
        <w:spacing w:after="0" w:line="301" w:lineRule="auto"/>
        <w:rPr>
          <w:sz w:val="20"/>
          <w:szCs w:val="20"/>
          <w:color w:val="auto"/>
        </w:rPr>
      </w:pPr>
      <w:r>
        <w:rPr>
          <w:rFonts w:ascii="Arial" w:cs="Arial" w:eastAsia="Arial" w:hAnsi="Arial"/>
          <w:sz w:val="16"/>
          <w:szCs w:val="16"/>
          <w:color w:val="auto"/>
        </w:rPr>
        <w:t>We present and discuss net interest income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 The following table presents, for the periods indicated, average balance sheet information, interest income, interest expense and the corresponding average yield and rates paid:</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4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6"/>
                <w:szCs w:val="6"/>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Income /</w:t>
            </w: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6"/>
                <w:szCs w:val="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w:t>
            </w: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Yield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Yield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84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3"/>
                <w:szCs w:val="23"/>
                <w:b w:val="1"/>
                <w:bCs w:val="1"/>
                <w:color w:val="auto"/>
                <w:vertAlign w:val="superscript"/>
              </w:rPr>
              <w:t>(4)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84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3"/>
                <w:szCs w:val="23"/>
                <w:b w:val="1"/>
                <w:bCs w:val="1"/>
                <w:color w:val="auto"/>
                <w:vertAlign w:val="superscript"/>
              </w:rPr>
              <w:t>(4)</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jc w:val="center"/>
              <w:ind w:right="340"/>
              <w:spacing w:after="0"/>
              <w:rPr>
                <w:sz w:val="20"/>
                <w:szCs w:val="20"/>
                <w:color w:val="auto"/>
              </w:rPr>
            </w:pPr>
            <w:r>
              <w:rPr>
                <w:rFonts w:ascii="Arial" w:cs="Arial" w:eastAsia="Arial" w:hAnsi="Arial"/>
                <w:sz w:val="16"/>
                <w:szCs w:val="16"/>
                <w:i w:val="1"/>
                <w:iCs w:val="1"/>
                <w:color w:val="auto"/>
                <w:w w:val="95"/>
              </w:rPr>
              <w:t>(Dollars 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Securities - taxable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290,342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345,005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 tax-exempt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438,525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3,945</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3,529</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2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186,388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110,460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loans, net of unearned income</w:t>
            </w:r>
            <w:r>
              <w:rPr>
                <w:rFonts w:ascii="Arial" w:cs="Arial" w:eastAsia="Arial" w:hAnsi="Arial"/>
                <w:sz w:val="23"/>
                <w:szCs w:val="23"/>
                <w:color w:val="auto"/>
                <w:vertAlign w:val="superscript"/>
              </w:rPr>
              <w:t>(2)(3)</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4,357,055</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46,323</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3,398,297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47,989</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5,272,310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51,939</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4,243,677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54,805</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(60,889)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(41,277)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non-interest-earning assets</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230,092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199,602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5,441,513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4,402,002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Transaction deposits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413,870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144,020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and money market deposits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1,932,723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1,559,979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8,955</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Time deposits</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1,195,445</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5,486</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1,305,244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8,065</w:t>
            </w:r>
          </w:p>
        </w:tc>
        <w:tc>
          <w:tcPr>
            <w:tcW w:w="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interest-bearing deposits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3,542,038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3,009,243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17,497</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FHLB and short-term borrowings</w:t>
            </w:r>
          </w:p>
        </w:tc>
        <w:tc>
          <w:tcPr>
            <w:tcW w:w="2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496,556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371,624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Trust preferred securities, net of fair value</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2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745,864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513,320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funds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4,785,391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10,097</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3,895,082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19,318</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40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44,656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20,040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611,466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486,880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5,441,513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4,402,002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404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top w:val="single" w:sz="8" w:color="auto"/>
              <w:bottom w:val="single" w:sz="8" w:color="CCEEFF"/>
            </w:tcBorders>
          </w:tcPr>
          <w:p>
            <w:pPr>
              <w:spacing w:after="0"/>
              <w:rPr>
                <w:sz w:val="3"/>
                <w:szCs w:val="3"/>
                <w:color w:val="auto"/>
              </w:rPr>
            </w:pPr>
          </w:p>
        </w:tc>
        <w:tc>
          <w:tcPr>
            <w:tcW w:w="9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40" w:type="dxa"/>
            <w:vAlign w:val="bottom"/>
            <w:tcBorders>
              <w:top w:val="single" w:sz="8" w:color="CCEEFF"/>
              <w:bottom w:val="single" w:sz="8" w:color="CCEEFF"/>
            </w:tcBorders>
            <w:shd w:val="clear" w:color="auto" w:fill="CCEEFF"/>
          </w:tcPr>
          <w:p>
            <w:pPr>
              <w:ind w:left="20"/>
              <w:spacing w:after="0" w:line="231"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41,842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35,487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18"/>
                <w:szCs w:val="18"/>
                <w:color w:val="auto"/>
              </w:rPr>
              <w:t>Net interest spread</w:t>
            </w:r>
            <w:r>
              <w:rPr>
                <w:rFonts w:ascii="Arial" w:cs="Arial" w:eastAsia="Arial" w:hAnsi="Arial"/>
                <w:sz w:val="23"/>
                <w:szCs w:val="23"/>
                <w:color w:val="auto"/>
                <w:vertAlign w:val="superscript"/>
              </w:rPr>
              <w:t>(1)</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ind w:left="400" w:hanging="158"/>
        <w:spacing w:after="0" w:line="230" w:lineRule="auto"/>
        <w:tabs>
          <w:tab w:leader="none" w:pos="40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Tax exempt income is calculated on a tax equivalent basis. Tax-free municipal securities are exempt from Federal taxes. The incremental tax rate used is 21.0%.</w:t>
      </w:r>
    </w:p>
    <w:p>
      <w:pPr>
        <w:spacing w:after="0" w:line="24" w:lineRule="exact"/>
        <w:rPr>
          <w:rFonts w:ascii="Arial" w:cs="Arial" w:eastAsia="Arial" w:hAnsi="Arial"/>
          <w:sz w:val="19"/>
          <w:szCs w:val="19"/>
          <w:color w:val="auto"/>
          <w:vertAlign w:val="superscript"/>
        </w:rPr>
      </w:pPr>
    </w:p>
    <w:p>
      <w:pPr>
        <w:ind w:left="400" w:hanging="158"/>
        <w:spacing w:after="0" w:line="211" w:lineRule="auto"/>
        <w:tabs>
          <w:tab w:leader="none" w:pos="40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Loans, net of unearned income includes non-accrual loans of $38 million and $50 million as of June 30, 2020 and 2019, respectively.</w:t>
      </w:r>
    </w:p>
    <w:p>
      <w:pPr>
        <w:spacing w:after="0" w:line="23" w:lineRule="exact"/>
        <w:rPr>
          <w:rFonts w:ascii="Arial" w:cs="Arial" w:eastAsia="Arial" w:hAnsi="Arial"/>
          <w:sz w:val="19"/>
          <w:szCs w:val="19"/>
          <w:color w:val="auto"/>
          <w:vertAlign w:val="superscript"/>
        </w:rPr>
      </w:pPr>
    </w:p>
    <w:p>
      <w:pPr>
        <w:ind w:left="400" w:hanging="158"/>
        <w:spacing w:after="0" w:line="211" w:lineRule="auto"/>
        <w:tabs>
          <w:tab w:leader="none" w:pos="40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Loan interest income includes loan fees of $4 million and $2 million for the three months ended June 30, 2020 and 2019, respectively.</w:t>
      </w:r>
    </w:p>
    <w:p>
      <w:pPr>
        <w:spacing w:after="0" w:line="23" w:lineRule="exact"/>
        <w:rPr>
          <w:rFonts w:ascii="Arial" w:cs="Arial" w:eastAsia="Arial" w:hAnsi="Arial"/>
          <w:sz w:val="19"/>
          <w:szCs w:val="19"/>
          <w:color w:val="auto"/>
          <w:vertAlign w:val="superscript"/>
        </w:rPr>
      </w:pPr>
    </w:p>
    <w:p>
      <w:pPr>
        <w:ind w:left="240" w:right="400" w:firstLine="2"/>
        <w:spacing w:after="0" w:line="231" w:lineRule="auto"/>
        <w:tabs>
          <w:tab w:leader="none" w:pos="389"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Actual unrounded values are used to calculate the reported yield or rate disclosed. Accordingly, recalculations using the amounts in thousands as disclosed in this report may not produce the same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1">
              <w:r>
                <w:rPr>
                  <w:rFonts w:ascii="Arial" w:cs="Arial" w:eastAsia="Arial" w:hAnsi="Arial"/>
                  <w:sz w:val="18"/>
                  <w:szCs w:val="18"/>
                  <w:color w:val="0000FF"/>
                </w:rPr>
                <w:t>of Contents</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6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w:t>
            </w:r>
          </w:p>
        </w:tc>
        <w:tc>
          <w:tcPr>
            <w:tcW w:w="8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Income /</w:t>
            </w: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Yield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Yield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82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3"/>
                <w:szCs w:val="23"/>
                <w:b w:val="1"/>
                <w:bCs w:val="1"/>
                <w:color w:val="auto"/>
                <w:vertAlign w:val="superscript"/>
              </w:rPr>
              <w:t>(4)</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84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3"/>
                <w:szCs w:val="23"/>
                <w:b w:val="1"/>
                <w:bCs w:val="1"/>
                <w:color w:val="auto"/>
                <w:vertAlign w:val="superscript"/>
              </w:rPr>
              <w:t>(4)</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Securities - taxable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299,456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333,879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 tax-exempt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444,948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371,538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Federal funds sold</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19,934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116,171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Gross loans, net of unearned income</w:t>
            </w:r>
            <w:r>
              <w:rPr>
                <w:rFonts w:ascii="Arial" w:cs="Arial" w:eastAsia="Arial" w:hAnsi="Arial"/>
                <w:sz w:val="23"/>
                <w:szCs w:val="23"/>
                <w:color w:val="auto"/>
                <w:vertAlign w:val="superscript"/>
              </w:rPr>
              <w:t>(2)(3)</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4,132,279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94,662</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3,287,935</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92,992</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5,051,034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106,842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4,129,457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106,738</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(40,314)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non-interest-earning assets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218,043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5,209,810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4,285,768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Transaction 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377,883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124,125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Savings and money market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1,909,881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9,388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1,551,996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1,180,704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1,235,317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3,468,468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22,677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2,911,438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FHLB and short-term borrowings</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444,141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377,338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8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Trust preferred securities, net of fair value</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Non-interest-bearing deposits</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643,659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495,377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Cost of funds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4,557,196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26,077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3,785,043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37,030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19,169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481,556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5,209,810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4,285,768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160" w:type="dxa"/>
            <w:vAlign w:val="bottom"/>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7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0" w:type="dxa"/>
            <w:vAlign w:val="bottom"/>
          </w:tcPr>
          <w:p>
            <w:pPr>
              <w:spacing w:after="0"/>
              <w:rPr>
                <w:sz w:val="21"/>
                <w:szCs w:val="21"/>
                <w:color w:val="auto"/>
              </w:rPr>
            </w:pPr>
          </w:p>
        </w:tc>
        <w:tc>
          <w:tcPr>
            <w:tcW w:w="3840" w:type="dxa"/>
            <w:vAlign w:val="bottom"/>
            <w:tcBorders>
              <w:top w:val="single" w:sz="8" w:color="CCEEFF"/>
              <w:bottom w:val="single" w:sz="8" w:color="CCEEFF"/>
            </w:tcBorders>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ind w:left="20"/>
              <w:spacing w:after="0" w:line="257" w:lineRule="exact"/>
              <w:rPr>
                <w:sz w:val="20"/>
                <w:szCs w:val="20"/>
                <w:color w:val="auto"/>
              </w:rPr>
            </w:pPr>
            <w:r>
              <w:rPr>
                <w:rFonts w:ascii="Arial" w:cs="Arial" w:eastAsia="Arial" w:hAnsi="Arial"/>
                <w:sz w:val="18"/>
                <w:szCs w:val="18"/>
                <w:color w:val="auto"/>
              </w:rPr>
              <w:t>Net interest spread</w:t>
            </w:r>
            <w:r>
              <w:rPr>
                <w:rFonts w:ascii="Arial" w:cs="Arial" w:eastAsia="Arial" w:hAnsi="Arial"/>
                <w:sz w:val="23"/>
                <w:szCs w:val="23"/>
                <w:color w:val="auto"/>
                <w:vertAlign w:val="superscript"/>
              </w:rPr>
              <w:t>(1)</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7"/>
        </w:trPr>
        <w:tc>
          <w:tcPr>
            <w:tcW w:w="16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60" w:type="dxa"/>
            <w:vAlign w:val="bottom"/>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00" w:hanging="150"/>
        <w:spacing w:after="0"/>
        <w:tabs>
          <w:tab w:leader="none" w:pos="5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Tax exempt income is calculated on a tax equivalent basis. Tax-free municipal securities are exempt from Federal taxes. The incremental tax rate used is 21.0%.</w:t>
      </w:r>
    </w:p>
    <w:p>
      <w:pPr>
        <w:spacing w:after="0" w:line="23" w:lineRule="exact"/>
        <w:rPr>
          <w:rFonts w:ascii="Arial" w:cs="Arial" w:eastAsia="Arial" w:hAnsi="Arial"/>
          <w:sz w:val="18"/>
          <w:szCs w:val="18"/>
          <w:color w:val="auto"/>
          <w:vertAlign w:val="superscript"/>
        </w:rPr>
      </w:pPr>
    </w:p>
    <w:p>
      <w:pPr>
        <w:ind w:left="500" w:hanging="150"/>
        <w:spacing w:after="0" w:line="223" w:lineRule="auto"/>
        <w:tabs>
          <w:tab w:leader="none" w:pos="5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Loans, net of unearned income includes non-accrual loans of $38 million and $50 million as of June 30, 2020 and 2019, respectively.</w:t>
      </w:r>
    </w:p>
    <w:p>
      <w:pPr>
        <w:spacing w:after="0" w:line="23" w:lineRule="exact"/>
        <w:rPr>
          <w:rFonts w:ascii="Arial" w:cs="Arial" w:eastAsia="Arial" w:hAnsi="Arial"/>
          <w:sz w:val="18"/>
          <w:szCs w:val="18"/>
          <w:color w:val="auto"/>
          <w:vertAlign w:val="superscript"/>
        </w:rPr>
      </w:pPr>
    </w:p>
    <w:p>
      <w:pPr>
        <w:ind w:left="520" w:hanging="170"/>
        <w:spacing w:after="0" w:line="200" w:lineRule="auto"/>
        <w:tabs>
          <w:tab w:leader="none" w:pos="52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Loan interest income includes loan fees of $6 million and $4 million for the six months ended June 30, 2020 and 2019, respectively.</w:t>
      </w:r>
    </w:p>
    <w:p>
      <w:pPr>
        <w:spacing w:after="0" w:line="24" w:lineRule="exact"/>
        <w:rPr>
          <w:rFonts w:ascii="Arial" w:cs="Arial" w:eastAsia="Arial" w:hAnsi="Arial"/>
          <w:sz w:val="20"/>
          <w:szCs w:val="20"/>
          <w:color w:val="auto"/>
          <w:vertAlign w:val="superscript"/>
        </w:rPr>
      </w:pPr>
    </w:p>
    <w:p>
      <w:pPr>
        <w:ind w:left="360" w:right="80" w:hanging="10"/>
        <w:spacing w:after="0" w:line="199" w:lineRule="auto"/>
        <w:tabs>
          <w:tab w:leader="none" w:pos="52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Actual unrounded values are used to calculate the reported yield or rate disclosed. Accordingly, recalculations using the amounts in thousands as disclosed in this report may not produce the same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-637540</wp:posOffset>
            </wp:positionV>
            <wp:extent cx="643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-637540</wp:posOffset>
            </wp:positionV>
            <wp:extent cx="6343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60" w:firstLine="486"/>
        <w:spacing w:after="0" w:line="279" w:lineRule="auto"/>
        <w:rPr>
          <w:sz w:val="20"/>
          <w:szCs w:val="20"/>
          <w:color w:val="auto"/>
        </w:rPr>
      </w:pPr>
      <w:r>
        <w:rPr>
          <w:rFonts w:ascii="Arial" w:cs="Arial" w:eastAsia="Arial" w:hAnsi="Arial"/>
          <w:sz w:val="17"/>
          <w:szCs w:val="17"/>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0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2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89"/>
              </w:rPr>
              <w:t>June 30, 2020 over 2019</w:t>
            </w:r>
          </w:p>
        </w:tc>
        <w:tc>
          <w:tcPr>
            <w:tcW w:w="180" w:type="dxa"/>
            <w:vAlign w:val="bottom"/>
          </w:tcPr>
          <w:p>
            <w:pPr>
              <w:spacing w:after="0"/>
              <w:rPr>
                <w:sz w:val="23"/>
                <w:szCs w:val="23"/>
                <w:color w:val="auto"/>
              </w:rPr>
            </w:pPr>
          </w:p>
        </w:tc>
        <w:tc>
          <w:tcPr>
            <w:tcW w:w="2560" w:type="dxa"/>
            <w:vAlign w:val="bottom"/>
            <w:gridSpan w:val="7"/>
          </w:tcPr>
          <w:p>
            <w:pPr>
              <w:jc w:val="center"/>
              <w:ind w:left="510"/>
              <w:spacing w:after="0"/>
              <w:rPr>
                <w:sz w:val="20"/>
                <w:szCs w:val="20"/>
                <w:color w:val="auto"/>
              </w:rPr>
            </w:pPr>
            <w:r>
              <w:rPr>
                <w:rFonts w:ascii="Arial" w:cs="Arial" w:eastAsia="Arial" w:hAnsi="Arial"/>
                <w:sz w:val="18"/>
                <w:szCs w:val="18"/>
                <w:b w:val="1"/>
                <w:bCs w:val="1"/>
                <w:color w:val="auto"/>
                <w:w w:val="89"/>
              </w:rPr>
              <w:t>June 30, 2020 over 2019</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Yield/Rate</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spacing w:after="0" w:line="262" w:lineRule="exact"/>
              <w:rPr>
                <w:sz w:val="20"/>
                <w:szCs w:val="20"/>
                <w:color w:val="auto"/>
              </w:rPr>
            </w:pPr>
            <w:r>
              <w:rPr>
                <w:rFonts w:ascii="Arial" w:cs="Arial" w:eastAsia="Arial" w:hAnsi="Arial"/>
                <w:sz w:val="18"/>
                <w:szCs w:val="18"/>
                <w:b w:val="1"/>
                <w:bCs w:val="1"/>
                <w:color w:val="auto"/>
              </w:rPr>
              <w:t>Net Change</w:t>
            </w:r>
            <w:r>
              <w:rPr>
                <w:rFonts w:ascii="Arial" w:cs="Arial" w:eastAsia="Arial" w:hAnsi="Arial"/>
                <w:sz w:val="23"/>
                <w:szCs w:val="23"/>
                <w:b w:val="1"/>
                <w:bCs w:val="1"/>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Volume</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1100" w:type="dxa"/>
            <w:vAlign w:val="bottom"/>
            <w:tcBorders>
              <w:bottom w:val="single" w:sz="8" w:color="auto"/>
            </w:tcBorders>
            <w:gridSpan w:val="2"/>
          </w:tcPr>
          <w:p>
            <w:pPr>
              <w:ind w:left="20"/>
              <w:spacing w:after="0" w:line="262" w:lineRule="exact"/>
              <w:rPr>
                <w:sz w:val="20"/>
                <w:szCs w:val="20"/>
                <w:color w:val="auto"/>
              </w:rPr>
            </w:pPr>
            <w:r>
              <w:rPr>
                <w:rFonts w:ascii="Arial" w:cs="Arial" w:eastAsia="Arial" w:hAnsi="Arial"/>
                <w:sz w:val="18"/>
                <w:szCs w:val="18"/>
                <w:b w:val="1"/>
                <w:bCs w:val="1"/>
                <w:color w:val="auto"/>
                <w:w w:val="89"/>
              </w:rPr>
              <w:t>Net Change</w:t>
            </w:r>
            <w:r>
              <w:rPr>
                <w:rFonts w:ascii="Arial" w:cs="Arial" w:eastAsia="Arial" w:hAnsi="Arial"/>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Securities - taxable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 tax-exempt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Federal funds sold</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Gross loans, net of unearned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interest income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Transaction deposits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Savings and money market deposits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(6,302)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37"/>
        </w:trPr>
        <w:tc>
          <w:tcPr>
            <w:tcW w:w="3420" w:type="dxa"/>
            <w:vAlign w:val="bottom"/>
          </w:tcPr>
          <w:p>
            <w:pPr>
              <w:ind w:left="14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(10,578)</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(9,092)</w:t>
            </w: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(10,741)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FHLB and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5"/>
        </w:trPr>
        <w:tc>
          <w:tcPr>
            <w:tcW w:w="3420" w:type="dxa"/>
            <w:vAlign w:val="bottom"/>
          </w:tcPr>
          <w:p>
            <w:pPr>
              <w:ind w:left="140"/>
              <w:spacing w:after="0" w:line="176" w:lineRule="exact"/>
              <w:rPr>
                <w:sz w:val="20"/>
                <w:szCs w:val="20"/>
                <w:color w:val="auto"/>
              </w:rPr>
            </w:pPr>
            <w:r>
              <w:rPr>
                <w:rFonts w:ascii="Arial" w:cs="Arial" w:eastAsia="Arial" w:hAnsi="Arial"/>
                <w:sz w:val="18"/>
                <w:szCs w:val="18"/>
                <w:color w:val="auto"/>
                <w:w w:val="97"/>
              </w:rPr>
              <w:t>Trust preferred securities, net of fair value</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(10,953)</w:t>
            </w:r>
          </w:p>
        </w:tc>
        <w:tc>
          <w:tcPr>
            <w:tcW w:w="0" w:type="dxa"/>
            <w:vAlign w:val="bottom"/>
          </w:tcPr>
          <w:p>
            <w:pPr>
              <w:spacing w:after="0"/>
              <w:rPr>
                <w:sz w:val="1"/>
                <w:szCs w:val="1"/>
                <w:color w:val="auto"/>
              </w:rPr>
            </w:pPr>
          </w:p>
        </w:tc>
      </w:tr>
      <w:tr>
        <w:trPr>
          <w:trHeight w:val="263"/>
        </w:trPr>
        <w:tc>
          <w:tcPr>
            <w:tcW w:w="3420" w:type="dxa"/>
            <w:vAlign w:val="bottom"/>
          </w:tcPr>
          <w:p>
            <w:pPr>
              <w:ind w:left="360"/>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6,355</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20" w:hanging="170"/>
        <w:spacing w:after="0"/>
        <w:tabs>
          <w:tab w:leader="none" w:pos="52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Tax exempt income is calculated on a tax equivalent basis. Tax-free municipal securities are exempt from Federal taxes. The incremental tax rate used is 21.0%.</w:t>
      </w:r>
    </w:p>
    <w:p>
      <w:pPr>
        <w:spacing w:after="0" w:line="23" w:lineRule="exact"/>
        <w:rPr>
          <w:rFonts w:ascii="Arial" w:cs="Arial" w:eastAsia="Arial" w:hAnsi="Arial"/>
          <w:sz w:val="20"/>
          <w:szCs w:val="20"/>
          <w:color w:val="auto"/>
          <w:vertAlign w:val="superscript"/>
        </w:rPr>
      </w:pPr>
    </w:p>
    <w:p>
      <w:pPr>
        <w:ind w:left="520" w:hanging="170"/>
        <w:spacing w:after="0" w:line="223" w:lineRule="auto"/>
        <w:tabs>
          <w:tab w:leader="none" w:pos="5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change in interest not due solely to volume or rate has been allocated in proportion to the respective absolute dollar amounts of the change in volume or 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over 2019</w:t>
      </w:r>
    </w:p>
    <w:p>
      <w:pPr>
        <w:spacing w:after="0" w:line="171" w:lineRule="exact"/>
        <w:rPr>
          <w:sz w:val="20"/>
          <w:szCs w:val="20"/>
          <w:color w:val="auto"/>
        </w:rPr>
      </w:pPr>
    </w:p>
    <w:p>
      <w:pPr>
        <w:ind w:left="180" w:right="340" w:firstLine="486"/>
        <w:spacing w:after="0" w:line="263" w:lineRule="auto"/>
        <w:rPr>
          <w:sz w:val="20"/>
          <w:szCs w:val="20"/>
          <w:color w:val="auto"/>
        </w:rPr>
      </w:pPr>
      <w:r>
        <w:rPr>
          <w:rFonts w:ascii="Arial" w:cs="Arial" w:eastAsia="Arial" w:hAnsi="Arial"/>
          <w:sz w:val="18"/>
          <w:szCs w:val="18"/>
          <w:color w:val="auto"/>
        </w:rPr>
        <w:t>For the three months ended June 30, 2020, net interest income increased $6 million or 18% from the same period in the prior year. Net interest income improved as a result of a $1 billion or 24% increase in average interest-earning assets partially offset by a 16 basis point decline in our net interest margin (“NIM”).</w:t>
      </w:r>
    </w:p>
    <w:p>
      <w:pPr>
        <w:spacing w:after="0" w:line="130" w:lineRule="exact"/>
        <w:rPr>
          <w:sz w:val="20"/>
          <w:szCs w:val="20"/>
          <w:color w:val="auto"/>
        </w:rPr>
      </w:pPr>
    </w:p>
    <w:p>
      <w:pPr>
        <w:ind w:left="180" w:firstLine="486"/>
        <w:spacing w:after="0" w:line="254" w:lineRule="auto"/>
        <w:rPr>
          <w:sz w:val="20"/>
          <w:szCs w:val="20"/>
          <w:color w:val="auto"/>
        </w:rPr>
      </w:pPr>
      <w:r>
        <w:rPr>
          <w:rFonts w:ascii="Arial" w:cs="Arial" w:eastAsia="Arial" w:hAnsi="Arial"/>
          <w:sz w:val="18"/>
          <w:szCs w:val="18"/>
          <w:color w:val="auto"/>
        </w:rPr>
        <w:t>For the three months ended June 30, 2020, NIM was 3.19% compared to 3.35% for the same period in 2019. The lower margin was attributable to a declining interest rate environment. Over the last 12-months, Federal Open Market Committee (“FOMC”) reduced the federal funds rate and resulted in NIM compression as interest-bearing deposits repriced slower than our loan portfolio. The gross loans margin decreased 138 basis points from 5.66% for the three months ended June 30, 2019 to 4.28% for the same period in 2020 while the Company’s cost of funds declined 114 basis points from 1.99% for the three months ended June 30, 2019 to 0.85% for the same period in 2020. During the three months ended June 30, 2020, the Company shortened the duration of FHLB borrowings and adjusted variable rate deposit accounts to help offset declining variable rates on loans. Changes in the yield and rate of interest-earning assets and interest-bearing liabilities decreased net interest income for the three months ended June 30, 2020 by $4 million from the same period in 2019.</w:t>
      </w:r>
    </w:p>
    <w:p>
      <w:pPr>
        <w:spacing w:after="0" w:line="138" w:lineRule="exact"/>
        <w:rPr>
          <w:sz w:val="20"/>
          <w:szCs w:val="20"/>
          <w:color w:val="auto"/>
        </w:rPr>
      </w:pPr>
    </w:p>
    <w:p>
      <w:pPr>
        <w:ind w:left="180" w:right="40" w:firstLine="486"/>
        <w:spacing w:after="0" w:line="259" w:lineRule="auto"/>
        <w:rPr>
          <w:sz w:val="20"/>
          <w:szCs w:val="20"/>
          <w:color w:val="auto"/>
        </w:rPr>
      </w:pPr>
      <w:r>
        <w:rPr>
          <w:rFonts w:ascii="Arial" w:cs="Arial" w:eastAsia="Arial" w:hAnsi="Arial"/>
          <w:sz w:val="18"/>
          <w:szCs w:val="18"/>
          <w:color w:val="auto"/>
        </w:rPr>
        <w:t>Average volume for the three months ended June 30, 2020 compared to the same period in 2019 improved net interest income by $10 million. The increase in average interest-earning assets for the three months ended June 30, 2020 were driven by a $959 million or 28% increase in average loans compared to the same period in 2019. The growth in loans for the three months ended June 30, 2020 was primarily supported by a $533 million or 18% increase in interest-bearing deposits and a $233 million or 45% increase in non-interest-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color w:val="auto"/>
        </w:rPr>
        <w:t>bearing deposits compared to the same period in 2019. The Company anticipates NIM to decline slightly during the last two quarters of 2020 as rate reductions for interest-bearing deposits partially offset continued rate declines in the loan and investment portfolio.</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over 2019</w:t>
      </w:r>
    </w:p>
    <w:p>
      <w:pPr>
        <w:spacing w:after="0" w:line="171" w:lineRule="exact"/>
        <w:rPr>
          <w:sz w:val="20"/>
          <w:szCs w:val="20"/>
          <w:color w:val="auto"/>
        </w:rPr>
      </w:pPr>
    </w:p>
    <w:p>
      <w:pPr>
        <w:ind w:left="180" w:right="420" w:firstLine="486"/>
        <w:spacing w:after="0" w:line="263" w:lineRule="auto"/>
        <w:rPr>
          <w:sz w:val="20"/>
          <w:szCs w:val="20"/>
          <w:color w:val="auto"/>
        </w:rPr>
      </w:pPr>
      <w:r>
        <w:rPr>
          <w:rFonts w:ascii="Arial" w:cs="Arial" w:eastAsia="Arial" w:hAnsi="Arial"/>
          <w:sz w:val="18"/>
          <w:szCs w:val="18"/>
          <w:color w:val="auto"/>
        </w:rPr>
        <w:t>For the six months ended June 30, 2020, net interest income increased $11 million or 16% from the same period in 2019. Net interest income improved as a result of a $922 million or 22% increase in average interest-earning assets, offset by an 18 basis point reduction in NIM due to the declining interest rate environment that repriced our interest-earning assets faster than liabilities.</w:t>
      </w:r>
    </w:p>
    <w:p>
      <w:pPr>
        <w:spacing w:after="0" w:line="130" w:lineRule="exact"/>
        <w:rPr>
          <w:sz w:val="20"/>
          <w:szCs w:val="20"/>
          <w:color w:val="auto"/>
        </w:rPr>
      </w:pPr>
    </w:p>
    <w:p>
      <w:pPr>
        <w:ind w:left="180" w:firstLine="486"/>
        <w:spacing w:after="0" w:line="254" w:lineRule="auto"/>
        <w:rPr>
          <w:sz w:val="20"/>
          <w:szCs w:val="20"/>
          <w:color w:val="auto"/>
        </w:rPr>
      </w:pPr>
      <w:r>
        <w:rPr>
          <w:rFonts w:ascii="Arial" w:cs="Arial" w:eastAsia="Arial" w:hAnsi="Arial"/>
          <w:sz w:val="18"/>
          <w:szCs w:val="18"/>
          <w:color w:val="auto"/>
        </w:rPr>
        <w:t>For the six months ended June 30, 2020, NIM was 3.22% compared to 3.40% for the same period in 2019. The loan yield for the six months ended June 30, 2019 declined 109 basis points compared to the same period in 2019, which was driven by the federal funds rate decline and market competition that decreased interest income by $22 million between these periods. To offset the decline in loan yields, the Company focused on reducing its cost of funds, which decreased 82 basis points for the six months ended June 30, 2020 compared to the same period in 2019. The cost of funds improved primarily from declines in money market and saving account rates, which adjust quicker than time deposit rates for the six months ended June 30, 2020 benefited from a $148 million increase in average non-interest bearing deposits compared to the same period in 2019. Overall, the cost of funds reduced interest expense by $15 million.</w:t>
      </w:r>
    </w:p>
    <w:p>
      <w:pPr>
        <w:spacing w:after="0" w:line="141"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The year-to-date increase in average loans improved interest income by $21 million, while the offsetting increase in deposits and other borrowings increased interest expense by $4 million. The declining rate environment negatively impacted our net interest income by $7 million as loan repricing declined at a faster pace than the funding 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Transition Away from LIBOR</w:t>
      </w:r>
    </w:p>
    <w:p>
      <w:pPr>
        <w:spacing w:after="0" w:line="171" w:lineRule="exact"/>
        <w:rPr>
          <w:sz w:val="20"/>
          <w:szCs w:val="20"/>
          <w:color w:val="auto"/>
        </w:rPr>
      </w:pPr>
    </w:p>
    <w:p>
      <w:pPr>
        <w:ind w:left="180" w:right="60" w:firstLine="486"/>
        <w:spacing w:after="0" w:line="275" w:lineRule="auto"/>
        <w:rPr>
          <w:sz w:val="20"/>
          <w:szCs w:val="20"/>
          <w:color w:val="auto"/>
        </w:rPr>
      </w:pPr>
      <w:r>
        <w:rPr>
          <w:rFonts w:ascii="Arial" w:cs="Arial" w:eastAsia="Arial" w:hAnsi="Arial"/>
          <w:sz w:val="17"/>
          <w:szCs w:val="17"/>
          <w:color w:val="auto"/>
        </w:rPr>
        <w:t>The Company has loans, derivative contracts, and other financial instruments that directly or indirectly depend on LIBOR to establish an interest rate and/or value. This included more than $1 billion in loans tied to LIBOR as of June 30, 2020. LIBOR is expected to cease on December 31, 2021. The impact of alternatives to LIBOR on the valuations, pricing and operation of our financial instruments is not yet known; however, loans, securities, and derivatives indexed to LIBOR that mature after December 31, 2021 may be impacted. As a result, the Company established an internal committee to evaluate potential substitutions and the related financial impact to the Company.</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Provision for Loan Losses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loan losses was as follows for the periods shown:</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3"/>
                <w:szCs w:val="23"/>
                <w:color w:val="auto"/>
              </w:rPr>
            </w:pPr>
          </w:p>
        </w:tc>
      </w:tr>
      <w:tr>
        <w:trPr>
          <w:trHeight w:val="27"/>
        </w:trPr>
        <w:tc>
          <w:tcPr>
            <w:tcW w:w="3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2"/>
          </w:tcPr>
          <w:p>
            <w:pPr>
              <w:jc w:val="right"/>
              <w:ind w:right="513"/>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(Dollars in thousands)</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$ 21,000</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2,850</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4"/>
              </w:rPr>
              <w:t>$ 18,150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$ 34,950</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5,700</w:t>
            </w: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4"/>
              </w:rPr>
              <w:t>$ 29,250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7"/>
        </w:trPr>
        <w:tc>
          <w:tcPr>
            <w:tcW w:w="3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180" w:right="260" w:firstLine="486"/>
        <w:spacing w:after="0" w:line="257" w:lineRule="auto"/>
        <w:rPr>
          <w:sz w:val="20"/>
          <w:szCs w:val="20"/>
          <w:color w:val="auto"/>
        </w:rPr>
      </w:pPr>
      <w:r>
        <w:rPr>
          <w:rFonts w:ascii="Arial" w:cs="Arial" w:eastAsia="Arial" w:hAnsi="Arial"/>
          <w:sz w:val="18"/>
          <w:szCs w:val="18"/>
          <w:color w:val="auto"/>
        </w:rPr>
        <w:t>The allowance for loan losses as of June 30, 2020 was $71 million compared to $43 million as of June 30, 2019. The increase of $28 million or 66% was primarily due to grade migration in the first half of 2020, a $584 million increase in gross loans, excluding PPP loans, from June 30, 2019 to June 30, 2020, and adjustments to the qualitative and quantitative factors used in the ALLL. The allowance as a percentage of loans was 1.61% at June 30, 2020 compared to 1.24% at June 30, 2019. For additional detail regarding the change to the ALLL, refer to the Allowance for Loan Losses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Non-Interest Income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non-interest income were as follows for the periods shown:</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4"/>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42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tcPr>
          <w:p>
            <w:pPr>
              <w:ind w:left="2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Service charges and fees on customer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w w:val="94"/>
              </w:rPr>
              <w:t>Gain on sale of available-for-sale debt securities</w:t>
            </w:r>
          </w:p>
        </w:tc>
        <w:tc>
          <w:tcPr>
            <w:tcW w:w="180" w:type="dxa"/>
            <w:vAlign w:val="bottom"/>
          </w:tcPr>
          <w:p>
            <w:pPr>
              <w:spacing w:after="0"/>
              <w:rPr>
                <w:sz w:val="23"/>
                <w:szCs w:val="23"/>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3"/>
                <w:szCs w:val="23"/>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Impairment of premises and equipment held-for-</w:t>
            </w: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w:t>
            </w:r>
          </w:p>
        </w:tc>
        <w:tc>
          <w:tcPr>
            <w:tcW w:w="1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Gain on sale of loans</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bank-owned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Swap fee income (loss), net</w:t>
            </w: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(191)</w:t>
            </w:r>
          </w:p>
        </w:tc>
        <w:tc>
          <w:tcPr>
            <w:tcW w:w="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ATM and credit card interchange income</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non-interest income</w:t>
            </w:r>
          </w:p>
        </w:tc>
        <w:tc>
          <w:tcPr>
            <w:tcW w:w="1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4,729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non-interest income were driven by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Charges and Fees on Customer Accounts</w:t>
      </w:r>
    </w:p>
    <w:p>
      <w:pPr>
        <w:spacing w:after="0" w:line="171" w:lineRule="exact"/>
        <w:rPr>
          <w:sz w:val="20"/>
          <w:szCs w:val="20"/>
          <w:color w:val="auto"/>
        </w:rPr>
      </w:pPr>
    </w:p>
    <w:p>
      <w:pPr>
        <w:ind w:left="180" w:right="280" w:firstLine="486"/>
        <w:spacing w:after="0" w:line="259" w:lineRule="auto"/>
        <w:rPr>
          <w:sz w:val="20"/>
          <w:szCs w:val="20"/>
          <w:color w:val="auto"/>
        </w:rPr>
      </w:pPr>
      <w:r>
        <w:rPr>
          <w:rFonts w:ascii="Arial" w:cs="Arial" w:eastAsia="Arial" w:hAnsi="Arial"/>
          <w:sz w:val="18"/>
          <w:szCs w:val="18"/>
          <w:color w:val="auto"/>
        </w:rPr>
        <w:t>This category includes a rebate program that attracted additional funding for the Bank and account analysis fees that continue to grow with our customer base, including their outstanding balances. The increase for both the three and six month periods ended June 30, 2020 compared to the same corresponding periods in 2019 was driven by customer growth that resulted in increased analysis fees and reduction in the costs associated with the rebate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 on Sale of Available-for-Sale Securities</w:t>
      </w:r>
    </w:p>
    <w:p>
      <w:pPr>
        <w:spacing w:after="0" w:line="171" w:lineRule="exact"/>
        <w:rPr>
          <w:sz w:val="20"/>
          <w:szCs w:val="20"/>
          <w:color w:val="auto"/>
        </w:rPr>
      </w:pPr>
    </w:p>
    <w:p>
      <w:pPr>
        <w:ind w:left="180" w:right="80" w:firstLine="486"/>
        <w:spacing w:after="0" w:line="296" w:lineRule="auto"/>
        <w:rPr>
          <w:sz w:val="20"/>
          <w:szCs w:val="20"/>
          <w:color w:val="auto"/>
        </w:rPr>
      </w:pPr>
      <w:r>
        <w:rPr>
          <w:rFonts w:ascii="Arial" w:cs="Arial" w:eastAsia="Arial" w:hAnsi="Arial"/>
          <w:sz w:val="16"/>
          <w:szCs w:val="16"/>
          <w:color w:val="auto"/>
        </w:rPr>
        <w:t>The Company sold $19 million and $60 million of securities for the six-month periods ended June 30, 2020 and 2019, respectively. The $280 thousand increase in the gain was primarily due to the declining rate environment, which increased the value of the Company’s securities sold in 2020 compared to the same period in 2019. The 2020 sales were a strategic decision by management to capitalize on attractive market conditions and improve credit quality. For the three-months ended June 30, 2020, gains on sales of securities were lower than in the same period in 2019 primarily from the sale of $15 million in securities during the three-months ended June 30, 2020 compared to $57 million during the same period in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Premises and Equipment Held-for-Sale:</w:t>
      </w:r>
    </w:p>
    <w:p>
      <w:pPr>
        <w:spacing w:after="0" w:line="171" w:lineRule="exact"/>
        <w:rPr>
          <w:sz w:val="20"/>
          <w:szCs w:val="20"/>
          <w:color w:val="auto"/>
        </w:rPr>
      </w:pPr>
    </w:p>
    <w:p>
      <w:pPr>
        <w:ind w:left="180" w:right="680" w:firstLine="486"/>
        <w:spacing w:after="0" w:line="277" w:lineRule="auto"/>
        <w:rPr>
          <w:sz w:val="20"/>
          <w:szCs w:val="20"/>
          <w:color w:val="auto"/>
        </w:rPr>
      </w:pPr>
      <w:r>
        <w:rPr>
          <w:rFonts w:ascii="Arial" w:cs="Arial" w:eastAsia="Arial" w:hAnsi="Arial"/>
          <w:sz w:val="18"/>
          <w:szCs w:val="18"/>
          <w:color w:val="auto"/>
        </w:rPr>
        <w:t>The Company sold a support building during the second quarter of 2019 as our service and support members moved to our new corporate headquarters.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Swap Fee Income, Net</w:t>
      </w:r>
    </w:p>
    <w:p>
      <w:pPr>
        <w:spacing w:after="0" w:line="171" w:lineRule="exact"/>
        <w:rPr>
          <w:sz w:val="20"/>
          <w:szCs w:val="20"/>
          <w:color w:val="auto"/>
        </w:rPr>
      </w:pPr>
    </w:p>
    <w:p>
      <w:pPr>
        <w:ind w:left="180" w:right="60" w:firstLine="486"/>
        <w:spacing w:after="0" w:line="286" w:lineRule="auto"/>
        <w:rPr>
          <w:sz w:val="20"/>
          <w:szCs w:val="20"/>
          <w:color w:val="auto"/>
        </w:rPr>
      </w:pPr>
      <w:r>
        <w:rPr>
          <w:rFonts w:ascii="Arial" w:cs="Arial" w:eastAsia="Arial" w:hAnsi="Arial"/>
          <w:sz w:val="17"/>
          <w:szCs w:val="17"/>
          <w:color w:val="auto"/>
        </w:rPr>
        <w:t>Swap fee income, net includes both swap fees from the execution of new swaps and the credit valuation adjustment (“CVA”). The decline in swap fee income for both the three and six month periods ended June 30, 2020 compared to the same corresponding periods in 2019 was driven by management’s loan and pricing strategy and lower loan originations, excluding PPP loans, as a result of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ATM and Credit Card Interchange Income</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increase in ATM and credit card interchange income for the three and six month periods ended June 30, 2020 compared to the same corresponding periods in 2019 was primarily the result of customers that mobilized their workforce as a result of the COVID-19 pandemic. The Company anticipates the credit card activity will decline slightly in connection with a decline in COVID-19 cases.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Non-Interest Expense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non-interest expense were as follows for the periods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0"/>
              </w:rPr>
              <w:t>Six Months Ended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ind w:left="360"/>
              <w:spacing w:after="0"/>
              <w:rPr>
                <w:sz w:val="20"/>
                <w:szCs w:val="20"/>
                <w:color w:val="auto"/>
              </w:rPr>
            </w:pPr>
            <w:r>
              <w:rPr>
                <w:rFonts w:ascii="Arial" w:cs="Arial" w:eastAsia="Arial" w:hAnsi="Arial"/>
                <w:sz w:val="18"/>
                <w:szCs w:val="18"/>
                <w:b w:val="1"/>
                <w:bCs w:val="1"/>
                <w:color w:val="auto"/>
                <w:w w:val="90"/>
              </w:rPr>
              <w:t>Change</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8"/>
                <w:szCs w:val="18"/>
                <w:b w:val="1"/>
                <w:bCs w:val="1"/>
                <w:color w:val="auto"/>
                <w:w w:val="93"/>
              </w:rPr>
              <w:t>Change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6"/>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 and employee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14,004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4,221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Deposit insurance premiums</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processing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communication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Foreclosed assets, net</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1,116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5,874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1,129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4,516</w:t>
            </w:r>
          </w:p>
        </w:tc>
        <w:tc>
          <w:tcPr>
            <w:tcW w:w="18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Other non-interest expense</w:t>
            </w: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31,010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21,960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9,050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53,233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44,591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8,642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non-interest expenses were driven by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Salary and Employee Benefits</w:t>
      </w:r>
    </w:p>
    <w:p>
      <w:pPr>
        <w:spacing w:after="0" w:line="171" w:lineRule="exact"/>
        <w:rPr>
          <w:sz w:val="20"/>
          <w:szCs w:val="20"/>
          <w:color w:val="auto"/>
        </w:rPr>
      </w:pPr>
    </w:p>
    <w:p>
      <w:pPr>
        <w:ind w:left="180" w:right="20" w:firstLine="486"/>
        <w:spacing w:after="0" w:line="263" w:lineRule="auto"/>
        <w:rPr>
          <w:sz w:val="20"/>
          <w:szCs w:val="20"/>
          <w:color w:val="auto"/>
        </w:rPr>
      </w:pPr>
      <w:r>
        <w:rPr>
          <w:rFonts w:ascii="Arial" w:cs="Arial" w:eastAsia="Arial" w:hAnsi="Arial"/>
          <w:sz w:val="18"/>
          <w:szCs w:val="18"/>
          <w:color w:val="auto"/>
        </w:rPr>
        <w:t>Salary and employee benefit costs declined for both the three and six month periods ended June 30, 2020 compared to the same corresponding periods in 2019 primarily due to lower incentive compensation expenses, as a result of lower earnings in the first half of 2020. The reduction in incentive compensation was partially offset in both periods of 2020 by a slight increase in employees.</w:t>
      </w:r>
    </w:p>
    <w:p>
      <w:pPr>
        <w:spacing w:after="0" w:line="130"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As a result of the COVID-19 pandemic, the Company suspended hiring for the majority of available positions during the three months ended June 30, 2020. As a result, the Company anticipates salary costs will remain relatively flat during the third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Professional Fees</w:t>
      </w:r>
    </w:p>
    <w:p>
      <w:pPr>
        <w:spacing w:after="0" w:line="171"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Professional fees increased for both the three and six-month periods ended June 30, 2020 compared to the same corresponding periods in 2019 primarily from an increase in legal fees as a result of PPP loans and loan workouts. In addition, the Company incurred fees related to the CEO transition that increased the expense for the three and six-months ended June 30, 2020. The Company’s accounting fees increased in 2020 compared to 2019 due to asset growth and the transition from private to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Deposit Insurance Premiums</w:t>
      </w:r>
    </w:p>
    <w:p>
      <w:pPr>
        <w:spacing w:after="0" w:line="171" w:lineRule="exact"/>
        <w:rPr>
          <w:sz w:val="20"/>
          <w:szCs w:val="20"/>
          <w:color w:val="auto"/>
        </w:rPr>
      </w:pPr>
    </w:p>
    <w:p>
      <w:pPr>
        <w:ind w:left="180" w:right="340" w:firstLine="486"/>
        <w:spacing w:after="0" w:line="263" w:lineRule="auto"/>
        <w:rPr>
          <w:sz w:val="20"/>
          <w:szCs w:val="20"/>
          <w:color w:val="auto"/>
        </w:rPr>
      </w:pPr>
      <w:r>
        <w:rPr>
          <w:rFonts w:ascii="Arial" w:cs="Arial" w:eastAsia="Arial" w:hAnsi="Arial"/>
          <w:sz w:val="18"/>
          <w:szCs w:val="18"/>
          <w:color w:val="auto"/>
        </w:rPr>
        <w:t>The FDIC uses a risk-based premium system to calculate the quarterly fee. Our premiums increased for both the three and six-month periods ended June 30, 2020 compared to the same corresponding periods in 2019 as a result of our strong asset growth, changes to our loan mix, and capital ratios, all of which increased our quarterly fee.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171" w:lineRule="exact"/>
        <w:rPr>
          <w:sz w:val="20"/>
          <w:szCs w:val="20"/>
          <w:color w:val="auto"/>
        </w:rPr>
      </w:pPr>
    </w:p>
    <w:p>
      <w:pPr>
        <w:jc w:val="both"/>
        <w:ind w:left="180" w:right="360" w:firstLine="486"/>
        <w:spacing w:after="0" w:line="263" w:lineRule="auto"/>
        <w:rPr>
          <w:sz w:val="20"/>
          <w:szCs w:val="20"/>
          <w:color w:val="auto"/>
        </w:rPr>
      </w:pPr>
      <w:r>
        <w:rPr>
          <w:rFonts w:ascii="Arial" w:cs="Arial" w:eastAsia="Arial" w:hAnsi="Arial"/>
          <w:sz w:val="18"/>
          <w:szCs w:val="18"/>
          <w:color w:val="auto"/>
        </w:rPr>
        <w:t>The decline in advertising costs for the three and six-month periods ended June 30, 2020 primarily resulted from the COVID-19 pandemic. In addition, the year-to-date decline resulted from the Company’s rebranding campaign to update the Bank’s image that increased the 2019 expense by approximately $184 thousand.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Foreclosed Assets, Net</w:t>
      </w:r>
    </w:p>
    <w:p>
      <w:pPr>
        <w:spacing w:after="0" w:line="171"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The increase in foreclosed assets, net for both the three and six month periods ended June 30, 2020 compared to the same corresponding periods in 2019 primarily resulted from new appraisals on the foreclosed assets resulting in a $1 million valuation adjustment during the quarter ended June 30, 2020.</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w:t>
      </w:r>
    </w:p>
    <w:p>
      <w:pPr>
        <w:spacing w:after="0" w:line="171"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The Company performed an interim review for goodwill impairment at June 30, 2020. A quantitative review was performed on the Tulsa market, reporting unit, using a combination of income and market based approaches. The capitalization of earnings, an income approach, used a single period of cash flows, adjusted for growth and a capitalization rate. The market approach used price-to-book multiples of peer banks and included a control premium. The reporting unit’s fair value was less than its book value and resulted in a $7 million impairment.</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(benefit) was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2"/>
              </w:rPr>
              <w:t>Three Months Ended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0"/>
              </w:rPr>
              <w:t>Six Months Ended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7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53"/>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7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6"/>
                <w:szCs w:val="16"/>
                <w:i w:val="1"/>
                <w:iCs w:val="1"/>
                <w:color w:val="auto"/>
                <w:w w:val="97"/>
              </w:rPr>
              <w:t>(Dollars in thousands)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expense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(863)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720" w:type="dxa"/>
            <w:vAlign w:val="bottom"/>
            <w:gridSpan w:val="2"/>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   (3,160)</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(138)%  $</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(570)</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780" w:type="dxa"/>
            <w:vAlign w:val="bottom"/>
            <w:gridSpan w:val="2"/>
            <w:vMerge w:val="restart"/>
            <w:shd w:val="clear" w:color="auto" w:fill="CCEEFF"/>
          </w:tcPr>
          <w:p>
            <w:pPr>
              <w:jc w:val="right"/>
              <w:ind w:right="490"/>
              <w:spacing w:after="0"/>
              <w:rPr>
                <w:sz w:val="20"/>
                <w:szCs w:val="20"/>
                <w:color w:val="auto"/>
              </w:rPr>
            </w:pPr>
            <w:r>
              <w:rPr>
                <w:rFonts w:ascii="Arial" w:cs="Arial" w:eastAsia="Arial" w:hAnsi="Arial"/>
                <w:sz w:val="18"/>
                <w:szCs w:val="18"/>
                <w:color w:val="auto"/>
              </w:rPr>
              <w:t>$   (3,286)</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14.0 %</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80" w:right="60" w:firstLine="486"/>
        <w:spacing w:after="0" w:line="263" w:lineRule="auto"/>
        <w:rPr>
          <w:sz w:val="20"/>
          <w:szCs w:val="20"/>
          <w:color w:val="auto"/>
        </w:rPr>
      </w:pPr>
      <w:r>
        <w:rPr>
          <w:rFonts w:ascii="Arial" w:cs="Arial" w:eastAsia="Arial" w:hAnsi="Arial"/>
          <w:sz w:val="18"/>
          <w:szCs w:val="18"/>
          <w:color w:val="auto"/>
        </w:rPr>
        <w:t>Our income tax expense (benefit) differs from the amount that would be calculated using the federal statutory tax rate, primarily from investments in tax advantaged assets, including bank-owned life insurance and tax-exempt municipal securities; state tax credits; and permanent tax differences from goodwill impairment and equity-based compensation.</w:t>
      </w:r>
    </w:p>
    <w:p>
      <w:pPr>
        <w:spacing w:after="0" w:line="130" w:lineRule="exact"/>
        <w:rPr>
          <w:sz w:val="20"/>
          <w:szCs w:val="20"/>
          <w:color w:val="auto"/>
        </w:rPr>
      </w:pPr>
    </w:p>
    <w:p>
      <w:pPr>
        <w:ind w:left="180" w:right="340" w:firstLine="486"/>
        <w:spacing w:after="0" w:line="259" w:lineRule="auto"/>
        <w:rPr>
          <w:sz w:val="20"/>
          <w:szCs w:val="20"/>
          <w:color w:val="auto"/>
        </w:rPr>
      </w:pPr>
      <w:r>
        <w:rPr>
          <w:rFonts w:ascii="Arial" w:cs="Arial" w:eastAsia="Arial" w:hAnsi="Arial"/>
          <w:sz w:val="18"/>
          <w:szCs w:val="18"/>
          <w:color w:val="auto"/>
        </w:rPr>
        <w:t>The $3 million decrease in income tax expense between the six months ended June 30, 2019 compared to the same period in 2020 primarily relates to a $26 million decrease in income before income taxes during 2020, which reduced taxes at the 21% statutory rate by $5 million; offset by a non-deductible goodwill impairment in 2020 and a $1 million state tax credit recorded in the first quarter of 2019. The state tax credit related to our purchase and improvement of our corporate headquarters.</w:t>
      </w:r>
    </w:p>
    <w:p>
      <w:pPr>
        <w:spacing w:after="0" w:line="133" w:lineRule="exact"/>
        <w:rPr>
          <w:sz w:val="20"/>
          <w:szCs w:val="20"/>
          <w:color w:val="auto"/>
        </w:rPr>
      </w:pPr>
    </w:p>
    <w:p>
      <w:pPr>
        <w:ind w:left="180" w:right="20" w:firstLine="486"/>
        <w:spacing w:after="0" w:line="259" w:lineRule="auto"/>
        <w:rPr>
          <w:sz w:val="20"/>
          <w:szCs w:val="20"/>
          <w:color w:val="auto"/>
        </w:rPr>
      </w:pPr>
      <w:r>
        <w:rPr>
          <w:rFonts w:ascii="Arial" w:cs="Arial" w:eastAsia="Arial" w:hAnsi="Arial"/>
          <w:sz w:val="18"/>
          <w:szCs w:val="18"/>
          <w:color w:val="auto"/>
        </w:rPr>
        <w:t>The decrease in income tax expense during the three months ended June 30, 2020 compared to the same period in 2019 was primarily impacted by a $20 million decrease in income before income taxes that reduced taxes at the statutory rate by $4 million during the 2020 period; partially offset by a non-deductible goodwill impairment during the 2020 period. For both comparable periods, the Company continued to benefit from the tax-exempt municipal bond portfolio and bank-owned life insurance.</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Financial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Balance Sheet Summary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 components of the Company’s Balance Sheet:</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As of</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June 30, 2020</w:t>
            </w:r>
          </w:p>
        </w:tc>
        <w:tc>
          <w:tcPr>
            <w:tcW w:w="4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400" w:type="dxa"/>
            <w:vAlign w:val="bottom"/>
          </w:tcPr>
          <w:p>
            <w:pPr>
              <w:spacing w:after="0"/>
              <w:rPr>
                <w:sz w:val="20"/>
                <w:szCs w:val="20"/>
                <w:color w:val="auto"/>
              </w:rPr>
            </w:pPr>
          </w:p>
        </w:tc>
        <w:tc>
          <w:tcPr>
            <w:tcW w:w="146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(Dollars in thousands)</w:t>
            </w: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5,462,254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4,931,233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531,021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194,371</w:t>
            </w:r>
          </w:p>
        </w:tc>
        <w:tc>
          <w:tcPr>
            <w:tcW w:w="42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187,320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7,051</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700,083</w:t>
            </w: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741,634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(41,551)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Gross loans, net of unearned income</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4,413,224</w:t>
            </w:r>
          </w:p>
        </w:tc>
        <w:tc>
          <w:tcPr>
            <w:tcW w:w="42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3,852,244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560,980</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4,304,143</w:t>
            </w: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3,923,759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380,384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Federal funds purchased and repurchase agreements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49,881</w:t>
            </w:r>
          </w:p>
        </w:tc>
        <w:tc>
          <w:tcPr>
            <w:tcW w:w="42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14,921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34,960</w:t>
            </w:r>
          </w:p>
        </w:tc>
        <w:tc>
          <w:tcPr>
            <w:tcW w:w="76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Home Loan Bank advances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450,617</w:t>
            </w: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358,743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91,874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608,092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601,644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6,448</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75" w:lineRule="exact"/>
        <w:rPr>
          <w:sz w:val="20"/>
          <w:szCs w:val="20"/>
          <w:color w:val="auto"/>
        </w:rPr>
      </w:pPr>
    </w:p>
    <w:p>
      <w:pPr>
        <w:ind w:left="180" w:right="140" w:firstLine="486"/>
        <w:spacing w:after="0" w:line="342" w:lineRule="auto"/>
        <w:rPr>
          <w:sz w:val="20"/>
          <w:szCs w:val="20"/>
          <w:color w:val="auto"/>
        </w:rPr>
      </w:pPr>
      <w:r>
        <w:rPr>
          <w:rFonts w:ascii="Arial" w:cs="Arial" w:eastAsia="Arial" w:hAnsi="Arial"/>
          <w:sz w:val="16"/>
          <w:szCs w:val="16"/>
          <w:color w:val="auto"/>
        </w:rPr>
        <w:t>Asset growth in the first half of 2020 was driven by increases in the loan portfolio, primarily from the Paycheck Protection Program, commercial real estate and residential real estate loan funding. For additional information about the loan portfolio refer to the loan portfolio segment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increase in loans was funded primarily from an increase in FHLB advances and total deposits that raised the loan to deposit ratio from 98% at December 31, 2019 to 103% at June 30, 2020. The increase in total deposits was driven by a $229 million increase in non-interest bearing deposits primarily from the funding of $369 million of PPP loans, a $140 million increase in transaction deposits and a $91 million increase in money market and savings deposits, partially offset by a $79 million decrease in time deposits. For additional information regarding deposits refer to the deposits and other borrowings segment below.</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Portfolio</w:t>
      </w:r>
    </w:p>
    <w:p>
      <w:pPr>
        <w:spacing w:after="0" w:line="164" w:lineRule="exact"/>
        <w:rPr>
          <w:sz w:val="20"/>
          <w:szCs w:val="20"/>
          <w:color w:val="auto"/>
        </w:rPr>
      </w:pPr>
    </w:p>
    <w:p>
      <w:pPr>
        <w:ind w:left="180" w:right="180" w:firstLine="486"/>
        <w:spacing w:after="0" w:line="275" w:lineRule="auto"/>
        <w:rPr>
          <w:sz w:val="20"/>
          <w:szCs w:val="20"/>
          <w:color w:val="auto"/>
        </w:rPr>
      </w:pPr>
      <w:r>
        <w:rPr>
          <w:rFonts w:ascii="Arial" w:cs="Arial" w:eastAsia="Arial" w:hAnsi="Arial"/>
          <w:sz w:val="17"/>
          <w:szCs w:val="17"/>
          <w:color w:val="auto"/>
        </w:rPr>
        <w:t>The investment portfolio is governed by the Company’s investment policy that sets objectives, limits, and liquidity requirements among other items. The investment strategy is generally updated annually in coordination with an independent investment advisor. The portfolio is maintained to serve as a contingent, on-balance sheet source of liquidity. The objective of the investment portfolio is to optimize earnings, manage credit and interest rate risk, ensure adequate liquidity, meet pledging and regulatory capital requirements. The investment portfolio is comprised of government sponsored entity securities and U.S. state and political subdivision securities; limits are set on all securities.</w:t>
      </w:r>
    </w:p>
    <w:p>
      <w:pPr>
        <w:spacing w:after="0" w:line="122"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As of June 30, 2020, available-for-sale investments totaled $700 million, a $42 million decrease from December 31, 2019. The investment decline related to faster prepayments and low reinvestment yield options. For additional information, see “Note 3 - Securities” in the Notes to the Unaudited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Portfolio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consisted of the following as of the dates indicated:</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7"/>
              </w:rPr>
              <w:t>June 30, 2020 vs. December</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31, 2019</w:t>
            </w:r>
          </w:p>
        </w:tc>
        <w:tc>
          <w:tcPr>
            <w:tcW w:w="1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 of Gross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 of Gross</w:t>
            </w: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8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Increase</w:t>
            </w:r>
          </w:p>
        </w:tc>
        <w:tc>
          <w:tcPr>
            <w:tcW w:w="1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Loans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Loans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1,284,919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1,356,817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390,346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408,573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1,141,277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1,024,041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117,236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661,691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628,418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33,273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536,270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398,695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137,575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PPP</w:t>
            </w:r>
          </w:p>
        </w:tc>
        <w:tc>
          <w:tcPr>
            <w:tcW w:w="2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369,022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369,022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45,716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45,163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3"/>
        </w:trPr>
        <w:tc>
          <w:tcPr>
            <w:tcW w:w="3920" w:type="dxa"/>
            <w:vAlign w:val="bottom"/>
          </w:tcPr>
          <w:p>
            <w:pPr>
              <w:ind w:left="140"/>
              <w:spacing w:after="0"/>
              <w:rPr>
                <w:sz w:val="20"/>
                <w:szCs w:val="20"/>
                <w:color w:val="auto"/>
              </w:rPr>
            </w:pPr>
            <w:r>
              <w:rPr>
                <w:rFonts w:ascii="Arial" w:cs="Arial" w:eastAsia="Arial" w:hAnsi="Arial"/>
                <w:sz w:val="18"/>
                <w:szCs w:val="18"/>
                <w:color w:val="auto"/>
              </w:rPr>
              <w:t>Gross loans</w:t>
            </w: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4,429,241</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3,861,707</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567,534</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tcBorders>
          </w:tcPr>
          <w:p>
            <w:pPr>
              <w:spacing w:after="0"/>
              <w:rPr>
                <w:sz w:val="22"/>
                <w:szCs w:val="22"/>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17"/>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Allowance for loan losses</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71,185</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56,896</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14,289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43"/>
        </w:trPr>
        <w:tc>
          <w:tcPr>
            <w:tcW w:w="3920" w:type="dxa"/>
            <w:vAlign w:val="bottom"/>
          </w:tcPr>
          <w:p>
            <w:pPr>
              <w:ind w:left="140"/>
              <w:spacing w:after="0"/>
              <w:rPr>
                <w:sz w:val="20"/>
                <w:szCs w:val="20"/>
                <w:color w:val="auto"/>
              </w:rPr>
            </w:pPr>
            <w:r>
              <w:rPr>
                <w:rFonts w:ascii="Arial" w:cs="Arial" w:eastAsia="Arial" w:hAnsi="Arial"/>
                <w:sz w:val="18"/>
                <w:szCs w:val="18"/>
                <w:color w:val="auto"/>
              </w:rPr>
              <w:t>Less: Net deferred loan fees and costs</w:t>
            </w:r>
          </w:p>
        </w:tc>
        <w:tc>
          <w:tcPr>
            <w:tcW w:w="2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loans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4,342,039</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3,795,348</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546,691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PPP</w:t>
      </w:r>
    </w:p>
    <w:p>
      <w:pPr>
        <w:spacing w:after="0" w:line="171" w:lineRule="exact"/>
        <w:rPr>
          <w:sz w:val="20"/>
          <w:szCs w:val="20"/>
          <w:color w:val="auto"/>
        </w:rPr>
      </w:pPr>
    </w:p>
    <w:p>
      <w:pPr>
        <w:ind w:left="180" w:right="280" w:firstLine="486"/>
        <w:spacing w:after="0" w:line="277" w:lineRule="auto"/>
        <w:rPr>
          <w:sz w:val="20"/>
          <w:szCs w:val="20"/>
          <w:color w:val="auto"/>
        </w:rPr>
      </w:pPr>
      <w:r>
        <w:rPr>
          <w:rFonts w:ascii="Arial" w:cs="Arial" w:eastAsia="Arial" w:hAnsi="Arial"/>
          <w:sz w:val="18"/>
          <w:szCs w:val="18"/>
          <w:color w:val="auto"/>
        </w:rPr>
        <w:t>The Company funded PPP loans in the second quarter of 2020 as a result of the COVID-19 pandemic, representing 65% of the net loan growth from December 31, 2019. The loans are guaranteed by the SBA, earn interest at 1.00%, and include a fee.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171" w:lineRule="exact"/>
        <w:rPr>
          <w:sz w:val="20"/>
          <w:szCs w:val="20"/>
          <w:color w:val="auto"/>
        </w:rPr>
      </w:pPr>
    </w:p>
    <w:p>
      <w:pPr>
        <w:ind w:left="180" w:right="160" w:firstLine="486"/>
        <w:spacing w:after="0" w:line="277" w:lineRule="auto"/>
        <w:rPr>
          <w:sz w:val="20"/>
          <w:szCs w:val="20"/>
          <w:color w:val="auto"/>
        </w:rPr>
      </w:pPr>
      <w:r>
        <w:rPr>
          <w:rFonts w:ascii="Arial" w:cs="Arial" w:eastAsia="Arial" w:hAnsi="Arial"/>
          <w:sz w:val="18"/>
          <w:szCs w:val="18"/>
          <w:color w:val="auto"/>
        </w:rPr>
        <w:t>Growth was from developing relationships with key residential and multifamily real estate developers in our markets. The increase included new loan funding of approximately $63 million with the remaining growth coming from existing loan relationships.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171" w:lineRule="exact"/>
        <w:rPr>
          <w:sz w:val="20"/>
          <w:szCs w:val="20"/>
          <w:color w:val="auto"/>
        </w:rPr>
      </w:pPr>
    </w:p>
    <w:p>
      <w:pPr>
        <w:jc w:val="both"/>
        <w:ind w:left="180" w:right="60" w:firstLine="486"/>
        <w:spacing w:after="0" w:line="263" w:lineRule="auto"/>
        <w:rPr>
          <w:sz w:val="20"/>
          <w:szCs w:val="20"/>
          <w:color w:val="auto"/>
        </w:rPr>
      </w:pPr>
      <w:r>
        <w:rPr>
          <w:rFonts w:ascii="Arial" w:cs="Arial" w:eastAsia="Arial" w:hAnsi="Arial"/>
          <w:sz w:val="18"/>
          <w:szCs w:val="18"/>
          <w:color w:val="auto"/>
        </w:rPr>
        <w:t>Growth was driven by activity in our Dallas and Kansas City markets. Approximately 76% of the portfolio is in Kansas, Missouri, Oklahoma, and Texas. Texas, our largest state concentration, represented approximately 29% of the portfolio as of June 30, 2020. The portfolio remains well diversified with growth in the office space, industrial, and senior living sectors, among others.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w:t>
      </w:r>
    </w:p>
    <w:p>
      <w:pPr>
        <w:spacing w:after="0" w:line="171" w:lineRule="exact"/>
        <w:rPr>
          <w:sz w:val="20"/>
          <w:szCs w:val="20"/>
          <w:color w:val="auto"/>
        </w:rPr>
      </w:pPr>
    </w:p>
    <w:p>
      <w:pPr>
        <w:ind w:left="180" w:right="260" w:firstLine="486"/>
        <w:spacing w:after="0" w:line="342" w:lineRule="auto"/>
        <w:rPr>
          <w:sz w:val="20"/>
          <w:szCs w:val="20"/>
          <w:color w:val="auto"/>
        </w:rPr>
      </w:pPr>
      <w:r>
        <w:rPr>
          <w:rFonts w:ascii="Arial" w:cs="Arial" w:eastAsia="Arial" w:hAnsi="Arial"/>
          <w:sz w:val="16"/>
          <w:szCs w:val="16"/>
          <w:color w:val="auto"/>
        </w:rPr>
        <w:t>Our energy portfolio declined in amount and as a percentage of our loan portfolio from 11% at December 31, 2019 to 9% at June 30, 2020. The Company expects to see less activity in the energy market due to ongoing uncertainty in the sector and a desire to lower our energy concentration.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w:t>
      </w:r>
    </w:p>
    <w:p>
      <w:pPr>
        <w:spacing w:after="0" w:line="171" w:lineRule="exact"/>
        <w:rPr>
          <w:sz w:val="20"/>
          <w:szCs w:val="20"/>
          <w:color w:val="auto"/>
        </w:rPr>
      </w:pPr>
    </w:p>
    <w:p>
      <w:pPr>
        <w:ind w:left="180" w:right="440" w:firstLine="486"/>
        <w:spacing w:after="0" w:line="277" w:lineRule="auto"/>
        <w:rPr>
          <w:sz w:val="20"/>
          <w:szCs w:val="20"/>
          <w:color w:val="auto"/>
        </w:rPr>
      </w:pPr>
      <w:r>
        <w:rPr>
          <w:rFonts w:ascii="Arial" w:cs="Arial" w:eastAsia="Arial" w:hAnsi="Arial"/>
          <w:sz w:val="18"/>
          <w:szCs w:val="18"/>
          <w:color w:val="auto"/>
        </w:rPr>
        <w:t>Declines were the result of increased payoffs that were driven by declines in individual business loans, engineering and construction, vehicle financing, and professional and technical services.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Allowance for Loan Losses (“ALLL”)</w:t>
      </w:r>
    </w:p>
    <w:p>
      <w:pPr>
        <w:spacing w:after="0" w:line="164"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8"/>
          <w:szCs w:val="18"/>
          <w:color w:val="auto"/>
        </w:rPr>
        <w:t>The ALLL is an amount required to cover net loan charge-offs plus the amount considered necessary by the Bank’s management to maintain the balance in the allowance at a level adequate to absorb expected loan losses in the existing loan portfolio. The ALLL is evaluated on at least a quarterly basis. We use a loan grading system and portfolio segmentation to group the portfolio. Each group is evaluated and adjusted for changes in historical trends that may impact the segment. The ALLL at June 30, 2020, represents our best estimate of the incurred credit losses inherent in the loan portfolio at that date.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COVID-19 Pandemic Uncertainties</w:t>
      </w:r>
    </w:p>
    <w:p>
      <w:pPr>
        <w:spacing w:after="0" w:line="164" w:lineRule="exact"/>
        <w:rPr>
          <w:sz w:val="20"/>
          <w:szCs w:val="20"/>
          <w:color w:val="auto"/>
        </w:rPr>
      </w:pPr>
    </w:p>
    <w:p>
      <w:pPr>
        <w:ind w:left="180" w:right="60" w:firstLine="486"/>
        <w:spacing w:after="0" w:line="272" w:lineRule="auto"/>
        <w:rPr>
          <w:sz w:val="20"/>
          <w:szCs w:val="20"/>
          <w:color w:val="auto"/>
        </w:rPr>
      </w:pPr>
      <w:r>
        <w:rPr>
          <w:rFonts w:ascii="Arial" w:cs="Arial" w:eastAsia="Arial" w:hAnsi="Arial"/>
          <w:sz w:val="17"/>
          <w:szCs w:val="17"/>
          <w:color w:val="auto"/>
        </w:rPr>
        <w:t>There are significant uncertainties about what the effects of the COVID-19 pandemic will ultimately be. Depending upon the extent and duration of the future impact of the COVID-19 pandemic, we may need to make additional increases to our provision for loan losses in future periods. The future impact of the pandemic is highly uncertain and cannot be predicted. The extent of the impact on our customers and, in turn, on our business and operations, will depend on future developments, including actions taken to contain the pandemic. To the extent the pandemic continues to cause a recession or decrease economic activity for an extended time period, we expect our business and operations will be negatively impacted. Customers may seek additional loan modifications or restructuring, or we may experience adverse movement in risk classifications, any of which could potentially result in the need to increase provisions and impact the allowance for loan losses.</w:t>
      </w:r>
    </w:p>
    <w:p>
      <w:pPr>
        <w:spacing w:after="0" w:line="123" w:lineRule="exact"/>
        <w:rPr>
          <w:sz w:val="20"/>
          <w:szCs w:val="20"/>
          <w:color w:val="auto"/>
        </w:rPr>
      </w:pPr>
    </w:p>
    <w:p>
      <w:pPr>
        <w:ind w:left="180" w:right="720" w:firstLine="486"/>
        <w:spacing w:after="0" w:line="277" w:lineRule="auto"/>
        <w:rPr>
          <w:sz w:val="20"/>
          <w:szCs w:val="20"/>
          <w:color w:val="auto"/>
        </w:rPr>
      </w:pPr>
      <w:r>
        <w:rPr>
          <w:rFonts w:ascii="Arial" w:cs="Arial" w:eastAsia="Arial" w:hAnsi="Arial"/>
          <w:sz w:val="18"/>
          <w:szCs w:val="18"/>
          <w:color w:val="auto"/>
        </w:rPr>
        <w:t>The allocation in one portfolio segment does not preclude its availability to absorb losses in other segments. The table below presents the allocation of the allowance for loan losses as of the dates indicated:</w:t>
      </w:r>
    </w:p>
    <w:p>
      <w:pPr>
        <w:spacing w:after="0" w:line="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3"/>
          </w:tcPr>
          <w:p>
            <w:pPr>
              <w:jc w:val="right"/>
              <w:ind w:right="1031"/>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Percent of Allowance</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Percent of Allowance</w:t>
            </w:r>
          </w:p>
        </w:tc>
      </w:tr>
      <w:tr>
        <w:trPr>
          <w:trHeight w:val="234"/>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to Total Allowance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to Total Allowance</w:t>
            </w:r>
          </w:p>
        </w:tc>
        <w:tc>
          <w:tcPr>
            <w:tcW w:w="1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6"/>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6"/>
          </w:tcPr>
          <w:p>
            <w:pPr>
              <w:ind w:left="1140"/>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26,543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35,864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17,372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3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3660" w:type="dxa"/>
            <w:vAlign w:val="bottom"/>
          </w:tcPr>
          <w:p>
            <w:pPr>
              <w:ind w:left="140"/>
              <w:spacing w:after="0"/>
              <w:rPr>
                <w:sz w:val="20"/>
                <w:szCs w:val="20"/>
                <w:color w:val="auto"/>
              </w:rPr>
            </w:pPr>
            <w:r>
              <w:rPr>
                <w:rFonts w:ascii="Arial" w:cs="Arial" w:eastAsia="Arial" w:hAnsi="Arial"/>
                <w:sz w:val="18"/>
                <w:szCs w:val="18"/>
                <w:color w:val="auto"/>
              </w:rPr>
              <w:t>Gross loans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71,185</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56,896</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180" w:right="60" w:firstLine="486"/>
        <w:spacing w:after="0" w:line="286" w:lineRule="auto"/>
        <w:rPr>
          <w:sz w:val="20"/>
          <w:szCs w:val="20"/>
          <w:color w:val="auto"/>
        </w:rPr>
      </w:pPr>
      <w:r>
        <w:rPr>
          <w:rFonts w:ascii="Arial" w:cs="Arial" w:eastAsia="Arial" w:hAnsi="Arial"/>
          <w:sz w:val="17"/>
          <w:szCs w:val="17"/>
          <w:color w:val="auto"/>
        </w:rPr>
        <w:t>The $9 million or 26% decline in the commercial loan portfolio ALLL allocation was primarily from an $18 million charge-off in the first quarter of 2020 related to a commercial loan that was substantially reserved for at December 31, 2019 and decline in outstanding commercial loans. This decline was partially offset by grade migration and changes in substandard loans that are discussed in detail below.</w:t>
      </w:r>
    </w:p>
    <w:p>
      <w:pPr>
        <w:spacing w:after="0" w:line="57" w:lineRule="exact"/>
        <w:rPr>
          <w:sz w:val="20"/>
          <w:szCs w:val="20"/>
          <w:color w:val="auto"/>
        </w:rPr>
      </w:pPr>
    </w:p>
    <w:p>
      <w:pPr>
        <w:ind w:left="180" w:right="160" w:firstLine="486"/>
        <w:spacing w:after="0" w:line="263" w:lineRule="auto"/>
        <w:rPr>
          <w:sz w:val="20"/>
          <w:szCs w:val="20"/>
          <w:color w:val="auto"/>
        </w:rPr>
      </w:pPr>
      <w:r>
        <w:rPr>
          <w:rFonts w:ascii="Arial" w:cs="Arial" w:eastAsia="Arial" w:hAnsi="Arial"/>
          <w:sz w:val="18"/>
          <w:szCs w:val="18"/>
          <w:color w:val="auto"/>
        </w:rPr>
        <w:t>The $11 million or 165% increase in the energy ALLL allocation was impacted by grade migration and modified criteria for impaired loans. The $9 million or 109% increase in the commercial real estate loan portfolio ALLL allocation was driven by grade migration and modified criteria for impaired loans that are discussed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loan losses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1">
              <w:r>
                <w:rPr>
                  <w:rFonts w:ascii="Arial" w:cs="Arial" w:eastAsia="Arial" w:hAnsi="Arial"/>
                  <w:sz w:val="18"/>
                  <w:szCs w:val="18"/>
                  <w:color w:val="0000FF"/>
                </w:rPr>
                <w:t>of Contents</w:t>
              </w:r>
            </w:hyperlink>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85"/>
        </w:trPr>
        <w:tc>
          <w:tcPr>
            <w:tcW w:w="16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60" w:type="dxa"/>
            <w:vAlign w:val="bottom"/>
            <w:gridSpan w:val="5"/>
          </w:tcPr>
          <w:p>
            <w:pPr>
              <w:jc w:val="right"/>
              <w:ind w:right="69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loan losses: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51,458</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40,001</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56,896</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37,826</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Construction and land development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PPP</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16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charge-offs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(20,736)</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Borders>
              <w:top w:val="single" w:sz="8" w:color="auto"/>
            </w:tcBorders>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Commercial real estate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Construction and land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Residential real estate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PPP</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Consumer</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16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160" w:type="dxa"/>
            <w:vAlign w:val="bottom"/>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recoveries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16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(charge-offs) recoveries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(20,661)</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Borders>
              <w:top w:val="single" w:sz="8" w:color="auto"/>
            </w:tcBorders>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416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160" w:type="dxa"/>
            <w:vAlign w:val="bottom"/>
          </w:tcPr>
          <w:p>
            <w:pPr>
              <w:spacing w:after="0"/>
              <w:rPr>
                <w:sz w:val="24"/>
                <w:szCs w:val="24"/>
                <w:color w:val="auto"/>
              </w:rPr>
            </w:pP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71,185</w:t>
            </w: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42,852</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71,185</w:t>
            </w: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42,852</w:t>
            </w:r>
          </w:p>
        </w:tc>
        <w:tc>
          <w:tcPr>
            <w:tcW w:w="180" w:type="dxa"/>
            <w:vAlign w:val="bottom"/>
            <w:shd w:val="clear" w:color="auto" w:fill="CCEEFF"/>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1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6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Allowance for loan losses to total loans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1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loan losses to nonperforming loans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84"/>
        </w:trPr>
        <w:tc>
          <w:tcPr>
            <w:tcW w:w="16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charge-offs to average loans</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ind w:left="340" w:hanging="152"/>
        <w:spacing w:after="0" w:line="227"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Interim periods annualized</w:t>
      </w:r>
    </w:p>
    <w:p>
      <w:pPr>
        <w:spacing w:after="0" w:line="154" w:lineRule="exact"/>
        <w:rPr>
          <w:sz w:val="20"/>
          <w:szCs w:val="20"/>
          <w:color w:val="auto"/>
        </w:rPr>
      </w:pPr>
    </w:p>
    <w:p>
      <w:pPr>
        <w:ind w:left="180" w:right="200" w:firstLine="486"/>
        <w:spacing w:after="0" w:line="277" w:lineRule="auto"/>
        <w:rPr>
          <w:sz w:val="20"/>
          <w:szCs w:val="20"/>
          <w:color w:val="auto"/>
        </w:rPr>
      </w:pPr>
      <w:r>
        <w:rPr>
          <w:rFonts w:ascii="Arial" w:cs="Arial" w:eastAsia="Arial" w:hAnsi="Arial"/>
          <w:sz w:val="18"/>
          <w:szCs w:val="18"/>
          <w:color w:val="auto"/>
        </w:rPr>
        <w:t>Our ALLL as of June 30, 2020 increased $28 million or 66% from June 30, 2019 and increased $14 million or 25% from December 31, 2019. A breakdown of the reasons for the change in the ALLL is provided below:</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Charge-offs and Recoveries:</w:t>
      </w:r>
    </w:p>
    <w:p>
      <w:pPr>
        <w:spacing w:after="0" w:line="164" w:lineRule="exact"/>
        <w:rPr>
          <w:sz w:val="20"/>
          <w:szCs w:val="20"/>
          <w:color w:val="auto"/>
        </w:rPr>
      </w:pPr>
    </w:p>
    <w:p>
      <w:pPr>
        <w:ind w:left="180" w:right="20" w:firstLine="486"/>
        <w:spacing w:after="0" w:line="301" w:lineRule="auto"/>
        <w:rPr>
          <w:sz w:val="20"/>
          <w:szCs w:val="20"/>
          <w:color w:val="auto"/>
        </w:rPr>
      </w:pPr>
      <w:r>
        <w:rPr>
          <w:rFonts w:ascii="Arial" w:cs="Arial" w:eastAsia="Arial" w:hAnsi="Arial"/>
          <w:sz w:val="16"/>
          <w:szCs w:val="16"/>
          <w:color w:val="auto"/>
        </w:rPr>
        <w:t>For the quarter ended June 30, 2020, the Company charged-off one energy loan that was classified for several years and accounted for the majority of net charge-offs. During the quarter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six-months ended June 30, 2019, net charge-offs primarily related to one commercial loan relationship.</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Substandard, Accruing Loans:</w:t>
      </w:r>
    </w:p>
    <w:p>
      <w:pPr>
        <w:spacing w:after="0" w:line="164" w:lineRule="exact"/>
        <w:rPr>
          <w:sz w:val="20"/>
          <w:szCs w:val="20"/>
          <w:color w:val="auto"/>
        </w:rPr>
      </w:pPr>
    </w:p>
    <w:p>
      <w:pPr>
        <w:ind w:left="180" w:firstLine="486"/>
        <w:spacing w:after="0" w:line="286" w:lineRule="auto"/>
        <w:rPr>
          <w:sz w:val="20"/>
          <w:szCs w:val="20"/>
          <w:color w:val="auto"/>
        </w:rPr>
      </w:pPr>
      <w:r>
        <w:rPr>
          <w:rFonts w:ascii="Arial" w:cs="Arial" w:eastAsia="Arial" w:hAnsi="Arial"/>
          <w:sz w:val="17"/>
          <w:szCs w:val="17"/>
          <w:color w:val="auto"/>
        </w:rPr>
        <w:t>Prior to the quarter ended June 30, 2020, loans risk rated substandard or lower were considered impaired and evaluated on an individual basis. As of June 30, 2020, loans risk rated substandard and on accrual were evaluated collectively. The new approach provided a better estimate of potential losses inherent in the substandard portfolio. Substandard, accruing loans totaled $200 million at June 30, 2020.</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Grade Migration:</w:t>
      </w:r>
    </w:p>
    <w:p>
      <w:pPr>
        <w:spacing w:after="0" w:line="164" w:lineRule="exact"/>
        <w:rPr>
          <w:sz w:val="20"/>
          <w:szCs w:val="20"/>
          <w:color w:val="auto"/>
        </w:rPr>
      </w:pPr>
    </w:p>
    <w:p>
      <w:pPr>
        <w:jc w:val="both"/>
        <w:ind w:left="180" w:right="100" w:firstLine="486"/>
        <w:spacing w:after="0" w:line="263" w:lineRule="auto"/>
        <w:rPr>
          <w:sz w:val="20"/>
          <w:szCs w:val="20"/>
          <w:color w:val="auto"/>
        </w:rPr>
      </w:pPr>
      <w:r>
        <w:rPr>
          <w:rFonts w:ascii="Arial" w:cs="Arial" w:eastAsia="Arial" w:hAnsi="Arial"/>
          <w:sz w:val="18"/>
          <w:szCs w:val="18"/>
          <w:color w:val="auto"/>
        </w:rPr>
        <w:t>The Company downgraded $777 million of loans between December 31, 2019 and June 30, 2020, including $731 million in the second quarter of 2020, representing 17% of the loan portfolio. Downgrades primarily resulted from the COVID-19 pandemic, lower economic activity, and lower oil and gas prices. Loan categories significantly impacted by downgrades are discussed below.</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Energy:</w:t>
      </w:r>
    </w:p>
    <w:p>
      <w:pPr>
        <w:spacing w:after="0" w:line="117" w:lineRule="exact"/>
        <w:rPr>
          <w:sz w:val="20"/>
          <w:szCs w:val="20"/>
          <w:color w:val="auto"/>
        </w:rPr>
      </w:pPr>
    </w:p>
    <w:p>
      <w:pPr>
        <w:ind w:left="180" w:right="40" w:firstLine="486"/>
        <w:spacing w:after="0" w:line="293" w:lineRule="auto"/>
        <w:rPr>
          <w:sz w:val="20"/>
          <w:szCs w:val="20"/>
          <w:color w:val="auto"/>
        </w:rPr>
      </w:pPr>
      <w:r>
        <w:rPr>
          <w:rFonts w:ascii="Arial" w:cs="Arial" w:eastAsia="Arial" w:hAnsi="Arial"/>
          <w:sz w:val="16"/>
          <w:szCs w:val="16"/>
          <w:color w:val="auto"/>
        </w:rPr>
        <w:t>The increase in supply realized during the first quarter and decrease in demand for oil and natural gas created by the COVID-19 pandemic placed considerable pricing volatility and uncertainty in the market during the first quarter of 2020. As a result, a qualitative adjustment was made on the energy portfolio that increased the ALLL by $2 million from December 31, 2019 to March 31, 2020. The Company monitored borrowers’ reactions to the lower oil and gas prices during the second quarter of 2020. As a result, $239 million of energy loans were downgraded, including $85 million downgraded to substandard and accruing in the second quarter of 2020. The downgrades increased the ALLL by approximately $9 million during the second quarter of 2020. The downgrades were partially offset by removing energy’s qualitative factor added in the first quarter of 2020.</w:t>
      </w:r>
    </w:p>
    <w:p>
      <w:pPr>
        <w:spacing w:after="0" w:line="110" w:lineRule="exact"/>
        <w:rPr>
          <w:sz w:val="20"/>
          <w:szCs w:val="20"/>
          <w:color w:val="auto"/>
        </w:rPr>
      </w:pPr>
    </w:p>
    <w:p>
      <w:pPr>
        <w:ind w:left="180" w:firstLine="486"/>
        <w:spacing w:after="0" w:line="263" w:lineRule="auto"/>
        <w:rPr>
          <w:sz w:val="20"/>
          <w:szCs w:val="20"/>
          <w:color w:val="auto"/>
        </w:rPr>
      </w:pPr>
      <w:r>
        <w:rPr>
          <w:rFonts w:ascii="Arial" w:cs="Arial" w:eastAsia="Arial" w:hAnsi="Arial"/>
          <w:sz w:val="18"/>
          <w:szCs w:val="18"/>
          <w:color w:val="auto"/>
        </w:rPr>
        <w:t>Depressed prices may continue to strain our customers’ cash flows, lower their liquidity, and decrease property values that could continue to create negative grade migration over the next several quarters. The length of the COVID-19 pandemic disruption and the pace of economic recovery will determine the severity of the grade migration and potential loss within the energy portfolio.</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Commercial Real Estate (“CRE”):</w:t>
      </w:r>
    </w:p>
    <w:p>
      <w:pPr>
        <w:spacing w:after="0" w:line="117" w:lineRule="exact"/>
        <w:rPr>
          <w:sz w:val="20"/>
          <w:szCs w:val="20"/>
          <w:color w:val="auto"/>
        </w:rPr>
      </w:pPr>
    </w:p>
    <w:p>
      <w:pPr>
        <w:ind w:left="180" w:right="160" w:firstLine="486"/>
        <w:spacing w:after="0" w:line="257" w:lineRule="auto"/>
        <w:rPr>
          <w:sz w:val="20"/>
          <w:szCs w:val="20"/>
          <w:color w:val="auto"/>
        </w:rPr>
      </w:pPr>
      <w:r>
        <w:rPr>
          <w:rFonts w:ascii="Arial" w:cs="Arial" w:eastAsia="Arial" w:hAnsi="Arial"/>
          <w:sz w:val="18"/>
          <w:szCs w:val="18"/>
          <w:color w:val="auto"/>
        </w:rPr>
        <w:t>The decline in economic activity in the first half of 2020 impacted our CRE borrowers. During the second quarter of 2020, the Company downgraded $300 million of commercial real estate loans, including $240 million downgraded to watch, within our pass rated loan category, and $22 million downgraded to substandard and accruing. The downgrades increased the ALLL by approximately $4 million during the second quarter of 2020. The remaining increase in the ALLL during the second quarter of 2020 was primarily the result of changes in impaired loan reserves and increases in quantitative and qualitative factors on pass-rated loans.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Commercial:</w:t>
      </w:r>
    </w:p>
    <w:p>
      <w:pPr>
        <w:spacing w:after="0" w:line="117" w:lineRule="exact"/>
        <w:rPr>
          <w:sz w:val="20"/>
          <w:szCs w:val="20"/>
          <w:color w:val="auto"/>
        </w:rPr>
      </w:pPr>
    </w:p>
    <w:p>
      <w:pPr>
        <w:ind w:left="180" w:right="80" w:firstLine="486"/>
        <w:spacing w:after="0" w:line="257" w:lineRule="auto"/>
        <w:rPr>
          <w:sz w:val="20"/>
          <w:szCs w:val="20"/>
          <w:color w:val="auto"/>
        </w:rPr>
      </w:pPr>
      <w:r>
        <w:rPr>
          <w:rFonts w:ascii="Arial" w:cs="Arial" w:eastAsia="Arial" w:hAnsi="Arial"/>
          <w:sz w:val="18"/>
          <w:szCs w:val="18"/>
          <w:color w:val="auto"/>
        </w:rPr>
        <w:t>The decline in economic activity in the first half of 2020 significantly impacted supply and demand for products and services in the commercial portfolio. As a result, $35 million of commercial loans were downgraded in the first quarter of 2020. $170 million of loans were downgraded in the second quarter of 2020, including $41 million of loans listed as substandard and accruing. The downgrades increased the ALLL by approximately $3 million from December 31, 2019 to June 30, 2020. In addition, substandard, accruing loans evaluated on an individual basis at March 31, 2020 that were evaluated collectively at June 30, 2020, increased the ALLL by $3 million.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Impaired Loans and Other Factors:</w:t>
      </w:r>
    </w:p>
    <w:p>
      <w:pPr>
        <w:spacing w:after="0" w:line="164" w:lineRule="exact"/>
        <w:rPr>
          <w:sz w:val="20"/>
          <w:szCs w:val="20"/>
          <w:color w:val="auto"/>
        </w:rPr>
      </w:pPr>
    </w:p>
    <w:p>
      <w:pPr>
        <w:jc w:val="both"/>
        <w:ind w:left="180" w:right="180" w:firstLine="486"/>
        <w:spacing w:after="0" w:line="263" w:lineRule="auto"/>
        <w:rPr>
          <w:sz w:val="20"/>
          <w:szCs w:val="20"/>
          <w:color w:val="auto"/>
        </w:rPr>
      </w:pPr>
      <w:r>
        <w:rPr>
          <w:rFonts w:ascii="Arial" w:cs="Arial" w:eastAsia="Arial" w:hAnsi="Arial"/>
          <w:sz w:val="18"/>
          <w:szCs w:val="18"/>
          <w:color w:val="auto"/>
        </w:rPr>
        <w:t>For the six months ended June 30, 2020, the impaired loan portfolio increased the ALLL by $2 million after taking out the impact of the charge-offs mentioned above. For the six months ended June 30, 2020, changes in qualitative and quantitative rates on pass rated loans increased the ALLL by $5 million due to declines in economic activity and the COVID-19 pandemic.</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Nonperforming Assets and Other Asset Quality Metrics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Nonperforming assets include:</w:t>
      </w:r>
    </w:p>
    <w:p>
      <w:pPr>
        <w:spacing w:after="0" w:line="171" w:lineRule="exact"/>
        <w:rPr>
          <w:sz w:val="20"/>
          <w:szCs w:val="20"/>
          <w:color w:val="auto"/>
        </w:rPr>
      </w:pPr>
    </w:p>
    <w:p>
      <w:pPr>
        <w:ind w:left="1300" w:right="240" w:hanging="644"/>
        <w:spacing w:after="0" w:line="277" w:lineRule="auto"/>
        <w:tabs>
          <w:tab w:leader="none" w:pos="12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Nonperforming loans - includes non-accrual loans, loans past due 90 days or more and still accruing interest, and loans modified under troubled debt restructurings (“TDRs”) that are not performing in accordance with their modified terms;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Foreclosed assets held for sale;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Repossessed assets; and</w:t>
      </w:r>
    </w:p>
    <w:p>
      <w:pPr>
        <w:spacing w:after="0" w:line="117" w:lineRule="exact"/>
        <w:rPr>
          <w:rFonts w:ascii="Arial" w:cs="Arial" w:eastAsia="Arial" w:hAnsi="Arial"/>
          <w:sz w:val="18"/>
          <w:szCs w:val="18"/>
          <w:color w:val="auto"/>
        </w:rPr>
      </w:pPr>
    </w:p>
    <w:p>
      <w:pPr>
        <w:ind w:left="1280" w:hanging="624"/>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Impaired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nonperforming assets and related ratios as of the dates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6"/>
          </w:tcPr>
          <w:p>
            <w:pPr>
              <w:jc w:val="center"/>
              <w:ind w:right="100"/>
              <w:spacing w:after="0"/>
              <w:rPr>
                <w:sz w:val="20"/>
                <w:szCs w:val="20"/>
                <w:color w:val="auto"/>
              </w:rPr>
            </w:pPr>
            <w:r>
              <w:rPr>
                <w:rFonts w:ascii="Arial" w:cs="Arial" w:eastAsia="Arial" w:hAnsi="Arial"/>
                <w:sz w:val="16"/>
                <w:szCs w:val="16"/>
                <w:i w:val="1"/>
                <w:iCs w:val="1"/>
                <w:color w:val="auto"/>
                <w:w w:val="93"/>
              </w:rPr>
              <w:t>(Dollars in thousands)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Nonaccrual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39,675</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43,626</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Loans past due 90 days or more and still accruing</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tcPr>
          <w:p>
            <w:pPr>
              <w:spacing w:after="0"/>
              <w:rPr>
                <w:sz w:val="23"/>
                <w:szCs w:val="23"/>
                <w:color w:val="auto"/>
              </w:rPr>
            </w:pPr>
          </w:p>
        </w:tc>
      </w:tr>
      <w:tr>
        <w:trPr>
          <w:trHeight w:val="243"/>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nonperforming loans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Foreclosed assets held for sale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9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nonperforming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2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47,885</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46,739</w:t>
            </w: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52,753</w:t>
            </w:r>
          </w:p>
        </w:tc>
        <w:tc>
          <w:tcPr>
            <w:tcW w:w="200" w:type="dxa"/>
            <w:vAlign w:val="bottom"/>
            <w:shd w:val="clear" w:color="auto" w:fill="CCEEFF"/>
          </w:tcPr>
          <w:p>
            <w:pPr>
              <w:spacing w:after="0"/>
              <w:rPr>
                <w:sz w:val="24"/>
                <w:szCs w:val="24"/>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660" w:type="dxa"/>
            <w:vAlign w:val="bottom"/>
          </w:tcPr>
          <w:p>
            <w:pPr>
              <w:ind w:left="140"/>
              <w:spacing w:after="0"/>
              <w:rPr>
                <w:sz w:val="20"/>
                <w:szCs w:val="20"/>
                <w:color w:val="auto"/>
              </w:rPr>
            </w:pPr>
            <w:r>
              <w:rPr>
                <w:rFonts w:ascii="Arial" w:cs="Arial" w:eastAsia="Arial" w:hAnsi="Arial"/>
                <w:sz w:val="18"/>
                <w:szCs w:val="18"/>
                <w:color w:val="auto"/>
              </w:rPr>
              <w:t>Nonperforming assets to total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Nonperforming loans to total loans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right="60" w:firstLine="486"/>
        <w:spacing w:after="0" w:line="263" w:lineRule="auto"/>
        <w:rPr>
          <w:sz w:val="20"/>
          <w:szCs w:val="20"/>
          <w:color w:val="auto"/>
        </w:rPr>
      </w:pPr>
      <w:r>
        <w:rPr>
          <w:rFonts w:ascii="Arial" w:cs="Arial" w:eastAsia="Arial" w:hAnsi="Arial"/>
          <w:sz w:val="18"/>
          <w:szCs w:val="18"/>
          <w:color w:val="auto"/>
        </w:rPr>
        <w:t>Our nonaccrual loans increased $11 million during the second quarter of 2020 primarily from energy loans that did not meet the criteria to be modified under the CARES Act. Our nonperforming assets at June 30, 2020 decreased by $12 million, as compared to June 30, 2019 primarily related to an $18 million charge-off on a commercial loan that occurred in the first quarter of 2020.</w:t>
      </w:r>
    </w:p>
    <w:p>
      <w:pPr>
        <w:spacing w:after="0" w:line="130" w:lineRule="exact"/>
        <w:rPr>
          <w:sz w:val="20"/>
          <w:szCs w:val="20"/>
          <w:color w:val="auto"/>
        </w:rPr>
      </w:pPr>
    </w:p>
    <w:p>
      <w:pPr>
        <w:ind w:left="180" w:right="40" w:firstLine="486"/>
        <w:spacing w:after="0" w:line="279" w:lineRule="auto"/>
        <w:rPr>
          <w:sz w:val="20"/>
          <w:szCs w:val="20"/>
          <w:color w:val="auto"/>
        </w:rPr>
      </w:pPr>
      <w:r>
        <w:rPr>
          <w:rFonts w:ascii="Arial" w:cs="Arial" w:eastAsia="Arial" w:hAnsi="Arial"/>
          <w:sz w:val="17"/>
          <w:szCs w:val="17"/>
          <w:color w:val="auto"/>
        </w:rPr>
        <w:t>Other asset quality metrics management reviews include loans past due 30 - 89 days and classified loans. The Company defines classified loans as loans categorized as substandard - performing, substandard - nonperforming, doubtful, or loss. The definitions of substandard, doubtful and loss are provided in “Note 4 - Loans and Allowance for Loan Losses” in the Notes to Unaudited Consolidated Financial Statements. The following table summarizes our loans past due 30 - 89 days, classified assets and related ratios as of the dates indicated: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6"/>
          </w:tcPr>
          <w:p>
            <w:pPr>
              <w:jc w:val="center"/>
              <w:ind w:right="10"/>
              <w:spacing w:after="0"/>
              <w:rPr>
                <w:sz w:val="20"/>
                <w:szCs w:val="20"/>
                <w:color w:val="auto"/>
              </w:rPr>
            </w:pPr>
            <w:r>
              <w:rPr>
                <w:rFonts w:ascii="Arial" w:cs="Arial" w:eastAsia="Arial" w:hAnsi="Arial"/>
                <w:sz w:val="16"/>
                <w:szCs w:val="16"/>
                <w:i w:val="1"/>
                <w:iCs w:val="1"/>
                <w:color w:val="auto"/>
                <w:w w:val="93"/>
              </w:rPr>
              <w:t>(Dollars in thousands)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Past Due Detail</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30 - 59 days past due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14,205</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12,934</w:t>
            </w:r>
          </w:p>
        </w:tc>
        <w:tc>
          <w:tcPr>
            <w:tcW w:w="2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6,292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61,941</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15,967</w:t>
            </w:r>
          </w:p>
        </w:tc>
        <w:tc>
          <w:tcPr>
            <w:tcW w:w="2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60 - 89 days past due</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3660" w:type="dxa"/>
            <w:vAlign w:val="bottom"/>
          </w:tcPr>
          <w:p>
            <w:pPr>
              <w:ind w:left="220"/>
              <w:spacing w:after="0"/>
              <w:rPr>
                <w:sz w:val="20"/>
                <w:szCs w:val="20"/>
                <w:color w:val="auto"/>
              </w:rPr>
            </w:pPr>
            <w:r>
              <w:rPr>
                <w:rFonts w:ascii="Arial" w:cs="Arial" w:eastAsia="Arial" w:hAnsi="Arial"/>
                <w:sz w:val="18"/>
                <w:szCs w:val="18"/>
                <w:color w:val="auto"/>
              </w:rPr>
              <w:t>Total 30 - 89 days past due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34,881</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19,538</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64,726</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23,607</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Loans 30 - 89 days past due / gross loans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Classified Loans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Substandard - performing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199,595</w:t>
            </w: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41,546</w:t>
            </w:r>
          </w:p>
        </w:tc>
        <w:tc>
          <w:tcPr>
            <w:tcW w:w="5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Substandard - nonperforming</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37,990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40,930</w:t>
            </w:r>
          </w:p>
        </w:tc>
        <w:tc>
          <w:tcPr>
            <w:tcW w:w="2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Doubtful</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classified loans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237,129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104,519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86,896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20"/>
              <w:spacing w:after="0"/>
              <w:rPr>
                <w:sz w:val="20"/>
                <w:szCs w:val="20"/>
                <w:color w:val="auto"/>
              </w:rPr>
            </w:pPr>
            <w:r>
              <w:rPr>
                <w:rFonts w:ascii="Arial" w:cs="Arial" w:eastAsia="Arial" w:hAnsi="Arial"/>
                <w:sz w:val="18"/>
                <w:szCs w:val="18"/>
                <w:color w:val="auto"/>
              </w:rPr>
              <w:t>Foreclosed assets held for sale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classified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239,631</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108,138</w:t>
            </w:r>
          </w:p>
        </w:tc>
        <w:tc>
          <w:tcPr>
            <w:tcW w:w="2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87,644</w:t>
            </w:r>
          </w:p>
        </w:tc>
        <w:tc>
          <w:tcPr>
            <w:tcW w:w="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90,776</w:t>
            </w:r>
          </w:p>
        </w:tc>
        <w:tc>
          <w:tcPr>
            <w:tcW w:w="200" w:type="dxa"/>
            <w:vAlign w:val="bottom"/>
            <w:shd w:val="clear" w:color="auto" w:fill="CCEEFF"/>
          </w:tcPr>
          <w:p>
            <w:pPr>
              <w:spacing w:after="0"/>
              <w:rPr>
                <w:sz w:val="24"/>
                <w:szCs w:val="24"/>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3660" w:type="dxa"/>
            <w:vAlign w:val="bottom"/>
          </w:tcPr>
          <w:p>
            <w:pPr>
              <w:ind w:left="240"/>
              <w:spacing w:after="0"/>
              <w:rPr>
                <w:sz w:val="20"/>
                <w:szCs w:val="20"/>
                <w:color w:val="auto"/>
              </w:rPr>
            </w:pPr>
            <w:r>
              <w:rPr>
                <w:rFonts w:ascii="Arial" w:cs="Arial" w:eastAsia="Arial" w:hAnsi="Arial"/>
                <w:sz w:val="18"/>
                <w:szCs w:val="18"/>
                <w:color w:val="auto"/>
              </w:rPr>
              <w:t>Classified loans / (total capital + ALLL)</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Classified assets / (total capital + ALLL)</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180" w:right="160" w:firstLine="486"/>
        <w:spacing w:after="0" w:line="259" w:lineRule="auto"/>
        <w:rPr>
          <w:sz w:val="20"/>
          <w:szCs w:val="20"/>
          <w:color w:val="auto"/>
        </w:rPr>
      </w:pPr>
      <w:r>
        <w:rPr>
          <w:rFonts w:ascii="Arial" w:cs="Arial" w:eastAsia="Arial" w:hAnsi="Arial"/>
          <w:sz w:val="18"/>
          <w:szCs w:val="18"/>
          <w:color w:val="auto"/>
        </w:rPr>
        <w:t>During the quarter ended June 30, 2020, past due loans between 30 to 89 days increased $15 million primarily driven by energy loans that were impacted by lower oil and gas prices during the first half of 2020. During the quarter ended March 31, 2020 the Company experienced a $13 million increase in loans past due 30 to 89 days. The increase was primarily driven by two energy loans totaling $6 million that were impacted by lower oil and gas prices and a $3 million commercial real estate loan.</w:t>
      </w:r>
    </w:p>
    <w:p>
      <w:pPr>
        <w:spacing w:after="0" w:line="133" w:lineRule="exact"/>
        <w:rPr>
          <w:sz w:val="20"/>
          <w:szCs w:val="20"/>
          <w:color w:val="auto"/>
        </w:rPr>
      </w:pPr>
    </w:p>
    <w:p>
      <w:pPr>
        <w:jc w:val="both"/>
        <w:ind w:left="180" w:right="220" w:firstLine="486"/>
        <w:spacing w:after="0" w:line="263" w:lineRule="auto"/>
        <w:rPr>
          <w:sz w:val="20"/>
          <w:szCs w:val="20"/>
          <w:color w:val="auto"/>
        </w:rPr>
      </w:pPr>
      <w:r>
        <w:rPr>
          <w:rFonts w:ascii="Arial" w:cs="Arial" w:eastAsia="Arial" w:hAnsi="Arial"/>
          <w:sz w:val="18"/>
          <w:szCs w:val="18"/>
          <w:color w:val="auto"/>
        </w:rPr>
        <w:t>The Company's classified assets as of June 30, 2020 increased $149 million or 165% since December 31, 2019. The increase was due to current economic conditions, including lower oil and gas prices that led to a $101 million increase in substandard energy loans and reduced economic activity that increased commercial substandard loans by $14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100" w:firstLine="486"/>
        <w:spacing w:after="0" w:line="257" w:lineRule="auto"/>
        <w:rPr>
          <w:sz w:val="20"/>
          <w:szCs w:val="20"/>
          <w:color w:val="auto"/>
        </w:rPr>
      </w:pPr>
      <w:r>
        <w:rPr>
          <w:rFonts w:ascii="Arial" w:cs="Arial" w:eastAsia="Arial" w:hAnsi="Arial"/>
          <w:sz w:val="18"/>
          <w:szCs w:val="18"/>
          <w:color w:val="auto"/>
        </w:rPr>
        <w:t>Potential problem loans consist of loans that are performing in accordance with contractual terms, but for which we have concerns about the borrower’s ability to comply with repayment terms and may result in disclosure as an impaired loan next quarter. At June 30, 2020, the Company had approximately $56 million of potential problem loans that were either criticized or a performing, substandard loan, The Company monitors these loans through communication with the borrower(s) and regular performance reviews. Although these loans are generally identified as potential problem loans, they may never become nonperforming.</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Deposits and Other Borrowings</w:t>
      </w:r>
    </w:p>
    <w:p>
      <w:pPr>
        <w:spacing w:after="0" w:line="164" w:lineRule="exact"/>
        <w:rPr>
          <w:sz w:val="20"/>
          <w:szCs w:val="20"/>
          <w:color w:val="auto"/>
        </w:rPr>
      </w:pPr>
    </w:p>
    <w:p>
      <w:pPr>
        <w:ind w:left="180" w:right="120" w:firstLine="486"/>
        <w:spacing w:after="0" w:line="277" w:lineRule="auto"/>
        <w:rPr>
          <w:sz w:val="20"/>
          <w:szCs w:val="20"/>
          <w:color w:val="auto"/>
        </w:rPr>
      </w:pPr>
      <w:r>
        <w:rPr>
          <w:rFonts w:ascii="Arial" w:cs="Arial" w:eastAsia="Arial" w:hAnsi="Arial"/>
          <w:sz w:val="18"/>
          <w:szCs w:val="18"/>
          <w:color w:val="auto"/>
        </w:rPr>
        <w:t>Deposits and other borrowings are used to support our asset growth. Our asset growth requires us to place a greater emphasis on both interest and non-interest-bearing deposits. Other borrowings supplement our core deposit strategy.</w:t>
      </w:r>
    </w:p>
    <w:p>
      <w:pPr>
        <w:spacing w:after="0" w:line="116" w:lineRule="exact"/>
        <w:rPr>
          <w:sz w:val="20"/>
          <w:szCs w:val="20"/>
          <w:color w:val="auto"/>
        </w:rPr>
      </w:pPr>
    </w:p>
    <w:p>
      <w:pPr>
        <w:ind w:left="180" w:right="240" w:firstLine="486"/>
        <w:spacing w:after="0" w:line="279" w:lineRule="auto"/>
        <w:rPr>
          <w:sz w:val="20"/>
          <w:szCs w:val="20"/>
          <w:color w:val="auto"/>
        </w:rPr>
      </w:pPr>
      <w:r>
        <w:rPr>
          <w:rFonts w:ascii="Arial" w:cs="Arial" w:eastAsia="Arial" w:hAnsi="Arial"/>
          <w:sz w:val="17"/>
          <w:szCs w:val="17"/>
          <w:color w:val="auto"/>
        </w:rPr>
        <w:t>At June 30, 2020, our deposits totaled $4 billion, an increase of $380 million or 10% from December 31, 2019. Of this increase, $229 million came in the form of noninterest-bearing deposits driven by $369 million of PPP loans issued during the second quarter of 2020. In addition, customers transitioned from time deposits to savings and interest checking deposits due to the declining interest rate environment that resulted in a $79 million decline in time deposits and a $231 million increase in money market, NOW, and savings deposits.</w:t>
      </w:r>
    </w:p>
    <w:p>
      <w:pPr>
        <w:spacing w:after="0" w:line="117" w:lineRule="exact"/>
        <w:rPr>
          <w:sz w:val="20"/>
          <w:szCs w:val="20"/>
          <w:color w:val="auto"/>
        </w:rPr>
      </w:pPr>
    </w:p>
    <w:p>
      <w:pPr>
        <w:ind w:left="180" w:right="60" w:firstLine="486"/>
        <w:spacing w:after="0" w:line="263" w:lineRule="auto"/>
        <w:rPr>
          <w:sz w:val="20"/>
          <w:szCs w:val="20"/>
          <w:color w:val="auto"/>
        </w:rPr>
      </w:pPr>
      <w:r>
        <w:rPr>
          <w:rFonts w:ascii="Arial" w:cs="Arial" w:eastAsia="Arial" w:hAnsi="Arial"/>
          <w:sz w:val="18"/>
          <w:szCs w:val="18"/>
          <w:color w:val="auto"/>
        </w:rPr>
        <w:t>Other borrowings include repurchase agreements, fed funds purchased, FHLB advances, and our trust preferred security. At June 30, 2020, other borrowings totaled $501 million, a $127 million or 34% increase from December 31, 2019 and a $136 million increase from June 30, 2019. The increase was the result of asset growth and attractive short-term rates on FHLB advances.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165" w:lineRule="exact"/>
        <w:rPr>
          <w:sz w:val="20"/>
          <w:szCs w:val="20"/>
          <w:color w:val="auto"/>
        </w:rPr>
      </w:pPr>
    </w:p>
    <w:p>
      <w:pPr>
        <w:ind w:left="180" w:right="360" w:firstLine="486"/>
        <w:spacing w:after="0" w:line="342" w:lineRule="auto"/>
        <w:rPr>
          <w:sz w:val="20"/>
          <w:szCs w:val="20"/>
          <w:color w:val="auto"/>
        </w:rPr>
      </w:pPr>
      <w:r>
        <w:rPr>
          <w:rFonts w:ascii="Arial" w:cs="Arial" w:eastAsia="Arial" w:hAnsi="Arial"/>
          <w:sz w:val="16"/>
          <w:szCs w:val="16"/>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w:t>
      </w:r>
    </w:p>
    <w:p>
      <w:pPr>
        <w:spacing w:after="0" w:line="70" w:lineRule="exact"/>
        <w:rPr>
          <w:sz w:val="20"/>
          <w:szCs w:val="20"/>
          <w:color w:val="auto"/>
        </w:rPr>
      </w:pPr>
    </w:p>
    <w:p>
      <w:pPr>
        <w:ind w:left="180" w:right="40" w:firstLine="486"/>
        <w:spacing w:after="0" w:line="263" w:lineRule="auto"/>
        <w:rPr>
          <w:sz w:val="20"/>
          <w:szCs w:val="20"/>
          <w:color w:val="auto"/>
        </w:rPr>
      </w:pPr>
      <w:r>
        <w:rPr>
          <w:rFonts w:ascii="Arial" w:cs="Arial" w:eastAsia="Arial" w:hAnsi="Arial"/>
          <w:sz w:val="18"/>
          <w:szCs w:val="18"/>
          <w:color w:val="auto"/>
        </w:rPr>
        <w:t>Liquidity resources can be derived from two sources: (i) on-balance sheet liquidity resources, which represent funds currently on the balance sheet and (ii) off-balance sheet liquidity resources, which represent funds available from third party sources. Our on-balance sheet and off-balance sheet liquidity resources consisted of the following:</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December 31, 2019</w:t>
            </w:r>
          </w:p>
        </w:tc>
        <w:tc>
          <w:tcPr>
            <w:tcW w:w="20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60" w:type="dxa"/>
            <w:vAlign w:val="bottom"/>
            <w:gridSpan w:val="5"/>
          </w:tcPr>
          <w:p>
            <w:pPr>
              <w:jc w:val="right"/>
              <w:ind w:right="135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r>
      <w:tr>
        <w:trPr>
          <w:trHeight w:val="33"/>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on-balance sheet liquidity</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839,821</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888,080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Total off-balance sheet liquidity</w:t>
            </w: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571,252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524,332</w:t>
            </w:r>
          </w:p>
        </w:tc>
        <w:tc>
          <w:tcPr>
            <w:tcW w:w="200" w:type="dxa"/>
            <w:vAlign w:val="bottom"/>
          </w:tcPr>
          <w:p>
            <w:pPr>
              <w:spacing w:after="0"/>
              <w:rPr>
                <w:sz w:val="21"/>
                <w:szCs w:val="2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liquidity</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1,411,073</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1,412,412</w:t>
            </w:r>
          </w:p>
        </w:tc>
        <w:tc>
          <w:tcPr>
            <w:tcW w:w="200" w:type="dxa"/>
            <w:vAlign w:val="bottom"/>
            <w:shd w:val="clear" w:color="auto" w:fill="CCEEFF"/>
          </w:tcPr>
          <w:p>
            <w:pPr>
              <w:spacing w:after="0"/>
              <w:rPr>
                <w:sz w:val="24"/>
                <w:szCs w:val="24"/>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8"/>
                <w:szCs w:val="18"/>
                <w:color w:val="auto"/>
              </w:rPr>
              <w:t>On-balance sheet liquidity as a percent of assets</w:t>
            </w:r>
          </w:p>
        </w:tc>
        <w:tc>
          <w:tcPr>
            <w:tcW w:w="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liquidity as a percent of assets</w:t>
            </w:r>
          </w:p>
        </w:tc>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significant contractual cash obligations to third parties, debt and lease agreements and service obligations as of</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June 30, 2020 and December 31, 2019:</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Less than</w:t>
            </w:r>
          </w:p>
        </w:tc>
        <w:tc>
          <w:tcPr>
            <w:tcW w:w="2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1 to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2 to 5</w:t>
            </w: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932,443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97,992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1,160,541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Fed funds purchased &amp; repurchase agreements</w:t>
            </w: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49,881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49,881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FHLB advances and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215,000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450,617</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Trust preferred security</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2,500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13,121</w:t>
            </w:r>
          </w:p>
        </w:tc>
      </w:tr>
      <w:tr>
        <w:trPr>
          <w:trHeight w:val="264"/>
        </w:trPr>
        <w:tc>
          <w:tcPr>
            <w:tcW w:w="41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1,146,962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121,080</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185,427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223,191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1,676,660</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31"/>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Less than</w:t>
            </w:r>
          </w:p>
        </w:tc>
        <w:tc>
          <w:tcPr>
            <w:tcW w:w="2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1 to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2 to 5</w:t>
            </w: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i w:val="1"/>
                <w:iCs w:val="1"/>
                <w:color w:val="auto"/>
                <w:w w:val="95"/>
              </w:rPr>
              <w:t>(Dollars 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152,979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1,239,746</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Fed funds purchased &amp; repurchase agreements</w:t>
            </w: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14,921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FHLB advances and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206,100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358,743</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Trust preferred security</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2,500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14,058</w:t>
            </w:r>
          </w:p>
        </w:tc>
      </w:tr>
      <w:tr>
        <w:trPr>
          <w:trHeight w:val="263"/>
        </w:trPr>
        <w:tc>
          <w:tcPr>
            <w:tcW w:w="41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986,956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206,051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222,199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214,762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1,629,968</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Resources and Off-Balance Sheet Arrangements</w:t>
      </w:r>
    </w:p>
    <w:p>
      <w:pPr>
        <w:spacing w:after="0" w:line="165" w:lineRule="exact"/>
        <w:rPr>
          <w:sz w:val="20"/>
          <w:szCs w:val="20"/>
          <w:color w:val="auto"/>
        </w:rPr>
      </w:pPr>
    </w:p>
    <w:p>
      <w:pPr>
        <w:ind w:left="180" w:firstLine="486"/>
        <w:spacing w:after="0" w:line="257"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June 30, 2020, the Company and the Bank met all capital adequacy requirements to which they are subject. For additional information, see “Note 9 - Regulatory Matters” in the notes to unaudited consolidated financial statements.</w:t>
      </w:r>
    </w:p>
    <w:p>
      <w:pPr>
        <w:spacing w:after="0" w:line="134"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These off-balance sheet arrangements include commitments to fund loans, standby letters of credit, and previously disclosed future lease obligations in Kansas City, Missouri and Frisco, Texas.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off-balance sheet commitments as of the dates presented: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June 30, 2020</w:t>
            </w:r>
          </w:p>
        </w:tc>
        <w:tc>
          <w:tcPr>
            <w:tcW w:w="340" w:type="dxa"/>
            <w:vAlign w:val="bottom"/>
          </w:tcPr>
          <w:p>
            <w:pPr>
              <w:spacing w:after="0"/>
              <w:rPr>
                <w:sz w:val="20"/>
                <w:szCs w:val="20"/>
                <w:color w:val="auto"/>
              </w:rPr>
            </w:pPr>
          </w:p>
        </w:tc>
        <w:tc>
          <w:tcPr>
            <w:tcW w:w="22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4"/>
          </w:tcPr>
          <w:p>
            <w:pPr>
              <w:spacing w:after="0"/>
              <w:rPr>
                <w:sz w:val="2"/>
                <w:szCs w:val="2"/>
                <w:color w:val="auto"/>
              </w:rPr>
            </w:pPr>
          </w:p>
        </w:tc>
      </w:tr>
      <w:tr>
        <w:trPr>
          <w:trHeight w:val="217"/>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60" w:type="dxa"/>
            <w:vAlign w:val="bottom"/>
            <w:gridSpan w:val="4"/>
          </w:tcPr>
          <w:p>
            <w:pPr>
              <w:jc w:val="right"/>
              <w:ind w:right="177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to fund commercial loans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592,051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602,456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loan commitments</w:t>
            </w:r>
          </w:p>
        </w:tc>
        <w:tc>
          <w:tcPr>
            <w:tcW w:w="420" w:type="dxa"/>
            <w:vAlign w:val="bottom"/>
          </w:tcPr>
          <w:p>
            <w:pPr>
              <w:spacing w:after="0"/>
              <w:rPr>
                <w:sz w:val="21"/>
                <w:szCs w:val="21"/>
                <w:color w:val="auto"/>
              </w:rPr>
            </w:pP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812,386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884,069</w:t>
            </w: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4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39,035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Lease agreements</w:t>
            </w:r>
          </w:p>
        </w:tc>
        <w:tc>
          <w:tcPr>
            <w:tcW w:w="420" w:type="dxa"/>
            <w:vAlign w:val="bottom"/>
          </w:tcPr>
          <w:p>
            <w:pPr>
              <w:spacing w:after="0"/>
              <w:rPr>
                <w:sz w:val="21"/>
                <w:szCs w:val="21"/>
                <w:color w:val="auto"/>
              </w:rPr>
            </w:pP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17,205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20,935</w:t>
            </w:r>
          </w:p>
        </w:tc>
      </w:tr>
      <w:tr>
        <w:trPr>
          <w:trHeight w:val="27"/>
        </w:trPr>
        <w:tc>
          <w:tcPr>
            <w:tcW w:w="5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8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1,459,984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1,546,495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165" w:lineRule="exact"/>
        <w:rPr>
          <w:sz w:val="20"/>
          <w:szCs w:val="20"/>
          <w:color w:val="auto"/>
        </w:rPr>
      </w:pPr>
    </w:p>
    <w:p>
      <w:pPr>
        <w:ind w:left="180" w:right="120" w:firstLine="486"/>
        <w:spacing w:after="0" w:line="296" w:lineRule="auto"/>
        <w:rPr>
          <w:sz w:val="20"/>
          <w:szCs w:val="20"/>
          <w:color w:val="auto"/>
        </w:rPr>
      </w:pPr>
      <w:r>
        <w:rPr>
          <w:rFonts w:ascii="Arial" w:cs="Arial" w:eastAsia="Arial" w:hAnsi="Arial"/>
          <w:sz w:val="16"/>
          <w:szCs w:val="16"/>
          <w:color w:val="auto"/>
        </w:rPr>
        <w:t>The Company identified several accounting policies that are critical to an understanding of our financial condition and results of operations. In addition,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2019 Form 10-K.</w:t>
      </w:r>
    </w:p>
    <w:p>
      <w:pPr>
        <w:spacing w:after="0" w:line="107"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 xml:space="preserve">During the first quarter of 2020, the Company adopted </w:t>
      </w:r>
      <w:r>
        <w:rPr>
          <w:rFonts w:ascii="Arial" w:cs="Arial" w:eastAsia="Arial" w:hAnsi="Arial"/>
          <w:sz w:val="18"/>
          <w:szCs w:val="18"/>
          <w:i w:val="1"/>
          <w:iCs w:val="1"/>
          <w:color w:val="auto"/>
        </w:rPr>
        <w:t>ASU 2017-04: 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ASU simplified the methodology to calculate goodwill impairment by removing a second step required under the old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if goodwill was impaired. The Company believed the updated methodology significantly reduced the complexity to calculate goodwill impairment during the second quarter of 2020 when goodwill was fully impaired.</w:t>
      </w:r>
    </w:p>
    <w:p>
      <w:pPr>
        <w:spacing w:after="0" w:line="133" w:lineRule="exact"/>
        <w:rPr>
          <w:sz w:val="20"/>
          <w:szCs w:val="20"/>
          <w:color w:val="auto"/>
        </w:rPr>
      </w:pPr>
    </w:p>
    <w:p>
      <w:pPr>
        <w:ind w:left="180" w:right="100" w:firstLine="486"/>
        <w:spacing w:after="0" w:line="257" w:lineRule="auto"/>
        <w:rPr>
          <w:sz w:val="20"/>
          <w:szCs w:val="20"/>
          <w:color w:val="auto"/>
        </w:rPr>
      </w:pPr>
      <w:r>
        <w:rPr>
          <w:rFonts w:ascii="Arial" w:cs="Arial" w:eastAsia="Arial" w:hAnsi="Arial"/>
          <w:sz w:val="18"/>
          <w:szCs w:val="18"/>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TDRs that would require additional disclosures. The relief can be applied to modifications of loans to borrowers that were not more than 30 days past due as of December 31, 2019. The Company elected to apply the guidance during the first quarter of 2020. The review of loans that meet the criteria is overseen by the Office of the Chief Credit Officer.</w:t>
      </w:r>
    </w:p>
    <w:p>
      <w:pPr>
        <w:spacing w:after="0" w:line="134" w:lineRule="exact"/>
        <w:rPr>
          <w:sz w:val="20"/>
          <w:szCs w:val="20"/>
          <w:color w:val="auto"/>
        </w:rPr>
      </w:pPr>
    </w:p>
    <w:p>
      <w:pPr>
        <w:ind w:left="180" w:right="800" w:firstLine="486"/>
        <w:spacing w:after="0" w:line="277" w:lineRule="auto"/>
        <w:rPr>
          <w:sz w:val="20"/>
          <w:szCs w:val="20"/>
          <w:color w:val="auto"/>
        </w:rPr>
      </w:pPr>
      <w:r>
        <w:rPr>
          <w:rFonts w:ascii="Arial" w:cs="Arial" w:eastAsia="Arial" w:hAnsi="Arial"/>
          <w:sz w:val="18"/>
          <w:szCs w:val="18"/>
          <w:color w:val="auto"/>
        </w:rPr>
        <w:t>Besides the accounting policy changes mentioned above, there have been no additional changes in the Company’s application of critical accounting policies since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65" w:lineRule="exact"/>
        <w:rPr>
          <w:sz w:val="20"/>
          <w:szCs w:val="20"/>
          <w:color w:val="auto"/>
        </w:rPr>
      </w:pPr>
    </w:p>
    <w:p>
      <w:pPr>
        <w:ind w:left="180" w:right="260" w:firstLine="486"/>
        <w:spacing w:after="0" w:line="263" w:lineRule="auto"/>
        <w:rPr>
          <w:sz w:val="20"/>
          <w:szCs w:val="20"/>
          <w:color w:val="auto"/>
        </w:rPr>
      </w:pPr>
      <w:r>
        <w:rPr>
          <w:rFonts w:ascii="Arial" w:cs="Arial" w:eastAsia="Arial" w:hAnsi="Arial"/>
          <w:sz w:val="18"/>
          <w:szCs w:val="18"/>
          <w:color w:val="auto"/>
        </w:rPr>
        <w:t>The Company provided the following updates to recent accounting pronouncements since December 31, 2019. For additional information on accounting pronouncements, see Note 1 - Nature of Operations and Summary of Significant Accounting Policies. A complete list of recent, applicable accounting pronouncements was provided in the Company’s 2019 form 10-K.</w:t>
      </w:r>
    </w:p>
    <w:p>
      <w:pPr>
        <w:spacing w:after="0" w:line="130" w:lineRule="exact"/>
        <w:rPr>
          <w:sz w:val="20"/>
          <w:szCs w:val="20"/>
          <w:color w:val="auto"/>
        </w:rPr>
      </w:pPr>
    </w:p>
    <w:p>
      <w:pPr>
        <w:ind w:left="180" w:right="160" w:firstLine="486"/>
        <w:spacing w:after="0" w:line="254" w:lineRule="auto"/>
        <w:rPr>
          <w:sz w:val="20"/>
          <w:szCs w:val="20"/>
          <w:color w:val="auto"/>
        </w:rPr>
      </w:pPr>
      <w:r>
        <w:rPr>
          <w:rFonts w:ascii="Arial" w:cs="Arial" w:eastAsia="Arial" w:hAnsi="Arial"/>
          <w:sz w:val="18"/>
          <w:szCs w:val="18"/>
          <w:color w:val="auto"/>
        </w:rPr>
        <w:t>ASU 2016-13, Financial Instruments - Credit Losses - The Company established a committee of individuals from applicable departments to oversee the implementation process. The committee chose a third-party software solution and in the third quarter of 2019, the Company completed the software implementation phase of the transition. The software implementation phase included data capture and portfolio segmentation amongst other items. During the first quarter of 2020, the Company adjusted the underlying assumptions in the model. The Company continued quarterly parallel runs to determine the appropriateness of the factors used and the potential impact on the ALLL. At this time an estimate of the impact to the Company’s financial statements is not known, but the impact could be significantly affected by the composition, characteristics and quality of the underlying loan portfolio at the time of adoption.</w:t>
      </w:r>
    </w:p>
    <w:p>
      <w:pPr>
        <w:spacing w:after="0" w:line="141" w:lineRule="exact"/>
        <w:rPr>
          <w:sz w:val="20"/>
          <w:szCs w:val="20"/>
          <w:color w:val="auto"/>
        </w:rPr>
      </w:pPr>
    </w:p>
    <w:p>
      <w:pPr>
        <w:ind w:left="180" w:firstLine="486"/>
        <w:spacing w:after="0" w:line="273" w:lineRule="auto"/>
        <w:rPr>
          <w:sz w:val="20"/>
          <w:szCs w:val="20"/>
          <w:color w:val="auto"/>
        </w:rPr>
      </w:pPr>
      <w:r>
        <w:rPr>
          <w:rFonts w:ascii="Arial" w:cs="Arial" w:eastAsia="Arial" w:hAnsi="Arial"/>
          <w:sz w:val="17"/>
          <w:szCs w:val="17"/>
          <w:color w:val="auto"/>
        </w:rPr>
        <w:t>ASU 2016-02, Leases (Topic 842) - The Company plans to apply the update as of the beginning of the period of adoption and is not planning to restate comparative periods. The Company expects to elect certain optional practical expedients. The Company gathered all potential lease and embedded lease agreements and is evaluating the applicability and impact to the financial statements. Current operating leases relate primarily to four branch locations and one future lease obligation. Based on these current leases, the Company anticipates recognizing a lease liability and related right-to-use asset on our balance sheet, with an immaterial impact on the income statement compared to the current lease accounting model. However, the ultimate impact of the standard will depend on the Company’s lease portfolio as of the adoption date.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Reconciliation and Management Explanation of Non-GAAP Financial Measures</w:t>
      </w:r>
    </w:p>
    <w:p>
      <w:pPr>
        <w:spacing w:after="0" w:line="165" w:lineRule="exact"/>
        <w:rPr>
          <w:sz w:val="20"/>
          <w:szCs w:val="20"/>
          <w:color w:val="auto"/>
        </w:rPr>
      </w:pPr>
    </w:p>
    <w:p>
      <w:pPr>
        <w:jc w:val="both"/>
        <w:ind w:left="180" w:right="40" w:firstLine="486"/>
        <w:spacing w:after="0" w:line="311" w:lineRule="auto"/>
        <w:rPr>
          <w:sz w:val="20"/>
          <w:szCs w:val="20"/>
          <w:color w:val="auto"/>
        </w:rPr>
      </w:pPr>
      <w:r>
        <w:rPr>
          <w:rFonts w:ascii="Arial" w:cs="Arial" w:eastAsia="Arial" w:hAnsi="Arial"/>
          <w:sz w:val="16"/>
          <w:szCs w:val="16"/>
          <w:color w:val="auto"/>
        </w:rPr>
        <w:t>Non-GAAP financial measures are used by management to evaluate our performance. The non-GAAP financial measures that we discuss should not be considered in isolation or as a substitute for the most directly comparable financial measures calculated in accordance with GAAP. Moreover, the way we calculate these non-GAAP financial measures may differ from that of other companies reporting measures with similar names.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Non-GAAP Core Operating Income (Loss):</w:t>
      </w:r>
    </w:p>
    <w:p>
      <w:pPr>
        <w:spacing w:after="0" w:line="164" w:lineRule="exact"/>
        <w:rPr>
          <w:sz w:val="20"/>
          <w:szCs w:val="20"/>
          <w:color w:val="auto"/>
        </w:rPr>
      </w:pPr>
    </w:p>
    <w:p>
      <w:pPr>
        <w:ind w:left="180" w:right="160" w:firstLine="486"/>
        <w:spacing w:after="0" w:line="277" w:lineRule="auto"/>
        <w:rPr>
          <w:sz w:val="20"/>
          <w:szCs w:val="20"/>
          <w:color w:val="auto"/>
        </w:rPr>
      </w:pPr>
      <w:r>
        <w:rPr>
          <w:rFonts w:ascii="Arial" w:cs="Arial" w:eastAsia="Arial" w:hAnsi="Arial"/>
          <w:sz w:val="18"/>
          <w:szCs w:val="18"/>
          <w:color w:val="auto"/>
        </w:rPr>
        <w:t>We calculate “non-GAAP core operating income (loss)” as net income (loss) adjusted to remove non-recurring or non-core income and expense items related to:</w:t>
      </w:r>
    </w:p>
    <w:p>
      <w:pPr>
        <w:spacing w:after="0" w:line="116" w:lineRule="exact"/>
        <w:rPr>
          <w:sz w:val="20"/>
          <w:szCs w:val="20"/>
          <w:color w:val="auto"/>
        </w:rPr>
      </w:pPr>
    </w:p>
    <w:p>
      <w:pPr>
        <w:ind w:left="1300" w:right="20" w:hanging="644"/>
        <w:spacing w:after="0" w:line="259"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associated with two buildings that were held-for-sale - We acquired a larger corporate headquarters to accommodate our business needs that eliminated the need for two smaller support buildings. The two smaller support buildings had been acquired recently and were extensively remodeled, which resulted in a difference between book and market value for those assets. We sold one of the buildings in 2018 and the other in the second quarter of 2019.</w:t>
      </w:r>
    </w:p>
    <w:p>
      <w:pPr>
        <w:spacing w:after="0" w:line="78"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tax credits - As a result of the purchase and improvement of our new corporate headquarters we received state tax credits.</w:t>
      </w:r>
    </w:p>
    <w:p>
      <w:pPr>
        <w:spacing w:after="0" w:line="128" w:lineRule="exact"/>
        <w:rPr>
          <w:rFonts w:ascii="Arial" w:cs="Arial" w:eastAsia="Arial" w:hAnsi="Arial"/>
          <w:sz w:val="17"/>
          <w:szCs w:val="17"/>
          <w:color w:val="auto"/>
        </w:rPr>
      </w:pPr>
    </w:p>
    <w:p>
      <w:pPr>
        <w:ind w:left="1300" w:right="180" w:hanging="644"/>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impairment - We performed an interim review of goodwill as of June 30, 2020. The book value of goodwill exceeded its fair market value and resulted in a full $7 million impairment.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directly comparable GAAP financial measure for non-GAAP core operating income (loss) is net income.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Non-GAAP Core Operating Return on Average Assets:</w:t>
      </w:r>
    </w:p>
    <w:p>
      <w:pPr>
        <w:spacing w:after="0" w:line="164" w:lineRule="exact"/>
        <w:rPr>
          <w:sz w:val="20"/>
          <w:szCs w:val="20"/>
          <w:color w:val="auto"/>
        </w:rPr>
      </w:pPr>
    </w:p>
    <w:p>
      <w:pPr>
        <w:ind w:left="180" w:right="120" w:firstLine="486"/>
        <w:spacing w:after="0" w:line="342" w:lineRule="auto"/>
        <w:rPr>
          <w:sz w:val="20"/>
          <w:szCs w:val="20"/>
          <w:color w:val="auto"/>
        </w:rPr>
      </w:pPr>
      <w:r>
        <w:rPr>
          <w:rFonts w:ascii="Arial" w:cs="Arial" w:eastAsia="Arial" w:hAnsi="Arial"/>
          <w:sz w:val="16"/>
          <w:szCs w:val="16"/>
          <w:color w:val="auto"/>
        </w:rPr>
        <w:t>We calculate “non-GAAP core operating return on average assets” as non-GAAP core operating income (as defined above) divided by average assets. The most directly comparable GAAP financial measure is return on average assets, which is calculated as net income divided by average assets.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Non-GAAP Core Operating Return on Average Common Equity:</w:t>
      </w:r>
    </w:p>
    <w:p>
      <w:pPr>
        <w:spacing w:after="0" w:line="164" w:lineRule="exact"/>
        <w:rPr>
          <w:sz w:val="20"/>
          <w:szCs w:val="20"/>
          <w:color w:val="auto"/>
        </w:rPr>
      </w:pPr>
    </w:p>
    <w:p>
      <w:pPr>
        <w:ind w:left="180" w:right="240" w:firstLine="486"/>
        <w:spacing w:after="0" w:line="263" w:lineRule="auto"/>
        <w:rPr>
          <w:sz w:val="20"/>
          <w:szCs w:val="20"/>
          <w:color w:val="auto"/>
        </w:rPr>
      </w:pPr>
      <w:r>
        <w:rPr>
          <w:rFonts w:ascii="Arial" w:cs="Arial" w:eastAsia="Arial" w:hAnsi="Arial"/>
          <w:sz w:val="18"/>
          <w:szCs w:val="18"/>
          <w:color w:val="auto"/>
        </w:rPr>
        <w:t>We calculate “non-GAAP core operating return on average common equity” as non-GAAP core operating income (loss) (defined above) less preferred dividends divided by average common equity. The most directly comparable GAAP financial measure is return on average common equity, which is calculated as net income (loss) less preferred dividends divided by average common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Non-GAAP Core Operating Efficiency Ratio - Fully Tax Equivalent:</w:t>
      </w:r>
    </w:p>
    <w:p>
      <w:pPr>
        <w:spacing w:after="0" w:line="164" w:lineRule="exact"/>
        <w:rPr>
          <w:sz w:val="20"/>
          <w:szCs w:val="20"/>
          <w:color w:val="auto"/>
        </w:rPr>
      </w:pPr>
    </w:p>
    <w:p>
      <w:pPr>
        <w:ind w:left="180" w:right="140" w:firstLine="486"/>
        <w:spacing w:after="0" w:line="259" w:lineRule="auto"/>
        <w:rPr>
          <w:sz w:val="20"/>
          <w:szCs w:val="20"/>
          <w:color w:val="auto"/>
        </w:rPr>
      </w:pPr>
      <w:r>
        <w:rPr>
          <w:rFonts w:ascii="Arial" w:cs="Arial" w:eastAsia="Arial" w:hAnsi="Arial"/>
          <w:sz w:val="18"/>
          <w:szCs w:val="18"/>
          <w:color w:val="auto"/>
        </w:rPr>
        <w:t>We calculate “non-GAAP core operating efficiency ratio - fully tax equivalent” as non-interest expense adjusted to remove non-recurring non-interest expenses as defined under non-GAAP core operating income (loss) divided by net interest income on a fully tax-equivalent basis plus non-interest income adjusted to remove non-recurring non-interest income or expense items as defined under non-GAAP core operating income (loss). The most directly comparable GAAP financial measure is the efficiency ratio.</w:t>
      </w:r>
    </w:p>
    <w:p>
      <w:pPr>
        <w:spacing w:after="0" w:line="133"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Management believes that non-GAAP core operating income (loss), non-GAAP core operating return on average assets, non-GAAP core operating return on average common equity and non-GAAP core operating efficiency ratio -fully tax equivalent remove events that are not recurring or not part of core business activities and are useful analytical tools for investors to compare periods excluding these non-recurring or non-core income and charges.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100" w:firstLine="486"/>
        <w:spacing w:after="0" w:line="277" w:lineRule="auto"/>
        <w:rPr>
          <w:sz w:val="20"/>
          <w:szCs w:val="20"/>
          <w:color w:val="auto"/>
        </w:rPr>
      </w:pPr>
      <w:r>
        <w:rPr>
          <w:rFonts w:ascii="Arial" w:cs="Arial" w:eastAsia="Arial" w:hAnsi="Arial"/>
          <w:sz w:val="18"/>
          <w:szCs w:val="18"/>
          <w:color w:val="auto"/>
        </w:rPr>
        <w:t>The following table reconciles, as of the dates set forth below, net income to non-GAAP core operating income, non-GAAP core operating return on average assets, non-GAAP core operating return on average equity and non-GAAP core operating efficiency ratio:</w:t>
      </w:r>
    </w:p>
    <w:p>
      <w:pPr>
        <w:spacing w:after="0" w:line="166"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6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June</w:t>
            </w:r>
          </w:p>
        </w:tc>
        <w:tc>
          <w:tcPr>
            <w:tcW w:w="900" w:type="dxa"/>
            <w:vAlign w:val="bottom"/>
          </w:tcPr>
          <w:p>
            <w:pPr>
              <w:ind w:left="360"/>
              <w:spacing w:after="0"/>
              <w:rPr>
                <w:sz w:val="20"/>
                <w:szCs w:val="20"/>
                <w:color w:val="auto"/>
              </w:rPr>
            </w:pPr>
            <w:r>
              <w:rPr>
                <w:rFonts w:ascii="Arial" w:cs="Arial" w:eastAsia="Arial" w:hAnsi="Arial"/>
                <w:sz w:val="18"/>
                <w:szCs w:val="18"/>
                <w:b w:val="1"/>
                <w:bCs w:val="1"/>
                <w:color w:val="auto"/>
                <w:w w:val="98"/>
              </w:rPr>
              <w:t>March</w:t>
            </w:r>
          </w:p>
        </w:tc>
        <w:tc>
          <w:tcPr>
            <w:tcW w:w="140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December</w:t>
            </w: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September</w:t>
            </w: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w:t>
            </w:r>
          </w:p>
        </w:tc>
        <w:tc>
          <w:tcPr>
            <w:tcW w:w="1080" w:type="dxa"/>
            <w:vAlign w:val="bottom"/>
          </w:tcPr>
          <w:p>
            <w:pPr>
              <w:ind w:left="340"/>
              <w:spacing w:after="0"/>
              <w:rPr>
                <w:sz w:val="20"/>
                <w:szCs w:val="20"/>
                <w:color w:val="auto"/>
              </w:rPr>
            </w:pPr>
            <w:r>
              <w:rPr>
                <w:rFonts w:ascii="Arial" w:cs="Arial" w:eastAsia="Arial" w:hAnsi="Arial"/>
                <w:sz w:val="18"/>
                <w:szCs w:val="18"/>
                <w:b w:val="1"/>
                <w:bCs w:val="1"/>
                <w:color w:val="auto"/>
              </w:rPr>
              <w:t>June</w:t>
            </w:r>
          </w:p>
        </w:tc>
        <w:tc>
          <w:tcPr>
            <w:tcW w:w="1100" w:type="dxa"/>
            <w:vAlign w:val="bottom"/>
          </w:tcPr>
          <w:p>
            <w:pPr>
              <w:ind w:left="380"/>
              <w:spacing w:after="0"/>
              <w:rPr>
                <w:sz w:val="20"/>
                <w:szCs w:val="20"/>
                <w:color w:val="auto"/>
              </w:rPr>
            </w:pPr>
            <w:r>
              <w:rPr>
                <w:rFonts w:ascii="Arial" w:cs="Arial" w:eastAsia="Arial" w:hAnsi="Arial"/>
                <w:sz w:val="18"/>
                <w:szCs w:val="18"/>
                <w:b w:val="1"/>
                <w:bCs w:val="1"/>
                <w:color w:val="auto"/>
              </w:rPr>
              <w:t>June</w:t>
            </w:r>
          </w:p>
        </w:tc>
      </w:tr>
      <w:tr>
        <w:trPr>
          <w:trHeight w:val="270"/>
        </w:trPr>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31,</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31,</w:t>
            </w: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30,</w:t>
            </w:r>
          </w:p>
        </w:tc>
      </w:tr>
      <w:tr>
        <w:trPr>
          <w:trHeight w:val="270"/>
        </w:trPr>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4972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34925</wp:posOffset>
            </wp:positionV>
            <wp:extent cx="701230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Non-GAAP core operating income (loss):</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10,384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fixed asset impairments</w:t>
            </w: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tax effect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 impairments, net of tax</w:t>
            </w: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Add: Goodwill impairment</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state tax credit</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156"/>
        </w:trPr>
        <w:tc>
          <w:tcPr>
            <w:tcW w:w="3220" w:type="dxa"/>
            <w:vAlign w:val="bottom"/>
          </w:tcPr>
          <w:p>
            <w:pPr>
              <w:ind w:left="160"/>
              <w:spacing w:after="0" w:line="156" w:lineRule="exact"/>
              <w:rPr>
                <w:sz w:val="20"/>
                <w:szCs w:val="20"/>
                <w:color w:val="auto"/>
              </w:rPr>
            </w:pPr>
            <w:r>
              <w:rPr>
                <w:rFonts w:ascii="Arial" w:cs="Arial" w:eastAsia="Arial" w:hAnsi="Arial"/>
                <w:sz w:val="18"/>
                <w:szCs w:val="18"/>
                <w:b w:val="1"/>
                <w:bCs w:val="1"/>
                <w:color w:val="auto"/>
              </w:rPr>
              <w:t>Non-GAAP core operating income</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3,857</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10,384</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3,898</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17,743</w:t>
            </w:r>
          </w:p>
        </w:tc>
        <w:tc>
          <w:tcPr>
            <w:tcW w:w="0" w:type="dxa"/>
            <w:vAlign w:val="bottom"/>
          </w:tcPr>
          <w:p>
            <w:pPr>
              <w:spacing w:after="0"/>
              <w:rPr>
                <w:sz w:val="1"/>
                <w:szCs w:val="1"/>
                <w:color w:val="auto"/>
              </w:rPr>
            </w:pPr>
          </w:p>
        </w:tc>
      </w:tr>
      <w:tr>
        <w:trPr>
          <w:trHeight w:val="208"/>
        </w:trPr>
        <w:tc>
          <w:tcPr>
            <w:tcW w:w="32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(loss)</w:t>
            </w:r>
          </w:p>
        </w:tc>
        <w:tc>
          <w:tcPr>
            <w:tcW w:w="2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380" w:hanging="166"/>
        <w:spacing w:after="0" w:line="233" w:lineRule="auto"/>
        <w:tabs>
          <w:tab w:leader="none" w:pos="380"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Represents the tax impact of the adjustments above at a tax rate of 25.73%.</w:t>
      </w:r>
    </w:p>
    <w:p>
      <w:pPr>
        <w:spacing w:after="0" w:line="20" w:lineRule="exact"/>
        <w:rPr>
          <w:rFonts w:ascii="Arial" w:cs="Arial" w:eastAsia="Arial" w:hAnsi="Arial"/>
          <w:sz w:val="20"/>
          <w:szCs w:val="20"/>
          <w:color w:val="auto"/>
          <w:vertAlign w:val="superscript"/>
        </w:rPr>
      </w:pPr>
    </w:p>
    <w:p>
      <w:pPr>
        <w:ind w:left="380" w:hanging="166"/>
        <w:spacing w:after="0" w:line="204" w:lineRule="auto"/>
        <w:tabs>
          <w:tab w:leader="none" w:pos="380"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No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-260985</wp:posOffset>
            </wp:positionV>
            <wp:extent cx="4972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
        </w:trPr>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ind w:left="380"/>
              <w:spacing w:after="0"/>
              <w:rPr>
                <w:sz w:val="20"/>
                <w:szCs w:val="20"/>
                <w:color w:val="auto"/>
              </w:rPr>
            </w:pPr>
            <w:r>
              <w:rPr>
                <w:rFonts w:ascii="Arial" w:cs="Arial" w:eastAsia="Arial" w:hAnsi="Arial"/>
                <w:sz w:val="18"/>
                <w:szCs w:val="18"/>
                <w:b w:val="1"/>
                <w:bCs w:val="1"/>
                <w:color w:val="auto"/>
              </w:rPr>
              <w:t>June</w:t>
            </w:r>
          </w:p>
        </w:tc>
        <w:tc>
          <w:tcPr>
            <w:tcW w:w="1000" w:type="dxa"/>
            <w:vAlign w:val="bottom"/>
          </w:tcPr>
          <w:p>
            <w:pPr>
              <w:ind w:left="400"/>
              <w:spacing w:after="0"/>
              <w:rPr>
                <w:sz w:val="20"/>
                <w:szCs w:val="20"/>
                <w:color w:val="auto"/>
              </w:rPr>
            </w:pPr>
            <w:r>
              <w:rPr>
                <w:rFonts w:ascii="Arial" w:cs="Arial" w:eastAsia="Arial" w:hAnsi="Arial"/>
                <w:sz w:val="18"/>
                <w:szCs w:val="18"/>
                <w:b w:val="1"/>
                <w:bCs w:val="1"/>
                <w:color w:val="auto"/>
              </w:rPr>
              <w:t>March</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September</w:t>
            </w: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June</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720" w:type="dxa"/>
            <w:vAlign w:val="bottom"/>
          </w:tcPr>
          <w:p>
            <w:pPr>
              <w:jc w:val="right"/>
              <w:ind w:right="630"/>
              <w:spacing w:after="0"/>
              <w:rPr>
                <w:sz w:val="20"/>
                <w:szCs w:val="20"/>
                <w:color w:val="auto"/>
              </w:rPr>
            </w:pPr>
            <w:r>
              <w:rPr>
                <w:rFonts w:ascii="Arial" w:cs="Arial" w:eastAsia="Arial" w:hAnsi="Arial"/>
                <w:sz w:val="18"/>
                <w:szCs w:val="18"/>
                <w:b w:val="1"/>
                <w:bCs w:val="1"/>
                <w:color w:val="auto"/>
              </w:rPr>
              <w:t>31,</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80" w:type="dxa"/>
            <w:vAlign w:val="bottom"/>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17145</wp:posOffset>
            </wp:positionV>
            <wp:extent cx="5460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38"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34925</wp:posOffset>
            </wp:positionV>
            <wp:extent cx="701230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Non-GAAP core operating return on average assets:</w:t>
      </w:r>
    </w:p>
    <w:p>
      <w:pPr>
        <w:spacing w:after="0" w:line="6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Non-GAAP core operating</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3,898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Average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5,441,513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4,975,531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4,809,579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4,610,958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4,402,002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2"/>
              </w:rPr>
              <w:t>5,209,810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2"/>
              </w:rPr>
              <w:t>4,285,768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Return on average assets</w:t>
            </w: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0.89 %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0.86 %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0.88 %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100"/>
              <w:spacing w:after="0" w:line="163" w:lineRule="exact"/>
              <w:rPr>
                <w:sz w:val="20"/>
                <w:szCs w:val="20"/>
                <w:color w:val="auto"/>
              </w:rPr>
            </w:pPr>
            <w:r>
              <w:rPr>
                <w:rFonts w:ascii="Arial" w:cs="Arial" w:eastAsia="Arial" w:hAnsi="Arial"/>
                <w:sz w:val="18"/>
                <w:szCs w:val="18"/>
                <w:b w:val="1"/>
                <w:bCs w:val="1"/>
                <w:color w:val="auto"/>
              </w:rPr>
              <w:t>Non-GAAP core operating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0.31 %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0.89 %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0.89 %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0.15 %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0.83 %</w:t>
            </w:r>
          </w:p>
        </w:tc>
        <w:tc>
          <w:tcPr>
            <w:tcW w:w="0" w:type="dxa"/>
            <w:vAlign w:val="bottom"/>
          </w:tcPr>
          <w:p>
            <w:pPr>
              <w:spacing w:after="0"/>
              <w:rPr>
                <w:sz w:val="1"/>
                <w:szCs w:val="1"/>
                <w:color w:val="auto"/>
              </w:rPr>
            </w:pPr>
          </w:p>
        </w:tc>
      </w:tr>
      <w:tr>
        <w:trPr>
          <w:trHeight w:val="203"/>
        </w:trPr>
        <w:tc>
          <w:tcPr>
            <w:tcW w:w="24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return on average assets</w:t>
            </w: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93"/>
              </w:rPr>
              <w:t>Non-GAAP core operating return on average common equity:</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core operating</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3,898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Less: preferred dividends</w:t>
            </w: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w w:val="94"/>
              </w:rPr>
              <w:t>Net income (loss) available to</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(7,356)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9,439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rPr>
              <w:t>Non-GAAP core operating</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360"/>
              <w:spacing w:after="0" w:line="176" w:lineRule="exact"/>
              <w:rPr>
                <w:sz w:val="20"/>
                <w:szCs w:val="20"/>
                <w:color w:val="auto"/>
              </w:rPr>
            </w:pPr>
            <w:r>
              <w:rPr>
                <w:rFonts w:ascii="Arial" w:cs="Arial" w:eastAsia="Arial" w:hAnsi="Arial"/>
                <w:sz w:val="18"/>
                <w:szCs w:val="18"/>
                <w:color w:val="auto"/>
                <w:w w:val="91"/>
              </w:rPr>
              <w:t>income available to common</w:t>
            </w:r>
          </w:p>
        </w:tc>
        <w:tc>
          <w:tcPr>
            <w:tcW w:w="14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3,898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611,466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612,959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605,960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543,827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486,880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612,208</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476,749</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Return on average equity</w:t>
      </w:r>
    </w:p>
    <w:p>
      <w:pPr>
        <w:spacing w:after="0" w:line="50" w:lineRule="exact"/>
        <w:rPr>
          <w:sz w:val="20"/>
          <w:szCs w:val="20"/>
          <w:color w:val="auto"/>
        </w:rPr>
      </w:pPr>
    </w:p>
    <w:p>
      <w:pPr>
        <w:ind w:left="440" w:hanging="161"/>
        <w:spacing w:after="0" w:line="226" w:lineRule="auto"/>
        <w:rPr>
          <w:sz w:val="20"/>
          <w:szCs w:val="20"/>
          <w:color w:val="auto"/>
        </w:rPr>
      </w:pPr>
      <w:r>
        <w:rPr>
          <w:rFonts w:ascii="Arial" w:cs="Arial" w:eastAsia="Arial" w:hAnsi="Arial"/>
          <w:sz w:val="18"/>
          <w:szCs w:val="18"/>
          <w:b w:val="1"/>
          <w:bCs w:val="1"/>
          <w:color w:val="auto"/>
        </w:rPr>
        <w:t>Non-GAAP core operating return on average common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7.58 %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7.78 %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7.87 %</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93"/>
        </w:trPr>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0.03 %</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2.53 %</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7.58 %</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8.04 %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1.28 %</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7.43 %</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-385445</wp:posOffset>
            </wp:positionV>
            <wp:extent cx="7012305" cy="368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100"/>
            <w:col w:w="860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gridSpan w:val="7"/>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w:t>
            </w:r>
          </w:p>
        </w:tc>
        <w:tc>
          <w:tcPr>
            <w:tcW w:w="22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1"/>
              </w:rPr>
              <w:t>December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3"/>
          </w:tcPr>
          <w:p>
            <w:pPr>
              <w:ind w:left="540"/>
              <w:spacing w:after="0"/>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6"/>
                <w:szCs w:val="16"/>
                <w:i w:val="1"/>
                <w:iCs w:val="1"/>
                <w:color w:val="auto"/>
                <w:w w:val="97"/>
              </w:rPr>
              <w:t>(Dollars 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3800" w:type="dxa"/>
            <w:vAlign w:val="bottom"/>
            <w:gridSpan w:val="3"/>
          </w:tcPr>
          <w:p>
            <w:pPr>
              <w:spacing w:after="0"/>
              <w:rPr>
                <w:sz w:val="2"/>
                <w:szCs w:val="2"/>
                <w:color w:val="auto"/>
              </w:rPr>
            </w:pPr>
          </w:p>
        </w:tc>
        <w:tc>
          <w:tcPr>
            <w:tcW w:w="11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9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1"/>
              </w:rPr>
              <w:t>Non-GAAP core operating efficiency ratio - fully tax equivalent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31,010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22,223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21,885</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53,233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44,591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goodwill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7,397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Adjusted Non-interest expense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22,223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21,885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45,836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44,591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37,179</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79,385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68,479</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w w:val="89"/>
              </w:rPr>
              <w:t>Tax-equivalent interest income</w:t>
            </w:r>
            <w:r>
              <w:rPr>
                <w:rFonts w:ascii="Arial" w:cs="Arial" w:eastAsia="Arial" w:hAnsi="Arial"/>
                <w:sz w:val="23"/>
                <w:szCs w:val="23"/>
                <w:color w:val="auto"/>
                <w:w w:val="89"/>
                <w:vertAlign w:val="superscript"/>
              </w:rPr>
              <w:t>(1)</w:t>
            </w:r>
          </w:p>
        </w:tc>
        <w:tc>
          <w:tcPr>
            <w:tcW w:w="260" w:type="dxa"/>
            <w:vAlign w:val="bottom"/>
          </w:tcPr>
          <w:p>
            <w:pPr>
              <w:spacing w:after="0"/>
              <w:rPr>
                <w:sz w:val="23"/>
                <w:szCs w:val="23"/>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Add: fixed asset impairments</w:t>
            </w:r>
          </w:p>
        </w:tc>
        <w:tc>
          <w:tcPr>
            <w:tcW w:w="26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6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Non-GAAP operating revenue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44,476</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41,018</w:t>
            </w:r>
          </w:p>
        </w:tc>
        <w:tc>
          <w:tcPr>
            <w:tcW w:w="16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40,035</w:t>
            </w:r>
          </w:p>
        </w:tc>
        <w:tc>
          <w:tcPr>
            <w:tcW w:w="200" w:type="dxa"/>
            <w:vAlign w:val="bottom"/>
            <w:vMerge w:val="restart"/>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39,622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37,583</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85,494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73,449</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19"/>
                <w:szCs w:val="19"/>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Efficiency ratio</w:t>
      </w:r>
    </w:p>
    <w:p>
      <w:pPr>
        <w:spacing w:after="0" w:line="50" w:lineRule="exact"/>
        <w:rPr>
          <w:sz w:val="20"/>
          <w:szCs w:val="20"/>
          <w:color w:val="auto"/>
        </w:rPr>
      </w:pPr>
    </w:p>
    <w:p>
      <w:pPr>
        <w:jc w:val="both"/>
        <w:ind w:left="400" w:hanging="116"/>
        <w:spacing w:after="0" w:line="256" w:lineRule="auto"/>
        <w:rPr>
          <w:sz w:val="20"/>
          <w:szCs w:val="20"/>
          <w:color w:val="auto"/>
        </w:rPr>
      </w:pPr>
      <w:r>
        <w:rPr>
          <w:rFonts w:ascii="Arial" w:cs="Arial" w:eastAsia="Arial" w:hAnsi="Arial"/>
          <w:sz w:val="16"/>
          <w:szCs w:val="16"/>
          <w:b w:val="1"/>
          <w:bCs w:val="1"/>
          <w:color w:val="auto"/>
        </w:rPr>
        <w:t>Non-GAAP core operating efficiency ratio - fully tax equivalent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70.81 %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55.11 %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55.60 %</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54.29 %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60.09 %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63.29 %</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62.11 %</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3"/>
        </w:trPr>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53.09 %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54.18 %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54.66 %</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53.43 %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58.43 %</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53.61 %</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-334010</wp:posOffset>
            </wp:positionV>
            <wp:extent cx="7029450" cy="368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9450" cy="3689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320" w:space="480"/>
            <w:col w:w="8440"/>
          </w:cols>
          <w:pgMar w:left="320" w:top="125" w:right="339" w:bottom="1440" w:gutter="0" w:footer="0" w:header="0"/>
          <w:type w:val="continuous"/>
        </w:sectPr>
      </w:pPr>
    </w:p>
    <w:p>
      <w:pPr>
        <w:ind w:left="360" w:hanging="159"/>
        <w:spacing w:after="0" w:line="226" w:lineRule="auto"/>
        <w:tabs>
          <w:tab w:leader="none" w:pos="3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Tax exempt income (tax-free municipal securities) is calculated on a tax equivalent basis. The incremental tax rate used is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-123825</wp:posOffset>
            </wp:positionV>
            <wp:extent cx="5357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Tangible Common Stockholders’ Equity: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calculate “tangible common stockholders’ equity” as total stockholders’ equity less goodwill and other intangible assets and preferred stock.</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most directly comparable GAAP financial measure is total stockholders’ equity.</w:t>
      </w:r>
    </w:p>
    <w:p>
      <w:pPr>
        <w:spacing w:after="0" w:line="157" w:lineRule="exact"/>
        <w:rPr>
          <w:sz w:val="20"/>
          <w:szCs w:val="20"/>
          <w:color w:val="auto"/>
        </w:rPr>
      </w:pPr>
    </w:p>
    <w:p>
      <w:pPr>
        <w:ind w:left="180" w:right="400" w:firstLine="486"/>
        <w:spacing w:after="0" w:line="308" w:lineRule="auto"/>
        <w:rPr>
          <w:sz w:val="20"/>
          <w:szCs w:val="20"/>
          <w:color w:val="auto"/>
        </w:rPr>
      </w:pPr>
      <w:r>
        <w:rPr>
          <w:rFonts w:ascii="Arial" w:cs="Arial" w:eastAsia="Arial" w:hAnsi="Arial"/>
          <w:sz w:val="17"/>
          <w:szCs w:val="17"/>
          <w:color w:val="auto"/>
        </w:rPr>
        <w:t>We calculate “tangible book value per share” as tangible common stockholders’ equity divided by the number of shares of our common stock outstanding at the end of the relevant period. The most directly comparable GAAP financial measure is book value per share.</w:t>
      </w:r>
    </w:p>
    <w:p>
      <w:pPr>
        <w:spacing w:after="0" w:line="92" w:lineRule="exact"/>
        <w:rPr>
          <w:sz w:val="20"/>
          <w:szCs w:val="20"/>
          <w:color w:val="auto"/>
        </w:rPr>
      </w:pPr>
    </w:p>
    <w:p>
      <w:pPr>
        <w:ind w:left="180" w:right="40" w:firstLine="486"/>
        <w:spacing w:after="0" w:line="277" w:lineRule="auto"/>
        <w:rPr>
          <w:sz w:val="20"/>
          <w:szCs w:val="20"/>
          <w:color w:val="auto"/>
        </w:rPr>
      </w:pPr>
      <w:r>
        <w:rPr>
          <w:rFonts w:ascii="Arial" w:cs="Arial" w:eastAsia="Arial" w:hAnsi="Arial"/>
          <w:sz w:val="18"/>
          <w:szCs w:val="18"/>
          <w:color w:val="auto"/>
        </w:rPr>
        <w:t>Management believes that tangible stockholders’ equity and tangible book value per share are important to many investors in the marketplace who are interested in changes from period to period in our stockholders’ equity, exclusive of changes in intangible assets.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360" w:firstLine="486"/>
        <w:spacing w:after="0" w:line="277" w:lineRule="auto"/>
        <w:rPr>
          <w:sz w:val="20"/>
          <w:szCs w:val="20"/>
          <w:color w:val="auto"/>
        </w:rPr>
      </w:pPr>
      <w:r>
        <w:rPr>
          <w:rFonts w:ascii="Arial" w:cs="Arial" w:eastAsia="Arial" w:hAnsi="Arial"/>
          <w:sz w:val="18"/>
          <w:szCs w:val="18"/>
          <w:color w:val="auto"/>
        </w:rPr>
        <w:t>The following table reconciles, as of the dates set forth below, total stockholders’ equity to tangible stockholders’ equity and presents tangible book value per share compared to book value per share:</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Ended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w:t>
            </w:r>
          </w:p>
        </w:tc>
        <w:tc>
          <w:tcPr>
            <w:tcW w:w="2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w:t>
            </w:r>
          </w:p>
        </w:tc>
        <w:tc>
          <w:tcPr>
            <w:tcW w:w="26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w:t>
            </w:r>
          </w:p>
        </w:tc>
      </w:tr>
      <w:tr>
        <w:trPr>
          <w:trHeight w:val="270"/>
        </w:trPr>
        <w:tc>
          <w:tcPr>
            <w:tcW w:w="3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47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30,</w:t>
            </w:r>
          </w:p>
        </w:tc>
      </w:tr>
      <w:tr>
        <w:trPr>
          <w:trHeight w:val="270"/>
        </w:trPr>
        <w:tc>
          <w:tcPr>
            <w:tcW w:w="3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8"/>
          </w:tcPr>
          <w:p>
            <w:pPr>
              <w:jc w:val="center"/>
              <w:ind w:right="34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common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396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608,092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611,946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601,644</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602,435</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499,195</w:t>
            </w:r>
          </w:p>
        </w:tc>
      </w:tr>
      <w:tr>
        <w:trPr>
          <w:trHeight w:val="270"/>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goodwill and other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7,694</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7,720</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7,745</w:t>
            </w:r>
          </w:p>
        </w:tc>
      </w:tr>
      <w:tr>
        <w:trPr>
          <w:trHeight w:val="26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Tangible common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607,845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604,277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593,950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594,715</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491,450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book value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3960" w:type="dxa"/>
            <w:vAlign w:val="bottom"/>
          </w:tcPr>
          <w:p>
            <w:pPr>
              <w:ind w:left="200"/>
              <w:spacing w:after="0"/>
              <w:rPr>
                <w:sz w:val="20"/>
                <w:szCs w:val="20"/>
                <w:color w:val="auto"/>
              </w:rPr>
            </w:pPr>
            <w:r>
              <w:rPr>
                <w:rFonts w:ascii="Arial" w:cs="Arial" w:eastAsia="Arial" w:hAnsi="Arial"/>
                <w:sz w:val="18"/>
                <w:szCs w:val="18"/>
                <w:color w:val="auto"/>
              </w:rPr>
              <w:t>Tangible common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607,845</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604,277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593,950</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594,715</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491,450</w:t>
            </w:r>
          </w:p>
        </w:tc>
      </w:tr>
      <w:tr>
        <w:trPr>
          <w:trHeight w:val="270"/>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at end of period</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52,167,573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52,098,062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51,969,203</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51,969,203</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45,367,641</w:t>
            </w:r>
          </w:p>
        </w:tc>
      </w:tr>
      <w:tr>
        <w:trPr>
          <w:trHeight w:val="26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Book value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11.66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11.75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11.58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11.59</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11.00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book value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11.43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11.44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10.83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Interest Rate Risk</w:t>
      </w:r>
    </w:p>
    <w:p>
      <w:pPr>
        <w:spacing w:after="0" w:line="164"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A primary component of market risk is interest rate volatility. Managing interest rate risk is a key element of the Company’s balance sheet management. Interest rate risk is the risk that net interest margin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138" w:lineRule="exact"/>
        <w:rPr>
          <w:sz w:val="20"/>
          <w:szCs w:val="20"/>
          <w:color w:val="auto"/>
        </w:rPr>
      </w:pPr>
    </w:p>
    <w:p>
      <w:pPr>
        <w:ind w:left="180" w:right="100" w:firstLine="486"/>
        <w:spacing w:after="0" w:line="296" w:lineRule="auto"/>
        <w:rPr>
          <w:sz w:val="20"/>
          <w:szCs w:val="20"/>
          <w:color w:val="auto"/>
        </w:rPr>
      </w:pPr>
      <w:r>
        <w:rPr>
          <w:rFonts w:ascii="Arial" w:cs="Arial" w:eastAsia="Arial" w:hAnsi="Arial"/>
          <w:sz w:val="16"/>
          <w:szCs w:val="16"/>
          <w:color w:val="auto"/>
        </w:rPr>
        <w:t>Our exposure to interest rate risk is managed by the Funds Management Committee (“FMC”) of the Bank’s board of directors in accordance with its policies. The FMC uses a combination of three systems to measure the balance sheet’s interest rate risk position. Because each system serves a different purpose and provides a different perspective,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80" w:right="60" w:firstLine="486"/>
        <w:spacing w:after="0" w:line="303" w:lineRule="auto"/>
        <w:rPr>
          <w:sz w:val="20"/>
          <w:szCs w:val="20"/>
          <w:color w:val="auto"/>
        </w:rPr>
      </w:pPr>
      <w:r>
        <w:rPr>
          <w:rFonts w:ascii="Arial" w:cs="Arial" w:eastAsia="Arial" w:hAnsi="Arial"/>
          <w:sz w:val="16"/>
          <w:szCs w:val="16"/>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Hypothetical Change in Interest Rate - Rate Shock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34290</wp:posOffset>
            </wp:positionV>
            <wp:extent cx="68751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620" w:type="dxa"/>
            <w:vAlign w:val="bottom"/>
            <w:gridSpan w:val="4"/>
          </w:tcPr>
          <w:p>
            <w:pPr>
              <w:ind w:left="1240"/>
              <w:spacing w:after="0"/>
              <w:rPr>
                <w:sz w:val="20"/>
                <w:szCs w:val="20"/>
                <w:color w:val="auto"/>
              </w:rPr>
            </w:pPr>
            <w:r>
              <w:rPr>
                <w:rFonts w:ascii="Arial" w:cs="Arial" w:eastAsia="Arial" w:hAnsi="Arial"/>
                <w:sz w:val="18"/>
                <w:szCs w:val="18"/>
                <w:b w:val="1"/>
                <w:bCs w:val="1"/>
                <w:color w:val="auto"/>
              </w:rPr>
              <w:t>June 30, 2020</w:t>
            </w:r>
          </w:p>
        </w:tc>
        <w:tc>
          <w:tcPr>
            <w:tcW w:w="352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370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Change in Interest Rate</w:t>
            </w: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Percent change in net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 change in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change in net</w:t>
            </w: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Percent change in</w:t>
            </w: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(Basis Points)</w:t>
            </w: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interest income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fair value of equity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interest income</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fair value of equity</w:t>
            </w:r>
          </w:p>
        </w:tc>
      </w:tr>
      <w:tr>
        <w:trPr>
          <w:trHeight w:val="27"/>
        </w:trPr>
        <w:tc>
          <w:tcPr>
            <w:tcW w:w="3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+300</w:t>
            </w:r>
          </w:p>
        </w:tc>
        <w:tc>
          <w:tcPr>
            <w:tcW w:w="17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1"/>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8"/>
              </w:rPr>
              <w:t>(3.7)%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+200</w:t>
            </w:r>
          </w:p>
        </w:tc>
        <w:tc>
          <w:tcPr>
            <w:tcW w:w="1700" w:type="dxa"/>
            <w:vAlign w:val="bottom"/>
          </w:tcPr>
          <w:p>
            <w:pPr>
              <w:ind w:left="12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720" w:type="dxa"/>
            <w:vAlign w:val="bottom"/>
          </w:tcPr>
          <w:p>
            <w:pPr>
              <w:jc w:val="right"/>
              <w:ind w:right="9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720" w:type="dxa"/>
            <w:vAlign w:val="bottom"/>
          </w:tcPr>
          <w:p>
            <w:pPr>
              <w:ind w:left="1180"/>
              <w:spacing w:after="0"/>
              <w:rPr>
                <w:sz w:val="20"/>
                <w:szCs w:val="20"/>
                <w:color w:val="auto"/>
              </w:rPr>
            </w:pPr>
            <w:r>
              <w:rPr>
                <w:rFonts w:ascii="Arial" w:cs="Arial" w:eastAsia="Arial" w:hAnsi="Arial"/>
                <w:sz w:val="18"/>
                <w:szCs w:val="18"/>
                <w:color w:val="auto"/>
              </w:rPr>
              <w:t>(0.1)</w:t>
            </w:r>
          </w:p>
        </w:tc>
      </w:tr>
      <w:tr>
        <w:trPr>
          <w:trHeight w:val="27"/>
        </w:trPr>
        <w:tc>
          <w:tcPr>
            <w:tcW w:w="3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Base</w:t>
            </w: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 %</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CEEFF"/>
          </w:tcPr>
          <w:p>
            <w:pPr>
              <w:ind w:left="130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1"/>
                <w:szCs w:val="11"/>
                <w:color w:val="auto"/>
              </w:rPr>
              <w:t>(1)</w:t>
            </w:r>
          </w:p>
        </w:tc>
        <w:tc>
          <w:tcPr>
            <w:tcW w:w="1820" w:type="dxa"/>
            <w:vAlign w:val="bottom"/>
            <w:gridSpan w:val="2"/>
            <w:shd w:val="clear" w:color="auto" w:fill="CCEEFF"/>
          </w:tcPr>
          <w:p>
            <w:pPr>
              <w:ind w:left="130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1"/>
                <w:szCs w:val="11"/>
                <w:color w:val="auto"/>
              </w:rPr>
              <w:t>(1)</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(1.0)</w:t>
            </w:r>
          </w:p>
        </w:tc>
      </w:tr>
      <w:tr>
        <w:trPr>
          <w:trHeight w:val="284"/>
        </w:trPr>
        <w:tc>
          <w:tcPr>
            <w:tcW w:w="3700" w:type="dxa"/>
            <w:vAlign w:val="bottom"/>
          </w:tcPr>
          <w:p>
            <w:pPr>
              <w:ind w:left="20"/>
              <w:spacing w:after="0"/>
              <w:rPr>
                <w:sz w:val="20"/>
                <w:szCs w:val="20"/>
                <w:color w:val="auto"/>
              </w:rPr>
            </w:pPr>
            <w:r>
              <w:rPr>
                <w:rFonts w:ascii="Arial" w:cs="Arial" w:eastAsia="Arial" w:hAnsi="Arial"/>
                <w:sz w:val="18"/>
                <w:szCs w:val="18"/>
                <w:color w:val="auto"/>
              </w:rPr>
              <w:t>-200</w:t>
            </w:r>
          </w:p>
        </w:tc>
        <w:tc>
          <w:tcPr>
            <w:tcW w:w="1800" w:type="dxa"/>
            <w:vAlign w:val="bottom"/>
            <w:gridSpan w:val="2"/>
          </w:tcPr>
          <w:p>
            <w:pPr>
              <w:ind w:left="1300"/>
              <w:spacing w:after="0" w:line="284"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(1)</w:t>
            </w:r>
          </w:p>
        </w:tc>
        <w:tc>
          <w:tcPr>
            <w:tcW w:w="1820" w:type="dxa"/>
            <w:vAlign w:val="bottom"/>
            <w:gridSpan w:val="2"/>
          </w:tcPr>
          <w:p>
            <w:pPr>
              <w:ind w:left="1300"/>
              <w:spacing w:after="0" w:line="284"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(1)</w:t>
            </w:r>
          </w:p>
        </w:tc>
        <w:tc>
          <w:tcPr>
            <w:tcW w:w="17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0.9 %</w:t>
            </w:r>
          </w:p>
        </w:tc>
      </w:tr>
    </w:tbl>
    <w:p>
      <w:pPr>
        <w:ind w:left="360" w:hanging="172"/>
        <w:spacing w:after="0" w:line="204" w:lineRule="auto"/>
        <w:tabs>
          <w:tab w:leader="none" w:pos="360"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The Company decided to exclude the down rate environment from its analysis for the period ended June 30, 2020 due to the already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Hypothetical Change in Interest Rate - Rate Ramp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34290</wp:posOffset>
            </wp:positionV>
            <wp:extent cx="69005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June 30, 2020</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52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Change in Interest Rate</w:t>
            </w: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 change in net interest</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change in net interest</w:t>
            </w: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(Basis Points)</w:t>
            </w: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5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+300</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+200</w:t>
            </w:r>
          </w:p>
        </w:tc>
        <w:tc>
          <w:tcPr>
            <w:tcW w:w="2780" w:type="dxa"/>
            <w:vAlign w:val="bottom"/>
          </w:tcPr>
          <w:p>
            <w:pPr>
              <w:jc w:val="right"/>
              <w:ind w:right="13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5.2</w:t>
            </w:r>
          </w:p>
        </w:tc>
      </w:tr>
      <w:tr>
        <w:trPr>
          <w:trHeight w:val="27"/>
        </w:trPr>
        <w:tc>
          <w:tcPr>
            <w:tcW w:w="5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27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Base</w:t>
            </w:r>
          </w:p>
        </w:tc>
        <w:tc>
          <w:tcPr>
            <w:tcW w:w="2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2880" w:type="dxa"/>
            <w:vAlign w:val="bottom"/>
            <w:gridSpan w:val="2"/>
            <w:shd w:val="clear" w:color="auto" w:fill="CCEEFF"/>
          </w:tcPr>
          <w:p>
            <w:pPr>
              <w:ind w:left="238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1"/>
                <w:szCs w:val="11"/>
                <w:color w:val="auto"/>
              </w:rPr>
              <w:t>(1)</w:t>
            </w:r>
          </w:p>
        </w:tc>
        <w:tc>
          <w:tcPr>
            <w:tcW w:w="280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(3.0)</w:t>
            </w:r>
          </w:p>
        </w:tc>
      </w:tr>
      <w:tr>
        <w:trPr>
          <w:trHeight w:val="284"/>
        </w:trPr>
        <w:tc>
          <w:tcPr>
            <w:tcW w:w="5200" w:type="dxa"/>
            <w:vAlign w:val="bottom"/>
          </w:tcPr>
          <w:p>
            <w:pPr>
              <w:ind w:left="20"/>
              <w:spacing w:after="0"/>
              <w:rPr>
                <w:sz w:val="20"/>
                <w:szCs w:val="20"/>
                <w:color w:val="auto"/>
              </w:rPr>
            </w:pPr>
            <w:r>
              <w:rPr>
                <w:rFonts w:ascii="Arial" w:cs="Arial" w:eastAsia="Arial" w:hAnsi="Arial"/>
                <w:sz w:val="18"/>
                <w:szCs w:val="18"/>
                <w:color w:val="auto"/>
              </w:rPr>
              <w:t>-200</w:t>
            </w:r>
          </w:p>
        </w:tc>
        <w:tc>
          <w:tcPr>
            <w:tcW w:w="2880" w:type="dxa"/>
            <w:vAlign w:val="bottom"/>
            <w:gridSpan w:val="2"/>
          </w:tcPr>
          <w:p>
            <w:pPr>
              <w:ind w:left="2380"/>
              <w:spacing w:after="0" w:line="284"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(1)</w:t>
            </w:r>
          </w:p>
        </w:tc>
        <w:tc>
          <w:tcPr>
            <w:tcW w:w="2800" w:type="dxa"/>
            <w:vAlign w:val="bottom"/>
          </w:tcPr>
          <w:p>
            <w:pPr>
              <w:ind w:left="2260"/>
              <w:spacing w:after="0"/>
              <w:rPr>
                <w:sz w:val="20"/>
                <w:szCs w:val="20"/>
                <w:color w:val="auto"/>
              </w:rPr>
            </w:pPr>
            <w:r>
              <w:rPr>
                <w:rFonts w:ascii="Arial" w:cs="Arial" w:eastAsia="Arial" w:hAnsi="Arial"/>
                <w:sz w:val="18"/>
                <w:szCs w:val="18"/>
                <w:color w:val="auto"/>
                <w:w w:val="98"/>
              </w:rPr>
              <w:t>(5.8)%</w:t>
            </w:r>
          </w:p>
        </w:tc>
      </w:tr>
    </w:tbl>
    <w:p>
      <w:pPr>
        <w:ind w:left="360" w:hanging="172"/>
        <w:spacing w:after="0" w:line="204" w:lineRule="auto"/>
        <w:tabs>
          <w:tab w:leader="none" w:pos="36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The Company decided to exclude the down rate environment from its analysis for the period ended June 30, 2020 due to the already low interest rate environment.</w:t>
      </w:r>
    </w:p>
    <w:p>
      <w:pPr>
        <w:spacing w:after="0" w:line="154" w:lineRule="exact"/>
        <w:rPr>
          <w:sz w:val="20"/>
          <w:szCs w:val="20"/>
          <w:color w:val="auto"/>
        </w:rPr>
      </w:pPr>
    </w:p>
    <w:p>
      <w:pPr>
        <w:ind w:left="180" w:firstLine="486"/>
        <w:spacing w:after="0" w:line="259" w:lineRule="auto"/>
        <w:rPr>
          <w:sz w:val="20"/>
          <w:szCs w:val="20"/>
          <w:color w:val="auto"/>
        </w:rPr>
      </w:pPr>
      <w:r>
        <w:rPr>
          <w:rFonts w:ascii="Arial" w:cs="Arial" w:eastAsia="Arial" w:hAnsi="Arial"/>
          <w:sz w:val="18"/>
          <w:szCs w:val="18"/>
          <w:color w:val="auto"/>
        </w:rPr>
        <w:t>The hypothetical change in net interest income as of June 30, 2020 in an up 100 basis point shock is mainly due to approximately 67% of earning assets repricing or maturing over the next 12 months. Loans remain the largest portion of our adjustable earning assets, as the mix of adjustable loans or loans maturing in one year or less to total loans was 70%. The amount of adjustable loans causes the Company to see an increase in net interest income in a rising rate environment.</w:t>
      </w:r>
    </w:p>
    <w:p>
      <w:pPr>
        <w:spacing w:after="0" w:line="133" w:lineRule="exact"/>
        <w:rPr>
          <w:sz w:val="20"/>
          <w:szCs w:val="20"/>
          <w:color w:val="auto"/>
        </w:rPr>
      </w:pPr>
    </w:p>
    <w:p>
      <w:pPr>
        <w:ind w:left="180" w:right="180" w:firstLine="486"/>
        <w:spacing w:after="0" w:line="279" w:lineRule="auto"/>
        <w:rPr>
          <w:sz w:val="20"/>
          <w:szCs w:val="20"/>
          <w:color w:val="auto"/>
        </w:rPr>
      </w:pPr>
      <w:r>
        <w:rPr>
          <w:rFonts w:ascii="Arial" w:cs="Arial" w:eastAsia="Arial" w:hAnsi="Arial"/>
          <w:sz w:val="17"/>
          <w:szCs w:val="17"/>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65" w:lineRule="exact"/>
        <w:rPr>
          <w:sz w:val="20"/>
          <w:szCs w:val="20"/>
          <w:color w:val="auto"/>
        </w:rPr>
      </w:pPr>
    </w:p>
    <w:p>
      <w:pPr>
        <w:ind w:left="180" w:right="10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June 30, 2020. Based on that evaluation, the Company’s Chief Executive Officer and Chief Financial Officer concluded that the Company’s disclosure controls and procedures were effective as of June 30,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65" w:lineRule="exact"/>
        <w:rPr>
          <w:sz w:val="20"/>
          <w:szCs w:val="20"/>
          <w:color w:val="auto"/>
        </w:rPr>
      </w:pPr>
    </w:p>
    <w:p>
      <w:pPr>
        <w:ind w:left="180" w:right="300" w:firstLine="486"/>
        <w:spacing w:after="0" w:line="263" w:lineRule="auto"/>
        <w:rPr>
          <w:sz w:val="20"/>
          <w:szCs w:val="20"/>
          <w:color w:val="auto"/>
        </w:rPr>
      </w:pPr>
      <w:r>
        <w:rPr>
          <w:rFonts w:ascii="Arial" w:cs="Arial" w:eastAsia="Arial" w:hAnsi="Arial"/>
          <w:sz w:val="18"/>
          <w:szCs w:val="18"/>
          <w:color w:val="auto"/>
        </w:rPr>
        <w:t>There was no change in the Company’s internal control over financial reporting (as such term is defined in Rule 13a-15(f) under the Exchange Act) that occurred during the second quarter of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PART II -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left="180" w:firstLine="486"/>
        <w:spacing w:after="0" w:line="255" w:lineRule="auto"/>
        <w:rPr>
          <w:sz w:val="20"/>
          <w:szCs w:val="20"/>
          <w:color w:val="auto"/>
        </w:rPr>
      </w:pPr>
      <w:r>
        <w:rPr>
          <w:rFonts w:ascii="Arial" w:cs="Arial" w:eastAsia="Arial" w:hAnsi="Arial"/>
          <w:sz w:val="18"/>
          <w:szCs w:val="18"/>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ind w:left="180" w:right="520" w:firstLine="486"/>
        <w:spacing w:after="0" w:line="277" w:lineRule="auto"/>
        <w:rPr>
          <w:sz w:val="20"/>
          <w:szCs w:val="20"/>
          <w:color w:val="auto"/>
        </w:rPr>
      </w:pPr>
      <w:r>
        <w:rPr>
          <w:rFonts w:ascii="Arial" w:cs="Arial" w:eastAsia="Arial" w:hAnsi="Arial"/>
          <w:sz w:val="18"/>
          <w:szCs w:val="18"/>
          <w:color w:val="auto"/>
        </w:rPr>
        <w:t>There have been no material changes to the risk factors associated with our business previously disclosed in Item 1A - “Risk Factor” in our Quarterly Report on Form 10-Q for the fiscal quarter ended March 31, 2020 filed with the SEC on May 14,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640" w:type="dxa"/>
            <w:vAlign w:val="bottom"/>
            <w:gridSpan w:val="14"/>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20" w:type="dxa"/>
            <w:vAlign w:val="bottom"/>
          </w:tcPr>
          <w:p>
            <w:pPr>
              <w:ind w:left="20"/>
              <w:spacing w:after="0" w:line="196" w:lineRule="exact"/>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3.1</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line="196" w:lineRule="exact"/>
              <w:rPr>
                <w:rFonts w:ascii="Arial" w:cs="Arial" w:eastAsia="Arial" w:hAnsi="Arial"/>
                <w:sz w:val="18"/>
                <w:szCs w:val="18"/>
                <w:color w:val="0000FF"/>
                <w:w w:val="95"/>
              </w:rPr>
            </w:pPr>
            <w:hyperlink r:id="rId122">
              <w:r>
                <w:rPr>
                  <w:rFonts w:ascii="Arial" w:cs="Arial" w:eastAsia="Arial" w:hAnsi="Arial"/>
                  <w:sz w:val="18"/>
                  <w:szCs w:val="18"/>
                  <w:u w:val="single" w:color="auto"/>
                  <w:color w:val="0000FF"/>
                  <w:w w:val="95"/>
                </w:rPr>
                <w:t>Articles of Incorporation of CrossFirst Bankshares, Inc. (incorporated by reference to Exhibit 3.1 to the Company's</w:t>
              </w:r>
              <w:r>
                <w:rPr>
                  <w:rFonts w:ascii="Arial" w:cs="Arial" w:eastAsia="Arial" w:hAnsi="Arial"/>
                  <w:sz w:val="18"/>
                  <w:szCs w:val="18"/>
                  <w:color w:val="0000FF"/>
                  <w:w w:val="95"/>
                </w:rPr>
                <w:t xml:space="preserve"> Registration</w:t>
              </w:r>
            </w:hyperlink>
          </w:p>
        </w:tc>
        <w:tc>
          <w:tcPr>
            <w:tcW w:w="0" w:type="dxa"/>
            <w:vAlign w:val="bottom"/>
          </w:tcPr>
          <w:p>
            <w:pPr>
              <w:spacing w:after="0"/>
              <w:rPr>
                <w:sz w:val="1"/>
                <w:szCs w:val="1"/>
                <w:color w:val="auto"/>
              </w:rPr>
            </w:pPr>
          </w:p>
        </w:tc>
      </w:tr>
      <w:tr>
        <w:trPr>
          <w:trHeight w:val="183"/>
        </w:trPr>
        <w:tc>
          <w:tcPr>
            <w:tcW w:w="1320" w:type="dxa"/>
            <w:vAlign w:val="bottom"/>
            <w:vMerge w:val="restart"/>
          </w:tcPr>
          <w:p>
            <w:pPr>
              <w:ind w:left="20"/>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3.2</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20" w:type="dxa"/>
            <w:vAlign w:val="bottom"/>
            <w:gridSpan w:val="6"/>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Statement on Form S-1 as filed with the SEC on July 18, 2019, File No. 333-232704).</w:t>
              </w:r>
            </w:hyperlink>
          </w:p>
        </w:tc>
        <w:tc>
          <w:tcPr>
            <w:tcW w:w="8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14"/>
          </w:tcPr>
          <w:p>
            <w:pPr>
              <w:spacing w:after="0"/>
              <w:rPr>
                <w:rFonts w:ascii="Arial" w:cs="Arial" w:eastAsia="Arial" w:hAnsi="Arial"/>
                <w:sz w:val="18"/>
                <w:szCs w:val="18"/>
                <w:u w:val="single" w:color="auto"/>
                <w:color w:val="0000FF"/>
                <w:w w:val="93"/>
              </w:rPr>
            </w:pPr>
            <w:hyperlink r:id="rId123">
              <w:r>
                <w:rPr>
                  <w:rFonts w:ascii="Arial" w:cs="Arial" w:eastAsia="Arial" w:hAnsi="Arial"/>
                  <w:sz w:val="18"/>
                  <w:szCs w:val="18"/>
                  <w:u w:val="single" w:color="auto"/>
                  <w:color w:val="0000FF"/>
                  <w:w w:val="93"/>
                </w:rPr>
                <w:t>Amendment to Articles of Incorporation of CrossFirst Bankshares, Inc. (incorporated by reference to Exhibit 3.2 to the Company’s</w:t>
              </w:r>
            </w:hyperlink>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8"/>
          </w:tcPr>
          <w:p>
            <w:pPr>
              <w:spacing w:after="0"/>
              <w:rPr>
                <w:rFonts w:ascii="Arial" w:cs="Arial" w:eastAsia="Arial" w:hAnsi="Arial"/>
                <w:sz w:val="18"/>
                <w:szCs w:val="18"/>
                <w:color w:val="0000FF"/>
              </w:rPr>
            </w:pPr>
            <w:hyperlink r:id="rId123">
              <w:r>
                <w:rPr>
                  <w:rFonts w:ascii="Arial" w:cs="Arial" w:eastAsia="Arial" w:hAnsi="Arial"/>
                  <w:sz w:val="18"/>
                  <w:szCs w:val="18"/>
                  <w:u w:val="single" w:color="auto"/>
                  <w:color w:val="0000FF"/>
                </w:rPr>
                <w:t>Registration Statement on Form S-1 as filed with the SEC on July 18, 2019, File No. 333-232704)</w:t>
              </w:r>
              <w:r>
                <w:rPr>
                  <w:rFonts w:ascii="Arial" w:cs="Arial" w:eastAsia="Arial" w:hAnsi="Arial"/>
                  <w:sz w:val="18"/>
                  <w:szCs w:val="18"/>
                  <w:color w:val="0000FF"/>
                </w:rPr>
                <w:t>.</w:t>
              </w:r>
            </w:hyperlink>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20" w:type="dxa"/>
            <w:vAlign w:val="bottom"/>
          </w:tcPr>
          <w:p>
            <w:pPr>
              <w:ind w:left="20"/>
              <w:spacing w:after="0" w:line="202" w:lineRule="exact"/>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3.3</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line="202" w:lineRule="exact"/>
              <w:rPr>
                <w:rFonts w:ascii="Arial" w:cs="Arial" w:eastAsia="Arial" w:hAnsi="Arial"/>
                <w:sz w:val="18"/>
                <w:szCs w:val="18"/>
                <w:color w:val="0000FF"/>
                <w:w w:val="91"/>
              </w:rPr>
            </w:pPr>
            <w:hyperlink r:id="rId124">
              <w:r>
                <w:rPr>
                  <w:rFonts w:ascii="Arial" w:cs="Arial" w:eastAsia="Arial" w:hAnsi="Arial"/>
                  <w:sz w:val="18"/>
                  <w:szCs w:val="18"/>
                  <w:u w:val="single" w:color="auto"/>
                  <w:color w:val="0000FF"/>
                  <w:w w:val="91"/>
                </w:rPr>
                <w:t>Bylaws of CrossFirst Bankshares, Inc. (incorporated by reference to Exhibit 3.3 to the Company's</w:t>
              </w:r>
              <w:r>
                <w:rPr>
                  <w:rFonts w:ascii="Arial" w:cs="Arial" w:eastAsia="Arial" w:hAnsi="Arial"/>
                  <w:sz w:val="18"/>
                  <w:szCs w:val="18"/>
                  <w:color w:val="0000FF"/>
                  <w:w w:val="91"/>
                </w:rPr>
                <w:t xml:space="preserve"> Registration Statement on Form 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1 as filed with the SEC on July 18, 2019, File No. 333-232704).</w:t>
              </w:r>
            </w:hyperlink>
          </w:p>
        </w:tc>
        <w:tc>
          <w:tcPr>
            <w:tcW w:w="2480" w:type="dxa"/>
            <w:vAlign w:val="bottom"/>
            <w:gridSpan w:val="3"/>
          </w:tcPr>
          <w:p>
            <w:pPr>
              <w:spacing w:after="0"/>
              <w:rPr>
                <w:sz w:val="13"/>
                <w:szCs w:val="13"/>
                <w:color w:val="auto"/>
              </w:rPr>
            </w:pPr>
          </w:p>
        </w:tc>
        <w:tc>
          <w:tcPr>
            <w:tcW w:w="2280" w:type="dxa"/>
            <w:vAlign w:val="bottom"/>
            <w:tcBorders>
              <w:top w:val="single" w:sz="8" w:color="0000FF"/>
            </w:tcBorders>
            <w:gridSpan w:val="4"/>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20" w:type="dxa"/>
            <w:vAlign w:val="bottom"/>
            <w:gridSpan w:val="2"/>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10.1*†</w:t>
              </w:r>
            </w:hyperlink>
          </w:p>
        </w:tc>
        <w:tc>
          <w:tcPr>
            <w:tcW w:w="20" w:type="dxa"/>
            <w:vAlign w:val="bottom"/>
          </w:tcPr>
          <w:p>
            <w:pPr>
              <w:spacing w:after="0"/>
              <w:rPr>
                <w:sz w:val="21"/>
                <w:szCs w:val="21"/>
                <w:color w:val="auto"/>
              </w:rPr>
            </w:pPr>
          </w:p>
        </w:tc>
        <w:tc>
          <w:tcPr>
            <w:tcW w:w="9640" w:type="dxa"/>
            <w:vAlign w:val="bottom"/>
            <w:gridSpan w:val="14"/>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Employment Agreement with Michael Maddox, dated June 1, 2020</w:t>
              </w:r>
            </w:hyperlink>
          </w:p>
        </w:tc>
        <w:tc>
          <w:tcPr>
            <w:tcW w:w="0" w:type="dxa"/>
            <w:vAlign w:val="bottom"/>
          </w:tcPr>
          <w:p>
            <w:pPr>
              <w:spacing w:after="0"/>
              <w:rPr>
                <w:sz w:val="1"/>
                <w:szCs w:val="1"/>
                <w:color w:val="auto"/>
              </w:rPr>
            </w:pPr>
          </w:p>
        </w:tc>
      </w:tr>
      <w:tr>
        <w:trPr>
          <w:trHeight w:val="230"/>
        </w:trPr>
        <w:tc>
          <w:tcPr>
            <w:tcW w:w="1420" w:type="dxa"/>
            <w:vAlign w:val="bottom"/>
            <w:gridSpan w:val="2"/>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10.2 *†</w:t>
              </w:r>
            </w:hyperlink>
          </w:p>
        </w:tc>
        <w:tc>
          <w:tcPr>
            <w:tcW w:w="20" w:type="dxa"/>
            <w:vAlign w:val="bottom"/>
          </w:tcPr>
          <w:p>
            <w:pPr>
              <w:spacing w:after="0"/>
              <w:rPr>
                <w:sz w:val="19"/>
                <w:szCs w:val="19"/>
                <w:color w:val="auto"/>
              </w:rPr>
            </w:pPr>
          </w:p>
        </w:tc>
        <w:tc>
          <w:tcPr>
            <w:tcW w:w="9640" w:type="dxa"/>
            <w:vAlign w:val="bottom"/>
            <w:gridSpan w:val="14"/>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Employment Agreement with Steve Peterson, dated July 1, 2020</w:t>
              </w:r>
            </w:hyperlink>
          </w:p>
        </w:tc>
        <w:tc>
          <w:tcPr>
            <w:tcW w:w="0" w:type="dxa"/>
            <w:vAlign w:val="bottom"/>
          </w:tcPr>
          <w:p>
            <w:pPr>
              <w:spacing w:after="0"/>
              <w:rPr>
                <w:sz w:val="1"/>
                <w:szCs w:val="1"/>
                <w:color w:val="auto"/>
              </w:rPr>
            </w:pPr>
          </w:p>
        </w:tc>
      </w:tr>
      <w:tr>
        <w:trPr>
          <w:trHeight w:val="229"/>
        </w:trPr>
        <w:tc>
          <w:tcPr>
            <w:tcW w:w="142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10.3 *†</w:t>
              </w:r>
            </w:hyperlink>
          </w:p>
        </w:tc>
        <w:tc>
          <w:tcPr>
            <w:tcW w:w="20" w:type="dxa"/>
            <w:vAlign w:val="bottom"/>
          </w:tcPr>
          <w:p>
            <w:pPr>
              <w:spacing w:after="0"/>
              <w:rPr>
                <w:sz w:val="19"/>
                <w:szCs w:val="19"/>
                <w:color w:val="auto"/>
              </w:rPr>
            </w:pPr>
          </w:p>
        </w:tc>
        <w:tc>
          <w:tcPr>
            <w:tcW w:w="9640" w:type="dxa"/>
            <w:vAlign w:val="bottom"/>
            <w:gridSpan w:val="14"/>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CrossFirst Bankshares, Inc. Senior Executive Severance Plan</w:t>
              </w:r>
            </w:hyperlink>
          </w:p>
        </w:tc>
        <w:tc>
          <w:tcPr>
            <w:tcW w:w="0" w:type="dxa"/>
            <w:vAlign w:val="bottom"/>
          </w:tcPr>
          <w:p>
            <w:pPr>
              <w:spacing w:after="0"/>
              <w:rPr>
                <w:sz w:val="1"/>
                <w:szCs w:val="1"/>
                <w:color w:val="auto"/>
              </w:rPr>
            </w:pPr>
          </w:p>
        </w:tc>
      </w:tr>
      <w:tr>
        <w:trPr>
          <w:trHeight w:val="190"/>
        </w:trPr>
        <w:tc>
          <w:tcPr>
            <w:tcW w:w="1420" w:type="dxa"/>
            <w:vAlign w:val="bottom"/>
            <w:gridSpan w:val="2"/>
          </w:tcPr>
          <w:p>
            <w:pPr>
              <w:ind w:left="20"/>
              <w:spacing w:after="0" w:line="190" w:lineRule="exact"/>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10.4 †</w:t>
              </w:r>
            </w:hyperlink>
          </w:p>
        </w:tc>
        <w:tc>
          <w:tcPr>
            <w:tcW w:w="20" w:type="dxa"/>
            <w:vAlign w:val="bottom"/>
          </w:tcPr>
          <w:p>
            <w:pPr>
              <w:spacing w:after="0"/>
              <w:rPr>
                <w:sz w:val="16"/>
                <w:szCs w:val="16"/>
                <w:color w:val="auto"/>
              </w:rPr>
            </w:pPr>
          </w:p>
        </w:tc>
        <w:tc>
          <w:tcPr>
            <w:tcW w:w="9640" w:type="dxa"/>
            <w:vAlign w:val="bottom"/>
            <w:gridSpan w:val="14"/>
          </w:tcPr>
          <w:p>
            <w:pPr>
              <w:spacing w:after="0" w:line="190"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CrossFirst Bankshares, Inc. Employee Stock Purchase Plan (incorporated by reference to Exhibit 99.1 to the Company’s Registration</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Statement on Form S-8 as filed with the SEC on July 2, 2020, File No. 333-239636)</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ind w:left="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31.1*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14"/>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Certification of Principal Executive Officer pursuant to Rule 13a-14(a) of the Exchange Act, as adopted pursuant to Section 302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the Sarbanes-Oxley Act of 2002</w:t>
              </w:r>
            </w:hyperlink>
          </w:p>
        </w:tc>
        <w:tc>
          <w:tcPr>
            <w:tcW w:w="7100" w:type="dxa"/>
            <w:vAlign w:val="bottom"/>
            <w:tcBorders>
              <w:top w:val="single" w:sz="8" w:color="0000FF"/>
            </w:tcBorders>
            <w:gridSpan w:val="9"/>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ind w:left="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31.2*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14"/>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Certification of Principal Financial Officer pursuant to Rule 13a-14(a) of the Exchange Act, as adopted pursuant to Section 302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07">
              <w:r>
                <w:rPr>
                  <w:rFonts w:ascii="Arial" w:cs="Arial" w:eastAsia="Arial" w:hAnsi="Arial"/>
                  <w:sz w:val="18"/>
                  <w:szCs w:val="18"/>
                  <w:color w:val="0000FF"/>
                  <w:w w:val="90"/>
                </w:rPr>
                <w:t>the Sarbanes-Oxley Act of 2002</w:t>
              </w:r>
            </w:hyperlink>
          </w:p>
        </w:tc>
        <w:tc>
          <w:tcPr>
            <w:tcW w:w="7040" w:type="dxa"/>
            <w:vAlign w:val="bottom"/>
            <w:tcBorders>
              <w:top w:val="single" w:sz="8" w:color="0000FF"/>
            </w:tcBorders>
            <w:gridSpan w:val="8"/>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20" w:type="dxa"/>
            <w:vAlign w:val="bottom"/>
          </w:tcPr>
          <w:p>
            <w:pPr>
              <w:ind w:left="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32.1**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14"/>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3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4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(formation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Herewith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Indicates a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165" w:lineRule="exact"/>
        <w:rPr>
          <w:sz w:val="20"/>
          <w:szCs w:val="20"/>
          <w:color w:val="auto"/>
        </w:rPr>
      </w:pPr>
    </w:p>
    <w:p>
      <w:pPr>
        <w:ind w:left="1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tabs>
          <w:tab w:leader="none" w:pos="5520" w:val="left"/>
        </w:tabs>
        <w:rPr>
          <w:sz w:val="20"/>
          <w:szCs w:val="20"/>
          <w:color w:val="auto"/>
        </w:rPr>
      </w:pPr>
      <w:r>
        <w:rPr>
          <w:rFonts w:ascii="Arial" w:cs="Arial" w:eastAsia="Arial" w:hAnsi="Arial"/>
          <w:sz w:val="18"/>
          <w:szCs w:val="18"/>
          <w:color w:val="auto"/>
        </w:rPr>
        <w:t>August 12, 2020</w:t>
      </w:r>
      <w:r>
        <w:rPr>
          <w:sz w:val="20"/>
          <w:szCs w:val="20"/>
          <w:color w:val="auto"/>
        </w:rPr>
        <w:tab/>
      </w:r>
      <w:r>
        <w:rPr>
          <w:rFonts w:ascii="Arial" w:cs="Arial" w:eastAsia="Arial" w:hAnsi="Arial"/>
          <w:sz w:val="17"/>
          <w:szCs w:val="17"/>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505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David L. O’Toole</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320" w:top="125" w:right="59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663575</wp:posOffset>
            </wp:positionV>
            <wp:extent cx="1234440" cy="702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7029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EMPLOYMENT AGREEMENT (the "Agreement”) is made and entered into on June 1, 2020 (the “Effective Date’) by and between CrossFirst Bankshares, Inc. a Kansas corporation, ("Bankshares") and Michael J. Maddox, ("Employee"), with reference to the following facts: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parties have agreed to execute this Agreement in order to memorialize the terms and conditions on which Bankshares shall employ Employee from and after the Effective Date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Certain rights described below may inure to the benefit of other companies affiliated with Bankshares by virtue of being controlled by Bankshares (“Affiliated Companies”). As the context requires or as applicable, Bankshares or an Affiliated Company is herein referred to as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intending to be legally bound, do hereby agree as follows:</w:t>
      </w:r>
    </w:p>
    <w:p>
      <w:pPr>
        <w:spacing w:after="0" w:line="216" w:lineRule="exact"/>
        <w:rPr>
          <w:sz w:val="20"/>
          <w:szCs w:val="20"/>
          <w:color w:val="auto"/>
        </w:rPr>
      </w:pPr>
    </w:p>
    <w:p>
      <w:pPr>
        <w:ind w:left="660" w:hanging="522"/>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POSITION AND DUTIES.</w:t>
      </w:r>
    </w:p>
    <w:p>
      <w:pPr>
        <w:spacing w:after="0" w:line="215"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0"/>
          <w:szCs w:val="20"/>
          <w:color w:val="auto"/>
        </w:rPr>
        <w:t>1.1 POSITION, TITLE, AND DUTIES. The Company hereby hires Employee to serve as the President and CEO of the Company. Employee’s primary duty is to direct the strategic and operational growth of the Company and its subsidiary, CrossFirst Bank (the “Bank”). Employee will also serve as a director of the Company and the Bank but will not be paid fees for serving as a director.</w:t>
      </w:r>
    </w:p>
    <w:p>
      <w:pPr>
        <w:spacing w:after="0" w:line="191" w:lineRule="exact"/>
        <w:rPr>
          <w:rFonts w:ascii="Arial" w:cs="Arial" w:eastAsia="Arial" w:hAnsi="Arial"/>
          <w:sz w:val="20"/>
          <w:szCs w:val="20"/>
          <w:color w:val="auto"/>
        </w:rPr>
      </w:pPr>
    </w:p>
    <w:p>
      <w:pPr>
        <w:jc w:val="both"/>
        <w:ind w:left="1300" w:firstLine="4"/>
        <w:spacing w:after="0" w:line="246" w:lineRule="auto"/>
        <w:tabs>
          <w:tab w:leader="none" w:pos="1938" w:val="left"/>
        </w:tabs>
        <w:numPr>
          <w:ilvl w:val="1"/>
          <w:numId w:val="27"/>
        </w:numPr>
        <w:rPr>
          <w:rFonts w:ascii="Arial" w:cs="Arial" w:eastAsia="Arial" w:hAnsi="Arial"/>
          <w:sz w:val="20"/>
          <w:szCs w:val="20"/>
          <w:color w:val="auto"/>
        </w:rPr>
      </w:pPr>
      <w:r>
        <w:rPr>
          <w:rFonts w:ascii="Arial" w:cs="Arial" w:eastAsia="Arial" w:hAnsi="Arial"/>
          <w:sz w:val="20"/>
          <w:szCs w:val="20"/>
          <w:color w:val="auto"/>
        </w:rPr>
        <w:t>LIMITS ON AUTHORITY. Employee shall, to the best of his abilities, perform his duties in such capacity pursuant to this Agreement in compliance with applicable law, consistent with such direction as the Company’s Board of Directors (the “Board of Directors”) provides to Employee from time to time, and in accordance with Company's policies and procedures as published from time to time.</w:t>
      </w:r>
    </w:p>
    <w:p>
      <w:pPr>
        <w:spacing w:after="0" w:line="191" w:lineRule="exact"/>
        <w:rPr>
          <w:rFonts w:ascii="Arial" w:cs="Arial" w:eastAsia="Arial" w:hAnsi="Arial"/>
          <w:sz w:val="20"/>
          <w:szCs w:val="20"/>
          <w:color w:val="auto"/>
        </w:rPr>
      </w:pPr>
    </w:p>
    <w:p>
      <w:pPr>
        <w:jc w:val="both"/>
        <w:ind w:left="1300" w:firstLine="4"/>
        <w:spacing w:after="0" w:line="255" w:lineRule="auto"/>
        <w:tabs>
          <w:tab w:leader="none" w:pos="1936" w:val="left"/>
        </w:tabs>
        <w:numPr>
          <w:ilvl w:val="1"/>
          <w:numId w:val="27"/>
        </w:numPr>
        <w:rPr>
          <w:rFonts w:ascii="Arial" w:cs="Arial" w:eastAsia="Arial" w:hAnsi="Arial"/>
          <w:sz w:val="19"/>
          <w:szCs w:val="19"/>
          <w:color w:val="auto"/>
        </w:rPr>
      </w:pPr>
      <w:r>
        <w:rPr>
          <w:rFonts w:ascii="Arial" w:cs="Arial" w:eastAsia="Arial" w:hAnsi="Arial"/>
          <w:sz w:val="19"/>
          <w:szCs w:val="19"/>
          <w:color w:val="auto"/>
        </w:rPr>
        <w:t>REPORTING AND AUTHORITY. Subject to the directions of the Board of Directors, Employee shall have full authority and responsibility for supervising and managing to the best of his ability, the daily affairs of the Company including but not limited to: (i) presenting to the Company all business opportunities that come to his attention that are reasonably in the scope of business of the Company; (ii) working with the Company to develop and approve business objectives, policies and plans that improve the Company’s long-term profitability and consequently improve the value of shareholder holdings; (iii) communicating business objectives and plans to subordinates, (iv) ensuring that plans and policies are promulgated to and implemented by subordinate managers, (v) ensuring that each business plan provides those functions required for achieving its business objectives and that each plan is properly organized, staffed and directed to fulfill its responsibilities, (vi) assisting the Company in directing periodic reviews of the Company's strategic position and combining this information with corollary analysis of the Company's production and financial resources, (vii) providing periodic financial information concerning the operations of the projects and growth plans to the Company, (viii) assisting the Company in developing and maintaining succession plans and management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1440" w:right="339" w:bottom="1440" w:gutter="0" w:footer="0" w:header="0"/>
        </w:sectPr>
      </w:pPr>
    </w:p>
    <w:bookmarkStart w:id="70" w:name="page71"/>
    <w:bookmarkEnd w:id="70"/>
    <w:p>
      <w:pPr>
        <w:ind w:left="1300" w:right="20"/>
        <w:spacing w:after="0" w:line="260" w:lineRule="auto"/>
        <w:rPr>
          <w:sz w:val="20"/>
          <w:szCs w:val="20"/>
          <w:color w:val="auto"/>
        </w:rPr>
      </w:pPr>
      <w:r>
        <w:rPr>
          <w:rFonts w:ascii="Arial" w:cs="Arial" w:eastAsia="Arial" w:hAnsi="Arial"/>
          <w:sz w:val="20"/>
          <w:szCs w:val="20"/>
          <w:color w:val="auto"/>
        </w:rPr>
        <w:t>personnel for the Company and its Affiliated Companies; and (ix) ensuring that the operation of the projects comply with applicable laws.</w:t>
      </w:r>
    </w:p>
    <w:p>
      <w:pPr>
        <w:spacing w:after="0" w:line="177"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1.2 ACCEPTANCE. Employee hereby accepts employment by the Company in the capacity set forth in Section 1.1, above, and agrees to perform the duties of such position from and after the Effective Date of this Agreement in a diligent, efficient, trustworthy, and businesslike manner. Employee agrees that, to the best of the Employee's ability and experience, Employee at all times shall loyally and conscientiously discharge all of the duties and responsibilities imposed upon Employee pursuant to this Agreement.</w:t>
      </w:r>
    </w:p>
    <w:p>
      <w:pPr>
        <w:spacing w:after="0" w:line="16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1.3 BUSINESS TIME. Employee shall devote his exclusive business time to the performance of his duties to the Company under Section 1.1 and elsewhere in this Agreement. Employee shall not undertake any activities that conflict with or significantly detract from his primary duties to the Company.</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1.4 LOCATION. Employee shall perform his duties under this Agreement primarily in Leawood, Kansas and potentially other regions of the United States where the Company, or its Affiliated Companies, are active in conducting banking and other related service activities. Employee acknowledges and agrees that from time to time he shall be required to travel (at the cost and expense of the Company) to such other locations in order to discharge his duties under this Agreement.</w:t>
      </w:r>
    </w:p>
    <w:p>
      <w:pPr>
        <w:spacing w:after="0" w:line="17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1.5 TERM. The term of this Agreement commenced as of the Effective Date and shall be for a term of two (2) years, which term shall thereafter automatically renew for successive one (1) year terms unless: i)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1. 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four hundred thousand dollars ($400,000) worth of Company stock (“Required Stock”). As a condition of Employee’s continued employment with the Company, Employee shall not sell or transfer any Required Stock without the prior consent of the Compensation Committee of the Board of Directors (the “Compensation Committee"). In the event Employee fails to hold sufficient Company stock with a value equal to or in excess of the required minimum value for more than ninety (90) consecutive days, and unless such requirement is waived by the Compensation Committee, Employee shall be deemed to be in material breach of this Agreement.</w:t>
      </w:r>
    </w:p>
    <w:p>
      <w:pPr>
        <w:spacing w:after="0" w:line="180" w:lineRule="exact"/>
        <w:rPr>
          <w:sz w:val="20"/>
          <w:szCs w:val="20"/>
          <w:color w:val="auto"/>
        </w:rPr>
      </w:pPr>
    </w:p>
    <w:p>
      <w:pPr>
        <w:ind w:left="660" w:hanging="52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COMPENSATION. The Company shall compensate Employee for his services pursuant to this Agreement as follows: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18"/>
          <w:szCs w:val="18"/>
          <w:color w:val="auto"/>
        </w:rPr>
        <w:t>BASE COMPENSATION.</w:t>
      </w:r>
    </w:p>
    <w:p>
      <w:pPr>
        <w:spacing w:after="0" w:line="216"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(a.) BASE SALARY. The Company shall pay to Employee an annual salary in the amount of five hundred thousand dollars ($500,000.00) ("Base Salary"), payable in periodic installments in accordance with the Company's regular payroll practices as in effect from time to time. Such annual salary shall be subject to approval by the Compensation Committee. In addition, such annual salary is subject to periodic increases, in such amounts (if any) as the Company may determine to be appropriate, at the time of Employee's annual review pursuant to Section 2.1(b), below, or at such other times (if any) as the Company may select. In no event may Employee’s Base Salary be reduced during the term of this Agreement, without Employee's consent.</w:t>
      </w:r>
    </w:p>
    <w:p>
      <w:pPr>
        <w:spacing w:after="0" w:line="193"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(b.) PERIODIC REVIEWS. The Company shall review Employee's performance of his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1" w:name="page72"/>
    <w:bookmarkEnd w:id="71"/>
    <w:p>
      <w:pPr>
        <w:ind w:left="1300"/>
        <w:spacing w:after="0"/>
        <w:rPr>
          <w:sz w:val="20"/>
          <w:szCs w:val="20"/>
          <w:color w:val="auto"/>
        </w:rPr>
      </w:pPr>
      <w:r>
        <w:rPr>
          <w:rFonts w:ascii="Arial" w:cs="Arial" w:eastAsia="Arial" w:hAnsi="Arial"/>
          <w:sz w:val="19"/>
          <w:szCs w:val="19"/>
          <w:color w:val="auto"/>
        </w:rPr>
        <w:t>salary increase shall be effective as of such date as the Company, in its discretion, determines to be appropriate.</w:t>
      </w:r>
    </w:p>
    <w:p>
      <w:pPr>
        <w:spacing w:after="0" w:line="2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BONUSES.</w:t>
      </w:r>
    </w:p>
    <w:p>
      <w:pPr>
        <w:spacing w:after="0" w:line="216" w:lineRule="exact"/>
        <w:rPr>
          <w:sz w:val="20"/>
          <w:szCs w:val="20"/>
          <w:color w:val="auto"/>
        </w:rPr>
      </w:pPr>
    </w:p>
    <w:p>
      <w:pPr>
        <w:jc w:val="both"/>
        <w:ind w:left="1300" w:firstLine="4"/>
        <w:spacing w:after="0" w:line="243" w:lineRule="auto"/>
        <w:tabs>
          <w:tab w:leader="none" w:pos="1938" w:val="left"/>
        </w:tabs>
        <w:numPr>
          <w:ilvl w:val="0"/>
          <w:numId w:val="29"/>
        </w:numPr>
        <w:rPr>
          <w:rFonts w:ascii="Arial" w:cs="Arial" w:eastAsia="Arial" w:hAnsi="Arial"/>
          <w:sz w:val="20"/>
          <w:szCs w:val="20"/>
          <w:color w:val="auto"/>
        </w:rPr>
      </w:pPr>
      <w:r>
        <w:rPr>
          <w:rFonts w:ascii="Arial" w:cs="Arial" w:eastAsia="Arial" w:hAnsi="Arial"/>
          <w:sz w:val="20"/>
          <w:szCs w:val="20"/>
          <w:color w:val="auto"/>
        </w:rPr>
        <w:t>CRITERIA. Employee shall be eligible to receive periodic incentive bonuses under the Company’s Incentive Plan (the "Bonuses") in such amounts, if any, and at such times as may be determined by the Board of Directors, in its sole discretion. Employee’s bonus opportunity shall be 60% of Employee’s current Base Salary for the full 2020 calendar year. By no later than March 15 of each year, the Compensation Committee will define the terms and conditions of such Bonuses for Employee for the following year based upon reasonable, measurable and obtainable goals for Employee and the Company.</w:t>
      </w:r>
    </w:p>
    <w:p>
      <w:pPr>
        <w:spacing w:after="0" w:line="195" w:lineRule="exact"/>
        <w:rPr>
          <w:rFonts w:ascii="Arial" w:cs="Arial" w:eastAsia="Arial" w:hAnsi="Arial"/>
          <w:sz w:val="20"/>
          <w:szCs w:val="20"/>
          <w:color w:val="auto"/>
        </w:rPr>
      </w:pPr>
    </w:p>
    <w:p>
      <w:pPr>
        <w:jc w:val="both"/>
        <w:ind w:left="1300" w:firstLine="4"/>
        <w:spacing w:after="0" w:line="227" w:lineRule="auto"/>
        <w:tabs>
          <w:tab w:leader="none" w:pos="193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TIMING OF PAYMENT. The Bonus, if any, payable for each calendar year during the term of this Agreement shall be payable on or before March 15</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calendar year immediately following the end of the calendar year in which such Bonus is earned.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FRINGE BENEFITS/VACATION.</w:t>
      </w:r>
    </w:p>
    <w:p>
      <w:pPr>
        <w:spacing w:after="0" w:line="216" w:lineRule="exact"/>
        <w:rPr>
          <w:sz w:val="20"/>
          <w:szCs w:val="20"/>
          <w:color w:val="auto"/>
        </w:rPr>
      </w:pPr>
    </w:p>
    <w:p>
      <w:pPr>
        <w:ind w:left="1300" w:firstLine="4"/>
        <w:spacing w:after="0" w:line="260" w:lineRule="auto"/>
        <w:tabs>
          <w:tab w:leader="none" w:pos="1938" w:val="left"/>
        </w:tabs>
        <w:numPr>
          <w:ilvl w:val="0"/>
          <w:numId w:val="30"/>
        </w:numPr>
        <w:rPr>
          <w:rFonts w:ascii="Arial" w:cs="Arial" w:eastAsia="Arial" w:hAnsi="Arial"/>
          <w:sz w:val="20"/>
          <w:szCs w:val="20"/>
          <w:color w:val="auto"/>
        </w:rPr>
      </w:pPr>
      <w:r>
        <w:rPr>
          <w:rFonts w:ascii="Arial" w:cs="Arial" w:eastAsia="Arial" w:hAnsi="Arial"/>
          <w:sz w:val="20"/>
          <w:szCs w:val="20"/>
          <w:color w:val="auto"/>
        </w:rPr>
        <w:t>VACATION. Employee is trusted to take reasonable vacation time when needed. Employee will not receive compensation upon termination or credit in future calendar years for any unused vacation time.</w:t>
      </w:r>
    </w:p>
    <w:p>
      <w:pPr>
        <w:spacing w:after="0" w:line="176" w:lineRule="exact"/>
        <w:rPr>
          <w:rFonts w:ascii="Arial" w:cs="Arial" w:eastAsia="Arial" w:hAnsi="Arial"/>
          <w:sz w:val="20"/>
          <w:szCs w:val="20"/>
          <w:color w:val="auto"/>
        </w:rPr>
      </w:pPr>
    </w:p>
    <w:p>
      <w:pPr>
        <w:jc w:val="both"/>
        <w:ind w:left="1300" w:firstLine="4"/>
        <w:spacing w:after="0" w:line="257" w:lineRule="auto"/>
        <w:tabs>
          <w:tab w:leader="none" w:pos="1936" w:val="left"/>
        </w:tabs>
        <w:numPr>
          <w:ilvl w:val="0"/>
          <w:numId w:val="30"/>
        </w:numPr>
        <w:rPr>
          <w:rFonts w:ascii="Arial" w:cs="Arial" w:eastAsia="Arial" w:hAnsi="Arial"/>
          <w:sz w:val="19"/>
          <w:szCs w:val="19"/>
          <w:color w:val="auto"/>
        </w:rPr>
      </w:pPr>
      <w:r>
        <w:rPr>
          <w:rFonts w:ascii="Arial" w:cs="Arial" w:eastAsia="Arial" w:hAnsi="Arial"/>
          <w:sz w:val="19"/>
          <w:szCs w:val="19"/>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 Term Disability Insurance. The Company shall not materially reduce the life insurance, medical, health and accident, or disability plans currently available to Employee unless such reductions are implemented by the Company as part of a Company-wide cost reduction program and applicable to all of the Company’s senior management employees. To the extent that any other employee of the Company may receive or become entitled to any additional fringe benefit, Employee shall also be entitled to receive such benefit.</w:t>
      </w:r>
    </w:p>
    <w:p>
      <w:pPr>
        <w:spacing w:after="0" w:line="180" w:lineRule="exact"/>
        <w:rPr>
          <w:rFonts w:ascii="Arial" w:cs="Arial" w:eastAsia="Arial" w:hAnsi="Arial"/>
          <w:sz w:val="19"/>
          <w:szCs w:val="19"/>
          <w:color w:val="auto"/>
        </w:rPr>
      </w:pPr>
    </w:p>
    <w:p>
      <w:pPr>
        <w:jc w:val="both"/>
        <w:ind w:left="1300" w:firstLine="4"/>
        <w:spacing w:after="0" w:line="282"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COMMUNICATIONS. The Company at its expense shall provide Employee with iPhones and iPads and data plan for his use in connection with the Company’s business with a provider acceptable to the Company. Employee shall use and maintain such devises in a reasonable manner. The Company shall pay for the purchase of such initial devices for Employee’s use and a replacement when such devices are eligible for full replacement under Employee’s data plan.</w:t>
      </w:r>
    </w:p>
    <w:p>
      <w:pPr>
        <w:spacing w:after="0" w:line="161" w:lineRule="exact"/>
        <w:rPr>
          <w:rFonts w:ascii="Arial" w:cs="Arial" w:eastAsia="Arial" w:hAnsi="Arial"/>
          <w:sz w:val="18"/>
          <w:szCs w:val="18"/>
          <w:color w:val="auto"/>
        </w:rPr>
      </w:pPr>
    </w:p>
    <w:p>
      <w:pPr>
        <w:jc w:val="both"/>
        <w:ind w:left="1300" w:firstLine="4"/>
        <w:spacing w:after="0" w:line="244" w:lineRule="auto"/>
        <w:tabs>
          <w:tab w:leader="none" w:pos="193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AUTOMOBILE ALLOWANCE. Company shall provide Employee with an automobile allowance of one thousand five hundred dollars ($1,500) per month, prorated for partial months worked, which shall be in lieu of any expense reimbursement for automobile or automobile-related expenditures (other than expenditures for car service or other transportation costs associated with Employee's business travel, which shall be reimburse in accordance with the terms of Section 2.4, below) or use of a Company owned or leased vehicle.</w:t>
      </w:r>
    </w:p>
    <w:p>
      <w:pPr>
        <w:spacing w:after="0" w:line="194" w:lineRule="exact"/>
        <w:rPr>
          <w:rFonts w:ascii="Arial" w:cs="Arial" w:eastAsia="Arial" w:hAnsi="Arial"/>
          <w:sz w:val="20"/>
          <w:szCs w:val="20"/>
          <w:color w:val="auto"/>
        </w:rPr>
      </w:pPr>
    </w:p>
    <w:p>
      <w:pPr>
        <w:jc w:val="both"/>
        <w:ind w:left="1300" w:firstLine="4"/>
        <w:spacing w:after="0" w:line="282"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CLUB MEMBERSHIPS. Employee shall be eligible for the continued use of three of his existing club memberships for his use in connection with the Company’s business, which is acceptable with the Company, provided no regulation is promulgated or regulatory action is taken affecting the legal ability of Company to do so. Monthly club dues and all reasonable expenses incurred by Employee in connection with using such club for the Company’s business shall be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2" w:name="page73"/>
    <w:bookmarkEnd w:id="72"/>
    <w:p>
      <w:pPr>
        <w:ind w:left="1300"/>
        <w:spacing w:after="0" w:line="260" w:lineRule="auto"/>
        <w:rPr>
          <w:sz w:val="20"/>
          <w:szCs w:val="20"/>
          <w:color w:val="auto"/>
        </w:rPr>
      </w:pPr>
      <w:r>
        <w:rPr>
          <w:rFonts w:ascii="Arial" w:cs="Arial" w:eastAsia="Arial" w:hAnsi="Arial"/>
          <w:sz w:val="20"/>
          <w:szCs w:val="20"/>
          <w:color w:val="auto"/>
        </w:rPr>
        <w:t>reimbursed to Employee by the Company. Employee shall be responsible for maintaining use records in accordance with applicable provisions of the Internal Revenue Code and Regulations.</w:t>
      </w:r>
    </w:p>
    <w:p>
      <w:pPr>
        <w:spacing w:after="0" w:line="177"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2.4 REIMBURSEMENT OF EXPENSES. Company shall reimburse Employee for business expenses incurred by Employee in the performance of his duties, provided that such expenses are authorized under Company’s Expense Reimbursement policy, in reasonable amounts, incurred for ordinary and necessary Company-related business expenses and are supported by itemized accountings and expense receipts that are timely submitted to the Company prior to any reimbursement.</w:t>
      </w:r>
    </w:p>
    <w:p>
      <w:pPr>
        <w:spacing w:after="0" w:line="176"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2.5 STOCK APPRECIATION RIGHTS. Upon the Effective Date of this Agreement, Employee shall be granted an additional twenty five thousand nine hundred and seven (25,907) stock settled appreciation rights (“SSARs”) subject to the Company’s 2018 Omnibus Equity Incentive Plan (“Omnibus Plan”) and the terms approved by the Compensation Committee at a Grant Price of nine dollars and thirty five cents ($9.35) per share vesting in one third increments (eight thousand six hundred and thirty-six (8,636) SSARs on March 1, 2021, eight thousand six hundred and thirty-six (8,636) SSARs on February 28, 2022, and eight thousand six hundred and thirty-five (8,635) SSARs on February 27, 2023). In addition to all other vesting rights under the Omnibus Plan, in the event of Employee’s resignation during the term, such grant of twenty five thousand nine hundred and seven (25,907) SSARs will fully vest should Employee’s resignation be a result of an event that gives Employee grounds for a “Constructive Termination” as that term is defined in the Severance Plan (as defined in Section 3.1(c) below). These SSARs are granted at no net cost to the employee. Employee’s rights in the shares may change in accordance with the provisions of the Omnibus Plan, as the same may be amended.</w:t>
      </w:r>
    </w:p>
    <w:p>
      <w:pPr>
        <w:spacing w:after="0" w:line="187" w:lineRule="exact"/>
        <w:rPr>
          <w:sz w:val="20"/>
          <w:szCs w:val="20"/>
          <w:color w:val="auto"/>
        </w:rPr>
      </w:pPr>
    </w:p>
    <w:p>
      <w:pPr>
        <w:jc w:val="both"/>
        <w:ind w:left="660" w:hanging="4"/>
        <w:spacing w:after="0" w:line="256" w:lineRule="auto"/>
        <w:tabs>
          <w:tab w:leader="none" w:pos="12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EQUITY INCENTIVE PLAN. As an active key employee in Company and its affiliates, Employee shall have the right to participate in the current Omnibus Plan for certain eligible key employees, a copy of which has been provided by Employer. As a part of Employee’s compensation under this Agreement, Employee shall have the right to participate in the Omnibus Plan as determined by the Compensation Committee, subject to vesting and other rights described in the Omnibus Plan. Employee’s initial equity incentive bonus opportunity effective in 2021 shall be no less than 50% of Employee’s Base Salary. Incentive Rights are granted at no net cost to the employee. Employee’s rights in any equity awards may change in accordance with the provisions of the Omnibus Plan. Upon the Effective Date of this Agreement, Employee shall be granted an additional five thousand three hundred and seventy-six (5,376) shares of time-based restricted stock units that will vest in approximate one third increments on March 1, 2021, February 28, 2022 and February 27, 2023.</w:t>
      </w:r>
    </w:p>
    <w:p>
      <w:pPr>
        <w:spacing w:after="0" w:line="184" w:lineRule="exact"/>
        <w:rPr>
          <w:sz w:val="20"/>
          <w:szCs w:val="20"/>
          <w:color w:val="auto"/>
        </w:rPr>
      </w:pPr>
    </w:p>
    <w:p>
      <w:pPr>
        <w:ind w:left="660" w:hanging="522"/>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TERMINATION.</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3.1</w:t>
      </w:r>
      <w:r>
        <w:rPr>
          <w:rFonts w:ascii="Arial" w:cs="Arial" w:eastAsia="Arial" w:hAnsi="Arial"/>
          <w:sz w:val="18"/>
          <w:szCs w:val="18"/>
          <w:color w:val="auto"/>
        </w:rPr>
        <w:t>DEFINTIONS. For purposes of this Agreement, the term:</w:t>
      </w:r>
    </w:p>
    <w:p>
      <w:pPr>
        <w:spacing w:after="0" w:line="215" w:lineRule="exact"/>
        <w:rPr>
          <w:rFonts w:ascii="Arial" w:cs="Arial" w:eastAsia="Arial" w:hAnsi="Arial"/>
          <w:sz w:val="20"/>
          <w:szCs w:val="20"/>
          <w:color w:val="auto"/>
        </w:rPr>
      </w:pPr>
    </w:p>
    <w:p>
      <w:pPr>
        <w:ind w:left="1300" w:firstLine="4"/>
        <w:spacing w:after="0" w:line="260" w:lineRule="auto"/>
        <w:tabs>
          <w:tab w:leader="none" w:pos="1938" w:val="left"/>
        </w:tabs>
        <w:numPr>
          <w:ilvl w:val="1"/>
          <w:numId w:val="32"/>
        </w:numPr>
        <w:rPr>
          <w:rFonts w:ascii="Arial" w:cs="Arial" w:eastAsia="Arial" w:hAnsi="Arial"/>
          <w:sz w:val="20"/>
          <w:szCs w:val="20"/>
          <w:color w:val="auto"/>
        </w:rPr>
      </w:pPr>
      <w:r>
        <w:rPr>
          <w:rFonts w:ascii="Arial" w:cs="Arial" w:eastAsia="Arial" w:hAnsi="Arial"/>
          <w:sz w:val="20"/>
          <w:szCs w:val="20"/>
          <w:color w:val="auto"/>
        </w:rPr>
        <w:t>“DATE OF TERMINATION” or "TERMINATION DATE" shall mean the date specified in a Notice of Termination (as defined below).</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"NOTICE OF TERMINATION" shall mean a written notice, which includes the effective Date of Termination and</w:t>
      </w:r>
    </w:p>
    <w:p>
      <w:pPr>
        <w:spacing w:after="0" w:line="38" w:lineRule="exact"/>
        <w:rPr>
          <w:rFonts w:ascii="Arial" w:cs="Arial" w:eastAsia="Arial" w:hAnsi="Arial"/>
          <w:sz w:val="18"/>
          <w:szCs w:val="18"/>
          <w:color w:val="auto"/>
        </w:rPr>
      </w:pPr>
    </w:p>
    <w:p>
      <w:pPr>
        <w:jc w:val="both"/>
        <w:ind w:left="1300" w:firstLine="4"/>
        <w:spacing w:after="0" w:line="241" w:lineRule="auto"/>
        <w:tabs>
          <w:tab w:leader="none" w:pos="1553" w:val="left"/>
        </w:tabs>
        <w:numPr>
          <w:ilvl w:val="1"/>
          <w:numId w:val="33"/>
        </w:numPr>
        <w:rPr>
          <w:rFonts w:ascii="Arial" w:cs="Arial" w:eastAsia="Arial" w:hAnsi="Arial"/>
          <w:sz w:val="20"/>
          <w:szCs w:val="20"/>
          <w:color w:val="auto"/>
        </w:rPr>
      </w:pPr>
      <w:r>
        <w:rPr>
          <w:rFonts w:ascii="Arial" w:cs="Arial" w:eastAsia="Arial" w:hAnsi="Arial"/>
          <w:sz w:val="20"/>
          <w:szCs w:val="20"/>
          <w:color w:val="auto"/>
        </w:rPr>
        <w:t>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194" w:lineRule="exact"/>
        <w:rPr>
          <w:rFonts w:ascii="Arial" w:cs="Arial" w:eastAsia="Arial" w:hAnsi="Arial"/>
          <w:sz w:val="20"/>
          <w:szCs w:val="20"/>
          <w:color w:val="auto"/>
        </w:rPr>
      </w:pPr>
    </w:p>
    <w:p>
      <w:pPr>
        <w:ind w:left="1940" w:hanging="636"/>
        <w:spacing w:after="0"/>
        <w:tabs>
          <w:tab w:leader="none" w:pos="19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"SEVERANCE PLAN" shall mean the CrossFirst Bankshares, Inc. Senior Executive Severance Plan.</w:t>
      </w:r>
    </w:p>
    <w:p>
      <w:pPr>
        <w:spacing w:after="0" w:line="10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3.2 TERMINATION BY EMPLOYEE OR COMPANY DUE TO DEATH OR DISABILITY. If the Company terminates Employee during the term of this Agreement due to death or Disability or Employee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3" w:name="page74"/>
    <w:bookmarkEnd w:id="73"/>
    <w:p>
      <w:pPr>
        <w:ind w:left="660"/>
        <w:spacing w:after="0" w:line="260" w:lineRule="auto"/>
        <w:rPr>
          <w:sz w:val="20"/>
          <w:szCs w:val="20"/>
          <w:color w:val="auto"/>
        </w:rPr>
      </w:pPr>
      <w:r>
        <w:rPr>
          <w:rFonts w:ascii="Arial" w:cs="Arial" w:eastAsia="Arial" w:hAnsi="Arial"/>
          <w:sz w:val="20"/>
          <w:szCs w:val="20"/>
          <w:color w:val="auto"/>
        </w:rPr>
        <w:t>terminates this Agreement due to Disability then following such termination the Company shall pay to Employee or Employee’s legal representative:</w:t>
      </w:r>
    </w:p>
    <w:p>
      <w:pPr>
        <w:spacing w:after="0" w:line="177" w:lineRule="exact"/>
        <w:rPr>
          <w:sz w:val="20"/>
          <w:szCs w:val="20"/>
          <w:color w:val="auto"/>
        </w:rPr>
      </w:pPr>
    </w:p>
    <w:p>
      <w:pPr>
        <w:jc w:val="both"/>
        <w:ind w:left="1300" w:firstLine="4"/>
        <w:spacing w:after="0" w:line="254" w:lineRule="auto"/>
        <w:tabs>
          <w:tab w:leader="none" w:pos="193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following the Employee’s Date of Termination; and</w:t>
      </w:r>
    </w:p>
    <w:p>
      <w:pPr>
        <w:spacing w:after="0" w:line="99" w:lineRule="exact"/>
        <w:rPr>
          <w:rFonts w:ascii="Arial" w:cs="Arial" w:eastAsia="Arial" w:hAnsi="Arial"/>
          <w:sz w:val="20"/>
          <w:szCs w:val="20"/>
          <w:color w:val="auto"/>
        </w:rPr>
      </w:pPr>
    </w:p>
    <w:p>
      <w:pPr>
        <w:jc w:val="both"/>
        <w:ind w:left="1300" w:firstLine="4"/>
        <w:spacing w:after="0" w:line="243" w:lineRule="auto"/>
        <w:tabs>
          <w:tab w:leader="none" w:pos="1936"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 enrolled in a health, vision or dental plan sponsored by the Company before the Date of Termination.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"Disability" shall have the meaning ascribed in the Severance Plan</w:t>
      </w:r>
    </w:p>
    <w:p>
      <w:pPr>
        <w:spacing w:after="0" w:line="216"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3.3 OTHER TERMINATIONS. In the case of a termination for any reason other than Employee's death or Disability, Employee shall only be entitled to those severance benefits, if any, provided for under the Severance Plan ("Severance Payments")</w:t>
      </w:r>
    </w:p>
    <w:p>
      <w:pPr>
        <w:spacing w:after="0" w:line="13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3.4 CONDITIONAL NATURE OF SEVERANCE PAYMENTS. Notwithstanding any other provision of this Section 3 or any other provision of this Agreement to the contrary:</w:t>
      </w:r>
    </w:p>
    <w:p>
      <w:pPr>
        <w:spacing w:after="0" w:line="177" w:lineRule="exact"/>
        <w:rPr>
          <w:sz w:val="20"/>
          <w:szCs w:val="20"/>
          <w:color w:val="auto"/>
        </w:rPr>
      </w:pPr>
    </w:p>
    <w:p>
      <w:pPr>
        <w:jc w:val="both"/>
        <w:ind w:left="1300" w:firstLine="4"/>
        <w:spacing w:after="0" w:line="270" w:lineRule="auto"/>
        <w:tabs>
          <w:tab w:leader="none" w:pos="1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NONSOLICITATION. Employee understands and agrees that because of his employment with the Company that he will acquire or have access to certain information of a confidential and secret nature derived from the operations of the Company’s and its Affiliated Companies’ 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Employee understands and agrees that the nature of the Company's business is such that if Employee were to directly solicit, interfere with, or attempt to interfere with any of the 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Employee and the Company complying with the terms of his employment, and subject to the condition precedent of the Company timely providing Employee the payments called for hereunder, Employee agrees:</w:t>
      </w:r>
    </w:p>
    <w:p>
      <w:pPr>
        <w:spacing w:after="0" w:line="175" w:lineRule="exact"/>
        <w:rPr>
          <w:rFonts w:ascii="Arial" w:cs="Arial" w:eastAsia="Arial" w:hAnsi="Arial"/>
          <w:sz w:val="18"/>
          <w:szCs w:val="18"/>
          <w:color w:val="auto"/>
        </w:rPr>
      </w:pPr>
    </w:p>
    <w:p>
      <w:pPr>
        <w:jc w:val="both"/>
        <w:ind w:left="1960" w:right="20" w:hanging="8"/>
        <w:spacing w:after="0" w:line="269" w:lineRule="auto"/>
        <w:tabs>
          <w:tab w:leader="none" w:pos="2606"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that, without the prior written consent of the Company, he will not directly or indirectly solicit interfere with or attempt to interfere with any of the Company’s customer relationships or other employee relationships that existed at Employee’s Termination Date and during the one (1) year period of time thereafter;</w:t>
      </w:r>
    </w:p>
    <w:p>
      <w:pPr>
        <w:spacing w:after="0" w:line="169" w:lineRule="exact"/>
        <w:rPr>
          <w:rFonts w:ascii="Arial" w:cs="Arial" w:eastAsia="Arial" w:hAnsi="Arial"/>
          <w:sz w:val="19"/>
          <w:szCs w:val="19"/>
          <w:color w:val="auto"/>
        </w:rPr>
      </w:pPr>
    </w:p>
    <w:p>
      <w:pPr>
        <w:jc w:val="both"/>
        <w:ind w:left="1960" w:hanging="8"/>
        <w:spacing w:after="0" w:line="260" w:lineRule="auto"/>
        <w:tabs>
          <w:tab w:leader="none" w:pos="2607" w:val="left"/>
        </w:tabs>
        <w:numPr>
          <w:ilvl w:val="1"/>
          <w:numId w:val="36"/>
        </w:numPr>
        <w:rPr>
          <w:rFonts w:ascii="Arial" w:cs="Arial" w:eastAsia="Arial" w:hAnsi="Arial"/>
          <w:sz w:val="19"/>
          <w:szCs w:val="19"/>
          <w:color w:val="auto"/>
        </w:rPr>
      </w:pPr>
      <w:r>
        <w:rPr>
          <w:rFonts w:ascii="Arial" w:cs="Arial" w:eastAsia="Arial" w:hAnsi="Arial"/>
          <w:sz w:val="19"/>
          <w:szCs w:val="19"/>
          <w:color w:val="auto"/>
        </w:rPr>
        <w:t>to assist in the avoidance of the unauthorized disclosure of the Company's Confidential Information, in addition to other remedies available to the Company and its Affiliated Companies, Employee will not, and understands and agrees that his right to receive the severance consideration described in Sections 3.2 and 3.3 above (to the extent Employee is otherwise entitled to such payments thereunder) shall be conditioned upon Employee not: i) directly or indirectly engaging in (whether as an employee, consultant,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4" w:name="page75"/>
    <w:bookmarkEnd w:id="74"/>
    <w:p>
      <w:pPr>
        <w:jc w:val="both"/>
        <w:ind w:left="1960"/>
        <w:spacing w:after="0" w:line="255" w:lineRule="auto"/>
        <w:rPr>
          <w:sz w:val="20"/>
          <w:szCs w:val="20"/>
          <w:color w:val="auto"/>
        </w:rPr>
      </w:pPr>
      <w:r>
        <w:rPr>
          <w:rFonts w:ascii="Arial" w:cs="Arial" w:eastAsia="Arial" w:hAnsi="Arial"/>
          <w:sz w:val="19"/>
          <w:szCs w:val="19"/>
          <w:color w:val="auto"/>
        </w:rPr>
        <w:t>agent, proprietor, principal, partner, stockholder, corporate officer, director or otherwise); or ii) acquiring any ownership interest in or participating in the financing, operation, management or control of, any person, firm, corporation or business that directly or indirectly solicits, interferes with or attempts to interfere with any of the Company’s customer relationships or other employee relationships that existed at Employee’s Termination Date in any Metropolitan Statistical Area as defined from time to time by the U.S. Office of Management and Budget, Bureau of Labor Statistics, in which the Company or its successor owns controlling voting interest in any banking or other financial institution as such banking or other financial institutions are controlled by the Company or its Affiliated Companies upon Employee’s Termination Date. The limitation upon Employee’s ownership of outstanding shares or other units of ownership shall be excluded from this Section 3.4, provided such ownership is less than five (5) percent in any publicly-traded bank or financial institution;</w:t>
      </w:r>
    </w:p>
    <w:p>
      <w:pPr>
        <w:spacing w:after="0" w:line="190" w:lineRule="exact"/>
        <w:rPr>
          <w:sz w:val="20"/>
          <w:szCs w:val="20"/>
          <w:color w:val="auto"/>
        </w:rPr>
      </w:pPr>
    </w:p>
    <w:p>
      <w:pPr>
        <w:jc w:val="both"/>
        <w:ind w:left="1960" w:hanging="8"/>
        <w:spacing w:after="0" w:line="244" w:lineRule="auto"/>
        <w:tabs>
          <w:tab w:leader="none" w:pos="2608" w:val="left"/>
        </w:tabs>
        <w:numPr>
          <w:ilvl w:val="0"/>
          <w:numId w:val="37"/>
        </w:numPr>
        <w:rPr>
          <w:rFonts w:ascii="Arial" w:cs="Arial" w:eastAsia="Arial" w:hAnsi="Arial"/>
          <w:sz w:val="20"/>
          <w:szCs w:val="20"/>
          <w:color w:val="auto"/>
        </w:rPr>
      </w:pPr>
      <w:r>
        <w:rPr>
          <w:rFonts w:ascii="Arial" w:cs="Arial" w:eastAsia="Arial" w:hAnsi="Arial"/>
          <w:sz w:val="20"/>
          <w:szCs w:val="20"/>
          <w:color w:val="auto"/>
        </w:rPr>
        <w:t>without the prior written consent of the Company, Employee will not solicit, directly or indirectly, actively or inactively, the employees or independent contractors of the Company to become employees or independent contractors of any person, firm, corporation, business, or banking or other financial institution that directly or indirectly competes with the Company or solicits, interferes with, or attempts to interfere with the Company’s customers; and,</w:t>
      </w:r>
    </w:p>
    <w:p>
      <w:pPr>
        <w:spacing w:after="0" w:line="194" w:lineRule="exact"/>
        <w:rPr>
          <w:rFonts w:ascii="Arial" w:cs="Arial" w:eastAsia="Arial" w:hAnsi="Arial"/>
          <w:sz w:val="20"/>
          <w:szCs w:val="20"/>
          <w:color w:val="auto"/>
        </w:rPr>
      </w:pPr>
    </w:p>
    <w:p>
      <w:pPr>
        <w:jc w:val="both"/>
        <w:ind w:left="1960" w:hanging="8"/>
        <w:spacing w:after="0" w:line="260" w:lineRule="auto"/>
        <w:tabs>
          <w:tab w:leader="none" w:pos="2597" w:val="left"/>
        </w:tabs>
        <w:numPr>
          <w:ilvl w:val="0"/>
          <w:numId w:val="37"/>
        </w:numPr>
        <w:rPr>
          <w:rFonts w:ascii="Arial" w:cs="Arial" w:eastAsia="Arial" w:hAnsi="Arial"/>
          <w:sz w:val="19"/>
          <w:szCs w:val="19"/>
          <w:color w:val="auto"/>
        </w:rPr>
      </w:pPr>
      <w:r>
        <w:rPr>
          <w:rFonts w:ascii="Arial" w:cs="Arial" w:eastAsia="Arial" w:hAnsi="Arial"/>
          <w:sz w:val="19"/>
          <w:szCs w:val="19"/>
          <w:color w:val="auto"/>
        </w:rPr>
        <w:t>on or before the Date of Termination</w:t>
      </w:r>
      <w:r>
        <w:rPr>
          <w:rFonts w:ascii="Arial" w:cs="Arial" w:eastAsia="Arial" w:hAnsi="Arial"/>
          <w:sz w:val="19"/>
          <w:szCs w:val="19"/>
          <w:color w:val="535353"/>
        </w:rPr>
        <w:t>,</w:t>
      </w:r>
      <w:r>
        <w:rPr>
          <w:rFonts w:ascii="Arial" w:cs="Arial" w:eastAsia="Arial" w:hAnsi="Arial"/>
          <w:sz w:val="19"/>
          <w:szCs w:val="19"/>
          <w:color w:val="auto"/>
        </w:rPr>
        <w:t xml:space="preserve">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w:t>
      </w:r>
    </w:p>
    <w:p>
      <w:pPr>
        <w:spacing w:after="0" w:line="180" w:lineRule="exact"/>
        <w:rPr>
          <w:sz w:val="20"/>
          <w:szCs w:val="20"/>
          <w:color w:val="auto"/>
        </w:rPr>
      </w:pPr>
    </w:p>
    <w:p>
      <w:pPr>
        <w:jc w:val="both"/>
        <w:ind w:left="1300"/>
        <w:spacing w:after="0" w:line="316" w:lineRule="auto"/>
        <w:rPr>
          <w:sz w:val="20"/>
          <w:szCs w:val="20"/>
          <w:color w:val="auto"/>
        </w:rPr>
      </w:pPr>
      <w:r>
        <w:rPr>
          <w:rFonts w:ascii="Arial" w:cs="Arial" w:eastAsia="Arial" w:hAnsi="Arial"/>
          <w:sz w:val="16"/>
          <w:szCs w:val="16"/>
          <w:color w:val="auto"/>
        </w:rPr>
        <w:t>If Employee violates any restriction described in Section 3.4(a), then all Severance Payments and consideration to which Employee otherwise may be entitled under Section 3.2 and 3.3 above, as applicable, thereupon shall cease and Employee shall promptly return to the Company all severance payments received and other severance benefits theretofore incurred by Company for Employee’s benefit. The Company agrees that nothing herein shall preclude Employee from retaining copies of his calendar, contact list or documents related to his investment in Company or responsibilities as a director to Company, and that Employee shall be entitled to freely offer employment references to the Company’s other current or former employees.</w:t>
      </w:r>
    </w:p>
    <w:p>
      <w:pPr>
        <w:spacing w:after="0" w:line="140" w:lineRule="exact"/>
        <w:rPr>
          <w:sz w:val="20"/>
          <w:szCs w:val="20"/>
          <w:color w:val="auto"/>
        </w:rPr>
      </w:pPr>
    </w:p>
    <w:p>
      <w:pPr>
        <w:jc w:val="both"/>
        <w:ind w:left="1300" w:firstLine="4"/>
        <w:spacing w:after="0" w:line="243" w:lineRule="auto"/>
        <w:tabs>
          <w:tab w:leader="none" w:pos="1936" w:val="left"/>
        </w:tabs>
        <w:numPr>
          <w:ilvl w:val="0"/>
          <w:numId w:val="38"/>
        </w:numPr>
        <w:rPr>
          <w:rFonts w:ascii="Arial" w:cs="Arial" w:eastAsia="Arial" w:hAnsi="Arial"/>
          <w:sz w:val="20"/>
          <w:szCs w:val="20"/>
          <w:color w:val="auto"/>
        </w:rPr>
      </w:pPr>
      <w:r>
        <w:rPr>
          <w:rFonts w:ascii="Arial" w:cs="Arial" w:eastAsia="Arial" w:hAnsi="Arial"/>
          <w:sz w:val="20"/>
          <w:szCs w:val="20"/>
          <w:color w:val="auto"/>
        </w:rPr>
        <w:t>OTHER EMPLOYMENT. In the event Employee becomes employed as an employee or consultant for a company that provides banking services similar to services provided by the Company or its Affiliated Companies in a Metropolitan Statistical Area, described in Section 3.4(a)(ii), above, Employee shall not be entitled to receive any further amount of the severance consideration described in Sections 3.2 and 3.3 above, subsequent to the date of such employment. Employee acknowledges that this limitation is fair to both Employee and the Company and does not in any way restrain employee from exercising Employees lawful profession, trade or business.</w:t>
      </w:r>
    </w:p>
    <w:p>
      <w:pPr>
        <w:spacing w:after="0" w:line="195" w:lineRule="exact"/>
        <w:rPr>
          <w:rFonts w:ascii="Arial" w:cs="Arial" w:eastAsia="Arial" w:hAnsi="Arial"/>
          <w:sz w:val="20"/>
          <w:szCs w:val="20"/>
          <w:color w:val="auto"/>
        </w:rPr>
      </w:pPr>
    </w:p>
    <w:p>
      <w:pPr>
        <w:jc w:val="both"/>
        <w:ind w:left="1300" w:firstLine="4"/>
        <w:spacing w:after="0" w:line="260" w:lineRule="auto"/>
        <w:tabs>
          <w:tab w:leader="none" w:pos="19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GENERAL RELEASE. Employee shall not be entitled to receive any benefits upon termination of employment described in this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5" w:name="page76"/>
    <w:bookmarkEnd w:id="75"/>
    <w:p>
      <w:pPr>
        <w:jc w:val="both"/>
        <w:ind w:left="1300"/>
        <w:spacing w:after="0" w:line="274" w:lineRule="auto"/>
        <w:rPr>
          <w:sz w:val="20"/>
          <w:szCs w:val="20"/>
          <w:color w:val="auto"/>
        </w:rPr>
      </w:pPr>
      <w:r>
        <w:rPr>
          <w:rFonts w:ascii="Arial" w:cs="Arial" w:eastAsia="Arial" w:hAnsi="Arial"/>
          <w:sz w:val="18"/>
          <w:szCs w:val="18"/>
          <w:color w:val="auto"/>
        </w:rPr>
        <w:t>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or (iii) any claims for workers compensation benefits; (iv) Employee’s rights, if any, under the Plan, (v) Employee’s rights, if any, as an owner of any Shares of the Company, (vi) Employee’s rights under this Agreement, or (vii)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168" w:lineRule="exact"/>
        <w:rPr>
          <w:sz w:val="20"/>
          <w:szCs w:val="20"/>
          <w:color w:val="auto"/>
        </w:rPr>
      </w:pPr>
    </w:p>
    <w:p>
      <w:pPr>
        <w:jc w:val="both"/>
        <w:ind w:left="660" w:hanging="4"/>
        <w:spacing w:after="0" w:line="257" w:lineRule="auto"/>
        <w:tabs>
          <w:tab w:leader="none" w:pos="1299" w:val="left"/>
        </w:tabs>
        <w:numPr>
          <w:ilvl w:val="0"/>
          <w:numId w:val="39"/>
        </w:numPr>
        <w:rPr>
          <w:rFonts w:ascii="Arial" w:cs="Arial" w:eastAsia="Arial" w:hAnsi="Arial"/>
          <w:sz w:val="19"/>
          <w:szCs w:val="19"/>
          <w:color w:val="auto"/>
        </w:rPr>
      </w:pPr>
      <w:r>
        <w:rPr>
          <w:rFonts w:ascii="Arial" w:cs="Arial" w:eastAsia="Arial" w:hAnsi="Arial"/>
          <w:sz w:val="19"/>
          <w:szCs w:val="19"/>
          <w:color w:val="auto"/>
        </w:rPr>
        <w:t>EQUITABLE REMEDIES. Employee acknowledges that irreparable harm will result to the Company in the event of a material breach by Employee of any of the covenants contained in Section 3.4. Employee agrees that, in the event of such a breach and in addition to any other legal or equitable 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 of those covenants, and if the court finds any part of the covenant unreasonable as to time, area or activity covered, then the court shall make a finding as to what is reasonable and shall enforce this Agreement by judgment or decree to the extent of such findings.</w:t>
      </w:r>
    </w:p>
    <w:p>
      <w:pPr>
        <w:spacing w:after="0" w:line="180" w:lineRule="exact"/>
        <w:rPr>
          <w:sz w:val="20"/>
          <w:szCs w:val="20"/>
          <w:color w:val="auto"/>
        </w:rPr>
      </w:pPr>
    </w:p>
    <w:p>
      <w:pPr>
        <w:ind w:left="660" w:hanging="522"/>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MISCELLANEOUS</w:t>
      </w:r>
    </w:p>
    <w:p>
      <w:pPr>
        <w:spacing w:after="0" w:line="215" w:lineRule="exact"/>
        <w:rPr>
          <w:rFonts w:ascii="Arial" w:cs="Arial" w:eastAsia="Arial" w:hAnsi="Arial"/>
          <w:sz w:val="20"/>
          <w:szCs w:val="20"/>
          <w:color w:val="auto"/>
        </w:rPr>
      </w:pPr>
    </w:p>
    <w:p>
      <w:pPr>
        <w:jc w:val="both"/>
        <w:ind w:left="660"/>
        <w:spacing w:after="0" w:line="263" w:lineRule="auto"/>
        <w:rPr>
          <w:rFonts w:ascii="Arial" w:cs="Arial" w:eastAsia="Arial" w:hAnsi="Arial"/>
          <w:sz w:val="20"/>
          <w:szCs w:val="20"/>
          <w:color w:val="auto"/>
        </w:rPr>
      </w:pPr>
      <w:r>
        <w:rPr>
          <w:rFonts w:ascii="Arial" w:cs="Arial" w:eastAsia="Arial" w:hAnsi="Arial"/>
          <w:sz w:val="18"/>
          <w:szCs w:val="18"/>
          <w:color w:val="auto"/>
        </w:rPr>
        <w:t>4.1 NOTICES. All notices permitted or required by this Agreement shall be in writing, and shall be deemed to have been delivered and received (i) when personally delivered, or (ii) on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after the date on which deposited in the United States mail, postage prepaid, certified or registered mail, return receipt requested, or (iii) on the date on which transmitted by an electronic means generating a receipt confirming a successful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on that same date a copy of such notice is deposited in the United States mail, postage prepaid, certified or registered mail, return receipt requested), or (iv) on the next business day after the date on which deposited with a regulated public carrier (e.g., Federal Express) designating overnight delivery service with a return receipt requested or equivalent thereof administered by such regulated public carrier, freight prepaid, and addressed in a sealed envelope to the party for whom intended at the address appearing on the signature page of this Agreement (if to the Company to the attention of the Secretary of the Company and if to the Employee to the attention of the Employee), or such other address or facsimile number, notice of which is given in a manner permitted by this Section 4.1.</w:t>
      </w:r>
    </w:p>
    <w:p>
      <w:pPr>
        <w:spacing w:after="0" w:line="179" w:lineRule="exact"/>
        <w:rPr>
          <w:rFonts w:ascii="Arial" w:cs="Arial" w:eastAsia="Arial" w:hAnsi="Arial"/>
          <w:sz w:val="20"/>
          <w:szCs w:val="20"/>
          <w:color w:val="auto"/>
        </w:rPr>
      </w:pPr>
    </w:p>
    <w:p>
      <w:pPr>
        <w:jc w:val="both"/>
        <w:ind w:left="660"/>
        <w:spacing w:after="0" w:line="250" w:lineRule="auto"/>
        <w:rPr>
          <w:rFonts w:ascii="Arial" w:cs="Arial" w:eastAsia="Arial" w:hAnsi="Arial"/>
          <w:sz w:val="20"/>
          <w:szCs w:val="20"/>
          <w:color w:val="auto"/>
        </w:rPr>
      </w:pPr>
      <w:r>
        <w:rPr>
          <w:rFonts w:ascii="Arial" w:cs="Arial" w:eastAsia="Arial" w:hAnsi="Arial"/>
          <w:sz w:val="20"/>
          <w:szCs w:val="20"/>
          <w:color w:val="auto"/>
        </w:rPr>
        <w:t>4.2 EFFECT ON OTHER REMEDIES. Nothing in this Agreement is intended to preclude, and no provision of this Agreement shall be construed to preclude, the exercise of any other right or remedy which the Company or Employee may have by reason of the other's breach of obligations under this Agreement.</w:t>
      </w:r>
    </w:p>
    <w:p>
      <w:pPr>
        <w:spacing w:after="0" w:line="185" w:lineRule="exact"/>
        <w:rPr>
          <w:rFonts w:ascii="Arial" w:cs="Arial" w:eastAsia="Arial" w:hAnsi="Arial"/>
          <w:sz w:val="20"/>
          <w:szCs w:val="20"/>
          <w:color w:val="auto"/>
        </w:rPr>
      </w:pPr>
    </w:p>
    <w:p>
      <w:pPr>
        <w:ind w:left="660"/>
        <w:spacing w:after="0" w:line="260" w:lineRule="auto"/>
        <w:rPr>
          <w:rFonts w:ascii="Arial" w:cs="Arial" w:eastAsia="Arial" w:hAnsi="Arial"/>
          <w:sz w:val="20"/>
          <w:szCs w:val="20"/>
          <w:color w:val="auto"/>
        </w:rPr>
      </w:pPr>
      <w:r>
        <w:rPr>
          <w:rFonts w:ascii="Arial" w:cs="Arial" w:eastAsia="Arial" w:hAnsi="Arial"/>
          <w:sz w:val="20"/>
          <w:szCs w:val="20"/>
          <w:color w:val="auto"/>
        </w:rPr>
        <w:t>4.3 BINDING ON SUCCESSORS; ASSIGNMENT. This Agreement shall be binding upon, and inure to the benefit of, each of the parties hereto, as well as their respective heirs, successors, assigns, and personal representatives.</w:t>
      </w:r>
    </w:p>
    <w:p>
      <w:pPr>
        <w:spacing w:after="0" w:line="176" w:lineRule="exact"/>
        <w:rPr>
          <w:rFonts w:ascii="Arial" w:cs="Arial" w:eastAsia="Arial" w:hAnsi="Arial"/>
          <w:sz w:val="20"/>
          <w:szCs w:val="20"/>
          <w:color w:val="auto"/>
        </w:rPr>
      </w:pPr>
    </w:p>
    <w:p>
      <w:pPr>
        <w:jc w:val="both"/>
        <w:ind w:left="660"/>
        <w:spacing w:after="0" w:line="260" w:lineRule="auto"/>
        <w:rPr>
          <w:rFonts w:ascii="Arial" w:cs="Arial" w:eastAsia="Arial" w:hAnsi="Arial"/>
          <w:sz w:val="20"/>
          <w:szCs w:val="20"/>
          <w:color w:val="auto"/>
        </w:rPr>
      </w:pPr>
      <w:r>
        <w:rPr>
          <w:rFonts w:ascii="Arial" w:cs="Arial" w:eastAsia="Arial" w:hAnsi="Arial"/>
          <w:sz w:val="19"/>
          <w:szCs w:val="19"/>
          <w:color w:val="auto"/>
        </w:rPr>
        <w:t>4.4 GOVERNING LAW, JURISDICTION AND VENUE. This Agreement shall be construed 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6" w:name="page77"/>
    <w:bookmarkEnd w:id="76"/>
    <w:p>
      <w:pPr>
        <w:jc w:val="both"/>
        <w:ind w:left="660"/>
        <w:spacing w:after="0" w:line="278" w:lineRule="auto"/>
        <w:rPr>
          <w:sz w:val="20"/>
          <w:szCs w:val="20"/>
          <w:color w:val="auto"/>
        </w:rPr>
      </w:pPr>
      <w:r>
        <w:rPr>
          <w:rFonts w:ascii="Arial" w:cs="Arial" w:eastAsia="Arial" w:hAnsi="Arial"/>
          <w:sz w:val="18"/>
          <w:szCs w:val="18"/>
          <w:color w:val="auto"/>
        </w:rPr>
        <w:t>4.5 SEVERABILITY. If any of the provisions of this Agreement shall otherwise contravene or 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165"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4.6 COUNTERPARTS. This Agreement may be executed in counterparts, each of which shall be deemed an original and all of which, taken together, shall be one and the same instrument, binding on all the signatories.</w:t>
      </w:r>
    </w:p>
    <w:p>
      <w:pPr>
        <w:spacing w:after="0" w:line="177"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4.7 FURTHER ASSURANCES. Each party agrees, upon the request of another party, to make, execute, and deliver, and to take such additional steps as may be necessary to effectuate the purposes of this Agreement.</w:t>
      </w:r>
    </w:p>
    <w:p>
      <w:pPr>
        <w:spacing w:after="0" w:line="177"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4.8 REASONABLE VERIFICATION. Company agrees that Employee shall have reasonable access to the Company's books and records in order to verify the accuracy of Bonus calculations that may be necessary following termination.</w:t>
      </w:r>
    </w:p>
    <w:p>
      <w:pPr>
        <w:spacing w:after="0" w:line="190"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4.9 ENTIRE AGREEMENT; AMENDMENT. This Agreement (a) represents the entire understanding of the parties with respect to the subject matter hereof, and supersedes all prior and contemporaneous understandings, whether written or oral, regarding the subject matter hereof, and (b) may not be modified or amended, except by a written instrument, executed by the party against whom enforcement of such amendment may be sought.</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9"/>
          <w:szCs w:val="19"/>
          <w:color w:val="auto"/>
        </w:rPr>
        <w:t>TAXES.</w:t>
      </w:r>
    </w:p>
    <w:p>
      <w:pPr>
        <w:spacing w:after="0" w:line="216" w:lineRule="exact"/>
        <w:rPr>
          <w:sz w:val="20"/>
          <w:szCs w:val="20"/>
          <w:color w:val="auto"/>
        </w:rPr>
      </w:pPr>
    </w:p>
    <w:p>
      <w:pPr>
        <w:jc w:val="both"/>
        <w:ind w:left="1300" w:firstLine="4"/>
        <w:spacing w:after="0" w:line="263" w:lineRule="auto"/>
        <w:tabs>
          <w:tab w:leader="none" w:pos="1938"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Anything to the contrary notwithstanding, all payments made by the Company to Employee or Employee’s estate or beneficiaries will be subject to tax withholding pursuant to any applicable laws or regulations. Except as provided in this Agreement, Employee will be solely liable and responsible for the payment of taxes arising as a result of any payment hereunder including without limitation any unexpected or adverse tax consequence.</w:t>
      </w:r>
    </w:p>
    <w:p>
      <w:pPr>
        <w:spacing w:after="0" w:line="176" w:lineRule="exact"/>
        <w:rPr>
          <w:rFonts w:ascii="Arial" w:cs="Arial" w:eastAsia="Arial" w:hAnsi="Arial"/>
          <w:sz w:val="19"/>
          <w:szCs w:val="19"/>
          <w:color w:val="auto"/>
        </w:rPr>
      </w:pPr>
    </w:p>
    <w:p>
      <w:pPr>
        <w:jc w:val="both"/>
        <w:ind w:left="1300" w:firstLine="4"/>
        <w:spacing w:after="0" w:line="246" w:lineRule="auto"/>
        <w:tabs>
          <w:tab w:leader="none" w:pos="19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 void to the extent such provision (or part thereof) fails to comply with Section 409A or regulations thereunder.</w:t>
      </w:r>
    </w:p>
    <w:p>
      <w:pPr>
        <w:spacing w:after="0" w:line="191" w:lineRule="exact"/>
        <w:rPr>
          <w:rFonts w:ascii="Arial" w:cs="Arial" w:eastAsia="Arial" w:hAnsi="Arial"/>
          <w:sz w:val="20"/>
          <w:szCs w:val="20"/>
          <w:color w:val="auto"/>
        </w:rPr>
      </w:pPr>
    </w:p>
    <w:p>
      <w:pPr>
        <w:jc w:val="both"/>
        <w:ind w:left="1300" w:firstLine="4"/>
        <w:spacing w:after="0" w:line="260" w:lineRule="auto"/>
        <w:tabs>
          <w:tab w:leader="none" w:pos="193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80" w:lineRule="exact"/>
        <w:rPr>
          <w:rFonts w:ascii="Arial" w:cs="Arial" w:eastAsia="Arial" w:hAnsi="Arial"/>
          <w:sz w:val="19"/>
          <w:szCs w:val="19"/>
          <w:color w:val="auto"/>
        </w:rPr>
      </w:pPr>
    </w:p>
    <w:p>
      <w:pPr>
        <w:jc w:val="both"/>
        <w:ind w:left="1300" w:right="20" w:firstLine="4"/>
        <w:spacing w:after="0" w:line="259" w:lineRule="auto"/>
        <w:tabs>
          <w:tab w:leader="none" w:pos="1936"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7" w:name="page78"/>
    <w:bookmarkEnd w:id="77"/>
    <w:p>
      <w:pPr>
        <w:ind w:left="1300"/>
        <w:spacing w:after="0" w:line="260" w:lineRule="auto"/>
        <w:rPr>
          <w:sz w:val="20"/>
          <w:szCs w:val="20"/>
          <w:color w:val="auto"/>
        </w:rPr>
      </w:pPr>
      <w:r>
        <w:rPr>
          <w:rFonts w:ascii="Arial" w:cs="Arial" w:eastAsia="Arial" w:hAnsi="Arial"/>
          <w:sz w:val="20"/>
          <w:szCs w:val="20"/>
          <w:color w:val="auto"/>
        </w:rPr>
        <w:t>short-term deferral amounts (e.g., amounts payable under the schedule prior to March 15 of the calendar year following the calendar year of involuntary separation) to the maximum possible extent.</w:t>
      </w:r>
    </w:p>
    <w:p>
      <w:pPr>
        <w:spacing w:after="0" w:line="177" w:lineRule="exact"/>
        <w:rPr>
          <w:sz w:val="20"/>
          <w:szCs w:val="20"/>
          <w:color w:val="auto"/>
        </w:rPr>
      </w:pPr>
    </w:p>
    <w:p>
      <w:pPr>
        <w:jc w:val="both"/>
        <w:ind w:left="1300" w:firstLine="4"/>
        <w:spacing w:after="0" w:line="274" w:lineRule="auto"/>
        <w:tabs>
          <w:tab w:leader="none" w:pos="19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16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4.11 409A. To the extent that any payment or other consideration due from the Company to Employee hereunder would trigger any tax or penalty under Section 409A, the Company agrees that it will accelerate such payment or other consideration to the extent allowed by law in order to eliminate such tax or penalty. To the extent that any payment or other consideration called to be made under this Agreement fails to meet the requirements of Section 409A and the regulations relating to that statute, the Company shall immediately pay to Employee an additional sum equal to any amount required to be included as income as a result of such noncompliance.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1240"/>
          </w:cols>
          <w:pgMar w:left="320" w:top="933" w:right="3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IN WITNESS WHEREOF, the parties hereto have executed this Agreement, effective as of the date set forth above.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CROSSFIRST BANKSHARES, INC</w:t>
      </w:r>
      <w:r>
        <w:rPr>
          <w:rFonts w:ascii="Arial" w:cs="Arial" w:eastAsia="Arial" w:hAnsi="Arial"/>
          <w:sz w:val="20"/>
          <w:szCs w:val="20"/>
          <w:color w:val="auto"/>
        </w:rPr>
        <w:t>.</w:t>
      </w:r>
    </w:p>
    <w:p>
      <w:pPr>
        <w:spacing w:after="0" w:line="330"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/s/Rod K. Brenneman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27305</wp:posOffset>
            </wp:positionV>
            <wp:extent cx="2717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7"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Rod K. Brenneman,</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Chairman of the Board</w:t>
      </w:r>
    </w:p>
    <w:p>
      <w:pPr>
        <w:spacing w:after="0" w:line="318"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MICHAEL J. MADDOX</w:t>
      </w:r>
    </w:p>
    <w:p>
      <w:pPr>
        <w:spacing w:after="0" w:line="330"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/s/Michael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27305</wp:posOffset>
            </wp:positionV>
            <wp:extent cx="27171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7"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Michael J. Maddox</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w:t>
      </w:r>
    </w:p>
    <w:p>
      <w:pPr>
        <w:sectPr>
          <w:pgSz w:w="11900" w:h="16838" w:orient="portrait"/>
          <w:cols w:equalWidth="0" w:num="1">
            <w:col w:w="10200"/>
          </w:cols>
          <w:pgMar w:left="320" w:top="933" w:right="137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662940</wp:posOffset>
            </wp:positionV>
            <wp:extent cx="1817370" cy="1019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81737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w:t>
      </w:r>
    </w:p>
    <w:p>
      <w:pPr>
        <w:spacing w:after="0" w:line="22" w:lineRule="exact"/>
        <w:rPr>
          <w:sz w:val="20"/>
          <w:szCs w:val="20"/>
          <w:color w:val="auto"/>
        </w:rPr>
      </w:pPr>
    </w:p>
    <w:p>
      <w:pPr>
        <w:jc w:val="both"/>
        <w:ind w:left="140" w:right="20" w:firstLine="648"/>
        <w:spacing w:after="0" w:line="260" w:lineRule="auto"/>
        <w:rPr>
          <w:sz w:val="20"/>
          <w:szCs w:val="20"/>
          <w:color w:val="auto"/>
        </w:rPr>
      </w:pPr>
      <w:r>
        <w:rPr>
          <w:rFonts w:ascii="Arial" w:cs="Arial" w:eastAsia="Arial" w:hAnsi="Arial"/>
          <w:sz w:val="19"/>
          <w:szCs w:val="19"/>
          <w:color w:val="auto"/>
        </w:rPr>
        <w:t>THIS EMPLOYMENT AGREEMENT (the "Agreement”) is effective as of July 1, 2020 (the "Effective Date"), is by and between CrossFirst Bank, a state bank organized under the laws of the State of Kansas (the "Company"), CrossFirst Bankshares, Inc. a Kansas Corporation (the “Holding Company”), and Steve Peterson, ("Employee"), with reference to the following facts: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RECITALS:</w:t>
      </w:r>
    </w:p>
    <w:p>
      <w:pPr>
        <w:spacing w:after="0" w:line="189" w:lineRule="exact"/>
        <w:rPr>
          <w:sz w:val="20"/>
          <w:szCs w:val="20"/>
          <w:color w:val="auto"/>
        </w:rPr>
      </w:pPr>
    </w:p>
    <w:p>
      <w:pPr>
        <w:jc w:val="both"/>
        <w:ind w:left="140" w:right="20" w:firstLine="648"/>
        <w:spacing w:after="0" w:line="260" w:lineRule="auto"/>
        <w:rPr>
          <w:sz w:val="20"/>
          <w:szCs w:val="20"/>
          <w:color w:val="auto"/>
        </w:rPr>
      </w:pPr>
      <w:r>
        <w:rPr>
          <w:rFonts w:ascii="Arial" w:cs="Arial" w:eastAsia="Arial" w:hAnsi="Arial"/>
          <w:sz w:val="20"/>
          <w:szCs w:val="20"/>
          <w:color w:val="auto"/>
        </w:rPr>
        <w:t>The parties have agreed to execute this Agreement in order to memorialize the terms and conditions on which the Company shall employ Employee from and after the Effective Date of this Agreement.</w:t>
      </w:r>
    </w:p>
    <w:p>
      <w:pPr>
        <w:spacing w:after="0" w:line="163" w:lineRule="exact"/>
        <w:rPr>
          <w:sz w:val="20"/>
          <w:szCs w:val="20"/>
          <w:color w:val="auto"/>
        </w:rPr>
      </w:pPr>
    </w:p>
    <w:p>
      <w:pPr>
        <w:jc w:val="both"/>
        <w:ind w:left="140" w:right="20" w:firstLine="648"/>
        <w:spacing w:after="0" w:line="260" w:lineRule="auto"/>
        <w:rPr>
          <w:sz w:val="20"/>
          <w:szCs w:val="20"/>
          <w:color w:val="auto"/>
        </w:rPr>
      </w:pPr>
      <w:r>
        <w:rPr>
          <w:rFonts w:ascii="Arial" w:cs="Arial" w:eastAsia="Arial" w:hAnsi="Arial"/>
          <w:sz w:val="20"/>
          <w:szCs w:val="20"/>
          <w:color w:val="auto"/>
        </w:rPr>
        <w:t>Certain rights described below may inure to the benefit of other companies affiliated with the Company by virtue of being controlled by the Company or under common control with the Holding Company (“Affiliated Companies”).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AGREEMENTS:</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Now, THEREFORE, the parties hereto, intending to be legally bound, do hereby agree as follows: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 POSITION AND DUTIES.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 POSITION AND TITLE. The Company hereby hires Employee to serve as Chief Banking Officer.</w:t>
      </w:r>
    </w:p>
    <w:p>
      <w:pPr>
        <w:spacing w:after="0" w:line="189" w:lineRule="exact"/>
        <w:rPr>
          <w:sz w:val="20"/>
          <w:szCs w:val="20"/>
          <w:color w:val="auto"/>
        </w:rPr>
      </w:pPr>
    </w:p>
    <w:p>
      <w:pPr>
        <w:ind w:left="1300" w:right="20" w:hanging="550"/>
        <w:spacing w:after="0" w:line="269" w:lineRule="auto"/>
        <w:tabs>
          <w:tab w:leader="none" w:pos="1039" w:val="left"/>
        </w:tabs>
        <w:numPr>
          <w:ilvl w:val="1"/>
          <w:numId w:val="43"/>
        </w:numPr>
        <w:rPr>
          <w:rFonts w:ascii="Arial" w:cs="Arial" w:eastAsia="Arial" w:hAnsi="Arial"/>
          <w:sz w:val="19"/>
          <w:szCs w:val="19"/>
          <w:color w:val="auto"/>
        </w:rPr>
      </w:pPr>
      <w:r>
        <w:rPr>
          <w:rFonts w:ascii="Arial" w:cs="Arial" w:eastAsia="Arial" w:hAnsi="Arial"/>
          <w:sz w:val="19"/>
          <w:szCs w:val="19"/>
          <w:color w:val="auto"/>
        </w:rPr>
        <w:t>LIMITS ON AUTHORITY. Employee shall, to the best of his abilities, perform his duties in such capacity pursuant to this Agreement in compliance with applicable law, consistent with such direction as the Company provides to Employee from time to time, and in accordance with Company's policies and procedures as published from time to time.</w:t>
      </w:r>
    </w:p>
    <w:p>
      <w:pPr>
        <w:spacing w:after="0" w:line="156" w:lineRule="exact"/>
        <w:rPr>
          <w:rFonts w:ascii="Arial" w:cs="Arial" w:eastAsia="Arial" w:hAnsi="Arial"/>
          <w:sz w:val="19"/>
          <w:szCs w:val="19"/>
          <w:color w:val="auto"/>
        </w:rPr>
      </w:pPr>
    </w:p>
    <w:p>
      <w:pPr>
        <w:ind w:left="1300" w:hanging="695"/>
        <w:spacing w:after="0" w:line="257" w:lineRule="auto"/>
        <w:tabs>
          <w:tab w:leader="none" w:pos="889"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REPORTING AND AUTHORITY. Employee shall report to the Company as directed by the Company. Subject to the directions of the Company, Employee shall have full authority and responsibility for supervising and managing to the best of his ability, the daily affairs in his scope of work or as assigned including but not limited to: (i) presenting to the Company all business opportunities that come to his attention that are reasonably in the scope of business of the Company; (ii) working with the Company to develop and approve business objectives, policies and plans that improve the Company’s profitability; (iii) communicating business objectives and plans to subordinates, (iv) ensuring that plans and policies are promulgated to and implemented by subordinate managers, (v) ensuring that each business plan provides those functions required for achieving its business objectives</w:t>
      </w:r>
    </w:p>
    <w:p>
      <w:pPr>
        <w:spacing w:after="0" w:line="167" w:lineRule="exact"/>
        <w:rPr>
          <w:sz w:val="20"/>
          <w:szCs w:val="20"/>
          <w:color w:val="auto"/>
        </w:rPr>
      </w:pPr>
    </w:p>
    <w:p>
      <w:pPr>
        <w:jc w:val="both"/>
        <w:ind w:left="1300" w:hanging="648"/>
        <w:spacing w:after="0" w:line="244" w:lineRule="auto"/>
        <w:rPr>
          <w:sz w:val="20"/>
          <w:szCs w:val="20"/>
          <w:color w:val="auto"/>
        </w:rPr>
      </w:pPr>
      <w:r>
        <w:rPr>
          <w:rFonts w:ascii="Arial" w:cs="Arial" w:eastAsia="Arial" w:hAnsi="Arial"/>
          <w:sz w:val="20"/>
          <w:szCs w:val="20"/>
          <w:color w:val="auto"/>
        </w:rPr>
        <w:t>and that each plan is properly organized, staffed and directed to fulfill its responsibilities, (vi) assisting the Company in directing periodic reviews of the Company's strategic position and combining this information with corollary analysis of the Company's production and financial resources, (vii) providing periodic financial information concerning the operations of the projects and growth plans to the Company, and (viii) ensuring that the operation of the projects comply with applicable laws.</w:t>
      </w: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120"/>
          </w:cols>
          <w:pgMar w:left="320" w:top="1440" w:right="459" w:bottom="1440" w:gutter="0" w:footer="0" w:header="0"/>
        </w:sectPr>
      </w:pPr>
    </w:p>
    <w:bookmarkStart w:id="80" w:name="page81"/>
    <w:bookmarkEnd w:id="80"/>
    <w:p>
      <w:pPr>
        <w:jc w:val="both"/>
        <w:ind w:left="660" w:right="20"/>
        <w:spacing w:after="0" w:line="244" w:lineRule="auto"/>
        <w:rPr>
          <w:sz w:val="20"/>
          <w:szCs w:val="20"/>
          <w:color w:val="auto"/>
        </w:rPr>
      </w:pPr>
      <w:r>
        <w:rPr>
          <w:rFonts w:ascii="Arial" w:cs="Arial" w:eastAsia="Arial" w:hAnsi="Arial"/>
          <w:sz w:val="20"/>
          <w:szCs w:val="20"/>
          <w:color w:val="auto"/>
        </w:rPr>
        <w:t>1.2 ACCEPTANCE. Employee hereby accepts employment by the Company in the capacity set forth in Section 1.1, above, and agrees to perform the duties of such position from and after the Effective Date of this Agreement in a diligent, efficient, trustworthy, and businesslike manner. Employee agrees that, to the best of the Employee's ability and experience, Employee at all times shall loyally and conscientiously discharge all of the duties and responsibilities imposed upon Employee pursuant to this Agreement.</w:t>
      </w:r>
    </w:p>
    <w:p>
      <w:pPr>
        <w:spacing w:after="0" w:line="167" w:lineRule="exact"/>
        <w:rPr>
          <w:sz w:val="20"/>
          <w:szCs w:val="20"/>
          <w:color w:val="auto"/>
        </w:rPr>
      </w:pPr>
    </w:p>
    <w:p>
      <w:pPr>
        <w:jc w:val="both"/>
        <w:ind w:left="660" w:right="140"/>
        <w:spacing w:after="0" w:line="250" w:lineRule="auto"/>
        <w:rPr>
          <w:sz w:val="20"/>
          <w:szCs w:val="20"/>
          <w:color w:val="auto"/>
        </w:rPr>
      </w:pPr>
      <w:r>
        <w:rPr>
          <w:rFonts w:ascii="Arial" w:cs="Arial" w:eastAsia="Arial" w:hAnsi="Arial"/>
          <w:sz w:val="20"/>
          <w:szCs w:val="20"/>
          <w:color w:val="auto"/>
        </w:rPr>
        <w:t>1.3 BUSINESS TIME. Employee shall devote his exclusive business time to the performance of his duties to the Company under Section 1.1 and elsewhere in this Agreement. Employee shall not undertake any activities that conflict with or significantly detract from his primary duties to the Company.</w:t>
      </w:r>
    </w:p>
    <w:p>
      <w:pPr>
        <w:spacing w:after="0" w:line="172"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1.4 LOCATION. Employee shall perform his duties under this Agreement primarily in Leawood, Kansas and potentially other regions of the United States where the Company, or its Affiliated Companies, are active in conducting banking and other related service activities. Employee acknowledges and agrees that from time to time he shall be required to travel (at the cost and expense of the Company) to such other locations in order to discharge his duties under this Agreement.</w:t>
      </w:r>
    </w:p>
    <w:p>
      <w:pPr>
        <w:spacing w:after="0" w:line="163"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1.5 TERM. The term of this Agreement commenced as of the Effective Date and shall be for a term of two (2) years, which term shall thereafter automatically renew for successive one (1) year terms unless: i)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64" w:lineRule="exact"/>
        <w:rPr>
          <w:sz w:val="20"/>
          <w:szCs w:val="20"/>
          <w:color w:val="auto"/>
        </w:rPr>
      </w:pPr>
    </w:p>
    <w:p>
      <w:pPr>
        <w:jc w:val="both"/>
        <w:ind w:left="660" w:right="20"/>
        <w:spacing w:after="0" w:line="273" w:lineRule="auto"/>
        <w:rPr>
          <w:sz w:val="20"/>
          <w:szCs w:val="20"/>
          <w:color w:val="auto"/>
        </w:rPr>
      </w:pPr>
      <w:r>
        <w:rPr>
          <w:rFonts w:ascii="Arial" w:cs="Arial" w:eastAsia="Arial" w:hAnsi="Arial"/>
          <w:sz w:val="18"/>
          <w:szCs w:val="18"/>
          <w:color w:val="auto"/>
        </w:rPr>
        <w:t>1.6 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four hundred thousand dollars ($400,000) worth of Company stock (“Required Stock”). As a condition of Employee’s continued employment with the Company, Employee shall not sell or transfer any Required Stock without the prior consent of the Compensation Committee of the Board of Directors (the “Compensation Committee"). In the event Employee fails to hold sufficient Company stock with a value equal to or in excess of the required minimum value for more than ninety (90) consecutive days, and unless such requirement is waived by the Compensation Committee, Employee shall be deemed to be in material breach of this Agreement.</w:t>
      </w:r>
    </w:p>
    <w:p>
      <w:pPr>
        <w:spacing w:after="0" w:line="155" w:lineRule="exact"/>
        <w:rPr>
          <w:sz w:val="20"/>
          <w:szCs w:val="20"/>
          <w:color w:val="auto"/>
        </w:rPr>
      </w:pPr>
    </w:p>
    <w:p>
      <w:pPr>
        <w:ind w:left="860" w:hanging="204"/>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COMPENSATION. The Company shall compensate Employee for his services pursuant to this Agreement as follows:</w:t>
      </w:r>
    </w:p>
    <w:p>
      <w:pPr>
        <w:spacing w:after="0" w:line="21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2.1 BASE COMPENSATION.</w:t>
      </w:r>
    </w:p>
    <w:p>
      <w:pPr>
        <w:spacing w:after="0" w:line="188" w:lineRule="exact"/>
        <w:rPr>
          <w:rFonts w:ascii="Arial" w:cs="Arial" w:eastAsia="Arial" w:hAnsi="Arial"/>
          <w:sz w:val="19"/>
          <w:szCs w:val="19"/>
          <w:color w:val="auto"/>
        </w:rPr>
      </w:pPr>
    </w:p>
    <w:p>
      <w:pPr>
        <w:jc w:val="both"/>
        <w:ind w:left="1300" w:firstLine="4"/>
        <w:spacing w:after="0" w:line="243" w:lineRule="auto"/>
        <w:tabs>
          <w:tab w:leader="none" w:pos="1594" w:val="left"/>
        </w:tabs>
        <w:numPr>
          <w:ilvl w:val="1"/>
          <w:numId w:val="45"/>
        </w:numPr>
        <w:rPr>
          <w:rFonts w:ascii="Arial" w:cs="Arial" w:eastAsia="Arial" w:hAnsi="Arial"/>
          <w:sz w:val="20"/>
          <w:szCs w:val="20"/>
          <w:color w:val="auto"/>
        </w:rPr>
      </w:pPr>
      <w:r>
        <w:rPr>
          <w:rFonts w:ascii="Arial" w:cs="Arial" w:eastAsia="Arial" w:hAnsi="Arial"/>
          <w:sz w:val="20"/>
          <w:szCs w:val="20"/>
          <w:color w:val="auto"/>
        </w:rPr>
        <w:t>BASE SALARY. The Company shall pay to Employee an annual salary in the amount of Three Hundred and Fifty Thousand Dollars ($350,000.00) ("Base Salary"), payable in periodic installments in accordance with the Company's regular payroll practices as in effect from time to time. Such annual salary shall be subject to approval by the Compensation Committee. In addition, such annual salary is subject to periodic increases, in such amounts (if any) as the Company may determine to be appropriate, at the time of Employee's annual review pursuant to Section 2.1(b), below, or at such other times (if any) as the Company may select.</w:t>
      </w:r>
    </w:p>
    <w:p>
      <w:pPr>
        <w:spacing w:after="0" w:line="182" w:lineRule="exact"/>
        <w:rPr>
          <w:rFonts w:ascii="Arial" w:cs="Arial" w:eastAsia="Arial" w:hAnsi="Arial"/>
          <w:sz w:val="20"/>
          <w:szCs w:val="20"/>
          <w:color w:val="auto"/>
        </w:rPr>
      </w:pPr>
    </w:p>
    <w:p>
      <w:pPr>
        <w:jc w:val="both"/>
        <w:ind w:left="1300" w:right="20" w:firstLine="4"/>
        <w:spacing w:after="0" w:line="244" w:lineRule="auto"/>
        <w:tabs>
          <w:tab w:leader="none" w:pos="1582" w:val="left"/>
        </w:tabs>
        <w:numPr>
          <w:ilvl w:val="1"/>
          <w:numId w:val="45"/>
        </w:numPr>
        <w:rPr>
          <w:rFonts w:ascii="Arial" w:cs="Arial" w:eastAsia="Arial" w:hAnsi="Arial"/>
          <w:sz w:val="20"/>
          <w:szCs w:val="20"/>
          <w:color w:val="auto"/>
        </w:rPr>
      </w:pPr>
      <w:r>
        <w:rPr>
          <w:rFonts w:ascii="Arial" w:cs="Arial" w:eastAsia="Arial" w:hAnsi="Arial"/>
          <w:sz w:val="20"/>
          <w:szCs w:val="20"/>
          <w:color w:val="auto"/>
        </w:rPr>
        <w:t>PERIODIC REVIEWS. The Company shall review Employee's performance of his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 salary increase shall be effective as of such date as the Company, in its discretion, determines to be appropriate.</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120"/>
          </w:cols>
          <w:pgMar w:left="320" w:top="1027" w:right="459" w:bottom="1440" w:gutter="0" w:footer="0" w:header="0"/>
        </w:sectPr>
      </w:pPr>
    </w:p>
    <w:bookmarkStart w:id="81" w:name="page82"/>
    <w:bookmarkEnd w:id="81"/>
    <w:p>
      <w:pPr>
        <w:ind w:left="400"/>
        <w:spacing w:after="0"/>
        <w:rPr>
          <w:sz w:val="20"/>
          <w:szCs w:val="20"/>
          <w:color w:val="auto"/>
        </w:rPr>
      </w:pPr>
      <w:r>
        <w:rPr>
          <w:rFonts w:ascii="Arial" w:cs="Arial" w:eastAsia="Arial" w:hAnsi="Arial"/>
          <w:sz w:val="20"/>
          <w:szCs w:val="20"/>
          <w:color w:val="auto"/>
        </w:rPr>
        <w:t>2.2  BONUSES.</w:t>
      </w:r>
    </w:p>
    <w:p>
      <w:pPr>
        <w:spacing w:after="0" w:line="189" w:lineRule="exact"/>
        <w:rPr>
          <w:sz w:val="20"/>
          <w:szCs w:val="20"/>
          <w:color w:val="auto"/>
        </w:rPr>
      </w:pPr>
    </w:p>
    <w:p>
      <w:pPr>
        <w:jc w:val="both"/>
        <w:ind w:left="1300" w:firstLine="4"/>
        <w:spacing w:after="0" w:line="260" w:lineRule="auto"/>
        <w:tabs>
          <w:tab w:leader="none" w:pos="1576" w:val="left"/>
        </w:tabs>
        <w:numPr>
          <w:ilvl w:val="0"/>
          <w:numId w:val="46"/>
        </w:numPr>
        <w:rPr>
          <w:rFonts w:ascii="Arial" w:cs="Arial" w:eastAsia="Arial" w:hAnsi="Arial"/>
          <w:sz w:val="19"/>
          <w:szCs w:val="19"/>
          <w:color w:val="auto"/>
        </w:rPr>
      </w:pPr>
      <w:r>
        <w:rPr>
          <w:rFonts w:ascii="Arial" w:cs="Arial" w:eastAsia="Arial" w:hAnsi="Arial"/>
          <w:sz w:val="19"/>
          <w:szCs w:val="19"/>
          <w:color w:val="auto"/>
        </w:rPr>
        <w:t>CRITERIA. Employee shall be eligible to receive periodic incentive bonuses under the Company’s Incentive Plan (the "Bonuses") in such amounts, if any, and at such times as may be determined by the Compensation Committee, in its sole discretion. Employee’s bonus opportunity shall be 50% of Employee’s Base Salary. By no later than March 15 of each year, the Compensation Committee will define the terms and conditions of such Bonuses for Employee for the following year based upon reasonable, measurable and obtainable goals for Employee and the Company.</w:t>
      </w:r>
    </w:p>
    <w:p>
      <w:pPr>
        <w:spacing w:after="0" w:line="166" w:lineRule="exact"/>
        <w:rPr>
          <w:rFonts w:ascii="Arial" w:cs="Arial" w:eastAsia="Arial" w:hAnsi="Arial"/>
          <w:sz w:val="19"/>
          <w:szCs w:val="19"/>
          <w:color w:val="auto"/>
        </w:rPr>
      </w:pPr>
    </w:p>
    <w:p>
      <w:pPr>
        <w:ind w:left="1300" w:right="100" w:firstLine="4"/>
        <w:spacing w:after="0" w:line="227" w:lineRule="auto"/>
        <w:tabs>
          <w:tab w:leader="none" w:pos="162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TIMING OF PAYMENT. The Bonus, if any, payable for each calendar year during the term of this Agreement shall be payable on or before March 15</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calendar year immediately following the end of the calendar year in which such Bonus is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2.3 FRINGE BENEFITS/VACATION.</w:t>
      </w:r>
    </w:p>
    <w:p>
      <w:pPr>
        <w:spacing w:after="0" w:line="189" w:lineRule="exact"/>
        <w:rPr>
          <w:sz w:val="20"/>
          <w:szCs w:val="20"/>
          <w:color w:val="auto"/>
        </w:rPr>
      </w:pPr>
    </w:p>
    <w:p>
      <w:pPr>
        <w:ind w:left="1300" w:right="20" w:firstLine="4"/>
        <w:spacing w:after="0" w:line="260" w:lineRule="auto"/>
        <w:tabs>
          <w:tab w:leader="none" w:pos="1633" w:val="left"/>
        </w:tabs>
        <w:numPr>
          <w:ilvl w:val="0"/>
          <w:numId w:val="47"/>
        </w:numPr>
        <w:rPr>
          <w:rFonts w:ascii="Arial" w:cs="Arial" w:eastAsia="Arial" w:hAnsi="Arial"/>
          <w:sz w:val="20"/>
          <w:szCs w:val="20"/>
          <w:color w:val="auto"/>
        </w:rPr>
      </w:pPr>
      <w:r>
        <w:rPr>
          <w:rFonts w:ascii="Arial" w:cs="Arial" w:eastAsia="Arial" w:hAnsi="Arial"/>
          <w:sz w:val="20"/>
          <w:szCs w:val="20"/>
          <w:color w:val="auto"/>
        </w:rPr>
        <w:t>VACATION. Employee is trusted to take reasonable vacation time when needed. Employee will not receive compensation upon termination or credit in future calendar years for any unused vacation time.</w:t>
      </w:r>
    </w:p>
    <w:p>
      <w:pPr>
        <w:spacing w:after="0" w:line="163" w:lineRule="exact"/>
        <w:rPr>
          <w:rFonts w:ascii="Arial" w:cs="Arial" w:eastAsia="Arial" w:hAnsi="Arial"/>
          <w:sz w:val="20"/>
          <w:szCs w:val="20"/>
          <w:color w:val="auto"/>
        </w:rPr>
      </w:pPr>
    </w:p>
    <w:p>
      <w:pPr>
        <w:jc w:val="both"/>
        <w:ind w:left="1300" w:right="20" w:firstLine="4"/>
        <w:spacing w:after="0" w:line="246" w:lineRule="auto"/>
        <w:tabs>
          <w:tab w:leader="none" w:pos="159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 Term Disability Insurance.</w:t>
      </w:r>
    </w:p>
    <w:p>
      <w:pPr>
        <w:spacing w:after="0" w:line="177" w:lineRule="exact"/>
        <w:rPr>
          <w:rFonts w:ascii="Arial" w:cs="Arial" w:eastAsia="Arial" w:hAnsi="Arial"/>
          <w:sz w:val="20"/>
          <w:szCs w:val="20"/>
          <w:color w:val="auto"/>
        </w:rPr>
      </w:pPr>
    </w:p>
    <w:p>
      <w:pPr>
        <w:jc w:val="both"/>
        <w:ind w:left="1300" w:right="20" w:firstLine="4"/>
        <w:spacing w:after="0" w:line="282" w:lineRule="auto"/>
        <w:tabs>
          <w:tab w:leader="none" w:pos="16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MOBILE COMMUNICATIONS. The Company at its expense shall provide Employee with iPhones and iPads and data plan for his use in connection with the Company’s business with a provider acceptable to the Company. Employee shall use and maintain such devises in a reasonable manner. The Company shall pay for the purchase of such initial devices for Employee’s use and a replacement when such devices are eligible for full replacement under Employee’s data plan.</w:t>
      </w:r>
    </w:p>
    <w:p>
      <w:pPr>
        <w:spacing w:after="0" w:line="134" w:lineRule="exact"/>
        <w:rPr>
          <w:rFonts w:ascii="Arial" w:cs="Arial" w:eastAsia="Arial" w:hAnsi="Arial"/>
          <w:sz w:val="18"/>
          <w:szCs w:val="18"/>
          <w:color w:val="auto"/>
        </w:rPr>
      </w:pPr>
    </w:p>
    <w:p>
      <w:pPr>
        <w:jc w:val="both"/>
        <w:ind w:left="1300" w:right="20" w:firstLine="4"/>
        <w:spacing w:after="0" w:line="244" w:lineRule="auto"/>
        <w:tabs>
          <w:tab w:leader="none" w:pos="159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AUTOMOBILE ALLOWANCE. The Company shall provide Employee with an automobile allowance of $1500 per month, prorated for partial months worked, which shall be in lieu of any expense reimbursement for automobile or automobile-related expenditures (other than expenditures for car service or other or other transportation costs associated with Employee’s business travel, which shall be reimbursed in accordance with the terms of Section 2.4, below) or use of a Company owned or leased vehicle.</w:t>
      </w:r>
    </w:p>
    <w:p>
      <w:pPr>
        <w:spacing w:after="0" w:line="181"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2.4 REIMBURSEMENT OF EXPENSES. The Company shall reimburse Employee for business expenses incurred by Employee in the performance of his duties, provided that such expenses are authorized under Company’s Expense Reimbursement policy, in reasonable amounts, incurred for ordinary and necessary Company-related business expenses and are supported by itemized accountings and expense receipts that are timely submitted to the Company prior to any reimbursement.</w:t>
      </w:r>
    </w:p>
    <w:p>
      <w:pPr>
        <w:spacing w:after="0" w:line="148" w:lineRule="exact"/>
        <w:rPr>
          <w:sz w:val="20"/>
          <w:szCs w:val="20"/>
          <w:color w:val="auto"/>
        </w:rPr>
      </w:pPr>
    </w:p>
    <w:p>
      <w:pPr>
        <w:jc w:val="both"/>
        <w:ind w:left="660" w:right="20"/>
        <w:spacing w:after="0" w:line="243" w:lineRule="auto"/>
        <w:rPr>
          <w:sz w:val="20"/>
          <w:szCs w:val="20"/>
          <w:color w:val="auto"/>
        </w:rPr>
      </w:pPr>
      <w:r>
        <w:rPr>
          <w:rFonts w:ascii="Arial" w:cs="Arial" w:eastAsia="Arial" w:hAnsi="Arial"/>
          <w:sz w:val="20"/>
          <w:szCs w:val="20"/>
          <w:color w:val="auto"/>
        </w:rPr>
        <w:t>2.5 EQUITY INCENTIVE PLAN. As an active key employee in Company and its affiliates, Employee shall have the right to participate in the current CrossFirst Bankshares, Inc. 2018 Omnibus Equity Incentive Plan, (the “Equity Incentive Plan”) for certain eligible key employees, a copy of which has been provided by Employer. As a part of Employee’s compensation under this Agreement, Employee shall have the right to participate in the Equity Incentive Plan as determined by the Committee, subject to vesting and other rights described in the Equity Incentive Plan or approved by the Compensation Committee. Employee’s rights in any equity may change in accordance with the provisions of the Equity Incentive Plan. The Committee reserves the right, in its sole discretion and at</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120"/>
          </w:cols>
          <w:pgMar w:left="320" w:top="1027" w:right="459" w:bottom="1440" w:gutter="0" w:footer="0" w:header="0"/>
        </w:sectPr>
      </w:pPr>
    </w:p>
    <w:bookmarkStart w:id="82" w:name="page83"/>
    <w:bookmarkEnd w:id="82"/>
    <w:p>
      <w:pPr>
        <w:ind w:left="660" w:right="140"/>
        <w:spacing w:after="0" w:line="260" w:lineRule="auto"/>
        <w:rPr>
          <w:sz w:val="20"/>
          <w:szCs w:val="20"/>
          <w:color w:val="auto"/>
        </w:rPr>
      </w:pPr>
      <w:r>
        <w:rPr>
          <w:rFonts w:ascii="Arial" w:cs="Arial" w:eastAsia="Arial" w:hAnsi="Arial"/>
          <w:sz w:val="20"/>
          <w:szCs w:val="20"/>
          <w:color w:val="auto"/>
        </w:rPr>
        <w:t>any time, to change the type of equity incentive awards granted to Employee, provided that the Committee shall only grant to Employee awards which may be granted under the terms of the Equity incentive plan.</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3. TERMINATION.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3.1. DEFINTIONS. For purposes of this Agreement, the term:</w:t>
      </w:r>
    </w:p>
    <w:p>
      <w:pPr>
        <w:spacing w:after="0" w:line="243" w:lineRule="exact"/>
        <w:rPr>
          <w:sz w:val="20"/>
          <w:szCs w:val="20"/>
          <w:color w:val="auto"/>
        </w:rPr>
      </w:pPr>
    </w:p>
    <w:p>
      <w:pPr>
        <w:ind w:left="1620" w:hanging="316"/>
        <w:spacing w:after="0" w:line="260" w:lineRule="auto"/>
        <w:tabs>
          <w:tab w:leader="none" w:pos="161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“DATE OF TERMINATION” or "TERMINATION DATE" shall mean the date specified in a Notice of Termination (as defined below).</w:t>
      </w:r>
    </w:p>
    <w:p>
      <w:pPr>
        <w:spacing w:after="0" w:line="203" w:lineRule="exact"/>
        <w:rPr>
          <w:rFonts w:ascii="Arial" w:cs="Arial" w:eastAsia="Arial" w:hAnsi="Arial"/>
          <w:sz w:val="20"/>
          <w:szCs w:val="20"/>
          <w:color w:val="auto"/>
        </w:rPr>
      </w:pPr>
    </w:p>
    <w:p>
      <w:pPr>
        <w:jc w:val="both"/>
        <w:ind w:left="1620" w:hanging="316"/>
        <w:spacing w:after="0" w:line="260" w:lineRule="auto"/>
        <w:tabs>
          <w:tab w:leader="none" w:pos="1608"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"NOTICE OF TERMINATION" shall mean a written notice, which includes the effective Date of Termination and (i) 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207" w:lineRule="exact"/>
        <w:rPr>
          <w:rFonts w:ascii="Arial" w:cs="Arial" w:eastAsia="Arial" w:hAnsi="Arial"/>
          <w:sz w:val="19"/>
          <w:szCs w:val="19"/>
          <w:color w:val="auto"/>
        </w:rPr>
      </w:pPr>
    </w:p>
    <w:p>
      <w:pPr>
        <w:ind w:left="1620" w:hanging="316"/>
        <w:spacing w:after="0"/>
        <w:tabs>
          <w:tab w:leader="none" w:pos="16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"SEVERANCE PLAN" shall mean the CrossFirst Bankshares, Inc. Senior Executive Severance Plan.</w:t>
      </w:r>
    </w:p>
    <w:p>
      <w:pPr>
        <w:spacing w:after="0" w:line="216" w:lineRule="exact"/>
        <w:rPr>
          <w:sz w:val="20"/>
          <w:szCs w:val="20"/>
          <w:color w:val="auto"/>
        </w:rPr>
      </w:pPr>
    </w:p>
    <w:p>
      <w:pPr>
        <w:jc w:val="both"/>
        <w:ind w:left="1300" w:hanging="647"/>
        <w:spacing w:after="0" w:line="269" w:lineRule="auto"/>
        <w:rPr>
          <w:sz w:val="20"/>
          <w:szCs w:val="20"/>
          <w:color w:val="auto"/>
        </w:rPr>
      </w:pPr>
      <w:r>
        <w:rPr>
          <w:rFonts w:ascii="Arial" w:cs="Arial" w:eastAsia="Arial" w:hAnsi="Arial"/>
          <w:sz w:val="19"/>
          <w:szCs w:val="19"/>
          <w:color w:val="auto"/>
        </w:rPr>
        <w:t>3.2. TERMINATION BY EMPLOYEE OR COMPANY DUE TO DEATH OR DISABILITY. If the Company terminates Employee during the term of this Agreement due to death or Disability or Employee terminates this Agreement due to Disability then following such termination the Company shall pay to Employee or Employee’s legal representative:</w:t>
      </w:r>
    </w:p>
    <w:p>
      <w:pPr>
        <w:spacing w:after="0" w:line="170" w:lineRule="exact"/>
        <w:rPr>
          <w:sz w:val="20"/>
          <w:szCs w:val="20"/>
          <w:color w:val="auto"/>
        </w:rPr>
      </w:pPr>
    </w:p>
    <w:p>
      <w:pPr>
        <w:jc w:val="both"/>
        <w:ind w:left="1620" w:hanging="316"/>
        <w:spacing w:after="0" w:line="254" w:lineRule="auto"/>
        <w:tabs>
          <w:tab w:leader="none" w:pos="1578" w:val="left"/>
        </w:tabs>
        <w:numPr>
          <w:ilvl w:val="0"/>
          <w:numId w:val="49"/>
        </w:numPr>
        <w:rPr>
          <w:rFonts w:ascii="Arial" w:cs="Arial" w:eastAsia="Arial" w:hAnsi="Arial"/>
          <w:sz w:val="20"/>
          <w:szCs w:val="20"/>
          <w:color w:val="auto"/>
        </w:rPr>
      </w:pPr>
      <w:r>
        <w:rPr>
          <w:rFonts w:ascii="Arial" w:cs="Arial" w:eastAsia="Arial" w:hAnsi="Arial"/>
          <w:sz w:val="20"/>
          <w:szCs w:val="20"/>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following the Employee’s Date of Termination; and</w:t>
      </w:r>
    </w:p>
    <w:p>
      <w:pPr>
        <w:spacing w:after="0" w:line="99" w:lineRule="exact"/>
        <w:rPr>
          <w:rFonts w:ascii="Arial" w:cs="Arial" w:eastAsia="Arial" w:hAnsi="Arial"/>
          <w:sz w:val="20"/>
          <w:szCs w:val="20"/>
          <w:color w:val="auto"/>
        </w:rPr>
      </w:pPr>
    </w:p>
    <w:p>
      <w:pPr>
        <w:jc w:val="both"/>
        <w:ind w:left="1620" w:hanging="316"/>
        <w:spacing w:after="0" w:line="243" w:lineRule="auto"/>
        <w:tabs>
          <w:tab w:leader="none" w:pos="1594"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 enrolled in a health, vision or dental plan sponsored by the Company before the Date of Termination.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"Disability" shall have the meaning ascribed in the Severance Plan</w:t>
      </w:r>
    </w:p>
    <w:p>
      <w:pPr>
        <w:spacing w:after="0" w:line="216"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3.3 OTHER TERMINATIONS. In the case of a termination for any reason other than Employee's death or Disability, Employee shall only be entitled to those severance benefits, if any, provided for under the Severance Plan ("Severance Payments").</w:t>
      </w:r>
    </w:p>
    <w:p>
      <w:pPr>
        <w:spacing w:after="0" w:line="13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3.4 CONDITIONAL NATURE OF SEVERANCE PAYMENTS. Notwithstanding any other provision of this Section 3 or any other provision of this Agreement to the contrary:</w:t>
      </w:r>
    </w:p>
    <w:p>
      <w:pPr>
        <w:spacing w:after="0" w:line="177" w:lineRule="exact"/>
        <w:rPr>
          <w:sz w:val="20"/>
          <w:szCs w:val="20"/>
          <w:color w:val="auto"/>
        </w:rPr>
      </w:pPr>
    </w:p>
    <w:p>
      <w:pPr>
        <w:jc w:val="both"/>
        <w:ind w:left="1300" w:firstLine="4"/>
        <w:spacing w:after="0" w:line="250" w:lineRule="auto"/>
        <w:tabs>
          <w:tab w:leader="none" w:pos="1576"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NONSOLICITATION. Employee understands and agrees that because of his employment with the Company that he will acquire or have access to certain information of a confidential and secret nature derived from the operations of the Company’s and its Affiliated Companies’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240"/>
          </w:cols>
          <w:pgMar w:left="320" w:top="1027" w:right="339" w:bottom="1440" w:gutter="0" w:footer="0" w:header="0"/>
        </w:sectPr>
      </w:pPr>
    </w:p>
    <w:bookmarkStart w:id="83" w:name="page84"/>
    <w:bookmarkEnd w:id="83"/>
    <w:p>
      <w:pPr>
        <w:jc w:val="both"/>
        <w:ind w:left="1300"/>
        <w:spacing w:after="0" w:line="255" w:lineRule="auto"/>
        <w:rPr>
          <w:sz w:val="20"/>
          <w:szCs w:val="20"/>
          <w:color w:val="auto"/>
        </w:rPr>
      </w:pPr>
      <w:r>
        <w:rPr>
          <w:rFonts w:ascii="Arial" w:cs="Arial" w:eastAsia="Arial" w:hAnsi="Arial"/>
          <w:sz w:val="19"/>
          <w:szCs w:val="19"/>
          <w:color w:val="auto"/>
        </w:rPr>
        <w:t>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Employee understands and agrees that the nature of the Company's business is such that if Employee were to directly solicit, interfere with, or attempt to interfere with any of the 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Employee and the Company complying with the terms of his employment, and subject to the condition precedent of the Company timely providing Employee the payments called for hereunder, Employee agrees:</w:t>
      </w:r>
    </w:p>
    <w:p>
      <w:pPr>
        <w:spacing w:after="0" w:line="190" w:lineRule="exact"/>
        <w:rPr>
          <w:sz w:val="20"/>
          <w:szCs w:val="20"/>
          <w:color w:val="auto"/>
        </w:rPr>
      </w:pPr>
    </w:p>
    <w:p>
      <w:pPr>
        <w:jc w:val="both"/>
        <w:ind w:left="1960" w:hanging="8"/>
        <w:spacing w:after="0" w:line="269" w:lineRule="auto"/>
        <w:tabs>
          <w:tab w:leader="none" w:pos="226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that, without the prior written consent of the Company, he will not directly or indirectly solicit interfere with or attempt to interfere with any of the Company’s customer relationships or other employee relationships that existed at Employee’s Termination Date and during the one (1) year period of time thereafter;</w:t>
      </w:r>
    </w:p>
    <w:p>
      <w:pPr>
        <w:spacing w:after="0" w:line="169" w:lineRule="exact"/>
        <w:rPr>
          <w:rFonts w:ascii="Arial" w:cs="Arial" w:eastAsia="Arial" w:hAnsi="Arial"/>
          <w:sz w:val="19"/>
          <w:szCs w:val="19"/>
          <w:color w:val="auto"/>
        </w:rPr>
      </w:pPr>
    </w:p>
    <w:p>
      <w:pPr>
        <w:jc w:val="both"/>
        <w:ind w:left="1960" w:hanging="8"/>
        <w:spacing w:after="0" w:line="254" w:lineRule="auto"/>
        <w:tabs>
          <w:tab w:leader="none" w:pos="2313"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assist in the avoidance of the unauthorized disclosure of the Company's Confidential Information, in addition to other remedies available to the Company and its Affiliated Companies, Employee will not, and understands and agrees that his right to receive the severance consideration described in Sections 3.2 and 3.3 above (to the extent Employee is otherwise entitled to such payments thereunder) shall be conditioned upon Employee not: i) directly or indirectly engaging in (whether as an employee, consultant, agent, proprietor, principal, partner, stockholder, corporate officer, director or otherwise); or ii) acquiring any ownership interest in or participating in the financing, operation, management or control of, any person, firm, corporation or business that directly or indirectly solicits, interferes with or attempts to interfere with any of the Company’s customer relationships or other employee relationships that existed at Employee’s Termination Date in any Metropolitan Statistical Area as defined from time to time by the U.S. Office of Management and Budget, Bureau of Labor Statistics, in which the Company or its successor owns controlling voting interest in any banking or other financial institution as such banking or other financial institutions are controlled by the Company or its Affiliated Companies upon Employee’s Termination Date. The limitation upon Employee’s ownership of outstanding shares or other units of ownership shall be excluded from this Section 3.4, provided such ownership is less than five (5) percent in any publicly-traded bank or financial institution;</w:t>
      </w:r>
    </w:p>
    <w:p>
      <w:pPr>
        <w:spacing w:after="0" w:line="190" w:lineRule="exact"/>
        <w:rPr>
          <w:rFonts w:ascii="Arial" w:cs="Arial" w:eastAsia="Arial" w:hAnsi="Arial"/>
          <w:sz w:val="19"/>
          <w:szCs w:val="19"/>
          <w:color w:val="auto"/>
        </w:rPr>
      </w:pPr>
    </w:p>
    <w:p>
      <w:pPr>
        <w:jc w:val="both"/>
        <w:ind w:left="1960" w:hanging="8"/>
        <w:spacing w:after="0" w:line="244" w:lineRule="auto"/>
        <w:tabs>
          <w:tab w:leader="none" w:pos="2323"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without the prior written consent of the Company, Employee will not solicit, directly or indirectly, actively or inactively, the employees or independent contractors of the Company to become employees or independent contractors of any person, firm, corporation, business, or banking or other financial institution that directly or indirectly competes with the Company or solicits, interferes with, or attempts to interfere with the Company’s customers; and,</w:t>
      </w:r>
    </w:p>
    <w:p>
      <w:pPr>
        <w:spacing w:after="0" w:line="194" w:lineRule="exact"/>
        <w:rPr>
          <w:rFonts w:ascii="Arial" w:cs="Arial" w:eastAsia="Arial" w:hAnsi="Arial"/>
          <w:sz w:val="20"/>
          <w:szCs w:val="20"/>
          <w:color w:val="auto"/>
        </w:rPr>
      </w:pPr>
    </w:p>
    <w:p>
      <w:pPr>
        <w:jc w:val="both"/>
        <w:ind w:left="1960" w:hanging="8"/>
        <w:spacing w:after="0" w:line="260" w:lineRule="auto"/>
        <w:tabs>
          <w:tab w:leader="none" w:pos="2334" w:val="left"/>
        </w:tabs>
        <w:numPr>
          <w:ilvl w:val="0"/>
          <w:numId w:val="51"/>
        </w:numPr>
        <w:rPr>
          <w:rFonts w:ascii="Arial" w:cs="Arial" w:eastAsia="Arial" w:hAnsi="Arial"/>
          <w:sz w:val="19"/>
          <w:szCs w:val="19"/>
          <w:color w:val="auto"/>
        </w:rPr>
      </w:pPr>
      <w:r>
        <w:rPr>
          <w:rFonts w:ascii="Arial" w:cs="Arial" w:eastAsia="Arial" w:hAnsi="Arial"/>
          <w:sz w:val="19"/>
          <w:szCs w:val="19"/>
          <w:color w:val="auto"/>
        </w:rPr>
        <w:t>on or before the Date of Termination</w:t>
      </w:r>
      <w:r>
        <w:rPr>
          <w:rFonts w:ascii="Arial" w:cs="Arial" w:eastAsia="Arial" w:hAnsi="Arial"/>
          <w:sz w:val="19"/>
          <w:szCs w:val="19"/>
          <w:color w:val="535353"/>
        </w:rPr>
        <w:t>,</w:t>
      </w:r>
      <w:r>
        <w:rPr>
          <w:rFonts w:ascii="Arial" w:cs="Arial" w:eastAsia="Arial" w:hAnsi="Arial"/>
          <w:sz w:val="19"/>
          <w:szCs w:val="19"/>
          <w:color w:val="auto"/>
        </w:rPr>
        <w:t xml:space="preserve">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240"/>
          </w:cols>
          <w:pgMar w:left="320" w:top="933" w:right="339" w:bottom="1440" w:gutter="0" w:footer="0" w:header="0"/>
        </w:sectPr>
      </w:pPr>
    </w:p>
    <w:bookmarkStart w:id="84" w:name="page85"/>
    <w:bookmarkEnd w:id="84"/>
    <w:p>
      <w:pPr>
        <w:jc w:val="both"/>
        <w:ind w:left="1300"/>
        <w:spacing w:after="0" w:line="316" w:lineRule="auto"/>
        <w:rPr>
          <w:sz w:val="20"/>
          <w:szCs w:val="20"/>
          <w:color w:val="auto"/>
        </w:rPr>
      </w:pPr>
      <w:r>
        <w:rPr>
          <w:rFonts w:ascii="Arial" w:cs="Arial" w:eastAsia="Arial" w:hAnsi="Arial"/>
          <w:sz w:val="16"/>
          <w:szCs w:val="16"/>
          <w:color w:val="auto"/>
        </w:rPr>
        <w:t>If Employee violates any restriction described in Section 3.4(a), then all Severance Payments and consideration to which Employee otherwise may be entitled under Section 3.2 and 3.3 above, as applicable, thereupon shall cease and Employee shall promptly return to the Company all severance payments received and other severance benefits theretofore incurred by Company for Employee’s benefit. The Company agrees that nothing herein shall preclude Employee from retaining copies of his calendar, contact list or documents related to his investment in Company or responsibilities as a director to Company, and that Employee shall be entitled to freely offer employment references to the Company’s other current or former employees.</w:t>
      </w:r>
    </w:p>
    <w:p>
      <w:pPr>
        <w:spacing w:after="0" w:line="140" w:lineRule="exact"/>
        <w:rPr>
          <w:sz w:val="20"/>
          <w:szCs w:val="20"/>
          <w:color w:val="auto"/>
        </w:rPr>
      </w:pPr>
    </w:p>
    <w:p>
      <w:pPr>
        <w:jc w:val="both"/>
        <w:ind w:left="1300" w:firstLine="4"/>
        <w:spacing w:after="0" w:line="243" w:lineRule="auto"/>
        <w:tabs>
          <w:tab w:leader="none" w:pos="1594" w:val="left"/>
        </w:tabs>
        <w:numPr>
          <w:ilvl w:val="0"/>
          <w:numId w:val="52"/>
        </w:numPr>
        <w:rPr>
          <w:rFonts w:ascii="Arial" w:cs="Arial" w:eastAsia="Arial" w:hAnsi="Arial"/>
          <w:sz w:val="20"/>
          <w:szCs w:val="20"/>
          <w:color w:val="auto"/>
        </w:rPr>
      </w:pPr>
      <w:r>
        <w:rPr>
          <w:rFonts w:ascii="Arial" w:cs="Arial" w:eastAsia="Arial" w:hAnsi="Arial"/>
          <w:sz w:val="20"/>
          <w:szCs w:val="20"/>
          <w:color w:val="auto"/>
        </w:rPr>
        <w:t>OTHER EMPLOYMENT. In the event Employee becomes employed as an employee or consultant for a company that provides banking services similar to services provided by the Company or its Affiliated Companies in a Metropolitan Statistical Area, described in Section 3.4(a)(ii), above, Employee shall not be entitled to receive any further amount of the severance consideration described in Sections 3.2 and 3.3 above, subsequent to the date of such employment. Employee acknowledges that this limitation is fair to both Employee and the Company and does not in any way restrain employee from exercising Employees lawful profession, trade or business.</w:t>
      </w:r>
    </w:p>
    <w:p>
      <w:pPr>
        <w:spacing w:after="0" w:line="195" w:lineRule="exact"/>
        <w:rPr>
          <w:rFonts w:ascii="Arial" w:cs="Arial" w:eastAsia="Arial" w:hAnsi="Arial"/>
          <w:sz w:val="20"/>
          <w:szCs w:val="20"/>
          <w:color w:val="auto"/>
        </w:rPr>
      </w:pPr>
    </w:p>
    <w:p>
      <w:pPr>
        <w:jc w:val="both"/>
        <w:ind w:left="1300" w:firstLine="4"/>
        <w:spacing w:after="0" w:line="268" w:lineRule="auto"/>
        <w:tabs>
          <w:tab w:leader="none" w:pos="1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RELEASE. Employee shall not be entitled to receive any benefits upon termination of employment described in this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 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or (iii) any claims for workers compensation benefits; (iv) Employee’s rights, if any, under the Plan,</w:t>
      </w:r>
    </w:p>
    <w:p>
      <w:pPr>
        <w:spacing w:after="0" w:line="2" w:lineRule="exact"/>
        <w:rPr>
          <w:rFonts w:ascii="Arial" w:cs="Arial" w:eastAsia="Arial" w:hAnsi="Arial"/>
          <w:sz w:val="18"/>
          <w:szCs w:val="18"/>
          <w:color w:val="auto"/>
        </w:rPr>
      </w:pPr>
    </w:p>
    <w:p>
      <w:pPr>
        <w:jc w:val="both"/>
        <w:ind w:left="1300" w:firstLine="4"/>
        <w:spacing w:after="0" w:line="241" w:lineRule="auto"/>
        <w:tabs>
          <w:tab w:leader="none" w:pos="1595"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Employee’s rights, if any, as an owner of any Shares of the Company, (vi) Employee’s rights under this Agreement, or (vii)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19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3.5 EQUITABLE REMEDIES. Employee acknowledges that irreparable harm will result to the Company in the event of a material breach by Employee of any of the covenants contained in Section 3.4. Employee agrees that, in the event of such a breach and in addition to any other legal or equitable 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 of those covenants, and if the court finds any part of the covenant unreasonable as to time, area or activity covered, then the court shall make a finding as to what is reasonable and shall enforce this Agreement by judgment or decree to the extent of such findings.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4. MISCELLANEOUS</w:t>
      </w:r>
    </w:p>
    <w:p>
      <w:pPr>
        <w:spacing w:after="0" w:line="189" w:lineRule="exact"/>
        <w:rPr>
          <w:sz w:val="20"/>
          <w:szCs w:val="20"/>
          <w:color w:val="auto"/>
        </w:rPr>
      </w:pPr>
    </w:p>
    <w:p>
      <w:pPr>
        <w:jc w:val="both"/>
        <w:ind w:left="660" w:right="120"/>
        <w:spacing w:after="0" w:line="246" w:lineRule="auto"/>
        <w:rPr>
          <w:sz w:val="20"/>
          <w:szCs w:val="20"/>
          <w:color w:val="auto"/>
        </w:rPr>
      </w:pPr>
      <w:r>
        <w:rPr>
          <w:rFonts w:ascii="Arial" w:cs="Arial" w:eastAsia="Arial" w:hAnsi="Arial"/>
          <w:sz w:val="19"/>
          <w:szCs w:val="19"/>
          <w:color w:val="auto"/>
        </w:rPr>
        <w:t>4.1 NOTICES. All notices permitted or required by this Agreement shall be in writing, and shall be deemed to have been delivered and received (i) when personally delivered, or (ii) on the third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business day after the date on which deposited in the United States mail, postage prepaid, certified or registered mail, return receipt requested, or (iii) on the date on which transmitted by other electronic means generating a receipt confirming a successful transmission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on that same date a copy of such notice is deposited in the United States mail, postage prepaid, certified or registered mail, return receipt requested), or (iv) on the next business day after the date on which deposited with a regulated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240"/>
          </w:cols>
          <w:pgMar w:left="320" w:top="933" w:right="339" w:bottom="1440" w:gutter="0" w:footer="0" w:header="0"/>
        </w:sectPr>
      </w:pPr>
    </w:p>
    <w:bookmarkStart w:id="85" w:name="page86"/>
    <w:bookmarkEnd w:id="85"/>
    <w:p>
      <w:pPr>
        <w:jc w:val="both"/>
        <w:ind w:left="660"/>
        <w:spacing w:after="0" w:line="244" w:lineRule="auto"/>
        <w:rPr>
          <w:sz w:val="20"/>
          <w:szCs w:val="20"/>
          <w:color w:val="auto"/>
        </w:rPr>
      </w:pPr>
      <w:r>
        <w:rPr>
          <w:rFonts w:ascii="Arial" w:cs="Arial" w:eastAsia="Arial" w:hAnsi="Arial"/>
          <w:sz w:val="20"/>
          <w:szCs w:val="20"/>
          <w:color w:val="auto"/>
        </w:rPr>
        <w:t>public carrier (e.g., Federal Express) designating overnight delivery service with a return receipt requested or equivalent thereof administered by such regulated public carrier, freight prepaid, and addressed in a sealed envelope to the party for whom intended at the address appearing on the signature page of this Agreement (if to the Company to the attention of the Secretary of the Company and if to the Employee to the attention of the Employee), or such other address or facsimile number, notice of which is given in a manner permitted by this Section 4.1.</w:t>
      </w:r>
    </w:p>
    <w:p>
      <w:pPr>
        <w:spacing w:after="0" w:line="167"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4.2 EFFECT ON OTHER REMEDIES. Nothing in this Agreement is intended to preclude, and no provision of this Agreement shall be construed to preclude, the exercise of any other right or remedy which the Company or Employee may have by reason of the other's breach of obligations under this Agreement.</w:t>
      </w:r>
    </w:p>
    <w:p>
      <w:pPr>
        <w:spacing w:after="0" w:line="17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4.3 BINDING ON SUCCESSORS; ASSIGNMENT. This Agreement shall be binding upon, and inure to the benefit of, each of the parties hereto, as well as their respective heirs, successors, assigns, and personal representatives.</w:t>
      </w:r>
    </w:p>
    <w:p>
      <w:pPr>
        <w:spacing w:after="0" w:line="163"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4.4 GOVERNING LAW, JURISDICTION AND VENUE. This Agreement shall be construed 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153"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4.5 SEVERABILITY. If any of the provisions of this Agreement shall otherwise contravene or 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151"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4.6 COUNTERPARTS. This Agreement may be executed in counterparts, each of which shall be deemed an original and all of which, taken together, shall be one and the same instrument, binding on all the signatories.</w:t>
      </w:r>
    </w:p>
    <w:p>
      <w:pPr>
        <w:spacing w:after="0" w:line="163"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4.7 FURTHER ASSURANCES. Each party agrees, upon the request of another party, to make, execute, and deliver, and to take such additional steps as may be necessary to effectuate the purposes of this Agreement.</w:t>
      </w:r>
    </w:p>
    <w:p>
      <w:pPr>
        <w:spacing w:after="0" w:line="150"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4.8 REASONABLE VERIFICATION. Company agrees that Employee shall have reasonable access to the Company's books and records in order to verify the accuracy of Bonus calculations that may be necessary following termination.</w:t>
      </w:r>
    </w:p>
    <w:p>
      <w:pPr>
        <w:spacing w:after="0" w:line="163"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4.9 ENTIRE AGREEMENT; AMENDMENT. This Agreement (a) represents the entire understanding of the parties with respect to the subject matter hereof, and supersedes all prior and contemporaneous understandings, whether written or oral, regarding the subject matter hereof, and (b) may not be modified or amended, except by a written instrument, executed by the party against whom enforcement of such amendment may be sought.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4.10 TAXES.</w:t>
      </w:r>
    </w:p>
    <w:p>
      <w:pPr>
        <w:spacing w:after="0" w:line="189" w:lineRule="exact"/>
        <w:rPr>
          <w:sz w:val="20"/>
          <w:szCs w:val="20"/>
          <w:color w:val="auto"/>
        </w:rPr>
      </w:pPr>
    </w:p>
    <w:p>
      <w:pPr>
        <w:jc w:val="both"/>
        <w:ind w:left="1300" w:firstLine="4"/>
        <w:spacing w:after="0" w:line="250" w:lineRule="auto"/>
        <w:tabs>
          <w:tab w:leader="none" w:pos="164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Anything to the contrary notwithstanding, all payments made by the Company to Employee or Employee’s estate or beneficiaries will be subject to tax withholding pursuant to any applicable laws or regulations. Employee will be solely liable and responsible for the payment</w:t>
      </w: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100"/>
          </w:cols>
          <w:pgMar w:left="320" w:top="1027" w:right="479" w:bottom="1440" w:gutter="0" w:footer="0" w:header="0"/>
        </w:sectPr>
      </w:pPr>
    </w:p>
    <w:bookmarkStart w:id="86" w:name="page87"/>
    <w:bookmarkEnd w:id="86"/>
    <w:p>
      <w:pPr>
        <w:ind w:left="1300" w:right="20"/>
        <w:spacing w:after="0" w:line="260" w:lineRule="auto"/>
        <w:rPr>
          <w:sz w:val="20"/>
          <w:szCs w:val="20"/>
          <w:color w:val="auto"/>
        </w:rPr>
      </w:pPr>
      <w:r>
        <w:rPr>
          <w:rFonts w:ascii="Arial" w:cs="Arial" w:eastAsia="Arial" w:hAnsi="Arial"/>
          <w:sz w:val="20"/>
          <w:szCs w:val="20"/>
          <w:color w:val="auto"/>
        </w:rPr>
        <w:t>of taxes arising as a result of any payment hereunder including without limitation any unexpected or adverse tax consequence.</w:t>
      </w:r>
    </w:p>
    <w:p>
      <w:pPr>
        <w:spacing w:after="0" w:line="150" w:lineRule="exact"/>
        <w:rPr>
          <w:sz w:val="20"/>
          <w:szCs w:val="20"/>
          <w:color w:val="auto"/>
        </w:rPr>
      </w:pPr>
    </w:p>
    <w:p>
      <w:pPr>
        <w:jc w:val="both"/>
        <w:ind w:left="1300" w:right="20" w:firstLine="4"/>
        <w:spacing w:after="0" w:line="246" w:lineRule="auto"/>
        <w:tabs>
          <w:tab w:leader="none" w:pos="1631"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 void to the extent such provision (or part thereof) fails to comply with Section 409A or regulations thereunder.</w:t>
      </w:r>
    </w:p>
    <w:p>
      <w:pPr>
        <w:spacing w:after="0" w:line="177" w:lineRule="exact"/>
        <w:rPr>
          <w:rFonts w:ascii="Arial" w:cs="Arial" w:eastAsia="Arial" w:hAnsi="Arial"/>
          <w:sz w:val="20"/>
          <w:szCs w:val="20"/>
          <w:color w:val="auto"/>
        </w:rPr>
      </w:pPr>
    </w:p>
    <w:p>
      <w:pPr>
        <w:jc w:val="both"/>
        <w:ind w:left="1300" w:firstLine="4"/>
        <w:spacing w:after="0" w:line="260" w:lineRule="auto"/>
        <w:tabs>
          <w:tab w:leader="none" w:pos="1686"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66" w:lineRule="exact"/>
        <w:rPr>
          <w:rFonts w:ascii="Arial" w:cs="Arial" w:eastAsia="Arial" w:hAnsi="Arial"/>
          <w:sz w:val="19"/>
          <w:szCs w:val="19"/>
          <w:color w:val="auto"/>
        </w:rPr>
      </w:pPr>
    </w:p>
    <w:p>
      <w:pPr>
        <w:jc w:val="both"/>
        <w:ind w:left="1300" w:firstLine="4"/>
        <w:spacing w:after="0" w:line="242" w:lineRule="auto"/>
        <w:tabs>
          <w:tab w:leader="none" w:pos="16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 short-term deferral amounts (e.g., amounts payable under the schedule prior to March 15 of the calendar year following the calendar year of involuntary separation) to the maximum possible extent.</w:t>
      </w:r>
    </w:p>
    <w:p>
      <w:pPr>
        <w:spacing w:after="0" w:line="169" w:lineRule="exact"/>
        <w:rPr>
          <w:rFonts w:ascii="Arial" w:cs="Arial" w:eastAsia="Arial" w:hAnsi="Arial"/>
          <w:sz w:val="20"/>
          <w:szCs w:val="20"/>
          <w:color w:val="auto"/>
        </w:rPr>
      </w:pPr>
    </w:p>
    <w:p>
      <w:pPr>
        <w:jc w:val="both"/>
        <w:ind w:left="1300" w:firstLine="4"/>
        <w:spacing w:after="0" w:line="242" w:lineRule="auto"/>
        <w:tabs>
          <w:tab w:leader="none" w:pos="16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183"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4.11 409A. To the extent that any payment or other consideration due from the Company to Employee hereunder would trigger any tax or penalty under Section 409A, the Company agrees that it will accelerate such payment or other consideration to the extent allowed by law in order to eliminate such tax or penalty. To the extent that any payment or other consideration called to be made under this Agreement fails to meet the requirements of Section 409A and the regulations relating to that statute, the Company shall immediately pay to Employee an additional sum equal to any amount required to be included as income as a result of such noncompliance.</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[Signatures Appear on Following Page]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1120"/>
          </w:cols>
          <w:pgMar w:left="320" w:top="1027"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IN WITNESS WHEREOF, the parties hereto have executed this Agreement, effective as of the date set forth above.</w:t>
      </w:r>
    </w:p>
    <w:p>
      <w:pPr>
        <w:spacing w:after="0" w:line="200" w:lineRule="exact"/>
        <w:rPr>
          <w:sz w:val="20"/>
          <w:szCs w:val="20"/>
          <w:color w:val="auto"/>
        </w:rPr>
      </w:pPr>
    </w:p>
    <w:p>
      <w:pPr>
        <w:spacing w:after="0" w:line="276"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CROSSFIRST BANK</w:t>
      </w:r>
    </w:p>
    <w:p>
      <w:pPr>
        <w:spacing w:after="0" w:line="330"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27305</wp:posOffset>
            </wp:positionV>
            <wp:extent cx="28803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Michael J. Maddox,</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President &amp; CEO</w:t>
      </w:r>
    </w:p>
    <w:p>
      <w:pPr>
        <w:spacing w:after="0" w:line="318" w:lineRule="exact"/>
        <w:rPr>
          <w:sz w:val="20"/>
          <w:szCs w:val="20"/>
          <w:color w:val="auto"/>
        </w:rPr>
      </w:pPr>
    </w:p>
    <w:p>
      <w:pPr>
        <w:ind w:left="6200"/>
        <w:spacing w:after="0"/>
        <w:rPr>
          <w:sz w:val="20"/>
          <w:szCs w:val="20"/>
          <w:color w:val="auto"/>
        </w:rPr>
      </w:pPr>
      <w:r>
        <w:rPr>
          <w:rFonts w:ascii="Arial" w:cs="Arial" w:eastAsia="Arial" w:hAnsi="Arial"/>
          <w:sz w:val="19"/>
          <w:szCs w:val="19"/>
          <w:b w:val="1"/>
          <w:bCs w:val="1"/>
          <w:color w:val="auto"/>
        </w:rPr>
        <w:t>CROSSFIRST BANKSHARES, INC.</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27305</wp:posOffset>
            </wp:positionV>
            <wp:extent cx="28803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Michael J. Maddox,</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President &amp; CEO</w:t>
      </w:r>
    </w:p>
    <w:p>
      <w:pPr>
        <w:spacing w:after="0" w:line="318"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STEVE PETERSON</w:t>
      </w:r>
    </w:p>
    <w:p>
      <w:pPr>
        <w:spacing w:after="0" w:line="60"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/s/Steve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27305</wp:posOffset>
            </wp:positionV>
            <wp:extent cx="28803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Steve Peterson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CFB Employment Agreement (Steve Peterson)</w:t>
      </w:r>
    </w:p>
    <w:p>
      <w:pPr>
        <w:sectPr>
          <w:pgSz w:w="11900" w:h="16838" w:orient="portrait"/>
          <w:cols w:equalWidth="0" w:num="1">
            <w:col w:w="10139"/>
          </w:cols>
          <w:pgMar w:left="320" w:top="1027"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CROSSFIRST BANKSHARES,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SENIOR EXECUTIVE SEVERANCE PLAN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June 2, 2020)</w:t>
      </w:r>
    </w:p>
    <w:p>
      <w:pPr>
        <w:spacing w:after="0" w:line="21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CrossFirst Bankshares, Inc. Executive Severance Plan (the "Plan") is a top-hat welfare plan under the Employee Retirement Income Security Act of 1974, and is intended to provide financial protection in the event of unexpected job loss to senior executive employees of CrossFirst Bankshares, Inc. or an Affiliate of CrossFirst Bankshares, Inc. who are expected to make substantial contributions to the success of the Company and thereby provide for stability and continuity of management, and to secure the continued services, dedication and objectivity of such employees in the event of a Change in Control or Potential Change in Control (each as defined below).</w:t>
      </w:r>
    </w:p>
    <w:p>
      <w:pPr>
        <w:spacing w:after="0" w:line="15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660" w:right="4460"/>
        <w:spacing w:after="0" w:line="461" w:lineRule="auto"/>
        <w:rPr>
          <w:rFonts w:ascii="Arial" w:cs="Arial" w:eastAsia="Arial" w:hAnsi="Arial"/>
          <w:sz w:val="20"/>
          <w:szCs w:val="20"/>
          <w:b w:val="1"/>
          <w:bCs w:val="1"/>
          <w:color w:val="auto"/>
        </w:rPr>
      </w:pPr>
      <w:r>
        <w:rPr>
          <w:rFonts w:ascii="Arial" w:cs="Arial" w:eastAsia="Arial" w:hAnsi="Arial"/>
          <w:sz w:val="20"/>
          <w:szCs w:val="20"/>
          <w:color w:val="auto"/>
        </w:rPr>
        <w:t xml:space="preserve">As used herein, the terms identified below shall have the meanings indicated: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Committee or its delegate.</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with whom CrossFirst would be considered a single employer under Code sections 414(b) or 414(c).</w:t>
      </w:r>
    </w:p>
    <w:p>
      <w:pPr>
        <w:spacing w:after="0" w:line="238" w:lineRule="exact"/>
        <w:rPr>
          <w:rFonts w:ascii="Arial" w:cs="Arial" w:eastAsia="Arial" w:hAnsi="Arial"/>
          <w:sz w:val="20"/>
          <w:szCs w:val="20"/>
          <w:b w:val="1"/>
          <w:bCs w:val="1"/>
          <w:color w:val="auto"/>
        </w:rPr>
      </w:pPr>
    </w:p>
    <w:p>
      <w:pPr>
        <w:ind w:left="660" w:right="20"/>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Annual Incentive Plan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CrossFirst Bankshares, Inc. 2018 Annual Incentive Plan (effective as of October 25, 2018),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or any successor plan adopted and in use by the Company.</w:t>
      </w:r>
    </w:p>
    <w:p>
      <w:pPr>
        <w:spacing w:after="0" w:line="16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Applicable Qualifying CIC Termination COBRA Multiplier</w:t>
      </w:r>
      <w:r>
        <w:rPr>
          <w:rFonts w:ascii="Arial" w:cs="Arial" w:eastAsia="Arial" w:hAnsi="Arial"/>
          <w:sz w:val="20"/>
          <w:szCs w:val="20"/>
          <w:b w:val="1"/>
          <w:bCs w:val="1"/>
          <w:color w:val="auto"/>
        </w:rPr>
        <w:t xml:space="preserve">" </w:t>
      </w:r>
      <w:r>
        <w:rPr>
          <w:rFonts w:ascii="Arial" w:cs="Arial" w:eastAsia="Arial" w:hAnsi="Arial"/>
          <w:sz w:val="20"/>
          <w:szCs w:val="20"/>
          <w:color w:val="auto"/>
        </w:rPr>
        <w:t>means:</w:t>
      </w:r>
    </w:p>
    <w:p>
      <w:pPr>
        <w:spacing w:after="0" w:line="221" w:lineRule="exact"/>
        <w:rPr>
          <w:rFonts w:ascii="Arial" w:cs="Arial" w:eastAsia="Arial" w:hAnsi="Arial"/>
          <w:sz w:val="20"/>
          <w:szCs w:val="20"/>
          <w:b w:val="1"/>
          <w:bCs w:val="1"/>
          <w:color w:val="auto"/>
        </w:rPr>
      </w:pPr>
    </w:p>
    <w:p>
      <w:pPr>
        <w:ind w:left="1960" w:hanging="656"/>
        <w:spacing w:after="0" w:line="250" w:lineRule="auto"/>
        <w:tabs>
          <w:tab w:leader="none" w:pos="1472" w:val="left"/>
        </w:tabs>
        <w:numPr>
          <w:ilvl w:val="1"/>
          <w:numId w:val="57"/>
        </w:numPr>
        <w:rPr>
          <w:rFonts w:ascii="Arial" w:cs="Arial" w:eastAsia="Arial" w:hAnsi="Arial"/>
          <w:sz w:val="20"/>
          <w:szCs w:val="20"/>
          <w:color w:val="auto"/>
        </w:rPr>
      </w:pPr>
      <w:r>
        <w:rPr>
          <w:rFonts w:ascii="Arial" w:cs="Arial" w:eastAsia="Arial" w:hAnsi="Arial"/>
          <w:sz w:val="20"/>
          <w:szCs w:val="20"/>
          <w:color w:val="auto"/>
        </w:rPr>
        <w:t>eighteen (18) for any Eligible Executive who is an executive officer of the Company and whom the Committee designates as an Eligible Executive entitled to an Applicable Qualifying CIC Termination COBRA Multiplier of eighteen (18); and</w:t>
      </w:r>
    </w:p>
    <w:p>
      <w:pPr>
        <w:spacing w:after="0" w:line="185" w:lineRule="exact"/>
        <w:rPr>
          <w:rFonts w:ascii="Arial" w:cs="Arial" w:eastAsia="Arial" w:hAnsi="Arial"/>
          <w:sz w:val="20"/>
          <w:szCs w:val="20"/>
          <w:color w:val="auto"/>
        </w:rPr>
      </w:pPr>
    </w:p>
    <w:p>
      <w:pPr>
        <w:ind w:left="1960" w:hanging="656"/>
        <w:spacing w:after="0" w:line="250" w:lineRule="auto"/>
        <w:tabs>
          <w:tab w:leader="none" w:pos="1548" w:val="left"/>
        </w:tabs>
        <w:numPr>
          <w:ilvl w:val="1"/>
          <w:numId w:val="57"/>
        </w:numPr>
        <w:rPr>
          <w:rFonts w:ascii="Arial" w:cs="Arial" w:eastAsia="Arial" w:hAnsi="Arial"/>
          <w:sz w:val="20"/>
          <w:szCs w:val="20"/>
          <w:color w:val="auto"/>
        </w:rPr>
      </w:pPr>
      <w:r>
        <w:rPr>
          <w:rFonts w:ascii="Arial" w:cs="Arial" w:eastAsia="Arial" w:hAnsi="Arial"/>
          <w:sz w:val="20"/>
          <w:szCs w:val="20"/>
          <w:color w:val="auto"/>
        </w:rPr>
        <w:t>twelve (12) for any Eligible Executive whose title is "Market President" and whom the Committee has not otherwise designated as an Eligible Executive entitled to an Applicable Qualifying CIC Termination COBRA Multiplier of eighteen (18).</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Applicable Qualifying CIC Termination Severance Multiplier</w:t>
      </w:r>
      <w:r>
        <w:rPr>
          <w:rFonts w:ascii="Arial" w:cs="Arial" w:eastAsia="Arial" w:hAnsi="Arial"/>
          <w:sz w:val="20"/>
          <w:szCs w:val="20"/>
          <w:b w:val="1"/>
          <w:bCs w:val="1"/>
          <w:color w:val="auto"/>
        </w:rPr>
        <w:t xml:space="preserve">" </w:t>
      </w:r>
      <w:r>
        <w:rPr>
          <w:rFonts w:ascii="Arial" w:cs="Arial" w:eastAsia="Arial" w:hAnsi="Arial"/>
          <w:sz w:val="20"/>
          <w:szCs w:val="20"/>
          <w:color w:val="auto"/>
        </w:rPr>
        <w:t>means:</w:t>
      </w:r>
    </w:p>
    <w:p>
      <w:pPr>
        <w:spacing w:after="0" w:line="222" w:lineRule="exact"/>
        <w:rPr>
          <w:sz w:val="20"/>
          <w:szCs w:val="20"/>
          <w:color w:val="auto"/>
        </w:rPr>
      </w:pPr>
    </w:p>
    <w:p>
      <w:pPr>
        <w:ind w:left="1960" w:right="20" w:hanging="647"/>
        <w:spacing w:after="0" w:line="316" w:lineRule="auto"/>
        <w:rPr>
          <w:sz w:val="20"/>
          <w:szCs w:val="20"/>
          <w:color w:val="auto"/>
        </w:rPr>
      </w:pPr>
      <w:r>
        <w:rPr>
          <w:rFonts w:ascii="Arial" w:cs="Arial" w:eastAsia="Arial" w:hAnsi="Arial"/>
          <w:sz w:val="18"/>
          <w:szCs w:val="18"/>
          <w:color w:val="auto"/>
        </w:rPr>
        <w:t>i. three (3) for any Eligible Executive who is an executive officer of the Company and whom the Committee designates as an Eligible Executive entitled to an Applicable Qualifying CIC Termination Severance Multiplier of three (3); and</w:t>
      </w:r>
    </w:p>
    <w:p>
      <w:pPr>
        <w:spacing w:after="0" w:line="130" w:lineRule="exact"/>
        <w:rPr>
          <w:sz w:val="20"/>
          <w:szCs w:val="20"/>
          <w:color w:val="auto"/>
        </w:rPr>
      </w:pPr>
    </w:p>
    <w:p>
      <w:pPr>
        <w:ind w:left="1960" w:hanging="656"/>
        <w:spacing w:after="0" w:line="250" w:lineRule="auto"/>
        <w:tabs>
          <w:tab w:leader="none" w:pos="156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two (2) for any Eligible Executive whose title is "Market President" and whom the Committee has not otherwise designated as an Eligible Executive entitled to an Applicable Qualifying CIC Termination Severance Multiplier of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89" w:name="page90"/>
    <w:bookmarkEnd w:id="89"/>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Applicable Qualifying Termination COBRA Multiplier</w:t>
      </w:r>
      <w:r>
        <w:rPr>
          <w:rFonts w:ascii="Arial" w:cs="Arial" w:eastAsia="Arial" w:hAnsi="Arial"/>
          <w:sz w:val="20"/>
          <w:szCs w:val="20"/>
          <w:b w:val="1"/>
          <w:bCs w:val="1"/>
          <w:color w:val="auto"/>
        </w:rPr>
        <w:t xml:space="preserve">" </w:t>
      </w:r>
      <w:r>
        <w:rPr>
          <w:rFonts w:ascii="Arial" w:cs="Arial" w:eastAsia="Arial" w:hAnsi="Arial"/>
          <w:sz w:val="20"/>
          <w:szCs w:val="20"/>
          <w:color w:val="auto"/>
        </w:rPr>
        <w:t>means:</w:t>
      </w:r>
    </w:p>
    <w:p>
      <w:pPr>
        <w:spacing w:after="0" w:line="222" w:lineRule="exact"/>
        <w:rPr>
          <w:sz w:val="20"/>
          <w:szCs w:val="20"/>
          <w:color w:val="auto"/>
        </w:rPr>
      </w:pPr>
    </w:p>
    <w:p>
      <w:pPr>
        <w:ind w:left="1960" w:hanging="647"/>
        <w:spacing w:after="0" w:line="316" w:lineRule="auto"/>
        <w:rPr>
          <w:sz w:val="20"/>
          <w:szCs w:val="20"/>
          <w:color w:val="auto"/>
        </w:rPr>
      </w:pPr>
      <w:r>
        <w:rPr>
          <w:rFonts w:ascii="Arial" w:cs="Arial" w:eastAsia="Arial" w:hAnsi="Arial"/>
          <w:sz w:val="18"/>
          <w:szCs w:val="18"/>
          <w:color w:val="auto"/>
        </w:rPr>
        <w:t>i. twelve (12) for any Eligible Executive who is an executive officer of the Company and whom the Committee designates as an Eligible Executive entitled to an Applicable Qualifying Termination COBRA Multiplier of twelve (12); and</w:t>
      </w:r>
    </w:p>
    <w:p>
      <w:pPr>
        <w:spacing w:after="0" w:line="130" w:lineRule="exact"/>
        <w:rPr>
          <w:sz w:val="20"/>
          <w:szCs w:val="20"/>
          <w:color w:val="auto"/>
        </w:rPr>
      </w:pPr>
    </w:p>
    <w:p>
      <w:pPr>
        <w:ind w:left="1960" w:hanging="656"/>
        <w:spacing w:after="0" w:line="250" w:lineRule="auto"/>
        <w:tabs>
          <w:tab w:leader="none" w:pos="157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six (6) for any Eligible Executive whose title is "Market President" and whom the Committee has not otherwise designated as an Eligible Executive entitled to an Applicable Qualifying Termination COBRA Multiplier of twelve (12).</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Applicable Qualifying Termination Severance Multiplier</w:t>
      </w:r>
      <w:r>
        <w:rPr>
          <w:rFonts w:ascii="Arial" w:cs="Arial" w:eastAsia="Arial" w:hAnsi="Arial"/>
          <w:sz w:val="20"/>
          <w:szCs w:val="20"/>
          <w:b w:val="1"/>
          <w:bCs w:val="1"/>
          <w:color w:val="auto"/>
        </w:rPr>
        <w:t xml:space="preserve">" </w:t>
      </w:r>
      <w:r>
        <w:rPr>
          <w:rFonts w:ascii="Arial" w:cs="Arial" w:eastAsia="Arial" w:hAnsi="Arial"/>
          <w:sz w:val="20"/>
          <w:szCs w:val="20"/>
          <w:color w:val="auto"/>
        </w:rPr>
        <w:t>means:</w:t>
      </w:r>
    </w:p>
    <w:p>
      <w:pPr>
        <w:spacing w:after="0" w:line="249" w:lineRule="exact"/>
        <w:rPr>
          <w:sz w:val="20"/>
          <w:szCs w:val="20"/>
          <w:color w:val="auto"/>
        </w:rPr>
      </w:pPr>
    </w:p>
    <w:p>
      <w:pPr>
        <w:ind w:left="1960" w:hanging="647"/>
        <w:spacing w:after="0" w:line="287" w:lineRule="auto"/>
        <w:rPr>
          <w:sz w:val="20"/>
          <w:szCs w:val="20"/>
          <w:color w:val="auto"/>
        </w:rPr>
      </w:pPr>
      <w:r>
        <w:rPr>
          <w:rFonts w:ascii="Arial" w:cs="Arial" w:eastAsia="Arial" w:hAnsi="Arial"/>
          <w:sz w:val="19"/>
          <w:szCs w:val="19"/>
          <w:color w:val="auto"/>
        </w:rPr>
        <w:t>i. two (2) for any Eligible Executive who is an executive officer of the Company and whom the Committee designates as an Eligible Executive entitled to an Applicable Qualifying Termination Severance Multiplier of two (2); and</w:t>
      </w:r>
    </w:p>
    <w:p>
      <w:pPr>
        <w:spacing w:after="0" w:line="152" w:lineRule="exact"/>
        <w:rPr>
          <w:sz w:val="20"/>
          <w:szCs w:val="20"/>
          <w:color w:val="auto"/>
        </w:rPr>
      </w:pPr>
    </w:p>
    <w:p>
      <w:pPr>
        <w:jc w:val="right"/>
        <w:ind w:left="1960" w:hanging="656"/>
        <w:spacing w:after="0" w:line="275" w:lineRule="auto"/>
        <w:tabs>
          <w:tab w:leader="none" w:pos="1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 (1) for any Eligible Executive whose title is "Market President" and whom the Committee has not otherwise designated as an Eligible Executive entitled to an Applicable Qualifying Termination Severance Multiplier of two</w:t>
      </w:r>
    </w:p>
    <w:p>
      <w:pPr>
        <w:ind w:left="1960"/>
        <w:spacing w:after="0"/>
        <w:rPr>
          <w:rFonts w:ascii="Arial" w:cs="Arial" w:eastAsia="Arial" w:hAnsi="Arial"/>
          <w:sz w:val="18"/>
          <w:szCs w:val="18"/>
          <w:color w:val="auto"/>
        </w:rPr>
      </w:pPr>
      <w:r>
        <w:rPr>
          <w:rFonts w:ascii="Arial" w:cs="Arial" w:eastAsia="Arial" w:hAnsi="Arial"/>
          <w:sz w:val="20"/>
          <w:szCs w:val="20"/>
          <w:color w:val="auto"/>
        </w:rPr>
        <w:t>(2).</w:t>
      </w:r>
    </w:p>
    <w:p>
      <w:pPr>
        <w:spacing w:after="0" w:line="194"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Base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Eligible Executive's total direct compensation (which consists of annual base salary, annual</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and long-term incentives) from the Company.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Board</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Board of Directors of CrossFirst.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Company's termination of an Eligible Executive's employment with the Company as a result of:</w:t>
      </w:r>
    </w:p>
    <w:p>
      <w:pPr>
        <w:spacing w:after="0" w:line="222" w:lineRule="exact"/>
        <w:rPr>
          <w:sz w:val="20"/>
          <w:szCs w:val="20"/>
          <w:color w:val="auto"/>
        </w:rPr>
      </w:pPr>
    </w:p>
    <w:p>
      <w:pPr>
        <w:jc w:val="both"/>
        <w:ind w:left="1960" w:right="20" w:hanging="647"/>
        <w:spacing w:after="0" w:line="250" w:lineRule="auto"/>
        <w:rPr>
          <w:sz w:val="20"/>
          <w:szCs w:val="20"/>
          <w:color w:val="auto"/>
        </w:rPr>
      </w:pPr>
      <w:r>
        <w:rPr>
          <w:rFonts w:ascii="Arial" w:cs="Arial" w:eastAsia="Arial" w:hAnsi="Arial"/>
          <w:sz w:val="20"/>
          <w:szCs w:val="20"/>
          <w:color w:val="auto"/>
        </w:rPr>
        <w:t>i. the Eligible Executive's engagement in any act or acts of gross dishonesty or gross misconduct which result or are intended to result directly or indirectly in gain or personal enrichment at the expense of the Company or its affiliates and subsidiaries to which the Eligible Executive is not legally entitled;</w:t>
      </w:r>
    </w:p>
    <w:p>
      <w:pPr>
        <w:spacing w:after="0" w:line="186" w:lineRule="exact"/>
        <w:rPr>
          <w:sz w:val="20"/>
          <w:szCs w:val="20"/>
          <w:color w:val="auto"/>
        </w:rPr>
      </w:pPr>
    </w:p>
    <w:p>
      <w:pPr>
        <w:ind w:left="1960" w:right="20" w:hanging="656"/>
        <w:spacing w:after="0" w:line="260" w:lineRule="auto"/>
        <w:tabs>
          <w:tab w:leader="none" w:pos="1525"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Eligible Executive's conviction of, plea of guilty to, or plea of nolo contendere to a felony or other crime that involves fraud or dishonesty;</w:t>
      </w:r>
    </w:p>
    <w:p>
      <w:pPr>
        <w:spacing w:after="0" w:line="176" w:lineRule="exact"/>
        <w:rPr>
          <w:rFonts w:ascii="Arial" w:cs="Arial" w:eastAsia="Arial" w:hAnsi="Arial"/>
          <w:sz w:val="20"/>
          <w:szCs w:val="20"/>
          <w:color w:val="auto"/>
        </w:rPr>
      </w:pPr>
    </w:p>
    <w:p>
      <w:pPr>
        <w:ind w:left="1960" w:hanging="656"/>
        <w:spacing w:after="0" w:line="243" w:lineRule="auto"/>
        <w:tabs>
          <w:tab w:leader="none" w:pos="1586"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willful action or omission by the Eligible Executive which (I)(A) would constitute grounds for immediate dismissal under any employment policy of the Company or Affiliate by which the Eligible Executive is employed, (B) is a material violation of such policy and (C) in the determination of the Committee, could result in damage, liability or reputational harm to the Company, including use of illegal drugs while on the premises of the Company, or (II) is a violation of sexual harassment laws or the internal sexual harassment policy of the Company or Affiliate by which the Eligible Executive is employed;</w:t>
      </w:r>
    </w:p>
    <w:p>
      <w:pPr>
        <w:spacing w:after="0" w:line="195" w:lineRule="exact"/>
        <w:rPr>
          <w:rFonts w:ascii="Arial" w:cs="Arial" w:eastAsia="Arial" w:hAnsi="Arial"/>
          <w:sz w:val="20"/>
          <w:szCs w:val="20"/>
          <w:color w:val="auto"/>
        </w:rPr>
      </w:pPr>
    </w:p>
    <w:p>
      <w:pPr>
        <w:ind w:left="1960" w:hanging="656"/>
        <w:spacing w:after="0" w:line="260" w:lineRule="auto"/>
        <w:tabs>
          <w:tab w:leader="none" w:pos="1563"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Eligible Executive's employment is required to be terminated by an order of a regulatory agency with authority over the Company or one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90" w:name="page91"/>
    <w:bookmarkEnd w:id="90"/>
    <w:p>
      <w:pPr>
        <w:ind w:left="1300"/>
        <w:spacing w:after="0"/>
        <w:rPr>
          <w:sz w:val="20"/>
          <w:szCs w:val="20"/>
          <w:color w:val="auto"/>
        </w:rPr>
      </w:pPr>
      <w:r>
        <w:rPr>
          <w:rFonts w:ascii="Arial" w:cs="Arial" w:eastAsia="Arial" w:hAnsi="Arial"/>
          <w:sz w:val="18"/>
          <w:szCs w:val="18"/>
          <w:color w:val="auto"/>
        </w:rPr>
        <w:t>v. the Eligible Executive's habitual neglect of duties, including repeated absences from work without reasonable excuse; or</w:t>
      </w:r>
    </w:p>
    <w:p>
      <w:pPr>
        <w:spacing w:after="0" w:line="239" w:lineRule="exact"/>
        <w:rPr>
          <w:sz w:val="20"/>
          <w:szCs w:val="20"/>
          <w:color w:val="auto"/>
        </w:rPr>
      </w:pPr>
    </w:p>
    <w:p>
      <w:pPr>
        <w:ind w:left="1960" w:hanging="656"/>
        <w:spacing w:after="0" w:line="260" w:lineRule="auto"/>
        <w:tabs>
          <w:tab w:leader="none" w:pos="1573"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Eligible Executive's willful and intentional material misconduct in the performance of his or her duties that results in financial detriment to the Company or one of its Affiliates;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provided, however, that for purposes of clauses (iii), (iv), and (v), "Cause" shall not include any one or more of the following: bad judgment, negligence, or any act or omission believed by the Eligible Executive in good faith to have been in or not opposed to the interest of the Company (without intent of the Eligible Executive to gain, directly or indirectly, a profit to which the Eligible Executive was not legally entitled). An Eligible Executive who agrees to resign from his or her employment with the Company or any Affiliate in lieu of being terminated for Cause may be deemed, in the sole discretion of the Committee, to have been terminated for Cause for purposes of this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meaning ascribed to it in the Equity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COBRA</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Consolidated Omnibus Budget Reconciliation Act of 1985, as amended.</w:t>
      </w:r>
    </w:p>
    <w:p>
      <w:pPr>
        <w:spacing w:after="0" w:line="216"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Internal Revenue Code of 1986, as amended, and the regulations and other guidance promulgated by the Treasury</w:t>
      </w:r>
      <w:r>
        <w:rPr>
          <w:rFonts w:ascii="Arial" w:cs="Arial" w:eastAsia="Arial" w:hAnsi="Arial"/>
          <w:sz w:val="20"/>
          <w:szCs w:val="20"/>
          <w:b w:val="1"/>
          <w:bCs w:val="1"/>
          <w:color w:val="auto"/>
        </w:rPr>
        <w:t xml:space="preserve"> </w:t>
      </w:r>
      <w:r>
        <w:rPr>
          <w:rFonts w:ascii="Arial" w:cs="Arial" w:eastAsia="Arial" w:hAnsi="Arial"/>
          <w:sz w:val="20"/>
          <w:szCs w:val="20"/>
          <w:color w:val="auto"/>
        </w:rPr>
        <w:t>Department and the Internal Revenue Service thereunder.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Compensation Committee of the Board or its delegate.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means CrossFirst and/or an Affiliate of CrossFirst.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Constructive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Eligible Executive's voluntary termination of employment (e.g., resignation) with the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Company as a result of:</w:t>
      </w:r>
    </w:p>
    <w:p>
      <w:pPr>
        <w:spacing w:after="0" w:line="200" w:lineRule="exact"/>
        <w:rPr>
          <w:sz w:val="20"/>
          <w:szCs w:val="20"/>
          <w:color w:val="auto"/>
        </w:rPr>
      </w:pPr>
    </w:p>
    <w:p>
      <w:pPr>
        <w:jc w:val="both"/>
        <w:ind w:left="1820" w:hanging="516"/>
        <w:spacing w:after="0" w:line="291" w:lineRule="auto"/>
        <w:tabs>
          <w:tab w:leader="none" w:pos="18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material reduction in the Eligible Executive's Base Compensation (other than a reduction in the same percentage as the reduction in other management employees' Base Compensation as part of a Company-wide cost reduction program or as a result of any requirement imposed upon the Company by any applicable regulatory authority);</w:t>
      </w:r>
    </w:p>
    <w:p>
      <w:pPr>
        <w:spacing w:after="0" w:line="151" w:lineRule="exact"/>
        <w:rPr>
          <w:rFonts w:ascii="Arial" w:cs="Arial" w:eastAsia="Arial" w:hAnsi="Arial"/>
          <w:sz w:val="18"/>
          <w:szCs w:val="18"/>
          <w:color w:val="auto"/>
        </w:rPr>
      </w:pPr>
    </w:p>
    <w:p>
      <w:pPr>
        <w:ind w:left="1820" w:right="20" w:hanging="516"/>
        <w:spacing w:after="0" w:line="260" w:lineRule="auto"/>
        <w:tabs>
          <w:tab w:leader="none" w:pos="1812"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failure by the Company to pay to the Eligible Executive any portion of the Eligible Executive's Base Compensation within ten (10) days following the date on which such compensation is due; or</w:t>
      </w:r>
    </w:p>
    <w:p>
      <w:pPr>
        <w:spacing w:after="0" w:line="176" w:lineRule="exact"/>
        <w:rPr>
          <w:rFonts w:ascii="Arial" w:cs="Arial" w:eastAsia="Arial" w:hAnsi="Arial"/>
          <w:sz w:val="20"/>
          <w:szCs w:val="20"/>
          <w:color w:val="auto"/>
        </w:rPr>
      </w:pPr>
    </w:p>
    <w:p>
      <w:pPr>
        <w:jc w:val="both"/>
        <w:ind w:left="1820" w:hanging="516"/>
        <w:spacing w:after="0" w:line="246" w:lineRule="auto"/>
        <w:tabs>
          <w:tab w:leader="none" w:pos="181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taking of any action by the Company which would directly or indirectly materially reduce any of the life insurance, medical, health and accident, or disability plans in which the Eligible Executive was participating (other than any such matters implemented by the Company as part of a Company-wide cost reduction program and applicable to all Company management employees); or</w:t>
      </w:r>
    </w:p>
    <w:p>
      <w:pPr>
        <w:spacing w:after="0" w:line="191" w:lineRule="exact"/>
        <w:rPr>
          <w:rFonts w:ascii="Arial" w:cs="Arial" w:eastAsia="Arial" w:hAnsi="Arial"/>
          <w:sz w:val="20"/>
          <w:szCs w:val="20"/>
          <w:color w:val="auto"/>
        </w:rPr>
      </w:pPr>
    </w:p>
    <w:p>
      <w:pPr>
        <w:ind w:left="1800" w:hanging="496"/>
        <w:spacing w:after="0"/>
        <w:tabs>
          <w:tab w:leader="none" w:pos="1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diminution of Eligible Executive's position, authority, duties or responsibilities with the Company.</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the foregoing, no voluntary termination by the Eligible Executive shall constitute a "Constructive Termination" unless (a) the Eligible Executive has given notice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termination due to Constructive Termination, with particulars, to the Company not later than ninety (90) days following the initial occurrence of such condition; (b) the Company has an opportunity for thirty (30) days after such notice within which to remedy such condition, and fails to reasonably cure such condition; and (c) the Eligible Executive resigns within one hundred and eighty (180) days after the initial occurrence of the condition potentially giving rise to a Constructive 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CrossFirst</w:t>
      </w:r>
      <w:r>
        <w:rPr>
          <w:rFonts w:ascii="Arial" w:cs="Arial" w:eastAsia="Arial" w:hAnsi="Arial"/>
          <w:sz w:val="20"/>
          <w:szCs w:val="20"/>
          <w:b w:val="1"/>
          <w:bCs w:val="1"/>
          <w:color w:val="auto"/>
        </w:rPr>
        <w:t xml:space="preserve">" </w:t>
      </w:r>
      <w:r>
        <w:rPr>
          <w:rFonts w:ascii="Arial" w:cs="Arial" w:eastAsia="Arial" w:hAnsi="Arial"/>
          <w:sz w:val="20"/>
          <w:szCs w:val="20"/>
          <w:color w:val="auto"/>
        </w:rPr>
        <w:t>means CrossFirst Bankshares, Inc.</w:t>
      </w:r>
    </w:p>
    <w:p>
      <w:pPr>
        <w:spacing w:after="0" w:line="216" w:lineRule="exact"/>
        <w:rPr>
          <w:sz w:val="20"/>
          <w:szCs w:val="20"/>
          <w:color w:val="auto"/>
        </w:rPr>
      </w:pPr>
    </w:p>
    <w:p>
      <w:pPr>
        <w:jc w:val="both"/>
        <w:ind w:left="660"/>
        <w:spacing w:after="0" w:line="28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Eligible Executive must, by reason of any medically determinable physical or mental impairment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expected to result in death or can be expected to last for a continuous period of not less than twelve (12) months, be receiving or be reasonably expected to receive income replacement benefits for a period of not less than three (3) months under an accident and health plan covering the Eligible Executive (or, if none, coverage under the CrossFirst Bankshares, Inc. Health and Welfare Plan).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means June 2,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Eligible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means a key employee of the Company who:</w:t>
      </w:r>
    </w:p>
    <w:p>
      <w:pPr>
        <w:spacing w:after="0" w:line="222" w:lineRule="exact"/>
        <w:rPr>
          <w:sz w:val="20"/>
          <w:szCs w:val="20"/>
          <w:color w:val="auto"/>
        </w:rPr>
      </w:pPr>
    </w:p>
    <w:p>
      <w:pPr>
        <w:ind w:left="1800" w:hanging="496"/>
        <w:spacing w:after="0" w:line="260" w:lineRule="auto"/>
        <w:tabs>
          <w:tab w:leader="none" w:pos="179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is expressly designated as an "Eligible Executive" by the Committee for the purposes of this Plan pursuant to resolutions duly adopted by the Committee; and</w:t>
      </w:r>
    </w:p>
    <w:p>
      <w:pPr>
        <w:spacing w:after="0" w:line="176" w:lineRule="exact"/>
        <w:rPr>
          <w:rFonts w:ascii="Arial" w:cs="Arial" w:eastAsia="Arial" w:hAnsi="Arial"/>
          <w:sz w:val="20"/>
          <w:szCs w:val="20"/>
          <w:color w:val="auto"/>
        </w:rPr>
      </w:pPr>
    </w:p>
    <w:p>
      <w:pPr>
        <w:jc w:val="both"/>
        <w:ind w:left="1800" w:hanging="496"/>
        <w:spacing w:after="0" w:line="243" w:lineRule="auto"/>
        <w:tabs>
          <w:tab w:leader="none" w:pos="1791"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except as otherwise provided by the Committee, is not a party to an employment agreement with the Company pursuant to which severance benefits (whether relating to a change in control or otherwise) or payments are provided for (other than agreements such as a stock option, restricted stock, share or unit, performance share or unit, annual incentive, supplemental retirement, deferred compensation or similar plan or agreement which may contain provisions operative on the Executive's involuntary termination from the Company, a Change in Control or termination of employment following a Change in Control); and</w:t>
      </w:r>
    </w:p>
    <w:p>
      <w:pPr>
        <w:spacing w:after="0" w:line="195" w:lineRule="exact"/>
        <w:rPr>
          <w:rFonts w:ascii="Arial" w:cs="Arial" w:eastAsia="Arial" w:hAnsi="Arial"/>
          <w:sz w:val="20"/>
          <w:szCs w:val="20"/>
          <w:color w:val="auto"/>
        </w:rPr>
      </w:pPr>
    </w:p>
    <w:p>
      <w:pPr>
        <w:jc w:val="both"/>
        <w:ind w:left="1800" w:hanging="496"/>
        <w:spacing w:after="0" w:line="270" w:lineRule="auto"/>
        <w:tabs>
          <w:tab w:leader="none" w:pos="17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receives written notice of his or her status as an Eligible Executive, which status has not been terminated by the Administrator as provided herein, and which notice describes which benefits the Eligible Executive is eligible to receive under this Plan (including which multipliers will be used to determine the amount of such Eligible Executive's severance benefits under Section 4 and Section 5 of this Plan). The Administrator may terminate an Eligible Executive's right to receive severance benefits upon either or both of a Qualifying Termination or a Qualifying CIC Termination by delivering to the Eligible Executive, at least ninety (90) days prior to the end of the General Term or the CIC Term (as such terms are defined in Section 7(c) and as the case may be with respect to eligibility for benefits under Sections 4 and 5 of this Plan), written notice that the Eligible Executive is no longer eligible to participate in such portion of the Plan, which notice, if timely given, will terminate the Eligible Executive's right to receive severance benefits upon either or both of a Qualifying Termination or a Qualifying CIC Termination at the end of the General Term or CIC Term, respectively. Notwithstanding the foregoing, in no event may the Administrator terminate the participation of an Eligible Executive during the Protection Period if the Eligible Executive is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2" w:name="page93"/>
    <w:bookmarkEnd w:id="92"/>
    <w:p>
      <w:pPr>
        <w:ind w:left="1140"/>
        <w:spacing w:after="0"/>
        <w:rPr>
          <w:sz w:val="20"/>
          <w:szCs w:val="20"/>
          <w:color w:val="auto"/>
        </w:rPr>
      </w:pPr>
      <w:r>
        <w:rPr>
          <w:rFonts w:ascii="Arial" w:cs="Arial" w:eastAsia="Arial" w:hAnsi="Arial"/>
          <w:sz w:val="20"/>
          <w:szCs w:val="20"/>
          <w:color w:val="auto"/>
        </w:rPr>
        <w:t>to receive severance benefits upon a Qualifying CIC Termination in accordance with Section 5.</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Equity Plan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Company's 2018 Omnibus Equity Incentive Plan (or the equity incentive plan most recently approved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stockholders and in use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ERISA</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Employee Retirement Income Security Act of 1974, as amended.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Potential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first occurrence of any one of the following:</w:t>
      </w:r>
    </w:p>
    <w:p>
      <w:pPr>
        <w:spacing w:after="0" w:line="235" w:lineRule="exact"/>
        <w:rPr>
          <w:sz w:val="20"/>
          <w:szCs w:val="20"/>
          <w:color w:val="auto"/>
        </w:rPr>
      </w:pPr>
    </w:p>
    <w:p>
      <w:pPr>
        <w:ind w:left="1600" w:hanging="308"/>
        <w:spacing w:after="0"/>
        <w:tabs>
          <w:tab w:leader="none" w:pos="1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CrossFirst enters into an agreement, the consummation of which would result in the occurrence of a Change in</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Control; or</w:t>
      </w:r>
    </w:p>
    <w:p>
      <w:pPr>
        <w:spacing w:after="0" w:line="226" w:lineRule="exact"/>
        <w:rPr>
          <w:rFonts w:ascii="Arial" w:cs="Arial" w:eastAsia="Arial" w:hAnsi="Arial"/>
          <w:sz w:val="18"/>
          <w:szCs w:val="18"/>
          <w:color w:val="auto"/>
        </w:rPr>
      </w:pPr>
    </w:p>
    <w:p>
      <w:pPr>
        <w:ind w:left="1640" w:hanging="348"/>
        <w:spacing w:after="0"/>
        <w:tabs>
          <w:tab w:leader="none" w:pos="1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Board adopts a resolution to the effect that a Potential Change in Control has occurred.</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Protection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means (i) the period following a Change in Control until the first anniversary of the Change in Control and (ii)</w:t>
      </w:r>
      <w:r>
        <w:rPr>
          <w:rFonts w:ascii="Arial" w:cs="Arial" w:eastAsia="Arial" w:hAnsi="Arial"/>
          <w:sz w:val="20"/>
          <w:szCs w:val="20"/>
          <w:b w:val="1"/>
          <w:bCs w:val="1"/>
          <w:color w:val="auto"/>
        </w:rPr>
        <w:t xml:space="preserve"> </w:t>
      </w:r>
      <w:r>
        <w:rPr>
          <w:rFonts w:ascii="Arial" w:cs="Arial" w:eastAsia="Arial" w:hAnsi="Arial"/>
          <w:sz w:val="20"/>
          <w:szCs w:val="20"/>
          <w:color w:val="auto"/>
        </w:rPr>
        <w:t>the period following a Potential Change in Control, which period ends at the earlier of the (a) date CrossFirst makes a public announcement; (y) that it has terminated the agreement, the consummation of which would have resulted in the occurrence of a Change in Control; or (z) that the circumstances giving rise to a Potential Change in Control will not result in an actual Change in Control and (b) the date the Board declares in good faith that the circumstances giving rise to a Potential Change in Control will not result in an actual Change in Control.</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Qualifying CIC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occurrence during the CIC Term (as defined in Section 7(c)) and the Protection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of either:</w:t>
      </w:r>
    </w:p>
    <w:p>
      <w:pPr>
        <w:spacing w:after="0" w:line="169" w:lineRule="exact"/>
        <w:rPr>
          <w:sz w:val="20"/>
          <w:szCs w:val="20"/>
          <w:color w:val="auto"/>
        </w:rPr>
      </w:pPr>
    </w:p>
    <w:p>
      <w:pPr>
        <w:ind w:left="1140" w:right="20" w:hanging="496"/>
        <w:spacing w:after="0" w:line="260" w:lineRule="auto"/>
        <w:tabs>
          <w:tab w:leader="none" w:pos="1136"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 involuntary termination of an Eligible Executive's employment with the Company without Cause and other than as a result of the Eligible Executive's death or Disability; or</w:t>
      </w:r>
    </w:p>
    <w:p>
      <w:pPr>
        <w:spacing w:after="0" w:line="176" w:lineRule="exact"/>
        <w:rPr>
          <w:rFonts w:ascii="Arial" w:cs="Arial" w:eastAsia="Arial" w:hAnsi="Arial"/>
          <w:sz w:val="20"/>
          <w:szCs w:val="20"/>
          <w:color w:val="auto"/>
        </w:rPr>
      </w:pPr>
    </w:p>
    <w:p>
      <w:pPr>
        <w:ind w:left="1140" w:hanging="496"/>
        <w:spacing w:after="0" w:line="260" w:lineRule="auto"/>
        <w:tabs>
          <w:tab w:leader="none" w:pos="1137"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voluntary termination of an Eligible Executive's employment by the Eligible Executive as a result of a Constructive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Qualifying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occurrence during the General Term (as defined in Section 7(c)) of either:</w:t>
      </w:r>
    </w:p>
    <w:p>
      <w:pPr>
        <w:spacing w:after="0" w:line="222" w:lineRule="exact"/>
        <w:rPr>
          <w:sz w:val="20"/>
          <w:szCs w:val="20"/>
          <w:color w:val="auto"/>
        </w:rPr>
      </w:pPr>
    </w:p>
    <w:p>
      <w:pPr>
        <w:ind w:left="1300" w:right="20" w:hanging="647"/>
        <w:spacing w:after="0" w:line="260" w:lineRule="auto"/>
        <w:rPr>
          <w:sz w:val="20"/>
          <w:szCs w:val="20"/>
          <w:color w:val="auto"/>
        </w:rPr>
      </w:pPr>
      <w:r>
        <w:rPr>
          <w:rFonts w:ascii="Arial" w:cs="Arial" w:eastAsia="Arial" w:hAnsi="Arial"/>
          <w:sz w:val="20"/>
          <w:szCs w:val="20"/>
          <w:color w:val="auto"/>
        </w:rPr>
        <w:t>i. an involuntary termination of an Eligible Executive's employment with the Company without Cause and other than as a result of the Eligible Executive's death or Disability; or</w:t>
      </w:r>
    </w:p>
    <w:p>
      <w:pPr>
        <w:spacing w:after="0" w:line="204" w:lineRule="exact"/>
        <w:rPr>
          <w:sz w:val="20"/>
          <w:szCs w:val="20"/>
          <w:color w:val="auto"/>
        </w:rPr>
      </w:pPr>
    </w:p>
    <w:p>
      <w:pPr>
        <w:ind w:left="1300" w:right="20" w:hanging="656"/>
        <w:spacing w:after="0" w:line="260" w:lineRule="auto"/>
        <w:tabs>
          <w:tab w:leader="none" w:pos="885" w:val="left"/>
        </w:tabs>
        <w:numPr>
          <w:ilvl w:val="0"/>
          <w:numId w:val="67"/>
        </w:numPr>
        <w:rPr>
          <w:rFonts w:ascii="Arial" w:cs="Arial" w:eastAsia="Arial" w:hAnsi="Arial"/>
          <w:sz w:val="20"/>
          <w:szCs w:val="20"/>
          <w:color w:val="auto"/>
        </w:rPr>
      </w:pPr>
      <w:r>
        <w:rPr>
          <w:rFonts w:ascii="Arial" w:cs="Arial" w:eastAsia="Arial" w:hAnsi="Arial"/>
          <w:sz w:val="20"/>
          <w:szCs w:val="20"/>
          <w:color w:val="auto"/>
        </w:rPr>
        <w:t>a voluntary termination of an Eligible Executive's employment by the Eligible Executive as a result of a Constructive Termination.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Specified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employee of the Company that CrossFirst determines is a Specified Employee within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of Section 409A of the Code. CrossFirst shall determine whether an employee is a Specified Employee by applying CrossFirst's Specified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419" w:right="339" w:bottom="1440" w:gutter="0" w:footer="0" w:header="0"/>
        </w:sectPr>
      </w:pPr>
    </w:p>
    <w:bookmarkStart w:id="93" w:name="page94"/>
    <w:bookmarkEnd w:id="93"/>
    <w:p>
      <w:pPr>
        <w:ind w:left="660"/>
        <w:spacing w:after="0" w:line="287" w:lineRule="auto"/>
        <w:rPr>
          <w:sz w:val="20"/>
          <w:szCs w:val="20"/>
          <w:color w:val="auto"/>
        </w:rPr>
      </w:pPr>
      <w:r>
        <w:rPr>
          <w:rFonts w:ascii="Arial" w:cs="Arial" w:eastAsia="Arial" w:hAnsi="Arial"/>
          <w:sz w:val="19"/>
          <w:szCs w:val="19"/>
          <w:color w:val="auto"/>
        </w:rPr>
        <w:t>Identification Procedure, or if there is no such procedure, by applying reasonable, objectively determinable identification procedures established by the Board (or a committee thereof) from time to time in accordance with Section 409A of the Code.</w:t>
      </w:r>
    </w:p>
    <w:p>
      <w:pPr>
        <w:spacing w:after="0" w:line="146"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date on which an Eligible Executive has a "separation from service," within the meaning of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409A of the Code, from the Company.</w:t>
      </w:r>
    </w:p>
    <w:p>
      <w:pPr>
        <w:spacing w:after="0" w:line="16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left="660" w:hanging="4"/>
        <w:spacing w:after="0" w:line="285"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Eligible Executives</w:t>
      </w:r>
      <w:r>
        <w:rPr>
          <w:rFonts w:ascii="Arial" w:cs="Arial" w:eastAsia="Arial" w:hAnsi="Arial"/>
          <w:sz w:val="18"/>
          <w:szCs w:val="18"/>
          <w:color w:val="auto"/>
        </w:rPr>
        <w:t>. Only Eligible Executives shall be eligible to receive benefits under this Plan. The Committee shall limit</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of persons selected to participate in the Plan to a "select group of management or highly compensated employees," within the meaning of Sections 201, 301 and 401 of ERISA. The Committee shall determine which multipliers apply for purposes of determining the amount of each Eligible Executive's severance benefits under Section 4 and Section 5 of this Plan.</w:t>
      </w:r>
    </w:p>
    <w:p>
      <w:pPr>
        <w:spacing w:after="0" w:line="150" w:lineRule="exact"/>
        <w:rPr>
          <w:rFonts w:ascii="Arial" w:cs="Arial" w:eastAsia="Arial" w:hAnsi="Arial"/>
          <w:sz w:val="18"/>
          <w:szCs w:val="18"/>
          <w:color w:val="auto"/>
        </w:rPr>
      </w:pPr>
    </w:p>
    <w:p>
      <w:pPr>
        <w:jc w:val="both"/>
        <w:ind w:left="660" w:hanging="4"/>
        <w:spacing w:after="0" w:line="277" w:lineRule="auto"/>
        <w:tabs>
          <w:tab w:leader="none" w:pos="1297" w:val="left"/>
        </w:tabs>
        <w:numPr>
          <w:ilvl w:val="1"/>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Qualifying Termination</w:t>
      </w:r>
      <w:r>
        <w:rPr>
          <w:rFonts w:ascii="Arial" w:cs="Arial" w:eastAsia="Arial" w:hAnsi="Arial"/>
          <w:sz w:val="18"/>
          <w:szCs w:val="18"/>
          <w:color w:val="auto"/>
        </w:rPr>
        <w:t>. Subject to the conditions described herein, including, without limitation,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(Code § 280G potential carve-back) and 9(a) (Release requirements) of this Plan, the Company will pay severance benefits pursuant to Section 4 of this Plan to an Eligible Executive who is eligible to receive severance benefits upon a Qualifying Termination and who incurs a Qualifying Termination; provided, however, that if an Eligible Executive is also eligible to receive severance benefits upon a Qualifying CIC Termination, the Eligible Executive is eligible to receive severance benefits payable upon a Qualifying Termination only if the Qualifying Termination is not also a Qualifying CIC Termination.</w:t>
      </w:r>
    </w:p>
    <w:p>
      <w:pPr>
        <w:spacing w:after="0" w:line="159" w:lineRule="exact"/>
        <w:rPr>
          <w:rFonts w:ascii="Arial" w:cs="Arial" w:eastAsia="Arial" w:hAnsi="Arial"/>
          <w:sz w:val="18"/>
          <w:szCs w:val="18"/>
          <w:color w:val="auto"/>
        </w:rPr>
      </w:pPr>
    </w:p>
    <w:p>
      <w:pPr>
        <w:jc w:val="both"/>
        <w:ind w:left="660" w:hanging="4"/>
        <w:spacing w:after="0" w:line="248"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Qualifying CIC Termination</w:t>
      </w:r>
      <w:r>
        <w:rPr>
          <w:rFonts w:ascii="Arial" w:cs="Arial" w:eastAsia="Arial" w:hAnsi="Arial"/>
          <w:sz w:val="20"/>
          <w:szCs w:val="20"/>
          <w:color w:val="auto"/>
        </w:rPr>
        <w:t>. Subject to the conditions described herein, including, without limitation, the requirements of</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6 (Code § 280G potential carve-back) and 9(a) (Release requirements) of this Plan, the Company will pay severance benefits pursuant to Section 5 of this Plan solely to an Eligible Executive who is eligible to receive severance benefits upon a Qualifying CIC Termination and who incurs a Qualifying CIC Termination.</w:t>
      </w:r>
    </w:p>
    <w:p>
      <w:pPr>
        <w:spacing w:after="0" w:line="183" w:lineRule="exact"/>
        <w:rPr>
          <w:rFonts w:ascii="Arial" w:cs="Arial" w:eastAsia="Arial" w:hAnsi="Arial"/>
          <w:sz w:val="20"/>
          <w:szCs w:val="20"/>
          <w:color w:val="auto"/>
        </w:rPr>
      </w:pPr>
    </w:p>
    <w:p>
      <w:pPr>
        <w:jc w:val="both"/>
        <w:ind w:left="660" w:hanging="4"/>
        <w:spacing w:after="0" w:line="248" w:lineRule="auto"/>
        <w:tabs>
          <w:tab w:leader="none" w:pos="1297" w:val="left"/>
        </w:tabs>
        <w:numPr>
          <w:ilvl w:val="1"/>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Non-Qualifying Termination</w:t>
      </w:r>
      <w:r>
        <w:rPr>
          <w:rFonts w:ascii="Arial" w:cs="Arial" w:eastAsia="Arial" w:hAnsi="Arial"/>
          <w:sz w:val="20"/>
          <w:szCs w:val="20"/>
          <w:color w:val="auto"/>
        </w:rPr>
        <w:t>. Notwithstanding any other provision of this Plan to the contrary, nothing in this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require the Company to pay any of the severance benefits under this Plan to an Eligible Executive if the Eligible Executive terminates employment with the Company under any circumstances that do not constitute a Qualifying Termination or a Qualifying CIC Termination.</w:t>
      </w:r>
    </w:p>
    <w:p>
      <w:pPr>
        <w:spacing w:after="0" w:line="210" w:lineRule="exact"/>
        <w:rPr>
          <w:rFonts w:ascii="Arial" w:cs="Arial" w:eastAsia="Arial" w:hAnsi="Arial"/>
          <w:sz w:val="20"/>
          <w:szCs w:val="20"/>
          <w:color w:val="auto"/>
        </w:rPr>
      </w:pPr>
    </w:p>
    <w:p>
      <w:pPr>
        <w:ind w:left="660" w:hanging="652"/>
        <w:spacing w:after="0"/>
        <w:tabs>
          <w:tab w:leader="none" w:pos="6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and Payment of Benefits upon a Qualifying Termination</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Sections 6 (Code § 280G potential carve-back) and 9(a) (Release requirements) of this Plan, an Eligible Executive who incurs a Qualifying Termination and is not eligible to receive severance benefits pursuant to Section 5 (Qualifying CIC Termination) shall be entitled to receive the severance benefits described below in this Section 4:</w:t>
      </w:r>
    </w:p>
    <w:p>
      <w:pPr>
        <w:spacing w:after="0" w:line="180" w:lineRule="exact"/>
        <w:rPr>
          <w:sz w:val="20"/>
          <w:szCs w:val="20"/>
          <w:color w:val="auto"/>
        </w:rPr>
      </w:pPr>
    </w:p>
    <w:p>
      <w:pPr>
        <w:ind w:left="660" w:right="20" w:hanging="4"/>
        <w:spacing w:after="0" w:line="267" w:lineRule="auto"/>
        <w:tabs>
          <w:tab w:leader="none" w:pos="1300"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color w:val="auto"/>
        </w:rPr>
        <w:t>. Unless otherwise provided herein, an Eligible Executive who incurs a Qualifying Termination shall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payments in an amount equal to the sum of:</w:t>
      </w:r>
    </w:p>
    <w:p>
      <w:pPr>
        <w:spacing w:after="0" w:line="169" w:lineRule="exact"/>
        <w:rPr>
          <w:rFonts w:ascii="Arial" w:cs="Arial" w:eastAsia="Arial" w:hAnsi="Arial"/>
          <w:sz w:val="20"/>
          <w:szCs w:val="20"/>
          <w:color w:val="auto"/>
        </w:rPr>
      </w:pPr>
    </w:p>
    <w:p>
      <w:pPr>
        <w:ind w:left="1800" w:right="20" w:hanging="496"/>
        <w:spacing w:after="0" w:line="260" w:lineRule="auto"/>
        <w:tabs>
          <w:tab w:leader="none" w:pos="1796"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product of the Applicable Qualifying Termination Severance Multiplier multiplied by the Eligible Executive's annual base salary as of the Eligible Executive's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94" w:name="page95"/>
    <w:bookmarkEnd w:id="94"/>
    <w:p>
      <w:pPr>
        <w:jc w:val="both"/>
        <w:ind w:left="1800" w:hanging="496"/>
        <w:spacing w:after="0" w:line="263" w:lineRule="auto"/>
        <w:tabs>
          <w:tab w:leader="none" w:pos="17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product of the Applicable Qualifying Termination Severance Multiplier multiplied by the amount that the Eligible Executive would have received as an annual bonus under the Annual Incentive Plan for the plan year in which the Termination Date occurs, if an "at target" level of performance were achieved for such plan year and the Eligible Executive had remained employed through the end of the applicable performance year; and</w:t>
      </w:r>
    </w:p>
    <w:p>
      <w:pPr>
        <w:spacing w:after="0" w:line="176" w:lineRule="exact"/>
        <w:rPr>
          <w:rFonts w:ascii="Arial" w:cs="Arial" w:eastAsia="Arial" w:hAnsi="Arial"/>
          <w:sz w:val="19"/>
          <w:szCs w:val="19"/>
          <w:color w:val="auto"/>
        </w:rPr>
      </w:pPr>
    </w:p>
    <w:p>
      <w:pPr>
        <w:jc w:val="both"/>
        <w:ind w:left="1800" w:hanging="496"/>
        <w:spacing w:after="0" w:line="259" w:lineRule="auto"/>
        <w:tabs>
          <w:tab w:leader="none" w:pos="179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product of the Applicable Qualifying Termination COBRA Multiplier multiplied by the Company-paid portion of the COBRA continuation premium cost to cover the Eligible Executive and his or her eligible dependents, if any, for one (1) month under the Company's health, vision and dental plans in effect as of the date of the Qualifying Termination. Such amount will include the Company-paid portion of the cost of the premiums for coverage of the Eligible Executive's dependents if, and only to the extent that, such dependents were enrolled in a health, vision or dental plan sponsored by the Company before the Qualifying Termination.</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severance payments made pursuant to this Section 4(a) shall be paid ratably over six (6) months, in accordance with the Company's normal payroll practices, commencing with the payroll period following the date on which the Release requirements of Section 9(a) are satisfied and in no event later than seventy-five (75) days after the Termination Date.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any other provision of this Plan, if the Eligible Executive is a Specified Employee on his or her Termination Date, any portion of the severance payments under this Section 4(a) which may constitute non-exempt "nonqualified deferred compensation" subject to Code Section 409A shall be delayed until the earlier of (i) the first day after six (6) months following such Termination Date, as determined by the Company for the avoidance of penalties and/or excise taxes under Code Section 409A; or (ii) the date the Eligible Executive dies following such Termination Date.</w:t>
      </w:r>
    </w:p>
    <w:p>
      <w:pPr>
        <w:spacing w:after="0" w:line="188" w:lineRule="exact"/>
        <w:rPr>
          <w:sz w:val="20"/>
          <w:szCs w:val="20"/>
          <w:color w:val="auto"/>
        </w:rPr>
      </w:pPr>
    </w:p>
    <w:p>
      <w:pPr>
        <w:jc w:val="both"/>
        <w:ind w:left="660" w:hanging="4"/>
        <w:spacing w:after="0" w:line="256" w:lineRule="auto"/>
        <w:tabs>
          <w:tab w:leader="none" w:pos="1297"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Additional Payment</w:t>
      </w:r>
      <w:r>
        <w:rPr>
          <w:rFonts w:ascii="Arial" w:cs="Arial" w:eastAsia="Arial" w:hAnsi="Arial"/>
          <w:sz w:val="19"/>
          <w:szCs w:val="19"/>
          <w:color w:val="auto"/>
        </w:rPr>
        <w:t>. In addition to the severance payments made pursuant to Section 4(a), an Eligible Executive who</w:t>
      </w:r>
      <w:r>
        <w:rPr>
          <w:rFonts w:ascii="Arial" w:cs="Arial" w:eastAsia="Arial" w:hAnsi="Arial"/>
          <w:sz w:val="19"/>
          <w:szCs w:val="19"/>
          <w:b w:val="1"/>
          <w:bCs w:val="1"/>
          <w:color w:val="auto"/>
        </w:rPr>
        <w:t xml:space="preserve"> </w:t>
      </w:r>
      <w:r>
        <w:rPr>
          <w:rFonts w:ascii="Arial" w:cs="Arial" w:eastAsia="Arial" w:hAnsi="Arial"/>
          <w:sz w:val="19"/>
          <w:szCs w:val="19"/>
          <w:color w:val="auto"/>
        </w:rPr>
        <w:t>incurs a Qualifying Termination shall also be entitled to receive a pro rata portion of the annual incentive bonus that the Eligible Executive would have received under the Annual Incentive Plan (or other annual incentive plan then in use by the Company) for the performance year during which his or her Termination Date occurs if the Eligible Executive had remained employed through the end of such performance year. The amount of such pro rata portion shall be the amount that the Eligible Executive would have received if the Eligible Executive had remained employed through the end of the applicable performance year, divided by three hundred and sixty-five (365), multiplied by the number of days between the first day of the performance year and the Eligible Executive's Termination Date. The severance payment eligible to be paid pursuant to this Section 4(b), if any, shall be paid in a single lump-sum cash payment, less all applicable withholding taxes, at the same time as the annual bonus payments are paid to other active bonus plan participants, and in no event later than the end of the calendar year in which the level of performance goal achievement is determined and certified by the Committee.</w:t>
      </w:r>
    </w:p>
    <w:p>
      <w:pPr>
        <w:spacing w:after="0" w:line="176" w:lineRule="exact"/>
        <w:rPr>
          <w:rFonts w:ascii="Arial" w:cs="Arial" w:eastAsia="Arial" w:hAnsi="Arial"/>
          <w:sz w:val="19"/>
          <w:szCs w:val="19"/>
          <w:color w:val="auto"/>
        </w:rPr>
      </w:pPr>
    </w:p>
    <w:p>
      <w:pPr>
        <w:jc w:val="both"/>
        <w:ind w:left="660" w:hanging="4"/>
        <w:spacing w:after="0" w:line="29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Outplacement Services</w:t>
      </w:r>
      <w:r>
        <w:rPr>
          <w:rFonts w:ascii="Arial" w:cs="Arial" w:eastAsia="Arial" w:hAnsi="Arial"/>
          <w:sz w:val="18"/>
          <w:szCs w:val="18"/>
          <w:color w:val="auto"/>
        </w:rPr>
        <w:t>. The Company shall reimburse the Eligible Executive for all reasonable and well-documented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directly relating to outplacement counseling services obtained by the Eligible Executive during the eighteen (18) month period following the Eligible Executive's Qualifying Termination. The Eligible Executive may select the organization that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95" w:name="page96"/>
    <w:bookmarkEnd w:id="95"/>
    <w:p>
      <w:pPr>
        <w:jc w:val="both"/>
        <w:ind w:left="660"/>
        <w:spacing w:after="0" w:line="246" w:lineRule="auto"/>
        <w:rPr>
          <w:sz w:val="20"/>
          <w:szCs w:val="20"/>
          <w:color w:val="auto"/>
        </w:rPr>
      </w:pPr>
      <w:r>
        <w:rPr>
          <w:rFonts w:ascii="Arial" w:cs="Arial" w:eastAsia="Arial" w:hAnsi="Arial"/>
          <w:sz w:val="20"/>
          <w:szCs w:val="20"/>
          <w:color w:val="auto"/>
        </w:rPr>
        <w:t>provide the outplacement counseling; however, the Company's obligation to reimburse the Eligible Executive for such expenses shall not exceed $25,000. Reimbursement shall be made as soon as practicable after submission of appropriate expense reports with the Company, but in no event later than the end of the Eligible Executive's taxable year following the year in which the expense for outplacement counseling services was incurred.</w:t>
      </w:r>
    </w:p>
    <w:p>
      <w:pPr>
        <w:spacing w:after="0" w:line="185" w:lineRule="exact"/>
        <w:rPr>
          <w:sz w:val="20"/>
          <w:szCs w:val="20"/>
          <w:color w:val="auto"/>
        </w:rPr>
      </w:pPr>
    </w:p>
    <w:p>
      <w:pPr>
        <w:jc w:val="both"/>
        <w:ind w:left="660" w:hanging="4"/>
        <w:spacing w:after="0" w:line="246" w:lineRule="auto"/>
        <w:tabs>
          <w:tab w:leader="none" w:pos="1297" w:val="left"/>
        </w:tabs>
        <w:numPr>
          <w:ilvl w:val="1"/>
          <w:numId w:val="72"/>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Award Vesting</w:t>
      </w:r>
      <w:r>
        <w:rPr>
          <w:rFonts w:ascii="Arial" w:cs="Arial" w:eastAsia="Arial" w:hAnsi="Arial"/>
          <w:sz w:val="20"/>
          <w:szCs w:val="20"/>
          <w:color w:val="auto"/>
        </w:rPr>
        <w:t>. An Eligible Executive who incurs a Qualifying Termination shall vest, if at all, 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granted stock options, stock appreciation rights, restricted stock, restricted stock units, performance shares, performance share units, deferred cash or any other form of equity awards issued by the Company and held by the Eligible Executive on his or her Termination Date (collectively, "Equity Awards") in accordance with the terms and conditions of the plan(s) and award agreements pursuant to which such Equity Awards are governed.</w:t>
      </w:r>
    </w:p>
    <w:p>
      <w:pPr>
        <w:spacing w:after="0" w:line="18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and Payment of Benefits upon a Qualifying CIC Termination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Subject to Sections 6 (Code § 280G potential carve-back) and 9(a) (Release requirements) of this Plan, an Eligible Executive who</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incurs a Qualifying CIC Termination and is eligible to receive the following severance benefits on account thereof, shall be entitled to receive the severance benefits described in this Section 5 in lieu of any severance benefits that the Eligible Executive is eligible to receive pursuant to Section 4 of this Plan:</w:t>
      </w:r>
    </w:p>
    <w:p>
      <w:pPr>
        <w:spacing w:after="0" w:line="190" w:lineRule="exact"/>
        <w:rPr>
          <w:sz w:val="20"/>
          <w:szCs w:val="20"/>
          <w:color w:val="auto"/>
        </w:rPr>
      </w:pPr>
    </w:p>
    <w:p>
      <w:pPr>
        <w:ind w:left="660" w:hanging="4"/>
        <w:spacing w:after="0" w:line="267" w:lineRule="auto"/>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color w:val="auto"/>
        </w:rPr>
        <w:t>. Unless otherwise provided herein, an Eligible Executive who incurs a Qualifying CIC Termination shall receive a</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payment in an amount equal to the sum of:</w:t>
      </w:r>
    </w:p>
    <w:p>
      <w:pPr>
        <w:spacing w:after="0" w:line="169" w:lineRule="exact"/>
        <w:rPr>
          <w:rFonts w:ascii="Arial" w:cs="Arial" w:eastAsia="Arial" w:hAnsi="Arial"/>
          <w:sz w:val="20"/>
          <w:szCs w:val="20"/>
          <w:color w:val="auto"/>
        </w:rPr>
      </w:pPr>
    </w:p>
    <w:p>
      <w:pPr>
        <w:ind w:left="1800" w:hanging="496"/>
        <w:spacing w:after="0" w:line="260" w:lineRule="auto"/>
        <w:tabs>
          <w:tab w:leader="none" w:pos="1796"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product of the Applicable Qualifying CIC Termination Severance Multiplier multiplied by the Eligible Executive's annual base salary as of the Eligible Executive's Termination Date;</w:t>
      </w:r>
    </w:p>
    <w:p>
      <w:pPr>
        <w:spacing w:after="0" w:line="176" w:lineRule="exact"/>
        <w:rPr>
          <w:rFonts w:ascii="Arial" w:cs="Arial" w:eastAsia="Arial" w:hAnsi="Arial"/>
          <w:sz w:val="20"/>
          <w:szCs w:val="20"/>
          <w:color w:val="auto"/>
        </w:rPr>
      </w:pPr>
    </w:p>
    <w:p>
      <w:pPr>
        <w:jc w:val="both"/>
        <w:ind w:left="1800" w:hanging="496"/>
        <w:spacing w:after="0" w:line="263" w:lineRule="auto"/>
        <w:tabs>
          <w:tab w:leader="none" w:pos="1797"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product of the Applicable Qualifying CIC Termination Severance Multiplier multiplied by the amount that the Eligible Executive would have received as an annual bonus under the Annual Incentive Plan for the plan year in which the Termination Date occurs, if an "at target" level of performance were achieved for such plan year and the Eligible Executive had remained employed through the end of the applicable performance year;</w:t>
      </w:r>
    </w:p>
    <w:p>
      <w:pPr>
        <w:spacing w:after="0" w:line="176" w:lineRule="exact"/>
        <w:rPr>
          <w:rFonts w:ascii="Arial" w:cs="Arial" w:eastAsia="Arial" w:hAnsi="Arial"/>
          <w:sz w:val="19"/>
          <w:szCs w:val="19"/>
          <w:color w:val="auto"/>
        </w:rPr>
      </w:pPr>
    </w:p>
    <w:p>
      <w:pPr>
        <w:jc w:val="both"/>
        <w:ind w:left="1800" w:hanging="496"/>
        <w:spacing w:after="0" w:line="276" w:lineRule="auto"/>
        <w:tabs>
          <w:tab w:leader="none" w:pos="17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product of the Applicable Qualifying CIC Termination COBRA Multiplier multiplied by the Company-paid portion of the COBRA continuation premium cost to cover the Eligible Executive and his or her eligible dependents, if any, for one (1) month under the Company's health, vision and dental plans in effect as of the date of the Qualifying CIC Termination. Such amount will include the Company-paid portion of the cost of the premiums for coverage of the Eligible Executive's dependents if, and only to the extent that, such dependents were enrolled in a health, vision or dental plan sponsored by the Company before the Qualifying CIC Termination; and</w:t>
      </w:r>
    </w:p>
    <w:p>
      <w:pPr>
        <w:spacing w:after="0" w:line="164" w:lineRule="exact"/>
        <w:rPr>
          <w:rFonts w:ascii="Arial" w:cs="Arial" w:eastAsia="Arial" w:hAnsi="Arial"/>
          <w:sz w:val="18"/>
          <w:szCs w:val="18"/>
          <w:color w:val="auto"/>
        </w:rPr>
      </w:pPr>
    </w:p>
    <w:p>
      <w:pPr>
        <w:jc w:val="both"/>
        <w:ind w:left="1800" w:hanging="496"/>
        <w:spacing w:after="0" w:line="250" w:lineRule="auto"/>
        <w:tabs>
          <w:tab w:leader="none" w:pos="1774"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pro rata portion of the annual incentive bonus that the Eligible Executive would have received under the Annual Incentive Plan (or other annual incentive plan then in use by the Company) for the performance year during which his or her Termination Date occurs as if the Eligible Executive had remained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96" w:name="page97"/>
    <w:bookmarkEnd w:id="96"/>
    <w:p>
      <w:pPr>
        <w:jc w:val="both"/>
        <w:ind w:left="1800"/>
        <w:spacing w:after="0" w:line="243" w:lineRule="auto"/>
        <w:rPr>
          <w:sz w:val="20"/>
          <w:szCs w:val="20"/>
          <w:color w:val="auto"/>
        </w:rPr>
      </w:pPr>
      <w:r>
        <w:rPr>
          <w:rFonts w:ascii="Arial" w:cs="Arial" w:eastAsia="Arial" w:hAnsi="Arial"/>
          <w:sz w:val="20"/>
          <w:szCs w:val="20"/>
          <w:color w:val="auto"/>
        </w:rPr>
        <w:t>through the end of such performance year and if an "at target" level of performance were achieved for such performance year. The amount of such pro rata portion shall be the amount that the Eligible Executive would have received if the Eligible Executive had remained employed through the end of the applicable performance year and if an "at target" level of performance were achieved for such performance year, divided by three hundred and sixty-five (365), multiplied by the number of days between the first day of the performance year and the Eligible Executive's Termination Date.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severance payment pursuant to this Section 5(a) shall be paid in a single lump-sum cash payment, less all applicable withholding taxes within the sixty (60) day period following the Eligible Executive's Termination Date. Notwithstanding any other provision of this Plan, if the Eligible Executive is a Specified Employee on his or her Termination Date, any portion of the severance payment under this Section 5(a) which may constitute non-exempt "nonqualified deferred compensation" subject to Code Section 409A shall be delayed until the earlier of (i) the first day after six (6) months following such Termination Date, as determined by the Company for the avoidance of penalties and/or excise taxes under Code Section 409A, or (ii) the date the Eligible Executive dies following such Termination Date.</w:t>
      </w:r>
    </w:p>
    <w:p>
      <w:pPr>
        <w:spacing w:after="0" w:line="159" w:lineRule="exact"/>
        <w:rPr>
          <w:sz w:val="20"/>
          <w:szCs w:val="20"/>
          <w:color w:val="auto"/>
        </w:rPr>
      </w:pPr>
    </w:p>
    <w:p>
      <w:pPr>
        <w:jc w:val="both"/>
        <w:ind w:left="660" w:hanging="4"/>
        <w:spacing w:after="0" w:line="259" w:lineRule="auto"/>
        <w:tabs>
          <w:tab w:leader="none" w:pos="1297" w:val="left"/>
        </w:tabs>
        <w:numPr>
          <w:ilvl w:val="1"/>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Outplacement Services</w:t>
      </w:r>
      <w:r>
        <w:rPr>
          <w:rFonts w:ascii="Arial" w:cs="Arial" w:eastAsia="Arial" w:hAnsi="Arial"/>
          <w:sz w:val="19"/>
          <w:szCs w:val="19"/>
          <w:color w:val="auto"/>
        </w:rPr>
        <w:t>. The Company shall reimburse the Eligible Executive for all reasonable and well-documented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directly relating to outplacement counseling services obtained by the Eligible Executive during the eighteen (18) month period following the Eligible Executive's Qualifying CIC Termination. The Eligible Executive may select the organization that will provide the outplacement counseling, however, the Company's obligation to reimburse the Eligible Executive for such expenses shall not exceed $25,000. Reimbursement shall be made as soon as practicable after submission of appropriate expense reports with the Company but in no event later than the end of the Eligible Executive's taxable year following the year in which the expense for outplacement counseling services was incurred.</w:t>
      </w:r>
    </w:p>
    <w:p>
      <w:pPr>
        <w:spacing w:after="0" w:line="172" w:lineRule="exact"/>
        <w:rPr>
          <w:rFonts w:ascii="Arial" w:cs="Arial" w:eastAsia="Arial" w:hAnsi="Arial"/>
          <w:sz w:val="19"/>
          <w:szCs w:val="19"/>
          <w:color w:val="auto"/>
        </w:rPr>
      </w:pPr>
    </w:p>
    <w:p>
      <w:pPr>
        <w:jc w:val="both"/>
        <w:ind w:left="660" w:hanging="4"/>
        <w:spacing w:after="0" w:line="253"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Award Vesting</w:t>
      </w:r>
      <w:r>
        <w:rPr>
          <w:rFonts w:ascii="Arial" w:cs="Arial" w:eastAsia="Arial" w:hAnsi="Arial"/>
          <w:sz w:val="20"/>
          <w:szCs w:val="20"/>
          <w:color w:val="auto"/>
        </w:rPr>
        <w:t>. An Eligible Executive who incurs a Qualifying CIC Termination shall vest, if at all, 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granted Equity Awards in accordance with the terms and conditions of the plan(s) and award agreements pursuant to which such Equity Awards are governed.</w:t>
      </w:r>
    </w:p>
    <w:p>
      <w:pPr>
        <w:spacing w:after="0" w:line="177" w:lineRule="exact"/>
        <w:rPr>
          <w:rFonts w:ascii="Arial" w:cs="Arial" w:eastAsia="Arial" w:hAnsi="Arial"/>
          <w:sz w:val="20"/>
          <w:szCs w:val="20"/>
          <w:color w:val="auto"/>
        </w:rPr>
      </w:pPr>
    </w:p>
    <w:p>
      <w:pPr>
        <w:ind w:left="660" w:hanging="328"/>
        <w:spacing w:after="0"/>
        <w:tabs>
          <w:tab w:leader="none" w:pos="6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IRC § 280G: Best Net Protection.</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event that the severance payments, distributions or benefits to be made by the Company to or for the benefit of the Eligible Executive (whether paid, payable, distributed, distributable or provided pursuant to the terms of this Plan, under some other plan, agreement, or arrangement, or otherwise) ("Payments") (i) constitute "parachute payments" within the meaning of Code Section 280G and (ii) but for this Section 6 would be subject to the excise tax imposed by Code Section 4999 (the "Excise Tax"), then the Payments to the Eligible Executive shall be either: (a) delivered in full, or (b) delivered after reducing the Payments $1 below the safe harbor limit (as described in Code Section 280G(b)(2)(A)(ii)) which would result in no portion of the Payments being subject to the Excise Tax. The choice between (a) and (b) shall depend upon whichever of the foregoing amounts, taking into account the applicable federal, state, and local income taxes and the Excise Tax, results in the receipt by the Eligible Executive, on an after-tax basis, of the greater amount, notwithstanding that all or some portion of the Payments may be taxable under Code Section 4999. In the event that the Payments are required to be reduced by this paragraph, any amount payable pursuant to Sections 4 or 5 shall be reduced, first by reducing all Payments being made pursuant to Sections 4(a) through (b) or 5(a) that do not constitute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19"/>
          <w:szCs w:val="19"/>
          <w:color w:val="auto"/>
        </w:rPr>
        <w:t>deferred compensation" within the meaning of Code Section 409A (in the order designated by the Eligible Executive), second, by reducing all Payments other than those made pursuant to Sections 4(a) through (b) or 5(a) that do not constitute "nonqualified deferred compensation" within the meaning of Code Section 409A (in the order designated by the Eligible Executive), and third, reducing all Payments that constitute "nonqualified deferred compensation" within the meaning of Code Section 409A, with the latest of such scheduled payments being reduced first. CrossFirst's accounting firm shall make all determinations required by this paragraph, and CrossFirst and the Eligible Executive shall cooperate with each other and the accounting firm and shall provide necessary information so that the accounting firm may make all such determinations. CrossFirst shall pay all of the fees of the accounting firm for services performed by the accounting firm as contemplated in this Section 6.</w:t>
      </w:r>
    </w:p>
    <w:p>
      <w:pPr>
        <w:spacing w:after="0" w:line="17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Administration/Amendment/Termination</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left="660" w:hanging="4"/>
        <w:spacing w:after="0" w:line="285"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The Administrator has the sole discretionary authority to construe and interpret this Plan and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determinations related to administration of this Plan, including all questions of eligibility for participation and benefits, to the maximum extent permitted by law. The decisions, actions and interpretations of the Administrator are final and binding on all parties. The Administrator may delegate any of its duties under the Plan to such individuals or entities from time to time as it may designate.</w:t>
      </w:r>
    </w:p>
    <w:p>
      <w:pPr>
        <w:spacing w:after="0" w:line="150" w:lineRule="exact"/>
        <w:rPr>
          <w:rFonts w:ascii="Arial" w:cs="Arial" w:eastAsia="Arial" w:hAnsi="Arial"/>
          <w:sz w:val="18"/>
          <w:szCs w:val="18"/>
          <w:color w:val="auto"/>
        </w:rPr>
      </w:pPr>
    </w:p>
    <w:p>
      <w:pPr>
        <w:jc w:val="both"/>
        <w:ind w:left="660" w:hanging="4"/>
        <w:spacing w:after="0" w:line="273" w:lineRule="auto"/>
        <w:tabs>
          <w:tab w:leader="none" w:pos="1297" w:val="left"/>
        </w:tabs>
        <w:numPr>
          <w:ilvl w:val="1"/>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The Committee expressly reserves the right to amend this Plan, in whole or in part, at any time and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it determines to be advisable; provided that if the amendment will become effective during either the General Term or the CIC Term (as applicable to an Eligible Executive) then in progress (which, for this purpose, shall not include any renewal terms) and will materially and adversely affect the rights of any Eligible Executive under the Plan, the Company must obtain the Eligible Executive's written consent to the amendment. Notwithstanding the foregoing, any amendment to the definition of "Change in Control" made to the Equity Plan before a Change in Control or Potential Change in Control has occurred will not be deemed to adversely affect the rights of any Eligible Executives. Further, in no event shall a notification to an Eligible Executive notifying him or her that his or her participation in the Plan will terminate at the end of the General Term or CIC Term (as applicable) then in progress constitute an amendment to the Plan requiring such Eligible Executive's prior written consent.</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An Eligible Executive's right under this Plan to receive severance benefits upon a Qualifying Termination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 upon the Effective Date and shall continue in effect through the first anniversary of the Effective Date (the "Initial General Term"). An Eligible Executive's right under this Plan to receive severance benefits upon a Qualifying CIC Termination shall commence upon the Effective Date and shall continue in effect through the third anniversary of the Effective Date (the "Initial CIC Term"). Unless terminated prior to either the end of the Initial General Term or the Initial CIC Term, both the Initial General Term and the Initial CIC Term shall be automatically renewed for successive one-year periods commencing at the end of the Initial General Term and Initial CIC Term, respectively, and on each anniversary date thereafter. For purposes of this Plan, any reference to the "General Term" shall include the Initial General Term and any extension thereof and any reference to the "CIC Term" shall include the Initial CIC Term and any extension thereof. Notwithstanding the foregoing, the Committee reserves the right to terminate this Plan by providing written notice to each Eligible Executive at least ninety (90) days prior to the end of the General Term or CIC Term that such term will not be extended, and if such notice is timely given, the Plan will terminate with respect to the General Term or CIC Term at the end of the General Term or CIC Term, as applicable,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98" w:name="page99"/>
    <w:bookmarkEnd w:id="98"/>
    <w:p>
      <w:pPr>
        <w:jc w:val="both"/>
        <w:ind w:left="660"/>
        <w:spacing w:after="0" w:line="276" w:lineRule="auto"/>
        <w:rPr>
          <w:sz w:val="20"/>
          <w:szCs w:val="20"/>
          <w:color w:val="auto"/>
        </w:rPr>
      </w:pPr>
      <w:r>
        <w:rPr>
          <w:rFonts w:ascii="Arial" w:cs="Arial" w:eastAsia="Arial" w:hAnsi="Arial"/>
          <w:sz w:val="18"/>
          <w:szCs w:val="18"/>
          <w:color w:val="auto"/>
        </w:rPr>
        <w:t>provided that if the CIC Term expires or is scheduled to expire during the Protection Period, the CIC Term shall be deemed to have been extended through, and the Plan shall continue in full force and effect and shall not terminate or expire until the first day immediately following the expiration of the Protection Period (as defined below). A proper termination of this Plan automatically shall effect a termination of all the Eligible Executive's rights and benefits hereunder without further action or notice; provided, however, no termination shall reduce or terminate any Eligible Executive’s right to receive, or continue to receive, any benefits that became payable in respect of a termination of employment that occurred prior to the date of such termination.</w:t>
      </w:r>
    </w:p>
    <w:p>
      <w:pPr>
        <w:spacing w:after="0" w:line="159"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Claims for Benefits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9"/>
          <w:szCs w:val="19"/>
          <w:color w:val="auto"/>
        </w:rPr>
        <w:t>Any claim for benefits under this Plan shall be subject to the claims procedures contained in Appendix B attached to this Plan.</w:t>
      </w:r>
    </w:p>
    <w:p>
      <w:pPr>
        <w:spacing w:after="0" w:line="221" w:lineRule="exact"/>
        <w:rPr>
          <w:rFonts w:ascii="Arial" w:cs="Arial" w:eastAsia="Arial" w:hAnsi="Arial"/>
          <w:sz w:val="20"/>
          <w:szCs w:val="20"/>
          <w:b w:val="1"/>
          <w:bCs w:val="1"/>
          <w:color w:val="auto"/>
        </w:rPr>
      </w:pPr>
    </w:p>
    <w:p>
      <w:pPr>
        <w:ind w:left="660" w:hanging="652"/>
        <w:spacing w:after="0"/>
        <w:tabs>
          <w:tab w:leader="none" w:pos="66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left="660" w:hanging="4"/>
        <w:spacing w:after="0" w:line="255" w:lineRule="auto"/>
        <w:tabs>
          <w:tab w:leader="none" w:pos="1300" w:val="left"/>
        </w:tabs>
        <w:numPr>
          <w:ilvl w:val="1"/>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and Adherence to Restrictive Covenants</w:t>
      </w:r>
      <w:r>
        <w:rPr>
          <w:rFonts w:ascii="Arial" w:cs="Arial" w:eastAsia="Arial" w:hAnsi="Arial"/>
          <w:sz w:val="19"/>
          <w:szCs w:val="19"/>
          <w:color w:val="auto"/>
        </w:rPr>
        <w:t>. In consideration of and as a condition precedent to receiving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benefits in the event of a Qualifying Termination or Qualifying CIC Termination under this Plan, no severance payment nor severance benefit shall be required to be made or provided under Sections 4 or 5 unless and until the Eligible Executive (i) executes and delivers to the Company a release of all claims in such form as requested by the Company within twenty-two (22) days following the Eligible Executive's Date of Termination (or any such longer period if required by applicable law and communicated to the Eligible Executive), (ii) does not revoke the release during the seven (7) day period following the date that the Eligible Executive executed the release (or any such longer period if required by applicable law and communicated to the Eligible Executive), and (iii) adheres to and remains in compliance with the restrictive covenants set forth in Appendix A or any employment agreement to which the Eligible Executive may be subject, each of which may apply for a period of time after the termination of the Eligible Executive's employment as described therein. To the extent any Equity Award award agreement between the Company and the Eligible Executive contains restrictive covenants, such Equity Award will be subject to the restrictive covenants therein and not any restrictive covenants contained in Appendix A of this Plan.</w:t>
      </w:r>
    </w:p>
    <w:p>
      <w:pPr>
        <w:spacing w:after="0" w:line="184" w:lineRule="exact"/>
        <w:rPr>
          <w:rFonts w:ascii="Arial" w:cs="Arial" w:eastAsia="Arial" w:hAnsi="Arial"/>
          <w:sz w:val="19"/>
          <w:szCs w:val="19"/>
          <w:color w:val="auto"/>
        </w:rPr>
      </w:pPr>
    </w:p>
    <w:p>
      <w:pPr>
        <w:jc w:val="both"/>
        <w:ind w:left="660" w:hanging="4"/>
        <w:spacing w:after="0" w:line="272" w:lineRule="auto"/>
        <w:tabs>
          <w:tab w:leader="none" w:pos="1297" w:val="left"/>
        </w:tabs>
        <w:numPr>
          <w:ilvl w:val="1"/>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The failure of the Company to enforce at any time any of the provisions of this Plan, or to require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of any of the provisions of this Plan, shall in no way be construed to be a waiver of these provisions, nor in any way to affect the validity of this Plan or any part thereof, or the right of the Company thereafter to enforce every provision.</w:t>
      </w:r>
    </w:p>
    <w:p>
      <w:pPr>
        <w:spacing w:after="0" w:line="161" w:lineRule="exact"/>
        <w:rPr>
          <w:rFonts w:ascii="Arial" w:cs="Arial" w:eastAsia="Arial" w:hAnsi="Arial"/>
          <w:sz w:val="19"/>
          <w:szCs w:val="19"/>
          <w:color w:val="auto"/>
        </w:rPr>
      </w:pPr>
    </w:p>
    <w:p>
      <w:pPr>
        <w:jc w:val="both"/>
        <w:ind w:left="660" w:hanging="4"/>
        <w:spacing w:after="0" w:line="258" w:lineRule="auto"/>
        <w:tabs>
          <w:tab w:leader="none" w:pos="1300" w:val="left"/>
        </w:tabs>
        <w:numPr>
          <w:ilvl w:val="1"/>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Benefits Not Transferable</w:t>
      </w:r>
      <w:r>
        <w:rPr>
          <w:rFonts w:ascii="Arial" w:cs="Arial" w:eastAsia="Arial" w:hAnsi="Arial"/>
          <w:sz w:val="19"/>
          <w:szCs w:val="19"/>
          <w:color w:val="auto"/>
        </w:rPr>
        <w:t>. Except as may be required by law, no benefit eligible to be payable under this Plan to any</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Executive shall be subject in any manner to anticipation, alienation, sale, transfer, assignment, pledge, encumbrance or charge, and any attempt to alienate, sell, transfer, assign, pledge, encumber or charge all or any part of the benefit shall be void; provided, however, that if a terminated Eligible Executive dies before the end of the period over which such Eligible Executive is entitled to receive severance benefits under this Plan, the severance benefits payable hereunder shall be paid to the estate of such Eligible Executive or to the person who acquired the rights to such benefits by bequest or inheritance (the "Beneficiary"), provided such Beneficiary satisfies the release requirements in Section 9(a). Except as may be provided by law, no benefit shall in any manner be subject to the debts, contracts,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99" w:name="page100"/>
    <w:bookmarkEnd w:id="99"/>
    <w:p>
      <w:pPr>
        <w:ind w:left="4"/>
        <w:spacing w:after="0" w:line="260" w:lineRule="auto"/>
        <w:rPr>
          <w:sz w:val="20"/>
          <w:szCs w:val="20"/>
          <w:color w:val="auto"/>
        </w:rPr>
      </w:pPr>
      <w:r>
        <w:rPr>
          <w:rFonts w:ascii="Arial" w:cs="Arial" w:eastAsia="Arial" w:hAnsi="Arial"/>
          <w:sz w:val="20"/>
          <w:szCs w:val="20"/>
          <w:color w:val="auto"/>
        </w:rPr>
        <w:t>engagements or torts of any Eligible Executive, nor shall it be subject to attachment or legal process for, or against, the Eligible Executive and the same shall not be recognized under this Plan.</w:t>
      </w:r>
    </w:p>
    <w:p>
      <w:pPr>
        <w:spacing w:after="0" w:line="171" w:lineRule="exact"/>
        <w:rPr>
          <w:sz w:val="20"/>
          <w:szCs w:val="20"/>
          <w:color w:val="auto"/>
        </w:rPr>
      </w:pPr>
    </w:p>
    <w:p>
      <w:pPr>
        <w:jc w:val="both"/>
        <w:ind w:left="4" w:hanging="4"/>
        <w:spacing w:after="0" w:line="258" w:lineRule="auto"/>
        <w:tabs>
          <w:tab w:leader="none" w:pos="641"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of the Company</w:t>
      </w:r>
      <w:r>
        <w:rPr>
          <w:rFonts w:ascii="Arial" w:cs="Arial" w:eastAsia="Arial" w:hAnsi="Arial"/>
          <w:sz w:val="19"/>
          <w:szCs w:val="19"/>
          <w:color w:val="auto"/>
        </w:rPr>
        <w:t>. This Plan shall bind any successor of the Company, its assets or its businesses (whether direct</w:t>
      </w:r>
      <w:r>
        <w:rPr>
          <w:rFonts w:ascii="Arial" w:cs="Arial" w:eastAsia="Arial" w:hAnsi="Arial"/>
          <w:sz w:val="19"/>
          <w:szCs w:val="19"/>
          <w:b w:val="1"/>
          <w:bCs w:val="1"/>
          <w:color w:val="auto"/>
        </w:rPr>
        <w:t xml:space="preserve"> </w:t>
      </w:r>
      <w:r>
        <w:rPr>
          <w:rFonts w:ascii="Arial" w:cs="Arial" w:eastAsia="Arial" w:hAnsi="Arial"/>
          <w:sz w:val="19"/>
          <w:szCs w:val="19"/>
          <w:color w:val="auto"/>
        </w:rPr>
        <w:t>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 The term "Company," as used in this Plan, shall mean the Company as heretofore defined and any successor or assignee to the business or assets which by reason hereof becomes bound by this Plan.</w:t>
      </w:r>
    </w:p>
    <w:p>
      <w:pPr>
        <w:spacing w:after="0" w:line="173" w:lineRule="exact"/>
        <w:rPr>
          <w:rFonts w:ascii="Arial" w:cs="Arial" w:eastAsia="Arial" w:hAnsi="Arial"/>
          <w:sz w:val="19"/>
          <w:szCs w:val="19"/>
          <w:color w:val="auto"/>
        </w:rPr>
      </w:pPr>
    </w:p>
    <w:p>
      <w:pPr>
        <w:jc w:val="both"/>
        <w:ind w:left="4" w:hanging="4"/>
        <w:spacing w:after="0" w:line="262" w:lineRule="auto"/>
        <w:tabs>
          <w:tab w:leader="none" w:pos="644"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Contract of Employment</w:t>
      </w:r>
      <w:r>
        <w:rPr>
          <w:rFonts w:ascii="Arial" w:cs="Arial" w:eastAsia="Arial" w:hAnsi="Arial"/>
          <w:sz w:val="19"/>
          <w:szCs w:val="19"/>
          <w:color w:val="auto"/>
        </w:rPr>
        <w:t>. The definitions and criteria set forth herein are solely for the purpose of defining Plan</w:t>
      </w:r>
      <w:r>
        <w:rPr>
          <w:rFonts w:ascii="Arial" w:cs="Arial" w:eastAsia="Arial" w:hAnsi="Arial"/>
          <w:sz w:val="19"/>
          <w:szCs w:val="19"/>
          <w:b w:val="1"/>
          <w:bCs w:val="1"/>
          <w:color w:val="auto"/>
        </w:rPr>
        <w:t xml:space="preserve"> </w:t>
      </w:r>
      <w:r>
        <w:rPr>
          <w:rFonts w:ascii="Arial" w:cs="Arial" w:eastAsia="Arial" w:hAnsi="Arial"/>
          <w:sz w:val="19"/>
          <w:szCs w:val="19"/>
          <w:color w:val="auto"/>
        </w:rPr>
        <w:t>eligibility. No legal rights to employment are created or implied by this Plan, nor are any conditions or restrictions hereby placed on termination of employment. Unless the employee has a written employment agreement binding on the Company that provides otherwise, employment with the Company is employment-at-will. As such, termination of employment may be initiated by the Eligible Executive or by the Company at any time for any reason that is not unlawful, with or without Cause.</w:t>
      </w:r>
    </w:p>
    <w:p>
      <w:pPr>
        <w:spacing w:after="0" w:line="170" w:lineRule="exact"/>
        <w:rPr>
          <w:rFonts w:ascii="Arial" w:cs="Arial" w:eastAsia="Arial" w:hAnsi="Arial"/>
          <w:sz w:val="19"/>
          <w:szCs w:val="19"/>
          <w:color w:val="auto"/>
        </w:rPr>
      </w:pPr>
    </w:p>
    <w:p>
      <w:pPr>
        <w:jc w:val="both"/>
        <w:ind w:left="4" w:hanging="4"/>
        <w:spacing w:after="0" w:line="248" w:lineRule="auto"/>
        <w:tabs>
          <w:tab w:leader="none" w:pos="649"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To the extent not pre-empted by federal law, this Plan shall be construed, administered and governed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and governed by the laws of the State of Kansas, without regard to any conflict of law principles. Subject to Section 8(h), any action concerning this Plan shall be brought in a court of competent jurisdiction in Johnson County, Kansas, and each party consents to the venue and jurisdiction of such court.</w:t>
      </w:r>
    </w:p>
    <w:p>
      <w:pPr>
        <w:spacing w:after="0" w:line="183" w:lineRule="exact"/>
        <w:rPr>
          <w:rFonts w:ascii="Arial" w:cs="Arial" w:eastAsia="Arial" w:hAnsi="Arial"/>
          <w:sz w:val="20"/>
          <w:szCs w:val="20"/>
          <w:color w:val="auto"/>
        </w:rPr>
      </w:pPr>
    </w:p>
    <w:p>
      <w:pPr>
        <w:jc w:val="both"/>
        <w:ind w:left="4" w:hanging="4"/>
        <w:spacing w:after="0" w:line="265" w:lineRule="auto"/>
        <w:tabs>
          <w:tab w:leader="none" w:pos="641"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Plan</w:t>
      </w:r>
      <w:r>
        <w:rPr>
          <w:rFonts w:ascii="Arial" w:cs="Arial" w:eastAsia="Arial" w:hAnsi="Arial"/>
          <w:sz w:val="19"/>
          <w:szCs w:val="19"/>
          <w:color w:val="auto"/>
        </w:rPr>
        <w:t>. This Plan constitutes the Company's entire Executive Severance Plan for the Eligible Executive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9(h) and Section 10 of this Plan, supersedes any and all previous representations, understandings and plans with respect to general severance for the Eligible Executives, and any such representations, understandings and plans with respect to Eligible Executive severance are hereby canceled and terminated in all respects.</w:t>
      </w:r>
    </w:p>
    <w:p>
      <w:pPr>
        <w:spacing w:after="0" w:line="169" w:lineRule="exact"/>
        <w:rPr>
          <w:rFonts w:ascii="Arial" w:cs="Arial" w:eastAsia="Arial" w:hAnsi="Arial"/>
          <w:sz w:val="19"/>
          <w:szCs w:val="19"/>
          <w:color w:val="auto"/>
        </w:rPr>
      </w:pPr>
    </w:p>
    <w:p>
      <w:pPr>
        <w:jc w:val="both"/>
        <w:ind w:left="4" w:hanging="4"/>
        <w:spacing w:after="0" w:line="274" w:lineRule="auto"/>
        <w:tabs>
          <w:tab w:leader="none" w:pos="641"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 and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Plan and any portion hereof shall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a manner as to be effective and valid under applicable law, rules and regulations. If any covenant or other provision of this Plan (or portion thereof) shall be held to be invalid, illegal, or incapable of being enforced, by reason of any rule of law, rule, regulation, administrative order, judicial decision or public policy, all other conditions and provisions of this Plan shall, nevertheless, remain in full force and effect, and no covenant or provision shall be deemed dependent upon any other covenant or provision (or portion) unless so expressed herein. The parties hereto desire and consent that the court or other body making such determination shall, to the extent necessary to avoid any unenforceability, so reform such covenant or other provision or portion of this Plan to the minimum extent necessary so as to render the same enforceable in accordance with the intent herein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19" w:right="339" w:bottom="1440" w:gutter="0" w:footer="0" w:header="0"/>
        </w:sectPr>
      </w:pPr>
    </w:p>
    <w:bookmarkStart w:id="100" w:name="page101"/>
    <w:bookmarkEnd w:id="100"/>
    <w:p>
      <w:pPr>
        <w:jc w:val="both"/>
        <w:ind w:left="660" w:hanging="4"/>
        <w:spacing w:after="0" w:line="248" w:lineRule="auto"/>
        <w:tabs>
          <w:tab w:leader="none" w:pos="1307" w:val="left"/>
        </w:tabs>
        <w:numPr>
          <w:ilvl w:val="1"/>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No Mitigation Required</w:t>
      </w:r>
      <w:r>
        <w:rPr>
          <w:rFonts w:ascii="Arial" w:cs="Arial" w:eastAsia="Arial" w:hAnsi="Arial"/>
          <w:sz w:val="20"/>
          <w:szCs w:val="20"/>
          <w:color w:val="auto"/>
        </w:rPr>
        <w:t>. The Eligible Executive shall not be required to mitigate the amount provided for in Sections 4 or 5</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Plan by seeking other employment or otherwise, nor shall the amount of any payment or benefit provided for in Section 4 of this Plan be reduced by any compensation earned by the Eligible Executive as the result of employment by another employer after the date of termination, or otherwise.</w:t>
      </w:r>
    </w:p>
    <w:p>
      <w:pPr>
        <w:spacing w:after="0" w:line="183" w:lineRule="exact"/>
        <w:rPr>
          <w:rFonts w:ascii="Arial" w:cs="Arial" w:eastAsia="Arial" w:hAnsi="Arial"/>
          <w:sz w:val="20"/>
          <w:szCs w:val="20"/>
          <w:color w:val="auto"/>
        </w:rPr>
      </w:pPr>
    </w:p>
    <w:p>
      <w:pPr>
        <w:ind w:left="660" w:hanging="4"/>
        <w:spacing w:after="0" w:line="267" w:lineRule="auto"/>
        <w:tabs>
          <w:tab w:leader="none" w:pos="1307" w:val="left"/>
        </w:tabs>
        <w:numPr>
          <w:ilvl w:val="1"/>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Validity</w:t>
      </w:r>
      <w:r>
        <w:rPr>
          <w:rFonts w:ascii="Arial" w:cs="Arial" w:eastAsia="Arial" w:hAnsi="Arial"/>
          <w:sz w:val="20"/>
          <w:szCs w:val="20"/>
          <w:color w:val="auto"/>
        </w:rPr>
        <w:t>. If any provision of this Plan is held invalid, void or unenforceable, the same shall not affect,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whatsoever, the validity of any other provision of this Plan.</w:t>
      </w:r>
    </w:p>
    <w:p>
      <w:pPr>
        <w:spacing w:after="0" w:line="163" w:lineRule="exact"/>
        <w:rPr>
          <w:rFonts w:ascii="Arial" w:cs="Arial" w:eastAsia="Arial" w:hAnsi="Arial"/>
          <w:sz w:val="20"/>
          <w:szCs w:val="20"/>
          <w:color w:val="auto"/>
        </w:rPr>
      </w:pPr>
    </w:p>
    <w:p>
      <w:pPr>
        <w:ind w:left="660" w:hanging="4"/>
        <w:spacing w:after="0" w:line="267" w:lineRule="auto"/>
        <w:tabs>
          <w:tab w:leader="none" w:pos="1297" w:val="left"/>
        </w:tabs>
        <w:numPr>
          <w:ilvl w:val="1"/>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Captions and Titles</w:t>
      </w:r>
      <w:r>
        <w:rPr>
          <w:rFonts w:ascii="Arial" w:cs="Arial" w:eastAsia="Arial" w:hAnsi="Arial"/>
          <w:sz w:val="20"/>
          <w:szCs w:val="20"/>
          <w:color w:val="auto"/>
        </w:rPr>
        <w:t>. Captions and titles have been used in this Plan only for convenience, and in no way define, limit or</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 the meaning of this Plan or any part thereof.</w:t>
      </w:r>
    </w:p>
    <w:p>
      <w:pPr>
        <w:spacing w:after="0" w:line="163" w:lineRule="exact"/>
        <w:rPr>
          <w:rFonts w:ascii="Arial" w:cs="Arial" w:eastAsia="Arial" w:hAnsi="Arial"/>
          <w:sz w:val="20"/>
          <w:szCs w:val="20"/>
          <w:color w:val="auto"/>
        </w:rPr>
      </w:pPr>
    </w:p>
    <w:p>
      <w:pPr>
        <w:jc w:val="both"/>
        <w:ind w:left="660" w:hanging="4"/>
        <w:spacing w:after="0" w:line="269" w:lineRule="auto"/>
        <w:tabs>
          <w:tab w:leader="none" w:pos="1307"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Savings Clause</w:t>
      </w:r>
      <w:r>
        <w:rPr>
          <w:rFonts w:ascii="Arial" w:cs="Arial" w:eastAsia="Arial" w:hAnsi="Arial"/>
          <w:sz w:val="18"/>
          <w:szCs w:val="18"/>
          <w:color w:val="auto"/>
        </w:rPr>
        <w:t>. This Plan is intended to comply with the provisions of Section 409A of the Code,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exceptions for short-term deferrals, separation pay arrangements, reimbursements and in-kind distributions, and shall be administered and interpreted in accordance with such intent. Without limiting the generality of the foregoing, any term or provision that is determined by the Administrator to have an ambiguous definition shall be interpreted, to the extent reasonable, to comply with Section 409A of the Code. Any reference in this Plan to a "termination of employment" or similar term or phrase shall be interpreted as a "separation from service" within the meaning of Section 409A of the Code. Each payment under this Plan shall be treated as a separate payment for purposes of Section 409A of the Code. In no event may an Eligible Executive, directly or indirectly, designate the calendar year of any payment to be made under this Plan. All reimbursements and in-kind benefits, including any taxable health, dental and vision benefits provided under this Plan that constitute deferred compensation within the meaning of Section 409A of the Code shall be made or provided in accordance with the requirements of Section 409A of the Code, including, without limitation, that (i) in no event shall reimbursements by the Company under this Plan be made later than the end of the calendar year next following the calendar year in which the applicable fees and expenses were incurred, provided that the Eligible Executive shall have submitted an invoice for such fees and expenses at least ten (10) days before the end of the calendar year next following the calendar year in which such fees and expenses were incurred; (ii) the amount of in-kind benefits that the Company is obligated to pay or provide in any given calendar year (other than medical reimbursements described in Treas. Reg. Section 1.409A-3(i)(1)(iv)(B)) shall not affect the in-kind benefits that the Company is obligated to pay or provide in any other calendar year; (iii) the Eligible Executive's right to have the Company pay or provide such reimbursements and in-kind benefits may not be liquidated or exchanged for any other benefit; and (iv) in no event shall the Company's obligations to make such reimbursements or to provide such in-kind benefits apply later than the end of the third year following the year in which the Eligible Executive's Termination Date occurred.</w:t>
      </w:r>
    </w:p>
    <w:p>
      <w:pPr>
        <w:spacing w:after="0" w:line="168" w:lineRule="exact"/>
        <w:rPr>
          <w:rFonts w:ascii="Arial" w:cs="Arial" w:eastAsia="Arial" w:hAnsi="Arial"/>
          <w:sz w:val="18"/>
          <w:szCs w:val="18"/>
          <w:color w:val="auto"/>
        </w:rPr>
      </w:pPr>
    </w:p>
    <w:p>
      <w:pPr>
        <w:ind w:left="640" w:hanging="632"/>
        <w:spacing w:after="0"/>
        <w:tabs>
          <w:tab w:leader="none" w:pos="64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Duplication of Benefits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any benefits received by an Eligible Executive pursuant to this Plan shall be in lieu of any general severance policy or other change in control severance plan maintained by the Company except to the extent any such substitution in severance benefits or payment timing would result in a violation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9"/>
          <w:szCs w:val="19"/>
          <w:b w:val="1"/>
          <w:bCs w:val="1"/>
          <w:color w:val="auto"/>
        </w:rPr>
        <w:t>APPENDIX A TO SENIOR EXECUTIVE SEVERANCE PLAN</w:t>
      </w:r>
    </w:p>
    <w:p>
      <w:pPr>
        <w:sectPr>
          <w:pgSz w:w="11900" w:h="16838" w:orient="portrait"/>
          <w:cols w:equalWidth="0" w:num="1">
            <w:col w:w="9019"/>
          </w:cols>
          <w:pgMar w:left="1440" w:top="1413"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[Reserved]</w:t>
      </w:r>
    </w:p>
    <w:p>
      <w:pPr>
        <w:sectPr>
          <w:pgSz w:w="11900" w:h="16838" w:orient="portrait"/>
          <w:cols w:equalWidth="0" w:num="1">
            <w:col w:w="9019"/>
          </w:cols>
          <w:pgMar w:left="1440" w:top="1413" w:right="1440" w:bottom="1440" w:gutter="0" w:footer="0" w:header="0"/>
          <w:type w:val="continuous"/>
        </w:sectPr>
      </w:pPr>
    </w:p>
    <w:bookmarkStart w:id="102" w:name="page103"/>
    <w:bookmarkEnd w:id="102"/>
    <w:p>
      <w:pPr>
        <w:spacing w:after="0" w:line="200" w:lineRule="exact"/>
        <w:rPr>
          <w:sz w:val="20"/>
          <w:szCs w:val="20"/>
          <w:color w:val="auto"/>
        </w:rPr>
      </w:pPr>
    </w:p>
    <w:p>
      <w:pPr>
        <w:spacing w:after="0" w:line="259"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APPENDIX B TO SENIOR EXECUTIVE SEVERANCE PLAN</w:t>
      </w:r>
    </w:p>
    <w:p>
      <w:pPr>
        <w:spacing w:after="0" w:line="243"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Claims Procedures</w:t>
      </w:r>
    </w:p>
    <w:p>
      <w:pPr>
        <w:spacing w:after="0" w:line="243" w:lineRule="exact"/>
        <w:rPr>
          <w:sz w:val="20"/>
          <w:szCs w:val="20"/>
          <w:color w:val="auto"/>
        </w:rPr>
      </w:pPr>
    </w:p>
    <w:p>
      <w:pPr>
        <w:jc w:val="both"/>
        <w:ind w:left="328" w:hanging="328"/>
        <w:spacing w:after="0" w:line="253" w:lineRule="auto"/>
        <w:tabs>
          <w:tab w:leader="none" w:pos="320"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Initial Claims</w:t>
      </w:r>
      <w:r>
        <w:rPr>
          <w:rFonts w:ascii="Arial" w:cs="Arial" w:eastAsia="Arial" w:hAnsi="Arial"/>
          <w:sz w:val="20"/>
          <w:szCs w:val="20"/>
          <w:color w:val="auto"/>
        </w:rPr>
        <w:t>. In order to file a claim to receive benefits under the Plan, the Eligible Executive or his or her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 must submit a written claim for benefits under the Plan within sixty (60) days after the Eligible Executive's termination of employment. Claims should be addressed and sent to:</w:t>
      </w:r>
    </w:p>
    <w:p>
      <w:pPr>
        <w:spacing w:after="0" w:line="183" w:lineRule="exact"/>
        <w:rPr>
          <w:sz w:val="20"/>
          <w:szCs w:val="20"/>
          <w:color w:val="auto"/>
        </w:rPr>
      </w:pPr>
    </w:p>
    <w:p>
      <w:pPr>
        <w:ind w:left="2908"/>
        <w:spacing w:after="0"/>
        <w:rPr>
          <w:sz w:val="20"/>
          <w:szCs w:val="20"/>
          <w:color w:val="auto"/>
        </w:rPr>
      </w:pPr>
      <w:r>
        <w:rPr>
          <w:rFonts w:ascii="Arial" w:cs="Arial" w:eastAsia="Arial" w:hAnsi="Arial"/>
          <w:sz w:val="20"/>
          <w:szCs w:val="20"/>
          <w:color w:val="auto"/>
        </w:rPr>
        <w:t>Corporate Secretary</w:t>
      </w:r>
    </w:p>
    <w:p>
      <w:pPr>
        <w:spacing w:after="0" w:line="15" w:lineRule="exact"/>
        <w:rPr>
          <w:sz w:val="20"/>
          <w:szCs w:val="20"/>
          <w:color w:val="auto"/>
        </w:rPr>
      </w:pPr>
    </w:p>
    <w:p>
      <w:pPr>
        <w:ind w:left="2908"/>
        <w:spacing w:after="0"/>
        <w:rPr>
          <w:sz w:val="20"/>
          <w:szCs w:val="20"/>
          <w:color w:val="auto"/>
        </w:rPr>
      </w:pPr>
      <w:r>
        <w:rPr>
          <w:rFonts w:ascii="Arial" w:cs="Arial" w:eastAsia="Arial" w:hAnsi="Arial"/>
          <w:sz w:val="20"/>
          <w:szCs w:val="20"/>
          <w:color w:val="auto"/>
        </w:rPr>
        <w:t>(the "Claims Administrator")</w:t>
      </w:r>
    </w:p>
    <w:p>
      <w:pPr>
        <w:ind w:left="2908"/>
        <w:spacing w:after="0"/>
        <w:rPr>
          <w:sz w:val="20"/>
          <w:szCs w:val="20"/>
          <w:color w:val="auto"/>
        </w:rPr>
      </w:pPr>
      <w:r>
        <w:rPr>
          <w:rFonts w:ascii="Arial" w:cs="Arial" w:eastAsia="Arial" w:hAnsi="Arial"/>
          <w:sz w:val="20"/>
          <w:szCs w:val="20"/>
          <w:color w:val="auto"/>
        </w:rPr>
        <w:t>CrossFirst Bankshares, Inc.</w:t>
      </w:r>
    </w:p>
    <w:p>
      <w:pPr>
        <w:ind w:left="2908"/>
        <w:spacing w:after="0"/>
        <w:rPr>
          <w:sz w:val="20"/>
          <w:szCs w:val="20"/>
          <w:color w:val="auto"/>
        </w:rPr>
      </w:pPr>
      <w:r>
        <w:rPr>
          <w:rFonts w:ascii="Arial" w:cs="Arial" w:eastAsia="Arial" w:hAnsi="Arial"/>
          <w:sz w:val="20"/>
          <w:szCs w:val="20"/>
          <w:color w:val="auto"/>
        </w:rPr>
        <w:t>11440 Tomahawk Creek Parkway</w:t>
      </w:r>
    </w:p>
    <w:p>
      <w:pPr>
        <w:ind w:left="2908"/>
        <w:spacing w:after="0"/>
        <w:rPr>
          <w:sz w:val="20"/>
          <w:szCs w:val="20"/>
          <w:color w:val="auto"/>
        </w:rPr>
      </w:pPr>
      <w:r>
        <w:rPr>
          <w:rFonts w:ascii="Arial" w:cs="Arial" w:eastAsia="Arial" w:hAnsi="Arial"/>
          <w:sz w:val="20"/>
          <w:szCs w:val="20"/>
          <w:color w:val="auto"/>
        </w:rPr>
        <w:t>Leawood, Kansas 66211</w:t>
      </w:r>
    </w:p>
    <w:p>
      <w:pPr>
        <w:spacing w:after="0" w:line="227" w:lineRule="exact"/>
        <w:rPr>
          <w:sz w:val="20"/>
          <w:szCs w:val="20"/>
          <w:color w:val="auto"/>
        </w:rPr>
      </w:pPr>
    </w:p>
    <w:p>
      <w:pPr>
        <w:jc w:val="both"/>
        <w:ind w:left="328" w:firstLine="567"/>
        <w:spacing w:after="0" w:line="272" w:lineRule="auto"/>
        <w:rPr>
          <w:sz w:val="20"/>
          <w:szCs w:val="20"/>
          <w:color w:val="auto"/>
        </w:rPr>
      </w:pPr>
      <w:r>
        <w:rPr>
          <w:rFonts w:ascii="Arial" w:cs="Arial" w:eastAsia="Arial" w:hAnsi="Arial"/>
          <w:sz w:val="18"/>
          <w:szCs w:val="18"/>
          <w:color w:val="auto"/>
        </w:rPr>
        <w:t>If the Eligible Executive's claim is denied, in whole or in part, the Eligible Executive will be furnished with written notice of the denial within ninety (90) days after the Claims Administrator's receipt of the Eligible Executive's written claim, unless special circumstances require an extension of time for processing the claim, in which case a period not to exceed one hundred and eighty</w:t>
      </w:r>
    </w:p>
    <w:p>
      <w:pPr>
        <w:spacing w:after="0" w:line="1" w:lineRule="exact"/>
        <w:rPr>
          <w:sz w:val="20"/>
          <w:szCs w:val="20"/>
          <w:color w:val="auto"/>
        </w:rPr>
      </w:pPr>
    </w:p>
    <w:p>
      <w:pPr>
        <w:jc w:val="both"/>
        <w:ind w:left="328" w:hanging="4"/>
        <w:spacing w:after="0" w:line="241" w:lineRule="auto"/>
        <w:tabs>
          <w:tab w:leader="none" w:pos="835" w:val="left"/>
        </w:tabs>
        <w:numPr>
          <w:ilvl w:val="0"/>
          <w:numId w:val="83"/>
        </w:numPr>
        <w:rPr>
          <w:rFonts w:ascii="Arial" w:cs="Arial" w:eastAsia="Arial" w:hAnsi="Arial"/>
          <w:sz w:val="20"/>
          <w:szCs w:val="20"/>
          <w:color w:val="auto"/>
        </w:rPr>
      </w:pPr>
      <w:r>
        <w:rPr>
          <w:rFonts w:ascii="Arial" w:cs="Arial" w:eastAsia="Arial" w:hAnsi="Arial"/>
          <w:sz w:val="20"/>
          <w:szCs w:val="20"/>
          <w:color w:val="auto"/>
        </w:rPr>
        <w:t>days will apply. If such an extension of time is required, written notice of the extension will be furnished to the Eligible Executive before the termination of the initial 90-day period and will describe the special circumstances requiring the extension, and the date on which a decision is expected to be rendered. Written notice of the denial of the Eligible Executive's claim will contain the following information:</w:t>
      </w:r>
    </w:p>
    <w:p>
      <w:pPr>
        <w:spacing w:after="0" w:line="194" w:lineRule="exact"/>
        <w:rPr>
          <w:rFonts w:ascii="Arial" w:cs="Arial" w:eastAsia="Arial" w:hAnsi="Arial"/>
          <w:sz w:val="20"/>
          <w:szCs w:val="20"/>
          <w:color w:val="auto"/>
        </w:rPr>
      </w:pPr>
    </w:p>
    <w:p>
      <w:pPr>
        <w:ind w:left="1448" w:hanging="476"/>
        <w:spacing w:after="0"/>
        <w:tabs>
          <w:tab w:leader="none" w:pos="1448"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specific reason or reasons for the denial of the Eligible Executive's claim;</w:t>
      </w:r>
    </w:p>
    <w:p>
      <w:pPr>
        <w:spacing w:after="0" w:line="215" w:lineRule="exact"/>
        <w:rPr>
          <w:rFonts w:ascii="Arial" w:cs="Arial" w:eastAsia="Arial" w:hAnsi="Arial"/>
          <w:sz w:val="20"/>
          <w:szCs w:val="20"/>
          <w:color w:val="auto"/>
        </w:rPr>
      </w:pPr>
    </w:p>
    <w:p>
      <w:pPr>
        <w:ind w:left="1448" w:hanging="476"/>
        <w:spacing w:after="0"/>
        <w:tabs>
          <w:tab w:leader="none" w:pos="1448" w:val="left"/>
        </w:tabs>
        <w:numPr>
          <w:ilvl w:val="1"/>
          <w:numId w:val="83"/>
        </w:numPr>
        <w:rPr>
          <w:rFonts w:ascii="Arial" w:cs="Arial" w:eastAsia="Arial" w:hAnsi="Arial"/>
          <w:sz w:val="20"/>
          <w:szCs w:val="20"/>
          <w:color w:val="auto"/>
        </w:rPr>
      </w:pPr>
      <w:r>
        <w:rPr>
          <w:rFonts w:ascii="Arial" w:cs="Arial" w:eastAsia="Arial" w:hAnsi="Arial"/>
          <w:sz w:val="20"/>
          <w:szCs w:val="20"/>
          <w:color w:val="auto"/>
        </w:rPr>
        <w:t>references to the specific Plan provisions on which the denial of the Eligible Executive's claim was based;</w:t>
      </w:r>
    </w:p>
    <w:p>
      <w:pPr>
        <w:spacing w:after="0" w:line="215" w:lineRule="exact"/>
        <w:rPr>
          <w:rFonts w:ascii="Arial" w:cs="Arial" w:eastAsia="Arial" w:hAnsi="Arial"/>
          <w:sz w:val="20"/>
          <w:szCs w:val="20"/>
          <w:color w:val="auto"/>
        </w:rPr>
      </w:pPr>
    </w:p>
    <w:p>
      <w:pPr>
        <w:ind w:left="1468" w:hanging="496"/>
        <w:spacing w:after="0" w:line="316" w:lineRule="auto"/>
        <w:tabs>
          <w:tab w:leader="none" w:pos="14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description of any additional information or material required by the Claims Administrator to reconsider the Eligible Executive's claim (to the extent applicable) and an explanation of why such material or information is necessary; and</w:t>
      </w:r>
    </w:p>
    <w:p>
      <w:pPr>
        <w:spacing w:after="0" w:line="129" w:lineRule="exact"/>
        <w:rPr>
          <w:rFonts w:ascii="Arial" w:cs="Arial" w:eastAsia="Arial" w:hAnsi="Arial"/>
          <w:sz w:val="18"/>
          <w:szCs w:val="18"/>
          <w:color w:val="auto"/>
        </w:rPr>
      </w:pPr>
    </w:p>
    <w:p>
      <w:pPr>
        <w:jc w:val="both"/>
        <w:ind w:left="1468" w:hanging="496"/>
        <w:spacing w:after="0" w:line="250" w:lineRule="auto"/>
        <w:tabs>
          <w:tab w:leader="none" w:pos="1442" w:val="left"/>
        </w:tabs>
        <w:numPr>
          <w:ilvl w:val="1"/>
          <w:numId w:val="83"/>
        </w:numPr>
        <w:rPr>
          <w:rFonts w:ascii="Arial" w:cs="Arial" w:eastAsia="Arial" w:hAnsi="Arial"/>
          <w:sz w:val="20"/>
          <w:szCs w:val="20"/>
          <w:color w:val="auto"/>
        </w:rPr>
      </w:pPr>
      <w:r>
        <w:rPr>
          <w:rFonts w:ascii="Arial" w:cs="Arial" w:eastAsia="Arial" w:hAnsi="Arial"/>
          <w:sz w:val="20"/>
          <w:szCs w:val="20"/>
          <w:color w:val="auto"/>
        </w:rPr>
        <w:t>a description of the Plan's review procedure and time limits applicable to such procedures, including a statement of the Eligible Executive's right to bring a civil action under Section 502(a) of ERISA following a benefit claim denial on review.</w:t>
      </w:r>
    </w:p>
    <w:p>
      <w:pPr>
        <w:spacing w:after="0" w:line="180" w:lineRule="exact"/>
        <w:rPr>
          <w:sz w:val="20"/>
          <w:szCs w:val="20"/>
          <w:color w:val="auto"/>
        </w:rPr>
      </w:pPr>
    </w:p>
    <w:p>
      <w:pPr>
        <w:ind w:left="328" w:right="20" w:hanging="4"/>
        <w:spacing w:after="0" w:line="323" w:lineRule="auto"/>
        <w:tabs>
          <w:tab w:leader="none" w:pos="965"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Appeal of Denied Claims</w:t>
      </w:r>
      <w:r>
        <w:rPr>
          <w:rFonts w:ascii="Arial" w:cs="Arial" w:eastAsia="Arial" w:hAnsi="Arial"/>
          <w:sz w:val="18"/>
          <w:szCs w:val="18"/>
          <w:color w:val="auto"/>
        </w:rPr>
        <w:t>. If the Eligible Executive's claim is denied and he or she wishes to submit a request for a review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denied claim, the Eligible Executive or his or her authorized representative must follow the procedures described below:</w:t>
      </w:r>
    </w:p>
    <w:p>
      <w:pPr>
        <w:spacing w:after="0" w:line="123" w:lineRule="exact"/>
        <w:rPr>
          <w:rFonts w:ascii="Arial" w:cs="Arial" w:eastAsia="Arial" w:hAnsi="Arial"/>
          <w:sz w:val="18"/>
          <w:szCs w:val="18"/>
          <w:color w:val="auto"/>
        </w:rPr>
      </w:pPr>
    </w:p>
    <w:p>
      <w:pPr>
        <w:jc w:val="both"/>
        <w:ind w:left="1468" w:hanging="577"/>
        <w:spacing w:after="0" w:line="250" w:lineRule="auto"/>
        <w:tabs>
          <w:tab w:leader="none" w:pos="1514" w:val="left"/>
        </w:tabs>
        <w:numPr>
          <w:ilvl w:val="1"/>
          <w:numId w:val="84"/>
        </w:numPr>
        <w:rPr>
          <w:rFonts w:ascii="Arial" w:cs="Arial" w:eastAsia="Arial" w:hAnsi="Arial"/>
          <w:sz w:val="20"/>
          <w:szCs w:val="20"/>
          <w:color w:val="auto"/>
        </w:rPr>
      </w:pPr>
      <w:r>
        <w:rPr>
          <w:rFonts w:ascii="Arial" w:cs="Arial" w:eastAsia="Arial" w:hAnsi="Arial"/>
          <w:sz w:val="20"/>
          <w:szCs w:val="20"/>
          <w:color w:val="auto"/>
        </w:rPr>
        <w:t>Upon receipt of the denied claim, the Eligible Executive (or his or her authorized representative) may file a request for review of the claim in writing with the Claims Administrator. This request for review must be filed no later than sixty (60) days after the Eligible Executive has received written notification of the denial.</w:t>
      </w:r>
    </w:p>
    <w:p>
      <w:pPr>
        <w:sectPr>
          <w:pgSz w:w="11900" w:h="16838" w:orient="portrait"/>
          <w:cols w:equalWidth="0" w:num="1">
            <w:col w:w="10908"/>
          </w:cols>
          <w:pgMar w:left="652" w:top="1440" w:right="339" w:bottom="1440" w:gutter="0" w:footer="0" w:header="0"/>
        </w:sectPr>
      </w:pPr>
    </w:p>
    <w:bookmarkStart w:id="103" w:name="page104"/>
    <w:bookmarkEnd w:id="103"/>
    <w:p>
      <w:pPr>
        <w:ind w:left="1144" w:hanging="496"/>
        <w:spacing w:after="0" w:line="260" w:lineRule="auto"/>
        <w:tabs>
          <w:tab w:leader="none" w:pos="1141"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Eligible Executive has the right to submit in writing to the Claims Administrator any comments, documents, records or other information relating to his claim for benefits.</w:t>
      </w:r>
    </w:p>
    <w:p>
      <w:pPr>
        <w:spacing w:after="0" w:line="176" w:lineRule="exact"/>
        <w:rPr>
          <w:rFonts w:ascii="Arial" w:cs="Arial" w:eastAsia="Arial" w:hAnsi="Arial"/>
          <w:sz w:val="20"/>
          <w:szCs w:val="20"/>
          <w:color w:val="auto"/>
        </w:rPr>
      </w:pPr>
    </w:p>
    <w:p>
      <w:pPr>
        <w:ind w:left="1144" w:hanging="496"/>
        <w:spacing w:after="0" w:line="287" w:lineRule="auto"/>
        <w:tabs>
          <w:tab w:leader="none" w:pos="1142"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Eligible Executive has the right to be provided with, upon request and free of charge, reasonable access to and copies of all pertinent documents, records and other information that is relevant to his claim for benefits.</w:t>
      </w:r>
    </w:p>
    <w:p>
      <w:pPr>
        <w:spacing w:after="0" w:line="152" w:lineRule="exact"/>
        <w:rPr>
          <w:rFonts w:ascii="Arial" w:cs="Arial" w:eastAsia="Arial" w:hAnsi="Arial"/>
          <w:sz w:val="19"/>
          <w:szCs w:val="19"/>
          <w:color w:val="auto"/>
        </w:rPr>
      </w:pPr>
    </w:p>
    <w:p>
      <w:pPr>
        <w:jc w:val="both"/>
        <w:ind w:left="1144" w:hanging="496"/>
        <w:spacing w:after="0" w:line="250" w:lineRule="auto"/>
        <w:tabs>
          <w:tab w:leader="none" w:pos="1118"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review of the denied claim will take into account all comments, documents, records and other information that the Eligible Executive submitted relating to his claim, without regard to whether such information was submitted or considered in the initial denial of his claim.</w:t>
      </w:r>
    </w:p>
    <w:p>
      <w:pPr>
        <w:spacing w:after="0" w:line="179" w:lineRule="exact"/>
        <w:rPr>
          <w:rFonts w:ascii="Arial" w:cs="Arial" w:eastAsia="Arial" w:hAnsi="Arial"/>
          <w:sz w:val="20"/>
          <w:szCs w:val="20"/>
          <w:color w:val="auto"/>
        </w:rPr>
      </w:pPr>
    </w:p>
    <w:p>
      <w:pPr>
        <w:jc w:val="both"/>
        <w:ind w:left="4" w:hanging="4"/>
        <w:spacing w:after="0" w:line="244" w:lineRule="auto"/>
        <w:tabs>
          <w:tab w:leader="none" w:pos="644"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Claims Administrator's Response to Appeal</w:t>
      </w:r>
      <w:r>
        <w:rPr>
          <w:rFonts w:ascii="Arial" w:cs="Arial" w:eastAsia="Arial" w:hAnsi="Arial"/>
          <w:sz w:val="20"/>
          <w:szCs w:val="20"/>
          <w:color w:val="auto"/>
        </w:rPr>
        <w:t>. The Claims Administrator will provide the Eligible Executive with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notice of its decision within sixty (60) days after the Claims Administrator's receipt of the Eligible Executive's written claim for review. There may be special circumstances which require an extension of this sixty (60) day period. In any such case, the Claims Administrator will notify the Eligible Executive in writing within the sixty (60) day period, and the final decision will be made no later than one hundred and twenty (120) days after the Claims Administrator's receipt of the Eligible Executive's written claim for review. The Claims Administrator's decision on the Eligible Executive's claim for review will be communicated to the Eligible Executive in writing and, if denied, will clearly state:</w:t>
      </w:r>
    </w:p>
    <w:p>
      <w:pPr>
        <w:spacing w:after="0" w:line="191" w:lineRule="exact"/>
        <w:rPr>
          <w:rFonts w:ascii="Arial" w:cs="Arial" w:eastAsia="Arial" w:hAnsi="Arial"/>
          <w:sz w:val="20"/>
          <w:szCs w:val="20"/>
          <w:color w:val="auto"/>
        </w:rPr>
      </w:pPr>
    </w:p>
    <w:p>
      <w:pPr>
        <w:ind w:left="1124" w:hanging="476"/>
        <w:spacing w:after="0"/>
        <w:tabs>
          <w:tab w:leader="none" w:pos="1124"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specific reason or reasons for the denial of the Eligible Executive's claim;</w:t>
      </w:r>
    </w:p>
    <w:p>
      <w:pPr>
        <w:spacing w:after="0" w:line="215" w:lineRule="exact"/>
        <w:rPr>
          <w:rFonts w:ascii="Arial" w:cs="Arial" w:eastAsia="Arial" w:hAnsi="Arial"/>
          <w:sz w:val="20"/>
          <w:szCs w:val="20"/>
          <w:color w:val="auto"/>
        </w:rPr>
      </w:pPr>
    </w:p>
    <w:p>
      <w:pPr>
        <w:ind w:left="1124" w:hanging="476"/>
        <w:spacing w:after="0"/>
        <w:tabs>
          <w:tab w:leader="none" w:pos="1124" w:val="left"/>
        </w:tabs>
        <w:numPr>
          <w:ilvl w:val="1"/>
          <w:numId w:val="86"/>
        </w:numPr>
        <w:rPr>
          <w:rFonts w:ascii="Arial" w:cs="Arial" w:eastAsia="Arial" w:hAnsi="Arial"/>
          <w:sz w:val="20"/>
          <w:szCs w:val="20"/>
          <w:color w:val="auto"/>
        </w:rPr>
      </w:pPr>
      <w:r>
        <w:rPr>
          <w:rFonts w:ascii="Arial" w:cs="Arial" w:eastAsia="Arial" w:hAnsi="Arial"/>
          <w:sz w:val="20"/>
          <w:szCs w:val="20"/>
          <w:color w:val="auto"/>
        </w:rPr>
        <w:t>reference to the specific Plan provisions on which the denial of the Eligible Executive's claim is based;</w:t>
      </w:r>
    </w:p>
    <w:p>
      <w:pPr>
        <w:spacing w:after="0" w:line="215" w:lineRule="exact"/>
        <w:rPr>
          <w:rFonts w:ascii="Arial" w:cs="Arial" w:eastAsia="Arial" w:hAnsi="Arial"/>
          <w:sz w:val="20"/>
          <w:szCs w:val="20"/>
          <w:color w:val="auto"/>
        </w:rPr>
      </w:pPr>
    </w:p>
    <w:p>
      <w:pPr>
        <w:ind w:left="1144" w:hanging="496"/>
        <w:spacing w:after="0" w:line="316" w:lineRule="auto"/>
        <w:tabs>
          <w:tab w:leader="none" w:pos="114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statement that the Eligible Executive is entitled to receive, upon request and free of charge, reasonable access to, and copies of, the Plan and all documents, records and other information relevant to his claim for benefits; and</w:t>
      </w:r>
    </w:p>
    <w:p>
      <w:pPr>
        <w:spacing w:after="0" w:line="129" w:lineRule="exact"/>
        <w:rPr>
          <w:rFonts w:ascii="Arial" w:cs="Arial" w:eastAsia="Arial" w:hAnsi="Arial"/>
          <w:sz w:val="18"/>
          <w:szCs w:val="18"/>
          <w:color w:val="auto"/>
        </w:rPr>
      </w:pPr>
    </w:p>
    <w:p>
      <w:pPr>
        <w:ind w:left="1104" w:hanging="456"/>
        <w:spacing w:after="0"/>
        <w:tabs>
          <w:tab w:leader="none" w:pos="1104" w:val="left"/>
        </w:tabs>
        <w:numPr>
          <w:ilvl w:val="1"/>
          <w:numId w:val="86"/>
        </w:numPr>
        <w:rPr>
          <w:rFonts w:ascii="Arial" w:cs="Arial" w:eastAsia="Arial" w:hAnsi="Arial"/>
          <w:sz w:val="20"/>
          <w:szCs w:val="20"/>
          <w:color w:val="auto"/>
        </w:rPr>
      </w:pPr>
      <w:r>
        <w:rPr>
          <w:rFonts w:ascii="Arial" w:cs="Arial" w:eastAsia="Arial" w:hAnsi="Arial"/>
          <w:sz w:val="20"/>
          <w:szCs w:val="20"/>
          <w:color w:val="auto"/>
        </w:rPr>
        <w:t>a statement describing the Eligible Executive's right to bring an action under Section 502(a) of ERISA.</w:t>
      </w:r>
    </w:p>
    <w:p>
      <w:pPr>
        <w:spacing w:after="0" w:line="209" w:lineRule="exact"/>
        <w:rPr>
          <w:rFonts w:ascii="Arial" w:cs="Arial" w:eastAsia="Arial" w:hAnsi="Arial"/>
          <w:sz w:val="20"/>
          <w:szCs w:val="20"/>
          <w:color w:val="auto"/>
        </w:rPr>
      </w:pPr>
    </w:p>
    <w:p>
      <w:pPr>
        <w:ind w:left="4" w:hanging="4"/>
        <w:spacing w:after="0" w:line="267" w:lineRule="auto"/>
        <w:tabs>
          <w:tab w:leader="none" w:pos="641"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Deadline to File Claim</w:t>
      </w:r>
      <w:r>
        <w:rPr>
          <w:rFonts w:ascii="Arial" w:cs="Arial" w:eastAsia="Arial" w:hAnsi="Arial"/>
          <w:sz w:val="20"/>
          <w:szCs w:val="20"/>
          <w:color w:val="auto"/>
        </w:rPr>
        <w:t>. To be considered timely under these claims procedures, a claim must be filed under Sections 8(a)</w:t>
      </w:r>
      <w:r>
        <w:rPr>
          <w:rFonts w:ascii="Arial" w:cs="Arial" w:eastAsia="Arial" w:hAnsi="Arial"/>
          <w:sz w:val="20"/>
          <w:szCs w:val="20"/>
          <w:b w:val="1"/>
          <w:bCs w:val="1"/>
          <w:color w:val="auto"/>
        </w:rPr>
        <w:t xml:space="preserve"> </w:t>
      </w:r>
      <w:r>
        <w:rPr>
          <w:rFonts w:ascii="Arial" w:cs="Arial" w:eastAsia="Arial" w:hAnsi="Arial"/>
          <w:sz w:val="20"/>
          <w:szCs w:val="20"/>
          <w:color w:val="auto"/>
        </w:rPr>
        <w:t>within sixty (60) days following the Eligible Executive's termination of employment.</w:t>
      </w:r>
    </w:p>
    <w:p>
      <w:pPr>
        <w:spacing w:after="0" w:line="163" w:lineRule="exact"/>
        <w:rPr>
          <w:rFonts w:ascii="Arial" w:cs="Arial" w:eastAsia="Arial" w:hAnsi="Arial"/>
          <w:sz w:val="20"/>
          <w:szCs w:val="20"/>
          <w:color w:val="auto"/>
        </w:rPr>
      </w:pPr>
    </w:p>
    <w:p>
      <w:pPr>
        <w:jc w:val="both"/>
        <w:ind w:left="4" w:hanging="4"/>
        <w:spacing w:after="0" w:line="244" w:lineRule="auto"/>
        <w:tabs>
          <w:tab w:leader="none" w:pos="644"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Exhaustion of Administrative Remedies</w:t>
      </w:r>
      <w:r>
        <w:rPr>
          <w:rFonts w:ascii="Arial" w:cs="Arial" w:eastAsia="Arial" w:hAnsi="Arial"/>
          <w:sz w:val="20"/>
          <w:szCs w:val="20"/>
          <w:color w:val="auto"/>
        </w:rPr>
        <w:t>. The exhaustion of these claims procedures is mandatory for resolving every</w:t>
      </w:r>
      <w:r>
        <w:rPr>
          <w:rFonts w:ascii="Arial" w:cs="Arial" w:eastAsia="Arial" w:hAnsi="Arial"/>
          <w:sz w:val="20"/>
          <w:szCs w:val="20"/>
          <w:b w:val="1"/>
          <w:bCs w:val="1"/>
          <w:color w:val="auto"/>
        </w:rPr>
        <w:t xml:space="preserve"> </w:t>
      </w:r>
      <w:r>
        <w:rPr>
          <w:rFonts w:ascii="Arial" w:cs="Arial" w:eastAsia="Arial" w:hAnsi="Arial"/>
          <w:sz w:val="20"/>
          <w:szCs w:val="20"/>
          <w:color w:val="auto"/>
        </w:rPr>
        <w:t>claim and dispute arising under this Plan. As to such claims and disputes: (i)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 (ii) in any such legal action, all explicit and all implicit determinations by the Claims Administrator (including, but not limited to, determinations as to whether the claim, or a request for a review of a denied claim, was timely filed) shall be afforded the maximum deference permitted by law.</w:t>
      </w:r>
    </w:p>
    <w:p>
      <w:pPr>
        <w:sectPr>
          <w:pgSz w:w="11900" w:h="16838" w:orient="portrait"/>
          <w:cols w:equalWidth="0" w:num="1">
            <w:col w:w="10584"/>
          </w:cols>
          <w:pgMar w:left="976" w:top="1419" w:right="339" w:bottom="1440" w:gutter="0" w:footer="0" w:header="0"/>
        </w:sectPr>
      </w:pPr>
    </w:p>
    <w:bookmarkStart w:id="104" w:name="page105"/>
    <w:bookmarkEnd w:id="104"/>
    <w:p>
      <w:pPr>
        <w:jc w:val="both"/>
        <w:ind w:left="4" w:hanging="4"/>
        <w:spacing w:after="0" w:line="243" w:lineRule="auto"/>
        <w:tabs>
          <w:tab w:leader="none" w:pos="649"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Deadline to File Action</w:t>
      </w:r>
      <w:r>
        <w:rPr>
          <w:rFonts w:ascii="Arial" w:cs="Arial" w:eastAsia="Arial" w:hAnsi="Arial"/>
          <w:sz w:val="20"/>
          <w:szCs w:val="20"/>
          <w:color w:val="auto"/>
        </w:rPr>
        <w:t>. No legal action to recover benefits under this Plan or to enforce or clarify rights under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502 or Section 510 of ERISA or under any other provision of law, whether or not statutory, may be brought by any claimant on any matter pertaining to this Plan unless the legal action is commenced in the proper forum before the earlier of: (i) eighteen (18) months after the claimant knew or reasonably should have known of the principal facts on which the claim is based; or (ii) six (6) months after the claimant has exhausted the claims procedure under this Plan. Knowledge of all facts that the claimant knew or reasonably should have known shall be imputed to every claimant who is or claims to be a Beneficiary of an Eligible Executive or otherwise claims to derive an entitlement by reference to the Eligible Executive for the purpose of applying the previously-specified periods.</w:t>
      </w:r>
    </w:p>
    <w:p>
      <w:pPr>
        <w:spacing w:after="0" w:line="189" w:lineRule="exact"/>
        <w:rPr>
          <w:rFonts w:ascii="Arial" w:cs="Arial" w:eastAsia="Arial" w:hAnsi="Arial"/>
          <w:sz w:val="20"/>
          <w:szCs w:val="20"/>
          <w:color w:val="auto"/>
        </w:rPr>
      </w:pPr>
    </w:p>
    <w:p>
      <w:pPr>
        <w:jc w:val="both"/>
        <w:ind w:left="4" w:hanging="4"/>
        <w:spacing w:after="0" w:line="246" w:lineRule="auto"/>
        <w:tabs>
          <w:tab w:leader="none" w:pos="641"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Plan Claims Administrator Discretion; Court Review</w:t>
      </w:r>
      <w:r>
        <w:rPr>
          <w:rFonts w:ascii="Arial" w:cs="Arial" w:eastAsia="Arial" w:hAnsi="Arial"/>
          <w:sz w:val="20"/>
          <w:szCs w:val="20"/>
          <w:color w:val="auto"/>
        </w:rPr>
        <w:t>. The Claims Administrator and all persons determining or</w:t>
      </w:r>
      <w:r>
        <w:rPr>
          <w:rFonts w:ascii="Arial" w:cs="Arial" w:eastAsia="Arial" w:hAnsi="Arial"/>
          <w:sz w:val="20"/>
          <w:szCs w:val="20"/>
          <w:b w:val="1"/>
          <w:bCs w:val="1"/>
          <w:color w:val="auto"/>
        </w:rPr>
        <w:t xml:space="preserve"> </w:t>
      </w:r>
      <w:r>
        <w:rPr>
          <w:rFonts w:ascii="Arial" w:cs="Arial" w:eastAsia="Arial" w:hAnsi="Arial"/>
          <w:sz w:val="20"/>
          <w:szCs w:val="20"/>
          <w:color w:val="auto"/>
        </w:rPr>
        <w:t>reviewing claims have full discretion to determine benefit claims under this Plan. Any interpretation, determination or other action of such persons shall be subject to review only if it is arbitrary or capricious or otherwise an abuse of discretion. Any review of a final decision or action of the persons reviewing a claim shall be based only on such evidence presented to or considered by such persons at the time they made the decision that is the subject of review.</w:t>
      </w:r>
    </w:p>
    <w:p>
      <w:pPr>
        <w:sectPr>
          <w:pgSz w:w="11900" w:h="16838" w:orient="portrait"/>
          <w:cols w:equalWidth="0" w:num="1">
            <w:col w:w="10584"/>
          </w:cols>
          <w:pgMar w:left="976" w:top="1413"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Rules 13a-14(a) and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 Michael J. Maddox, certify that:</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CrossFirst Bankshares,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40" w:hanging="644"/>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2040" w:hanging="736"/>
        <w:spacing w:after="0" w:line="286" w:lineRule="auto"/>
        <w:tabs>
          <w:tab w:leader="none" w:pos="2037"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2040" w:right="220" w:hanging="736"/>
        <w:spacing w:after="0" w:line="263" w:lineRule="auto"/>
        <w:tabs>
          <w:tab w:leader="none" w:pos="2034"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040" w:right="240" w:hanging="736"/>
        <w:spacing w:after="0" w:line="311" w:lineRule="auto"/>
        <w:tabs>
          <w:tab w:leader="none" w:pos="2037"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040" w:right="480" w:hanging="736"/>
        <w:spacing w:after="0" w:line="263" w:lineRule="auto"/>
        <w:tabs>
          <w:tab w:leader="none" w:pos="20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040" w:right="20" w:hanging="736"/>
        <w:spacing w:after="0" w:line="277" w:lineRule="auto"/>
        <w:tabs>
          <w:tab w:leader="none" w:pos="203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9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Michael J. Maddox</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55" w:right="3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Rules 13a-14(a) and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David L. O’Toole, certify that:</w:t>
      </w:r>
    </w:p>
    <w:p>
      <w:pPr>
        <w:spacing w:after="0" w:line="239"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CrossFirst Bankshares, Inc.;</w:t>
      </w:r>
    </w:p>
    <w:p>
      <w:pPr>
        <w:spacing w:after="0" w:line="184" w:lineRule="exact"/>
        <w:rPr>
          <w:rFonts w:ascii="Arial" w:cs="Arial" w:eastAsia="Arial" w:hAnsi="Arial"/>
          <w:sz w:val="18"/>
          <w:szCs w:val="18"/>
          <w:color w:val="auto"/>
        </w:rPr>
      </w:pPr>
    </w:p>
    <w:p>
      <w:pPr>
        <w:ind w:left="1300" w:right="160" w:hanging="644"/>
        <w:spacing w:after="0" w:line="279"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1300" w:right="220" w:hanging="644"/>
        <w:spacing w:after="0" w:line="359" w:lineRule="auto"/>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6"/>
          <w:szCs w:val="16"/>
          <w:color w:val="auto"/>
        </w:rPr>
      </w:pPr>
    </w:p>
    <w:p>
      <w:pPr>
        <w:ind w:left="1300" w:right="440" w:hanging="644"/>
        <w:spacing w:after="0" w:line="29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ind w:left="2120" w:right="20" w:hanging="816"/>
        <w:spacing w:after="0" w:line="311" w:lineRule="auto"/>
        <w:tabs>
          <w:tab w:leader="none" w:pos="2117"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6"/>
          <w:szCs w:val="16"/>
          <w:color w:val="auto"/>
        </w:rPr>
      </w:pPr>
    </w:p>
    <w:p>
      <w:pPr>
        <w:ind w:left="2120" w:right="140" w:hanging="816"/>
        <w:spacing w:after="0" w:line="263" w:lineRule="auto"/>
        <w:tabs>
          <w:tab w:leader="none" w:pos="21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120" w:right="160" w:hanging="816"/>
        <w:spacing w:after="0" w:line="311" w:lineRule="auto"/>
        <w:tabs>
          <w:tab w:leader="none" w:pos="2117"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79"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jc w:val="both"/>
        <w:ind w:left="2120" w:hanging="816"/>
        <w:spacing w:after="0" w:line="279" w:lineRule="auto"/>
        <w:tabs>
          <w:tab w:leader="none" w:pos="211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2120" w:hanging="816"/>
        <w:spacing w:after="0" w:line="293" w:lineRule="auto"/>
        <w:tabs>
          <w:tab w:leader="none" w:pos="21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9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David L. O’Toole</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5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ind w:right="360"/>
        <w:spacing w:after="0" w:line="269" w:lineRule="auto"/>
        <w:rPr>
          <w:sz w:val="20"/>
          <w:szCs w:val="20"/>
          <w:color w:val="auto"/>
        </w:rPr>
      </w:pPr>
      <w:r>
        <w:rPr>
          <w:rFonts w:ascii="Arial" w:cs="Arial" w:eastAsia="Arial" w:hAnsi="Arial"/>
          <w:sz w:val="22"/>
          <w:szCs w:val="22"/>
          <w:b w:val="1"/>
          <w:bCs w:val="1"/>
          <w:color w:val="auto"/>
        </w:rPr>
        <w:t>CERTIFICATION OF PRINCIPAL EXECUTIVE OFFICER AND PRINCIPAL FINANCIAL OFFICER UNDER 18 U.S.C. § 1350 FURNISHED PURSUANT TO SECURITIES EXCHANGE ACT RULE 13a-14(b)</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the Quarterly Report of CrossFirst Bankshares, Inc. (the “Company”) on Form 10-Q for the period ended on June 30, 2020,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306"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46355</wp:posOffset>
            </wp:positionV>
            <wp:extent cx="40544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93"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Michael J. Maddox</w:t>
      </w:r>
    </w:p>
    <w:p>
      <w:pPr>
        <w:spacing w:after="0" w:line="8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 (Principal Executive Officer)</w:t>
      </w:r>
    </w:p>
    <w:p>
      <w:pPr>
        <w:spacing w:after="0" w:line="200" w:lineRule="exact"/>
        <w:rPr>
          <w:sz w:val="20"/>
          <w:szCs w:val="20"/>
          <w:color w:val="auto"/>
        </w:rPr>
      </w:pPr>
    </w:p>
    <w:p>
      <w:pPr>
        <w:spacing w:after="0" w:line="264"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46355</wp:posOffset>
            </wp:positionV>
            <wp:extent cx="40544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9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David L. O'Toole</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Chief Financial Officer (Principal Financial Officer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lvl w:ilvl="1">
      <w:lvlJc w:val="left"/>
      <w:lvlText w:val="☒"/>
      <w:numFmt w:val="bullet"/>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Roman"/>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lvl w:ilvl="1">
      <w:lvlJc w:val="left"/>
      <w:lvlText w:val="(%2)"/>
      <w:numFmt w:val="lowerLetter"/>
      <w:start w:val="1"/>
    </w:lvl>
  </w:abstractNum>
  <w:abstractNum w:abstractNumId="27">
    <w:nsid w:val="47398C89"/>
    <w:multiLevelType w:val="hybridMultilevel"/>
    <w:lvl w:ilvl="0">
      <w:lvlJc w:val="left"/>
      <w:lvlText w:val="%1."/>
      <w:numFmt w:val="decimal"/>
      <w:start w:val="2"/>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2"/>
      <w:numFmt w:val="bullet"/>
      <w:start w:val="1"/>
    </w:lvl>
  </w:abstractNum>
  <w:abstractNum w:abstractNumId="31">
    <w:nsid w:val="D34B6A8"/>
    <w:multiLevelType w:val="hybridMultilevel"/>
    <w:lvl w:ilvl="0">
      <w:lvlJc w:val="left"/>
      <w:lvlText w:val="3"/>
      <w:numFmt w:val="bullet"/>
      <w:start w:val="1"/>
    </w:lvl>
    <w:lvl w:ilvl="1">
      <w:lvlJc w:val="left"/>
      <w:lvlText w:val="(%2)"/>
      <w:numFmt w:val="lowerLetter"/>
      <w:start w:val="1"/>
    </w:lvl>
  </w:abstractNum>
  <w:abstractNum w:abstractNumId="32">
    <w:nsid w:val="10233C99"/>
    <w:multiLevelType w:val="hybridMultilevel"/>
    <w:lvl w:ilvl="0">
      <w:lvlJc w:val="left"/>
      <w:lvlText w:val="3"/>
      <w:numFmt w:val="bullet"/>
      <w:start w:val="1"/>
    </w:lvl>
    <w:lvl w:ilvl="1">
      <w:lvlJc w:val="left"/>
      <w:lvlText w:val="(%2)"/>
      <w:numFmt w:val="lowerLetter"/>
      <w:start w:val="9"/>
    </w:lvl>
  </w:abstractNum>
  <w:abstractNum w:abstractNumId="33">
    <w:nsid w:val="3F6AB60F"/>
    <w:multiLevelType w:val="hybridMultilevel"/>
    <w:lvl w:ilvl="0">
      <w:lvlJc w:val="left"/>
      <w:lvlText w:val="3"/>
      <w:numFmt w:val="bullet"/>
      <w:start w:val="1"/>
    </w:lvl>
    <w:lvl w:ilvl="1">
      <w:lvlJc w:val="left"/>
      <w:lvlText w:val="(%2)"/>
      <w:numFmt w:val="lowerLetter"/>
      <w:start w:val="3"/>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1"/>
    </w:lvl>
    <w:lvl w:ilvl="1">
      <w:lvlJc w:val="left"/>
      <w:lvlText w:val="(%2)"/>
      <w:numFmt w:val="lowerRoman"/>
      <w:start w:val="1"/>
    </w:lvl>
  </w:abstractNum>
  <w:abstractNum w:abstractNumId="36">
    <w:nsid w:val="77AE35EB"/>
    <w:multiLevelType w:val="hybridMultilevel"/>
    <w:lvl w:ilvl="0">
      <w:lvlJc w:val="left"/>
      <w:lvlText w:val="(%1)"/>
      <w:numFmt w:val="lowerRoman"/>
      <w:start w:val="3"/>
    </w:lvl>
  </w:abstractNum>
  <w:abstractNum w:abstractNumId="37">
    <w:nsid w:val="579BE4F1"/>
    <w:multiLevelType w:val="hybridMultilevel"/>
    <w:lvl w:ilvl="0">
      <w:lvlJc w:val="left"/>
      <w:lvlText w:val="(%1)"/>
      <w:numFmt w:val="lowerLetter"/>
      <w:start w:val="2"/>
    </w:lvl>
  </w:abstractNum>
  <w:abstractNum w:abstractNumId="38">
    <w:nsid w:val="310C50B3"/>
    <w:multiLevelType w:val="hybridMultilevel"/>
    <w:lvl w:ilvl="0">
      <w:lvlJc w:val="left"/>
      <w:lvlText w:val="3"/>
      <w:numFmt w:val="bullet"/>
      <w:start w:val="1"/>
    </w:lvl>
  </w:abstractNum>
  <w:abstractNum w:abstractNumId="39">
    <w:nsid w:val="5FF87E05"/>
    <w:multiLevelType w:val="hybridMultilevel"/>
    <w:lvl w:ilvl="0">
      <w:lvlJc w:val="left"/>
      <w:lvlText w:val="4"/>
      <w:numFmt w:val="bullet"/>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5"/>
    </w:lvl>
  </w:abstractNum>
  <w:abstractNum w:abstractNumId="42">
    <w:nsid w:val="1DBABF00"/>
    <w:multiLevelType w:val="hybridMultilevel"/>
    <w:lvl w:ilvl="0">
      <w:lvlJc w:val="left"/>
      <w:lvlText w:val="%1"/>
      <w:numFmt w:val="lowerLetter"/>
      <w:start w:val="1"/>
    </w:lvl>
    <w:lvl w:ilvl="1">
      <w:lvlJc w:val="left"/>
      <w:lvlText w:val="(%2)"/>
      <w:numFmt w:val="lowerLetter"/>
      <w:start w:val="1"/>
    </w:lvl>
  </w:abstractNum>
  <w:abstractNum w:abstractNumId="43">
    <w:nsid w:val="4AD084E9"/>
    <w:multiLevelType w:val="hybridMultilevel"/>
    <w:lvl w:ilvl="0">
      <w:lvlJc w:val="left"/>
      <w:lvlText w:val="(%1)"/>
      <w:numFmt w:val="lowerLetter"/>
      <w:start w:val="2"/>
    </w:lvl>
    <w:lvl w:ilvl="1">
      <w:lvlJc w:val="left"/>
      <w:lvlText w:val="%2"/>
      <w:numFmt w:val="lowerLetter"/>
      <w:start w:val="1"/>
    </w:lvl>
  </w:abstractNum>
  <w:abstractNum w:abstractNumId="44">
    <w:nsid w:val="1F48EAA1"/>
    <w:multiLevelType w:val="hybridMultilevel"/>
    <w:lvl w:ilvl="0">
      <w:lvlJc w:val="left"/>
      <w:lvlText w:val="%1."/>
      <w:numFmt w:val="decimal"/>
      <w:start w:val="2"/>
    </w:lvl>
    <w:lvl w:ilvl="1">
      <w:lvlJc w:val="left"/>
      <w:lvlText w:val="(%2)"/>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Roman"/>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1)"/>
      <w:numFmt w:val="lowerLetter"/>
      <w:start w:val="22"/>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2"/>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2"/>
    </w:lvl>
    <w:lvl w:ilvl="1">
      <w:lvlJc w:val="left"/>
      <w:lvlText w:val="%2."/>
      <w:numFmt w:val="lowerRoman"/>
      <w:start w:val="1"/>
    </w:lvl>
  </w:abstractNum>
  <w:abstractNum w:abstractNumId="57">
    <w:nsid w:val="661E3F1E"/>
    <w:multiLevelType w:val="hybridMultilevel"/>
    <w:lvl w:ilvl="0">
      <w:lvlJc w:val="left"/>
      <w:lvlText w:val="%1."/>
      <w:numFmt w:val="lowerRoman"/>
      <w:start w:val="2"/>
    </w:lvl>
  </w:abstractNum>
  <w:abstractNum w:abstractNumId="58">
    <w:nsid w:val="5DC79EA8"/>
    <w:multiLevelType w:val="hybridMultilevel"/>
    <w:lvl w:ilvl="0">
      <w:lvlJc w:val="left"/>
      <w:lvlText w:val="%1."/>
      <w:numFmt w:val="lowerRoman"/>
      <w:start w:val="2"/>
    </w:lvl>
  </w:abstractNum>
  <w:abstractNum w:abstractNumId="59">
    <w:nsid w:val="540A471C"/>
    <w:multiLevelType w:val="hybridMultilevel"/>
    <w:lvl w:ilvl="0">
      <w:lvlJc w:val="left"/>
      <w:lvlText w:val="%1."/>
      <w:numFmt w:val="lowerRoman"/>
      <w:start w:val="2"/>
    </w:lvl>
  </w:abstractNum>
  <w:abstractNum w:abstractNumId="60">
    <w:nsid w:val="7BD3EE7B"/>
    <w:multiLevelType w:val="hybridMultilevel"/>
    <w:lvl w:ilvl="0">
      <w:lvlJc w:val="left"/>
      <w:lvlText w:val="%1."/>
      <w:numFmt w:val="lowerRoman"/>
      <w:start w:val="2"/>
    </w:lvl>
  </w:abstractNum>
  <w:abstractNum w:abstractNumId="61">
    <w:nsid w:val="51D9C564"/>
    <w:multiLevelType w:val="hybridMultilevel"/>
    <w:lvl w:ilvl="0">
      <w:lvlJc w:val="left"/>
      <w:lvlText w:val="%1."/>
      <w:numFmt w:val="lowerRoman"/>
      <w:start w:val="6"/>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lowerRoman"/>
      <w:start w:val="1"/>
    </w:lvl>
  </w:abstractNum>
  <w:abstractNum w:abstractNumId="64">
    <w:nsid w:val="11447B73"/>
    <w:multiLevelType w:val="hybridMultilevel"/>
    <w:lvl w:ilvl="0">
      <w:lvlJc w:val="left"/>
      <w:lvlText w:val="(%1)"/>
      <w:numFmt w:val="lowerRoman"/>
      <w:start w:val="1"/>
    </w:lvl>
  </w:abstractNum>
  <w:abstractNum w:abstractNumId="65">
    <w:nsid w:val="42963E5A"/>
    <w:multiLevelType w:val="hybridMultilevel"/>
    <w:lvl w:ilvl="0">
      <w:lvlJc w:val="left"/>
      <w:lvlText w:val="%1."/>
      <w:numFmt w:val="lowerRoman"/>
      <w:start w:val="1"/>
    </w:lvl>
  </w:abstractNum>
  <w:abstractNum w:abstractNumId="66">
    <w:nsid w:val="A0382C5"/>
    <w:multiLevelType w:val="hybridMultilevel"/>
    <w:lvl w:ilvl="0">
      <w:lvlJc w:val="left"/>
      <w:lvlText w:val="%1."/>
      <w:numFmt w:val="lowerRoman"/>
      <w:start w:val="2"/>
    </w:lvl>
  </w:abstractNum>
  <w:abstractNum w:abstractNumId="67">
    <w:nsid w:val="8F2B15E"/>
    <w:multiLevelType w:val="hybridMultilevel"/>
    <w:lvl w:ilvl="0">
      <w:lvlJc w:val="left"/>
      <w:lvlText w:val="%1."/>
      <w:numFmt w:val="decimal"/>
      <w:start w:val="3"/>
    </w:lvl>
    <w:lvl w:ilvl="1">
      <w:lvlJc w:val="left"/>
      <w:lvlText w:val="%2)"/>
      <w:numFmt w:val="lowerLetter"/>
      <w:start w:val="1"/>
    </w:lvl>
  </w:abstractNum>
  <w:abstractNum w:abstractNumId="68">
    <w:nsid w:val="1A32234B"/>
    <w:multiLevelType w:val="hybridMultilevel"/>
    <w:lvl w:ilvl="0">
      <w:lvlJc w:val="left"/>
      <w:lvlText w:val="%1)"/>
      <w:numFmt w:val="lowerLetter"/>
      <w:start w:val="1"/>
    </w:lvl>
    <w:lvl w:ilvl="1">
      <w:lvlJc w:val="left"/>
      <w:lvlText w:val="%2."/>
      <w:numFmt w:val="lowerRoman"/>
      <w:start w:val="1"/>
    </w:lvl>
  </w:abstractNum>
  <w:abstractNum w:abstractNumId="69">
    <w:nsid w:val="3B0FD379"/>
    <w:multiLevelType w:val="hybridMultilevel"/>
    <w:lvl w:ilvl="0">
      <w:lvlJc w:val="left"/>
      <w:lvlText w:val="%1."/>
      <w:numFmt w:val="lowerRoman"/>
      <w:start w:val="2"/>
    </w:lvl>
  </w:abstractNum>
  <w:abstractNum w:abstractNumId="70">
    <w:nsid w:val="68EB2F63"/>
    <w:multiLevelType w:val="hybridMultilevel"/>
    <w:lvl w:ilvl="0">
      <w:lvlJc w:val="left"/>
      <w:lvlText w:val="%1)"/>
      <w:numFmt w:val="lowerLetter"/>
      <w:start w:val="2"/>
    </w:lvl>
  </w:abstractNum>
  <w:abstractNum w:abstractNumId="71">
    <w:nsid w:val="4962813B"/>
    <w:multiLevelType w:val="hybridMultilevel"/>
    <w:lvl w:ilvl="0">
      <w:lvlJc w:val="left"/>
      <w:lvlText w:val="%1"/>
      <w:numFmt w:val="decimal"/>
      <w:start w:val="1"/>
    </w:lvl>
    <w:lvl w:ilvl="1">
      <w:lvlJc w:val="left"/>
      <w:lvlText w:val="%2)"/>
      <w:numFmt w:val="lowerLetter"/>
      <w:start w:val="4"/>
    </w:lvl>
  </w:abstractNum>
  <w:abstractNum w:abstractNumId="72">
    <w:nsid w:val="60B6DF70"/>
    <w:multiLevelType w:val="hybridMultilevel"/>
    <w:lvl w:ilvl="0">
      <w:lvlJc w:val="left"/>
      <w:lvlText w:val="%1."/>
      <w:numFmt w:val="decimal"/>
      <w:start w:val="5"/>
    </w:lvl>
    <w:lvl w:ilvl="1">
      <w:lvlJc w:val="left"/>
      <w:lvlText w:val="%2"/>
      <w:numFmt w:val="lowerLetter"/>
      <w:start w:val="1"/>
    </w:lvl>
  </w:abstractNum>
  <w:abstractNum w:abstractNumId="73">
    <w:nsid w:val="6A5EE64"/>
    <w:multiLevelType w:val="hybridMultilevel"/>
    <w:lvl w:ilvl="0">
      <w:lvlJc w:val="left"/>
      <w:lvlText w:val="%1)"/>
      <w:numFmt w:val="lowerLetter"/>
      <w:start w:val="1"/>
    </w:lvl>
    <w:lvl w:ilvl="1">
      <w:lvlJc w:val="left"/>
      <w:lvlText w:val="%2."/>
      <w:numFmt w:val="lowerRoman"/>
      <w:start w:val="1"/>
    </w:lvl>
  </w:abstractNum>
  <w:abstractNum w:abstractNumId="74">
    <w:nsid w:val="14330624"/>
    <w:multiLevelType w:val="hybridMultilevel"/>
    <w:lvl w:ilvl="0">
      <w:lvlJc w:val="left"/>
      <w:lvlText w:val="%1"/>
      <w:numFmt w:val="decimal"/>
      <w:start w:val="1"/>
    </w:lvl>
    <w:lvl w:ilvl="1">
      <w:lvlJc w:val="left"/>
      <w:lvlText w:val="%2)"/>
      <w:numFmt w:val="lowerLetter"/>
      <w:start w:val="2"/>
    </w:lvl>
  </w:abstractNum>
  <w:abstractNum w:abstractNumId="75">
    <w:nsid w:val="7FFFCA11"/>
    <w:multiLevelType w:val="hybridMultilevel"/>
    <w:lvl w:ilvl="0">
      <w:lvlJc w:val="left"/>
      <w:lvlText w:val="%1."/>
      <w:numFmt w:val="decimal"/>
      <w:start w:val="6"/>
    </w:lvl>
    <w:lvl w:ilvl="1">
      <w:lvlJc w:val="left"/>
      <w:lvlText w:val="%2"/>
      <w:numFmt w:val="lowerLetter"/>
      <w:start w:val="1"/>
    </w:lvl>
  </w:abstractNum>
  <w:abstractNum w:abstractNumId="76">
    <w:nsid w:val="1A27709E"/>
    <w:multiLevelType w:val="hybridMultilevel"/>
    <w:lvl w:ilvl="0">
      <w:lvlJc w:val="left"/>
      <w:lvlText w:val="%1."/>
      <w:numFmt w:val="decimal"/>
      <w:start w:val="7"/>
    </w:lvl>
    <w:lvl w:ilvl="1">
      <w:lvlJc w:val="left"/>
      <w:lvlText w:val="%2)"/>
      <w:numFmt w:val="lowerLetter"/>
      <w:start w:val="1"/>
    </w:lvl>
  </w:abstractNum>
  <w:abstractNum w:abstractNumId="77">
    <w:nsid w:val="71EA1109"/>
    <w:multiLevelType w:val="hybridMultilevel"/>
    <w:lvl w:ilvl="0">
      <w:lvlJc w:val="left"/>
      <w:lvlText w:val="%1."/>
      <w:numFmt w:val="decimal"/>
      <w:start w:val="8"/>
    </w:lvl>
    <w:lvl w:ilvl="1">
      <w:lvlJc w:val="left"/>
      <w:lvlText w:val="%2)"/>
      <w:numFmt w:val="lowerLetter"/>
      <w:start w:val="1"/>
    </w:lvl>
  </w:abstractNum>
  <w:abstractNum w:abstractNumId="78">
    <w:nsid w:val="100F59DC"/>
    <w:multiLevelType w:val="hybridMultilevel"/>
    <w:lvl w:ilvl="0">
      <w:lvlJc w:val="left"/>
      <w:lvlText w:val="%1)"/>
      <w:numFmt w:val="lowerLetter"/>
      <w:start w:val="4"/>
    </w:lvl>
  </w:abstractNum>
  <w:abstractNum w:abstractNumId="79">
    <w:nsid w:val="7FB7E0AA"/>
    <w:multiLevelType w:val="hybridMultilevel"/>
    <w:lvl w:ilvl="0">
      <w:lvlJc w:val="left"/>
      <w:lvlText w:val="%1"/>
      <w:numFmt w:val="decimal"/>
      <w:start w:val="1"/>
    </w:lvl>
    <w:lvl w:ilvl="1">
      <w:lvlJc w:val="left"/>
      <w:lvlText w:val="%2)"/>
      <w:numFmt w:val="lowerLetter"/>
      <w:start w:val="9"/>
    </w:lvl>
  </w:abstractNum>
  <w:abstractNum w:abstractNumId="80">
    <w:nsid w:val="6EB5BD4"/>
    <w:multiLevelType w:val="hybridMultilevel"/>
    <w:lvl w:ilvl="0">
      <w:lvlJc w:val="left"/>
      <w:lvlText w:val="%1."/>
      <w:numFmt w:val="decimal"/>
      <w:start w:val="10"/>
    </w:lvl>
    <w:lvl w:ilvl="1">
      <w:lvlJc w:val="left"/>
      <w:lvlText w:val="%2"/>
      <w:numFmt w:val="lowerLetter"/>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decimal"/>
      <w:start w:val="180"/>
    </w:lvl>
    <w:lvl w:ilvl="1">
      <w:lvlJc w:val="left"/>
      <w:lvlText w:val="%2."/>
      <w:numFmt w:val="lowerRoman"/>
      <w:start w:val="1"/>
    </w:lvl>
  </w:abstractNum>
  <w:abstractNum w:abstractNumId="83">
    <w:nsid w:val="885E1B"/>
    <w:multiLevelType w:val="hybridMultilevel"/>
    <w:lvl w:ilvl="0">
      <w:lvlJc w:val="left"/>
      <w:lvlText w:val="%1)"/>
      <w:numFmt w:val="lowerLetter"/>
      <w:start w:val="2"/>
    </w:lvl>
    <w:lvl w:ilvl="1">
      <w:lvlJc w:val="left"/>
      <w:lvlText w:val="%2."/>
      <w:numFmt w:val="lowerRoman"/>
      <w:start w:val="1"/>
    </w:lvl>
  </w:abstractNum>
  <w:abstractNum w:abstractNumId="84">
    <w:nsid w:val="76272110"/>
    <w:multiLevelType w:val="hybridMultilevel"/>
    <w:lvl w:ilvl="0">
      <w:lvlJc w:val="left"/>
      <w:lvlText w:val="%1"/>
      <w:numFmt w:val="lowerLetter"/>
      <w:start w:val="1"/>
    </w:lvl>
    <w:lvl w:ilvl="1">
      <w:lvlJc w:val="left"/>
      <w:lvlText w:val="%2."/>
      <w:numFmt w:val="lowerRoman"/>
      <w:start w:val="2"/>
    </w:lvl>
  </w:abstractNum>
  <w:abstractNum w:abstractNumId="85">
    <w:nsid w:val="4C04A8AF"/>
    <w:multiLevelType w:val="hybridMultilevel"/>
    <w:lvl w:ilvl="0">
      <w:lvlJc w:val="left"/>
      <w:lvlText w:val="%1)"/>
      <w:numFmt w:val="lowerLetter"/>
      <w:start w:val="3"/>
    </w:lvl>
    <w:lvl w:ilvl="1">
      <w:lvlJc w:val="left"/>
      <w:lvlText w:val="%2."/>
      <w:numFmt w:val="lowerRoman"/>
      <w:start w:val="1"/>
    </w:lvl>
  </w:abstractNum>
  <w:abstractNum w:abstractNumId="86">
    <w:nsid w:val="1716703B"/>
    <w:multiLevelType w:val="hybridMultilevel"/>
    <w:lvl w:ilvl="0">
      <w:lvlJc w:val="left"/>
      <w:lvlText w:val="%1)"/>
      <w:numFmt w:val="lowerLetter"/>
      <w:start w:val="6"/>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jpe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jpe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22" Type="http://schemas.openxmlformats.org/officeDocument/2006/relationships/hyperlink" Target="https://www.sec.gov/Archives/edgar/data/1458412/000114036119013110/s002626x8_ex3-1.htm" TargetMode="External"/><Relationship Id="rId123" Type="http://schemas.openxmlformats.org/officeDocument/2006/relationships/hyperlink" Target="https://www.sec.gov/Archives/edgar/data/1458412/000114036119013110/s002626x8_ex3-2.htm" TargetMode="External"/><Relationship Id="rId124" Type="http://schemas.openxmlformats.org/officeDocument/2006/relationships/hyperlink" Target="https://www.sec.gov/Archives/edgar/data/1458412/000114036119013110/s002626x8_ex3-3.htm" TargetMode="External"/><Relationship Id="rId125" Type="http://schemas.openxmlformats.org/officeDocument/2006/relationships/hyperlink" Target="https://www.sec.gov/Archives/edgar/data/1458412/000145841220000041/crossfirstbankshares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2020-08-12T15:20:53Z</dcterms:created>
  <dcterms:modified xsi:type="dcterms:W3CDTF">2020-08-12T15:20:53Z</dcterms:modified>
</cp:coreProperties>
</file>