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66" w:lineRule="exact"/>
        <w:rPr>
          <w:sz w:val="24"/>
          <w:szCs w:val="24"/>
          <w:color w:val="auto"/>
        </w:rPr>
      </w:pPr>
    </w:p>
    <w:p>
      <w:pPr>
        <w:ind w:left="1400" w:hanging="219"/>
        <w:spacing w:after="0"/>
        <w:tabs>
          <w:tab w:leader="none" w:pos="140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Q</w:t>
      </w:r>
      <w:r>
        <w:rPr>
          <w:rFonts w:ascii="Arial" w:cs="Arial" w:eastAsia="Arial" w:hAnsi="Arial"/>
          <w:sz w:val="17"/>
          <w:szCs w:val="17"/>
          <w:color w:val="auto"/>
        </w:rPr>
        <w:t>UARTERLY REPORT PURSUANT TO SECTION 13 OR 15(d) OF THE SECURITIES EXCHANGE ACT OF 1934</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quarterly period ended September 30, 2019</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jc w:val="center"/>
        <w:ind w:left="3880" w:right="1060" w:hanging="2706"/>
        <w:spacing w:after="0" w:line="500" w:lineRule="auto"/>
        <w:tabs>
          <w:tab w:leader="none" w:pos="138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001-39028</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CROSSFIRST BANKSHARES, INC.</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(Exact Name of Registrant as Specified in its Charter)</w:t>
      </w:r>
    </w:p>
    <w:p>
      <w:pPr>
        <w:spacing w:after="0" w:line="374"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4720" w:type="dxa"/>
            <w:vAlign w:val="bottom"/>
          </w:tcPr>
          <w:p>
            <w:pPr>
              <w:jc w:val="center"/>
              <w:ind w:right="1197"/>
              <w:spacing w:after="0"/>
              <w:rPr>
                <w:sz w:val="20"/>
                <w:szCs w:val="20"/>
                <w:color w:val="auto"/>
              </w:rPr>
            </w:pPr>
            <w:r>
              <w:rPr>
                <w:rFonts w:ascii="Arial" w:cs="Arial" w:eastAsia="Arial" w:hAnsi="Arial"/>
                <w:sz w:val="18"/>
                <w:szCs w:val="18"/>
                <w:b w:val="1"/>
                <w:bCs w:val="1"/>
                <w:color w:val="auto"/>
                <w:w w:val="87"/>
              </w:rPr>
              <w:t>Kansas</w:t>
            </w:r>
          </w:p>
        </w:tc>
        <w:tc>
          <w:tcPr>
            <w:tcW w:w="3360" w:type="dxa"/>
            <w:vAlign w:val="bottom"/>
          </w:tcPr>
          <w:p>
            <w:pPr>
              <w:jc w:val="right"/>
              <w:ind w:right="519"/>
              <w:spacing w:after="0"/>
              <w:rPr>
                <w:sz w:val="20"/>
                <w:szCs w:val="20"/>
                <w:color w:val="auto"/>
              </w:rPr>
            </w:pPr>
            <w:r>
              <w:rPr>
                <w:rFonts w:ascii="Arial" w:cs="Arial" w:eastAsia="Arial" w:hAnsi="Arial"/>
                <w:sz w:val="18"/>
                <w:szCs w:val="18"/>
                <w:b w:val="1"/>
                <w:bCs w:val="1"/>
                <w:color w:val="auto"/>
              </w:rPr>
              <w:t>26-3212879</w:t>
            </w:r>
          </w:p>
        </w:tc>
      </w:tr>
      <w:tr>
        <w:trPr>
          <w:trHeight w:val="217"/>
        </w:trPr>
        <w:tc>
          <w:tcPr>
            <w:tcW w:w="4720" w:type="dxa"/>
            <w:vAlign w:val="bottom"/>
          </w:tcPr>
          <w:p>
            <w:pPr>
              <w:jc w:val="center"/>
              <w:ind w:right="119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360" w:type="dxa"/>
            <w:vAlign w:val="bottom"/>
          </w:tcPr>
          <w:p>
            <w:pPr>
              <w:jc w:val="center"/>
              <w:ind w:left="1199"/>
              <w:spacing w:after="0"/>
              <w:rPr>
                <w:sz w:val="20"/>
                <w:szCs w:val="20"/>
                <w:color w:val="auto"/>
              </w:rPr>
            </w:pPr>
            <w:r>
              <w:rPr>
                <w:rFonts w:ascii="Arial" w:cs="Arial" w:eastAsia="Arial" w:hAnsi="Arial"/>
                <w:sz w:val="14"/>
                <w:szCs w:val="14"/>
                <w:color w:val="auto"/>
                <w:w w:val="96"/>
              </w:rPr>
              <w:t>(I.R.S. Employer Identification No.)</w:t>
            </w:r>
          </w:p>
        </w:tc>
      </w:tr>
      <w:tr>
        <w:trPr>
          <w:trHeight w:val="444"/>
        </w:trPr>
        <w:tc>
          <w:tcPr>
            <w:tcW w:w="4720" w:type="dxa"/>
            <w:vAlign w:val="bottom"/>
          </w:tcPr>
          <w:p>
            <w:pPr>
              <w:jc w:val="center"/>
              <w:ind w:right="1217"/>
              <w:spacing w:after="0"/>
              <w:rPr>
                <w:sz w:val="20"/>
                <w:szCs w:val="20"/>
                <w:color w:val="auto"/>
              </w:rPr>
            </w:pPr>
            <w:r>
              <w:rPr>
                <w:rFonts w:ascii="Arial" w:cs="Arial" w:eastAsia="Arial" w:hAnsi="Arial"/>
                <w:sz w:val="18"/>
                <w:szCs w:val="18"/>
                <w:b w:val="1"/>
                <w:bCs w:val="1"/>
                <w:color w:val="auto"/>
                <w:w w:val="91"/>
              </w:rPr>
              <w:t>11440 Tomahawk Creek Parkway</w:t>
            </w:r>
          </w:p>
        </w:tc>
        <w:tc>
          <w:tcPr>
            <w:tcW w:w="3360" w:type="dxa"/>
            <w:vAlign w:val="bottom"/>
          </w:tcPr>
          <w:p>
            <w:pPr>
              <w:spacing w:after="0"/>
              <w:rPr>
                <w:sz w:val="24"/>
                <w:szCs w:val="24"/>
                <w:color w:val="auto"/>
              </w:rPr>
            </w:pPr>
          </w:p>
        </w:tc>
      </w:tr>
      <w:tr>
        <w:trPr>
          <w:trHeight w:val="270"/>
        </w:trPr>
        <w:tc>
          <w:tcPr>
            <w:tcW w:w="4720" w:type="dxa"/>
            <w:vAlign w:val="bottom"/>
          </w:tcPr>
          <w:p>
            <w:pPr>
              <w:ind w:left="880"/>
              <w:spacing w:after="0"/>
              <w:rPr>
                <w:sz w:val="20"/>
                <w:szCs w:val="20"/>
                <w:color w:val="auto"/>
              </w:rPr>
            </w:pPr>
            <w:r>
              <w:rPr>
                <w:rFonts w:ascii="Arial" w:cs="Arial" w:eastAsia="Arial" w:hAnsi="Arial"/>
                <w:sz w:val="18"/>
                <w:szCs w:val="18"/>
                <w:b w:val="1"/>
                <w:bCs w:val="1"/>
                <w:color w:val="auto"/>
              </w:rPr>
              <w:t>Leawood  KS</w:t>
            </w:r>
          </w:p>
        </w:tc>
        <w:tc>
          <w:tcPr>
            <w:tcW w:w="3360" w:type="dxa"/>
            <w:vAlign w:val="bottom"/>
          </w:tcPr>
          <w:p>
            <w:pPr>
              <w:jc w:val="right"/>
              <w:ind w:right="739"/>
              <w:spacing w:after="0"/>
              <w:rPr>
                <w:sz w:val="20"/>
                <w:szCs w:val="20"/>
                <w:color w:val="auto"/>
              </w:rPr>
            </w:pPr>
            <w:r>
              <w:rPr>
                <w:rFonts w:ascii="Arial" w:cs="Arial" w:eastAsia="Arial" w:hAnsi="Arial"/>
                <w:sz w:val="18"/>
                <w:szCs w:val="18"/>
                <w:b w:val="1"/>
                <w:bCs w:val="1"/>
                <w:color w:val="auto"/>
              </w:rPr>
              <w:t>66211</w:t>
            </w:r>
          </w:p>
        </w:tc>
      </w:tr>
      <w:tr>
        <w:trPr>
          <w:trHeight w:val="218"/>
        </w:trPr>
        <w:tc>
          <w:tcPr>
            <w:tcW w:w="4720" w:type="dxa"/>
            <w:vAlign w:val="bottom"/>
          </w:tcPr>
          <w:p>
            <w:pPr>
              <w:jc w:val="center"/>
              <w:ind w:right="1197"/>
              <w:spacing w:after="0"/>
              <w:rPr>
                <w:sz w:val="20"/>
                <w:szCs w:val="20"/>
                <w:color w:val="auto"/>
              </w:rPr>
            </w:pPr>
            <w:r>
              <w:rPr>
                <w:rFonts w:ascii="Arial" w:cs="Arial" w:eastAsia="Arial" w:hAnsi="Arial"/>
                <w:sz w:val="14"/>
                <w:szCs w:val="14"/>
                <w:color w:val="auto"/>
                <w:w w:val="95"/>
              </w:rPr>
              <w:t>(Address of principal executive offices)</w:t>
            </w:r>
          </w:p>
        </w:tc>
        <w:tc>
          <w:tcPr>
            <w:tcW w:w="3360" w:type="dxa"/>
            <w:vAlign w:val="bottom"/>
          </w:tcPr>
          <w:p>
            <w:pPr>
              <w:jc w:val="center"/>
              <w:ind w:left="1199"/>
              <w:spacing w:after="0"/>
              <w:rPr>
                <w:sz w:val="20"/>
                <w:szCs w:val="20"/>
                <w:color w:val="auto"/>
              </w:rPr>
            </w:pPr>
            <w:r>
              <w:rPr>
                <w:rFonts w:ascii="Arial" w:cs="Arial" w:eastAsia="Arial" w:hAnsi="Arial"/>
                <w:sz w:val="14"/>
                <w:szCs w:val="14"/>
                <w:color w:val="auto"/>
                <w:w w:val="96"/>
              </w:rPr>
              <w:t>(Zip Code)</w:t>
            </w:r>
          </w:p>
        </w:tc>
      </w:tr>
    </w:tbl>
    <w:p>
      <w:pPr>
        <w:spacing w:after="0" w:line="57" w:lineRule="exact"/>
        <w:rPr>
          <w:sz w:val="24"/>
          <w:szCs w:val="24"/>
          <w:color w:val="auto"/>
        </w:rPr>
      </w:pPr>
    </w:p>
    <w:p>
      <w:pPr>
        <w:ind w:left="5000"/>
        <w:spacing w:after="0"/>
        <w:rPr>
          <w:sz w:val="20"/>
          <w:szCs w:val="20"/>
          <w:color w:val="auto"/>
        </w:rPr>
      </w:pPr>
      <w:r>
        <w:rPr>
          <w:rFonts w:ascii="Arial" w:cs="Arial" w:eastAsia="Arial" w:hAnsi="Arial"/>
          <w:sz w:val="20"/>
          <w:szCs w:val="20"/>
          <w:b w:val="1"/>
          <w:bCs w:val="1"/>
          <w:color w:val="auto"/>
        </w:rPr>
        <w:t>(913) 312-6822</w:t>
      </w:r>
    </w:p>
    <w:p>
      <w:pPr>
        <w:spacing w:after="0" w:line="22" w:lineRule="exact"/>
        <w:rPr>
          <w:sz w:val="24"/>
          <w:szCs w:val="24"/>
          <w:color w:val="auto"/>
        </w:rPr>
      </w:pPr>
    </w:p>
    <w:p>
      <w:pPr>
        <w:ind w:left="3780"/>
        <w:spacing w:after="0"/>
        <w:rPr>
          <w:sz w:val="20"/>
          <w:szCs w:val="20"/>
          <w:color w:val="auto"/>
        </w:rPr>
      </w:pPr>
      <w:r>
        <w:rPr>
          <w:rFonts w:ascii="Arial" w:cs="Arial" w:eastAsia="Arial" w:hAnsi="Arial"/>
          <w:sz w:val="20"/>
          <w:szCs w:val="20"/>
          <w:color w:val="auto"/>
        </w:rPr>
        <w:t>(Registrant’s telephone number, including area code)</w:t>
      </w:r>
    </w:p>
    <w:p>
      <w:pPr>
        <w:spacing w:after="0" w:line="99" w:lineRule="exact"/>
        <w:rPr>
          <w:sz w:val="24"/>
          <w:szCs w:val="24"/>
          <w:color w:val="auto"/>
        </w:rPr>
      </w:pPr>
    </w:p>
    <w:p>
      <w:pPr>
        <w:ind w:left="5460"/>
        <w:spacing w:after="0"/>
        <w:rPr>
          <w:sz w:val="20"/>
          <w:szCs w:val="20"/>
          <w:color w:val="auto"/>
        </w:rPr>
      </w:pPr>
      <w:r>
        <w:rPr>
          <w:rFonts w:ascii="Arial" w:cs="Arial" w:eastAsia="Arial" w:hAnsi="Arial"/>
          <w:sz w:val="20"/>
          <w:szCs w:val="20"/>
          <w:b w:val="1"/>
          <w:bCs w:val="1"/>
          <w:color w:val="auto"/>
        </w:rPr>
        <w:t>N/A</w:t>
      </w:r>
    </w:p>
    <w:p>
      <w:pPr>
        <w:spacing w:after="0" w:line="22" w:lineRule="exact"/>
        <w:rPr>
          <w:sz w:val="24"/>
          <w:szCs w:val="24"/>
          <w:color w:val="auto"/>
        </w:rPr>
      </w:pPr>
    </w:p>
    <w:p>
      <w:pPr>
        <w:ind w:left="2620"/>
        <w:spacing w:after="0"/>
        <w:rPr>
          <w:sz w:val="20"/>
          <w:szCs w:val="20"/>
          <w:color w:val="auto"/>
        </w:rPr>
      </w:pPr>
      <w:r>
        <w:rPr>
          <w:rFonts w:ascii="Arial" w:cs="Arial" w:eastAsia="Arial" w:hAnsi="Arial"/>
          <w:sz w:val="20"/>
          <w:szCs w:val="20"/>
          <w:color w:val="auto"/>
        </w:rPr>
        <w:t>(Former name, former address and former fiscal year, if changed since last report)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ectPr>
          <w:pgSz w:w="11900" w:h="16838" w:orient="portrait"/>
          <w:cols w:equalWidth="0" w:num="1">
            <w:col w:w="11140"/>
          </w:cols>
          <w:pgMar w:left="320" w:top="474" w:right="439" w:bottom="1440" w:gutter="0" w:footer="0" w:header="0"/>
        </w:sectPr>
      </w:pPr>
    </w:p>
    <w:p>
      <w:pPr>
        <w:spacing w:after="0" w:line="160" w:lineRule="exact"/>
        <w:rPr>
          <w:sz w:val="24"/>
          <w:szCs w:val="24"/>
          <w:color w:val="auto"/>
        </w:rPr>
      </w:pPr>
    </w:p>
    <w:p>
      <w:pPr>
        <w:ind w:left="18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040" w:space="720"/>
            <w:col w:w="1360" w:space="720"/>
            <w:col w:w="4300"/>
          </w:cols>
          <w:pgMar w:left="320" w:top="474" w:right="4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CFB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11" w:lineRule="exact"/>
        <w:rPr>
          <w:sz w:val="24"/>
          <w:szCs w:val="24"/>
          <w:color w:val="auto"/>
        </w:rPr>
      </w:pPr>
    </w:p>
    <w:p>
      <w:pPr>
        <w:sectPr>
          <w:pgSz w:w="11900" w:h="16838" w:orient="portrait"/>
          <w:cols w:equalWidth="0" w:num="3">
            <w:col w:w="4480" w:space="720"/>
            <w:col w:w="1460" w:space="720"/>
            <w:col w:w="3760"/>
          </w:cols>
          <w:pgMar w:left="320" w:top="474" w:right="439" w:bottom="1440" w:gutter="0" w:footer="0" w:header="0"/>
          <w:type w:val="continuous"/>
        </w:sectPr>
      </w:pPr>
    </w:p>
    <w:p>
      <w:pPr>
        <w:spacing w:after="0" w:line="75" w:lineRule="exact"/>
        <w:rPr>
          <w:sz w:val="24"/>
          <w:szCs w:val="24"/>
          <w:color w:val="auto"/>
        </w:rPr>
      </w:pPr>
    </w:p>
    <w:p>
      <w:pPr>
        <w:jc w:val="both"/>
        <w:spacing w:after="0" w:line="242"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220" w:lineRule="exact"/>
        <w:rPr>
          <w:sz w:val="24"/>
          <w:szCs w:val="24"/>
          <w:color w:val="auto"/>
        </w:rPr>
      </w:pPr>
    </w:p>
    <w:p>
      <w:pPr>
        <w:jc w:val="both"/>
        <w:ind w:right="160"/>
        <w:spacing w:after="0" w:line="244" w:lineRule="exact"/>
        <w:rPr>
          <w:sz w:val="20"/>
          <w:szCs w:val="20"/>
          <w:color w:val="auto"/>
        </w:rPr>
      </w:pPr>
      <w:r>
        <w:rPr>
          <w:rFonts w:ascii="Arial" w:cs="Arial" w:eastAsia="Arial" w:hAnsi="Arial"/>
          <w:sz w:val="20"/>
          <w:szCs w:val="20"/>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188" w:lineRule="exact"/>
        <w:rPr>
          <w:sz w:val="24"/>
          <w:szCs w:val="24"/>
          <w:color w:val="auto"/>
        </w:rPr>
      </w:pPr>
    </w:p>
    <w:p>
      <w:pPr>
        <w:ind w:right="60"/>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474" w:right="4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7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20" w:lineRule="exact"/>
        <w:rPr>
          <w:sz w:val="20"/>
          <w:szCs w:val="20"/>
          <w:color w:val="auto"/>
        </w:rPr>
      </w:pPr>
    </w:p>
    <w:p>
      <w:pPr>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50"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APPLICABLE ONLY TO CORPORATE ISSUERS: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As of </w:t>
      </w:r>
      <w:r>
        <w:rPr>
          <w:rFonts w:ascii="Arial" w:cs="Arial" w:eastAsia="Arial" w:hAnsi="Arial"/>
          <w:sz w:val="17"/>
          <w:szCs w:val="17"/>
          <w:color w:val="auto"/>
        </w:rPr>
        <w:t>November 11, 2019</w:t>
      </w:r>
      <w:r>
        <w:rPr>
          <w:rFonts w:ascii="Arial" w:cs="Arial" w:eastAsia="Arial" w:hAnsi="Arial"/>
          <w:sz w:val="20"/>
          <w:szCs w:val="20"/>
          <w:color w:val="auto"/>
        </w:rPr>
        <w:t xml:space="preserve">, the registrant had </w:t>
      </w:r>
      <w:r>
        <w:rPr>
          <w:rFonts w:ascii="Arial" w:cs="Arial" w:eastAsia="Arial" w:hAnsi="Arial"/>
          <w:sz w:val="17"/>
          <w:szCs w:val="17"/>
          <w:color w:val="auto"/>
        </w:rPr>
        <w:t>51,969,203</w:t>
      </w:r>
      <w:r>
        <w:rPr>
          <w:rFonts w:ascii="Arial" w:cs="Arial" w:eastAsia="Arial" w:hAnsi="Arial"/>
          <w:sz w:val="20"/>
          <w:szCs w:val="20"/>
          <w:color w:val="auto"/>
        </w:rPr>
        <w:t xml:space="preserve"> shares of common stock, par value $0.01, outstanding.</w:t>
      </w:r>
    </w:p>
    <w:p>
      <w:pPr>
        <w:sectPr>
          <w:pgSz w:w="11900" w:h="16838" w:orient="portrait"/>
          <w:cols w:equalWidth="0" w:num="1">
            <w:col w:w="11060"/>
          </w:cols>
          <w:pgMar w:left="320" w:top="498" w:right="519" w:bottom="1440" w:gutter="0" w:footer="0" w:header="0"/>
        </w:sectPr>
      </w:pPr>
    </w:p>
    <w:bookmarkStart w:id="2" w:name="page3"/>
    <w:bookmarkEnd w:id="2"/>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5600" w:type="dxa"/>
            <w:vAlign w:val="bottom"/>
            <w:gridSpan w:val="28"/>
          </w:tcPr>
          <w:p>
            <w:pPr>
              <w:jc w:val="center"/>
              <w:ind w:right="420"/>
              <w:spacing w:after="0"/>
              <w:rPr>
                <w:sz w:val="20"/>
                <w:szCs w:val="20"/>
                <w:color w:val="auto"/>
              </w:rPr>
            </w:pPr>
            <w:r>
              <w:rPr>
                <w:rFonts w:ascii="Arial" w:cs="Arial" w:eastAsia="Arial" w:hAnsi="Arial"/>
                <w:sz w:val="20"/>
                <w:szCs w:val="20"/>
                <w:color w:val="auto"/>
                <w:w w:val="88"/>
              </w:rPr>
              <w:t>CrossFirst Bankshares, Inc.</w:t>
            </w:r>
          </w:p>
        </w:tc>
        <w:tc>
          <w:tcPr>
            <w:tcW w:w="22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5600" w:type="dxa"/>
            <w:vAlign w:val="bottom"/>
            <w:gridSpan w:val="28"/>
          </w:tcPr>
          <w:p>
            <w:pPr>
              <w:jc w:val="center"/>
              <w:ind w:right="440"/>
              <w:spacing w:after="0"/>
              <w:rPr>
                <w:sz w:val="20"/>
                <w:szCs w:val="20"/>
                <w:color w:val="auto"/>
              </w:rPr>
            </w:pPr>
            <w:r>
              <w:rPr>
                <w:rFonts w:ascii="Arial" w:cs="Arial" w:eastAsia="Arial" w:hAnsi="Arial"/>
                <w:sz w:val="20"/>
                <w:szCs w:val="20"/>
                <w:color w:val="auto"/>
                <w:w w:val="90"/>
              </w:rPr>
              <w:t>Form 10-Q</w:t>
            </w:r>
          </w:p>
        </w:tc>
        <w:tc>
          <w:tcPr>
            <w:tcW w:w="220" w:type="dxa"/>
            <w:vAlign w:val="bottom"/>
          </w:tcPr>
          <w:p>
            <w:pPr>
              <w:spacing w:after="0"/>
              <w:rPr>
                <w:sz w:val="19"/>
                <w:szCs w:val="19"/>
                <w:color w:val="auto"/>
              </w:rPr>
            </w:pPr>
          </w:p>
        </w:tc>
      </w:tr>
      <w:tr>
        <w:trPr>
          <w:trHeight w:val="250"/>
        </w:trPr>
        <w:tc>
          <w:tcPr>
            <w:tcW w:w="3240" w:type="dxa"/>
            <w:vAlign w:val="bottom"/>
          </w:tcPr>
          <w:p>
            <w:pPr>
              <w:spacing w:after="0"/>
              <w:rPr>
                <w:sz w:val="21"/>
                <w:szCs w:val="21"/>
                <w:color w:val="auto"/>
              </w:rPr>
            </w:pPr>
          </w:p>
        </w:tc>
        <w:tc>
          <w:tcPr>
            <w:tcW w:w="5600" w:type="dxa"/>
            <w:vAlign w:val="bottom"/>
            <w:gridSpan w:val="28"/>
          </w:tcPr>
          <w:p>
            <w:pPr>
              <w:jc w:val="center"/>
              <w:ind w:right="440"/>
              <w:spacing w:after="0"/>
              <w:rPr>
                <w:sz w:val="20"/>
                <w:szCs w:val="20"/>
                <w:color w:val="auto"/>
              </w:rPr>
            </w:pPr>
            <w:r>
              <w:rPr>
                <w:rFonts w:ascii="Arial" w:cs="Arial" w:eastAsia="Arial" w:hAnsi="Arial"/>
                <w:sz w:val="20"/>
                <w:szCs w:val="20"/>
                <w:color w:val="auto"/>
                <w:w w:val="88"/>
              </w:rPr>
              <w:t>Quarter Ended September 30, 2019</w:t>
            </w:r>
          </w:p>
        </w:tc>
        <w:tc>
          <w:tcPr>
            <w:tcW w:w="220" w:type="dxa"/>
            <w:vAlign w:val="bottom"/>
          </w:tcPr>
          <w:p>
            <w:pPr>
              <w:spacing w:after="0"/>
              <w:rPr>
                <w:sz w:val="21"/>
                <w:szCs w:val="21"/>
                <w:color w:val="auto"/>
              </w:rPr>
            </w:pPr>
          </w:p>
        </w:tc>
      </w:tr>
      <w:tr>
        <w:trPr>
          <w:trHeight w:val="459"/>
        </w:trPr>
        <w:tc>
          <w:tcPr>
            <w:tcW w:w="3240" w:type="dxa"/>
            <w:vAlign w:val="bottom"/>
          </w:tcPr>
          <w:p>
            <w:pPr>
              <w:spacing w:after="0"/>
              <w:rPr>
                <w:sz w:val="24"/>
                <w:szCs w:val="24"/>
                <w:color w:val="auto"/>
              </w:rPr>
            </w:pPr>
          </w:p>
        </w:tc>
        <w:tc>
          <w:tcPr>
            <w:tcW w:w="5600" w:type="dxa"/>
            <w:vAlign w:val="bottom"/>
            <w:gridSpan w:val="28"/>
          </w:tcPr>
          <w:p>
            <w:pPr>
              <w:jc w:val="center"/>
              <w:ind w:right="420"/>
              <w:spacing w:after="0"/>
              <w:rPr>
                <w:sz w:val="20"/>
                <w:szCs w:val="20"/>
                <w:color w:val="auto"/>
              </w:rPr>
            </w:pPr>
            <w:r>
              <w:rPr>
                <w:rFonts w:ascii="Arial" w:cs="Arial" w:eastAsia="Arial" w:hAnsi="Arial"/>
                <w:sz w:val="20"/>
                <w:szCs w:val="20"/>
                <w:color w:val="auto"/>
                <w:w w:val="93"/>
              </w:rPr>
              <w:t>Index</w:t>
            </w:r>
          </w:p>
        </w:tc>
        <w:tc>
          <w:tcPr>
            <w:tcW w:w="220" w:type="dxa"/>
            <w:vAlign w:val="bottom"/>
          </w:tcPr>
          <w:p>
            <w:pPr>
              <w:spacing w:after="0"/>
              <w:rPr>
                <w:sz w:val="24"/>
                <w:szCs w:val="24"/>
                <w:color w:val="auto"/>
              </w:rPr>
            </w:pPr>
          </w:p>
        </w:tc>
      </w:tr>
      <w:tr>
        <w:trPr>
          <w:trHeight w:val="374"/>
        </w:trPr>
        <w:tc>
          <w:tcPr>
            <w:tcW w:w="3240" w:type="dxa"/>
            <w:vAlign w:val="bottom"/>
          </w:tcPr>
          <w:p>
            <w:pPr>
              <w:spacing w:after="0"/>
              <w:rPr>
                <w:sz w:val="20"/>
                <w:szCs w:val="20"/>
                <w:color w:val="auto"/>
              </w:rPr>
            </w:pPr>
            <w:r>
              <w:rPr>
                <w:rFonts w:ascii="Arial" w:cs="Arial" w:eastAsia="Arial" w:hAnsi="Arial"/>
                <w:sz w:val="18"/>
                <w:szCs w:val="18"/>
                <w:color w:val="auto"/>
              </w:rPr>
              <w:t>Part I. Financial Information</w:t>
            </w: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8"/>
                <w:szCs w:val="18"/>
                <w:color w:val="auto"/>
              </w:rPr>
              <w:t>Item 1.</w:t>
            </w:r>
          </w:p>
        </w:tc>
        <w:tc>
          <w:tcPr>
            <w:tcW w:w="2740" w:type="dxa"/>
            <w:vAlign w:val="bottom"/>
          </w:tcPr>
          <w:p>
            <w:pPr>
              <w:spacing w:after="0"/>
              <w:rPr>
                <w:sz w:val="23"/>
                <w:szCs w:val="23"/>
                <w:color w:val="auto"/>
              </w:rPr>
            </w:pPr>
          </w:p>
        </w:tc>
        <w:tc>
          <w:tcPr>
            <w:tcW w:w="2860" w:type="dxa"/>
            <w:vAlign w:val="bottom"/>
            <w:gridSpan w:val="27"/>
          </w:tcPr>
          <w:p>
            <w:pPr>
              <w:spacing w:after="0"/>
              <w:rPr>
                <w:sz w:val="20"/>
                <w:szCs w:val="20"/>
                <w:color w:val="auto"/>
              </w:rPr>
            </w:pPr>
            <w:r>
              <w:rPr>
                <w:rFonts w:ascii="Arial" w:cs="Arial" w:eastAsia="Arial" w:hAnsi="Arial"/>
                <w:sz w:val="18"/>
                <w:szCs w:val="18"/>
                <w:color w:val="auto"/>
              </w:rPr>
              <w:t>Financial Statements</w:t>
            </w:r>
          </w:p>
        </w:tc>
        <w:tc>
          <w:tcPr>
            <w:tcW w:w="220" w:type="dxa"/>
            <w:vAlign w:val="bottom"/>
          </w:tcPr>
          <w:p>
            <w:pPr>
              <w:spacing w:after="0"/>
              <w:rPr>
                <w:sz w:val="23"/>
                <w:szCs w:val="23"/>
                <w:color w:val="auto"/>
              </w:rPr>
            </w:pPr>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860" w:type="dxa"/>
            <w:vAlign w:val="bottom"/>
            <w:gridSpan w:val="2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Information</w:t>
              </w:r>
            </w:hyperlink>
          </w:p>
        </w:tc>
        <w:tc>
          <w:tcPr>
            <w:tcW w:w="22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29"/>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Balance Sheets -</w:t>
              </w:r>
            </w:hyperlink>
          </w:p>
        </w:tc>
        <w:tc>
          <w:tcPr>
            <w:tcW w:w="220" w:type="dxa"/>
            <w:vAlign w:val="bottom"/>
          </w:tcPr>
          <w:p>
            <w:pPr>
              <w:spacing w:after="0"/>
              <w:rPr>
                <w:sz w:val="19"/>
                <w:szCs w:val="19"/>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680" w:type="dxa"/>
            <w:vAlign w:val="bottom"/>
            <w:gridSpan w:val="14"/>
          </w:tcPr>
          <w:p>
            <w:pPr>
              <w:spacing w:after="0"/>
              <w:rPr>
                <w:sz w:val="17"/>
                <w:szCs w:val="17"/>
                <w:color w:val="auto"/>
              </w:rPr>
            </w:pPr>
          </w:p>
        </w:tc>
        <w:tc>
          <w:tcPr>
            <w:tcW w:w="220" w:type="dxa"/>
            <w:vAlign w:val="bottom"/>
          </w:tcPr>
          <w:p>
            <w:pPr>
              <w:ind w:left="40"/>
              <w:spacing w:after="0" w:line="196"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20"/>
        </w:trPr>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68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Income -</w:t>
              </w:r>
            </w:hyperlink>
          </w:p>
        </w:tc>
        <w:tc>
          <w:tcPr>
            <w:tcW w:w="180" w:type="dxa"/>
            <w:vAlign w:val="bottom"/>
            <w:gridSpan w:val="3"/>
          </w:tcPr>
          <w:p>
            <w:pPr>
              <w:spacing w:after="0"/>
              <w:rPr>
                <w:sz w:val="21"/>
                <w:szCs w:val="21"/>
                <w:color w:val="auto"/>
              </w:rPr>
            </w:pPr>
          </w:p>
        </w:tc>
        <w:tc>
          <w:tcPr>
            <w:tcW w:w="220" w:type="dxa"/>
            <w:vAlign w:val="bottom"/>
          </w:tcPr>
          <w:p>
            <w:pPr>
              <w:spacing w:after="0"/>
              <w:rPr>
                <w:sz w:val="21"/>
                <w:szCs w:val="21"/>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860" w:type="dxa"/>
            <w:vAlign w:val="bottom"/>
            <w:gridSpan w:val="2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220" w:type="dxa"/>
            <w:vAlign w:val="bottom"/>
          </w:tcPr>
          <w:p>
            <w:pPr>
              <w:ind w:left="40"/>
              <w:spacing w:after="0" w:line="196"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20"/>
        </w:trPr>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60" w:type="dxa"/>
            <w:vAlign w:val="bottom"/>
            <w:gridSpan w:val="2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Other</w:t>
              </w:r>
            </w:hyperlink>
          </w:p>
        </w:tc>
        <w:tc>
          <w:tcPr>
            <w:tcW w:w="220" w:type="dxa"/>
            <w:vAlign w:val="bottom"/>
          </w:tcPr>
          <w:p>
            <w:pPr>
              <w:spacing w:after="0"/>
              <w:rPr>
                <w:sz w:val="21"/>
                <w:szCs w:val="21"/>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Comprehensive Income (Loss) -</w:t>
              </w:r>
            </w:hyperlink>
          </w:p>
        </w:tc>
        <w:tc>
          <w:tcPr>
            <w:tcW w:w="100" w:type="dxa"/>
            <w:vAlign w:val="bottom"/>
            <w:tcBorders>
              <w:top w:val="single" w:sz="8" w:color="0000EE"/>
            </w:tcBorders>
            <w:gridSpan w:val="3"/>
          </w:tcPr>
          <w:p>
            <w:pPr>
              <w:spacing w:after="0"/>
              <w:rPr>
                <w:sz w:val="17"/>
                <w:szCs w:val="17"/>
                <w:color w:val="auto"/>
              </w:rPr>
            </w:pPr>
          </w:p>
        </w:tc>
        <w:tc>
          <w:tcPr>
            <w:tcW w:w="44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860" w:type="dxa"/>
            <w:vAlign w:val="bottom"/>
            <w:gridSpan w:val="2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220" w:type="dxa"/>
            <w:vAlign w:val="bottom"/>
          </w:tcPr>
          <w:p>
            <w:pPr>
              <w:ind w:left="40"/>
              <w:spacing w:after="0" w:line="196"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20"/>
        </w:trPr>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9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Consolidated Statements of</w:t>
              </w:r>
            </w:hyperlink>
          </w:p>
        </w:tc>
        <w:tc>
          <w:tcPr>
            <w:tcW w:w="880" w:type="dxa"/>
            <w:vAlign w:val="bottom"/>
            <w:gridSpan w:val="16"/>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3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60" w:type="dxa"/>
            <w:vAlign w:val="bottom"/>
            <w:gridSpan w:val="27"/>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Stockholders’ Equity - Unaudited</w:t>
              </w:r>
            </w:hyperlink>
          </w:p>
        </w:tc>
        <w:tc>
          <w:tcPr>
            <w:tcW w:w="220" w:type="dxa"/>
            <w:vAlign w:val="bottom"/>
          </w:tcPr>
          <w:p>
            <w:pPr>
              <w:ind w:left="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tc>
      </w:tr>
      <w:tr>
        <w:trPr>
          <w:trHeight w:val="230"/>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3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Consolidated Statements of Cash</w:t>
              </w:r>
            </w:hyperlink>
          </w:p>
        </w:tc>
        <w:tc>
          <w:tcPr>
            <w:tcW w:w="480" w:type="dxa"/>
            <w:vAlign w:val="bottom"/>
            <w:gridSpan w:val="12"/>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Flows - Unaudited</w:t>
              </w:r>
            </w:hyperlink>
          </w:p>
        </w:tc>
        <w:tc>
          <w:tcPr>
            <w:tcW w:w="1520" w:type="dxa"/>
            <w:vAlign w:val="bottom"/>
            <w:gridSpan w:val="21"/>
          </w:tcPr>
          <w:p>
            <w:pPr>
              <w:spacing w:after="0"/>
              <w:rPr>
                <w:sz w:val="17"/>
                <w:szCs w:val="17"/>
                <w:color w:val="auto"/>
              </w:rPr>
            </w:pPr>
          </w:p>
        </w:tc>
        <w:tc>
          <w:tcPr>
            <w:tcW w:w="220" w:type="dxa"/>
            <w:vAlign w:val="bottom"/>
          </w:tcPr>
          <w:p>
            <w:pPr>
              <w:ind w:left="40"/>
              <w:spacing w:after="0" w:line="196" w:lineRule="exact"/>
              <w:rPr>
                <w:rFonts w:ascii="Arial" w:cs="Arial" w:eastAsia="Arial" w:hAnsi="Arial"/>
                <w:sz w:val="18"/>
                <w:szCs w:val="18"/>
                <w:u w:val="single" w:color="auto"/>
                <w:color w:val="0000EE"/>
                <w:w w:val="79"/>
              </w:rPr>
            </w:pPr>
            <w:hyperlink w:anchor="page11">
              <w:r>
                <w:rPr>
                  <w:rFonts w:ascii="Arial" w:cs="Arial" w:eastAsia="Arial" w:hAnsi="Arial"/>
                  <w:sz w:val="18"/>
                  <w:szCs w:val="18"/>
                  <w:u w:val="single" w:color="auto"/>
                  <w:color w:val="0000EE"/>
                  <w:w w:val="79"/>
                </w:rPr>
                <w:t>10</w:t>
              </w:r>
            </w:hyperlink>
          </w:p>
        </w:tc>
      </w:tr>
      <w:tr>
        <w:trPr>
          <w:trHeight w:val="276"/>
        </w:trPr>
        <w:tc>
          <w:tcPr>
            <w:tcW w:w="3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60" w:type="dxa"/>
            <w:vAlign w:val="bottom"/>
            <w:gridSpan w:val="27"/>
          </w:tcPr>
          <w:p>
            <w:pPr>
              <w:spacing w:after="0"/>
              <w:rPr>
                <w:sz w:val="20"/>
                <w:szCs w:val="20"/>
                <w:color w:val="auto"/>
              </w:rPr>
            </w:pPr>
            <w:r>
              <w:rPr>
                <w:rFonts w:ascii="Arial" w:cs="Arial" w:eastAsia="Arial" w:hAnsi="Arial"/>
                <w:sz w:val="18"/>
                <w:szCs w:val="18"/>
                <w:color w:val="auto"/>
              </w:rPr>
              <w:t>Notes to Consolidated Financial</w:t>
            </w:r>
          </w:p>
        </w:tc>
        <w:tc>
          <w:tcPr>
            <w:tcW w:w="22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60" w:type="dxa"/>
            <w:vAlign w:val="bottom"/>
            <w:gridSpan w:val="27"/>
          </w:tcPr>
          <w:p>
            <w:pPr>
              <w:spacing w:after="0"/>
              <w:rPr>
                <w:sz w:val="20"/>
                <w:szCs w:val="20"/>
                <w:color w:val="auto"/>
              </w:rPr>
            </w:pPr>
            <w:r>
              <w:rPr>
                <w:rFonts w:ascii="Arial" w:cs="Arial" w:eastAsia="Arial" w:hAnsi="Arial"/>
                <w:sz w:val="18"/>
                <w:szCs w:val="18"/>
                <w:color w:val="auto"/>
              </w:rPr>
              <w:t>Statements - Unaudited</w:t>
            </w:r>
          </w:p>
        </w:tc>
        <w:tc>
          <w:tcPr>
            <w:tcW w:w="220" w:type="dxa"/>
            <w:vAlign w:val="bottom"/>
          </w:tcPr>
          <w:p>
            <w:pPr>
              <w:spacing w:after="0"/>
              <w:rPr>
                <w:sz w:val="20"/>
                <w:szCs w:val="20"/>
                <w:color w:val="auto"/>
              </w:rPr>
            </w:pPr>
          </w:p>
        </w:tc>
      </w:tr>
      <w:tr>
        <w:trPr>
          <w:trHeight w:val="229"/>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6"/>
          </w:tcPr>
          <w:p>
            <w:pPr>
              <w:spacing w:after="0"/>
              <w:rPr>
                <w:rFonts w:ascii="Arial" w:cs="Arial" w:eastAsia="Arial" w:hAnsi="Arial"/>
                <w:sz w:val="18"/>
                <w:szCs w:val="18"/>
                <w:color w:val="0000EE"/>
                <w:w w:val="98"/>
              </w:rPr>
            </w:pPr>
            <w:hyperlink w:anchor="page13">
              <w:r>
                <w:rPr>
                  <w:rFonts w:ascii="Arial" w:cs="Arial" w:eastAsia="Arial" w:hAnsi="Arial"/>
                  <w:sz w:val="18"/>
                  <w:szCs w:val="18"/>
                  <w:color w:val="0000EE"/>
                  <w:w w:val="98"/>
                </w:rPr>
                <w:t>Note 1: Nature of Operations and</w:t>
              </w:r>
            </w:hyperlink>
          </w:p>
        </w:tc>
        <w:tc>
          <w:tcPr>
            <w:tcW w:w="220" w:type="dxa"/>
            <w:vAlign w:val="bottom"/>
          </w:tcPr>
          <w:p>
            <w:pPr>
              <w:spacing w:after="0"/>
              <w:rPr>
                <w:sz w:val="19"/>
                <w:szCs w:val="19"/>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Summary of Significant</w:t>
              </w:r>
            </w:hyperlink>
          </w:p>
        </w:tc>
        <w:tc>
          <w:tcPr>
            <w:tcW w:w="2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3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Accounting Policies</w:t>
              </w:r>
            </w:hyperlink>
          </w:p>
        </w:tc>
        <w:tc>
          <w:tcPr>
            <w:tcW w:w="900" w:type="dxa"/>
            <w:vAlign w:val="bottom"/>
            <w:gridSpan w:val="17"/>
          </w:tcPr>
          <w:p>
            <w:pPr>
              <w:spacing w:after="0"/>
              <w:rPr>
                <w:sz w:val="20"/>
                <w:szCs w:val="20"/>
                <w:color w:val="auto"/>
              </w:rPr>
            </w:pPr>
          </w:p>
        </w:tc>
        <w:tc>
          <w:tcPr>
            <w:tcW w:w="220" w:type="dxa"/>
            <w:vAlign w:val="bottom"/>
          </w:tcPr>
          <w:p>
            <w:pPr>
              <w:ind w:left="40"/>
              <w:spacing w:after="0"/>
              <w:rPr>
                <w:rFonts w:ascii="Arial" w:cs="Arial" w:eastAsia="Arial" w:hAnsi="Arial"/>
                <w:sz w:val="18"/>
                <w:szCs w:val="18"/>
                <w:u w:val="single" w:color="auto"/>
                <w:color w:val="0000EE"/>
                <w:w w:val="79"/>
              </w:rPr>
            </w:pPr>
            <w:hyperlink w:anchor="page13">
              <w:r>
                <w:rPr>
                  <w:rFonts w:ascii="Arial" w:cs="Arial" w:eastAsia="Arial" w:hAnsi="Arial"/>
                  <w:sz w:val="18"/>
                  <w:szCs w:val="18"/>
                  <w:u w:val="single" w:color="auto"/>
                  <w:color w:val="0000EE"/>
                  <w:w w:val="79"/>
                </w:rPr>
                <w:t>12</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 2: Earnings Per Share</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16">
              <w:r>
                <w:rPr>
                  <w:rFonts w:ascii="Arial" w:cs="Arial" w:eastAsia="Arial" w:hAnsi="Arial"/>
                  <w:sz w:val="18"/>
                  <w:szCs w:val="18"/>
                  <w:u w:val="single" w:color="auto"/>
                  <w:color w:val="0000EE"/>
                  <w:w w:val="79"/>
                </w:rPr>
                <w:t>15</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Note 3: Securities</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17">
              <w:r>
                <w:rPr>
                  <w:rFonts w:ascii="Arial" w:cs="Arial" w:eastAsia="Arial" w:hAnsi="Arial"/>
                  <w:sz w:val="18"/>
                  <w:szCs w:val="18"/>
                  <w:u w:val="single" w:color="auto"/>
                  <w:color w:val="0000EE"/>
                  <w:w w:val="79"/>
                </w:rPr>
                <w:t>16</w:t>
              </w:r>
            </w:hyperlink>
          </w:p>
        </w:tc>
      </w:tr>
      <w:tr>
        <w:trPr>
          <w:trHeight w:val="229"/>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6"/>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Note 4: Loans and Allowance for</w:t>
              </w:r>
            </w:hyperlink>
          </w:p>
        </w:tc>
        <w:tc>
          <w:tcPr>
            <w:tcW w:w="220" w:type="dxa"/>
            <w:vAlign w:val="bottom"/>
          </w:tcPr>
          <w:p>
            <w:pPr>
              <w:spacing w:after="0"/>
              <w:rPr>
                <w:sz w:val="19"/>
                <w:szCs w:val="19"/>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Loan Losses</w:t>
              </w:r>
            </w:hyperlink>
          </w:p>
        </w:tc>
        <w:tc>
          <w:tcPr>
            <w:tcW w:w="220" w:type="dxa"/>
            <w:vAlign w:val="bottom"/>
            <w:gridSpan w:val="5"/>
          </w:tcPr>
          <w:p>
            <w:pPr>
              <w:spacing w:after="0"/>
              <w:rPr>
                <w:sz w:val="17"/>
                <w:szCs w:val="17"/>
                <w:color w:val="auto"/>
              </w:rPr>
            </w:pPr>
          </w:p>
        </w:tc>
        <w:tc>
          <w:tcPr>
            <w:tcW w:w="220" w:type="dxa"/>
            <w:vAlign w:val="bottom"/>
          </w:tcPr>
          <w:p>
            <w:pPr>
              <w:ind w:left="40"/>
              <w:spacing w:after="0" w:line="196" w:lineRule="exact"/>
              <w:rPr>
                <w:rFonts w:ascii="Arial" w:cs="Arial" w:eastAsia="Arial" w:hAnsi="Arial"/>
                <w:sz w:val="18"/>
                <w:szCs w:val="18"/>
                <w:u w:val="single" w:color="auto"/>
                <w:color w:val="0000EE"/>
                <w:w w:val="79"/>
              </w:rPr>
            </w:pPr>
            <w:hyperlink w:anchor="page20">
              <w:r>
                <w:rPr>
                  <w:rFonts w:ascii="Arial" w:cs="Arial" w:eastAsia="Arial" w:hAnsi="Arial"/>
                  <w:sz w:val="18"/>
                  <w:szCs w:val="18"/>
                  <w:u w:val="single" w:color="auto"/>
                  <w:color w:val="0000EE"/>
                  <w:w w:val="79"/>
                </w:rPr>
                <w:t>19</w:t>
              </w:r>
            </w:hyperlink>
          </w:p>
        </w:tc>
      </w:tr>
      <w:tr>
        <w:trPr>
          <w:trHeight w:val="20"/>
        </w:trPr>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0"/>
        </w:trPr>
        <w:tc>
          <w:tcPr>
            <w:tcW w:w="3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6"/>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Note 5: Derivatives and Hedging</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29">
              <w:r>
                <w:rPr>
                  <w:rFonts w:ascii="Arial" w:cs="Arial" w:eastAsia="Arial" w:hAnsi="Arial"/>
                  <w:sz w:val="18"/>
                  <w:szCs w:val="18"/>
                  <w:u w:val="single" w:color="auto"/>
                  <w:color w:val="0000EE"/>
                  <w:w w:val="79"/>
                </w:rPr>
                <w:t>26</w:t>
              </w:r>
            </w:hyperlink>
          </w:p>
        </w:tc>
      </w:tr>
      <w:tr>
        <w:trPr>
          <w:trHeight w:val="230"/>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6"/>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Note 6: Interest-Bearing Deposits</w:t>
              </w:r>
            </w:hyperlink>
          </w:p>
        </w:tc>
        <w:tc>
          <w:tcPr>
            <w:tcW w:w="220" w:type="dxa"/>
            <w:vAlign w:val="bottom"/>
          </w:tcPr>
          <w:p>
            <w:pPr>
              <w:spacing w:after="0"/>
              <w:rPr>
                <w:sz w:val="19"/>
                <w:szCs w:val="19"/>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and Borrowings</w:t>
              </w:r>
            </w:hyperlink>
          </w:p>
        </w:tc>
        <w:tc>
          <w:tcPr>
            <w:tcW w:w="1260" w:type="dxa"/>
            <w:vAlign w:val="bottom"/>
            <w:tcBorders>
              <w:top w:val="single" w:sz="8" w:color="0000EE"/>
            </w:tcBorders>
            <w:gridSpan w:val="15"/>
          </w:tcPr>
          <w:p>
            <w:pPr>
              <w:spacing w:after="0"/>
              <w:rPr>
                <w:sz w:val="17"/>
                <w:szCs w:val="17"/>
                <w:color w:val="auto"/>
              </w:rPr>
            </w:pPr>
          </w:p>
        </w:tc>
        <w:tc>
          <w:tcPr>
            <w:tcW w:w="200" w:type="dxa"/>
            <w:vAlign w:val="bottom"/>
            <w:gridSpan w:val="4"/>
          </w:tcPr>
          <w:p>
            <w:pPr>
              <w:spacing w:after="0"/>
              <w:rPr>
                <w:sz w:val="17"/>
                <w:szCs w:val="17"/>
                <w:color w:val="auto"/>
              </w:rPr>
            </w:pPr>
          </w:p>
        </w:tc>
        <w:tc>
          <w:tcPr>
            <w:tcW w:w="220" w:type="dxa"/>
            <w:vAlign w:val="bottom"/>
          </w:tcPr>
          <w:p>
            <w:pPr>
              <w:ind w:left="40"/>
              <w:spacing w:after="0" w:line="196" w:lineRule="exact"/>
              <w:rPr>
                <w:rFonts w:ascii="Arial" w:cs="Arial" w:eastAsia="Arial" w:hAnsi="Arial"/>
                <w:sz w:val="18"/>
                <w:szCs w:val="18"/>
                <w:u w:val="single" w:color="auto"/>
                <w:color w:val="0000EE"/>
                <w:w w:val="79"/>
              </w:rPr>
            </w:pPr>
            <w:hyperlink w:anchor="page31">
              <w:r>
                <w:rPr>
                  <w:rFonts w:ascii="Arial" w:cs="Arial" w:eastAsia="Arial" w:hAnsi="Arial"/>
                  <w:sz w:val="18"/>
                  <w:szCs w:val="18"/>
                  <w:u w:val="single" w:color="auto"/>
                  <w:color w:val="0000EE"/>
                  <w:w w:val="79"/>
                </w:rPr>
                <w:t>28</w:t>
              </w:r>
            </w:hyperlink>
          </w:p>
        </w:tc>
      </w:tr>
      <w:tr>
        <w:trPr>
          <w:trHeight w:val="250"/>
        </w:trPr>
        <w:tc>
          <w:tcPr>
            <w:tcW w:w="3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Note 7: Change in Accumulated</w:t>
              </w:r>
            </w:hyperlink>
          </w:p>
        </w:tc>
        <w:tc>
          <w:tcPr>
            <w:tcW w:w="300" w:type="dxa"/>
            <w:vAlign w:val="bottom"/>
            <w:gridSpan w:val="7"/>
          </w:tcPr>
          <w:p>
            <w:pPr>
              <w:spacing w:after="0"/>
              <w:rPr>
                <w:sz w:val="21"/>
                <w:szCs w:val="21"/>
                <w:color w:val="auto"/>
              </w:rPr>
            </w:pPr>
          </w:p>
        </w:tc>
        <w:tc>
          <w:tcPr>
            <w:tcW w:w="220" w:type="dxa"/>
            <w:vAlign w:val="bottom"/>
          </w:tcPr>
          <w:p>
            <w:pPr>
              <w:spacing w:after="0"/>
              <w:rPr>
                <w:sz w:val="21"/>
                <w:szCs w:val="21"/>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Other Comprehensive Income</w:t>
              </w:r>
            </w:hyperlink>
          </w:p>
        </w:tc>
        <w:tc>
          <w:tcPr>
            <w:tcW w:w="220" w:type="dxa"/>
            <w:vAlign w:val="bottom"/>
          </w:tcPr>
          <w:p>
            <w:pPr>
              <w:spacing w:after="0"/>
              <w:rPr>
                <w:sz w:val="17"/>
                <w:szCs w:val="17"/>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(AOCI)</w:t>
              </w:r>
            </w:hyperlink>
          </w:p>
        </w:tc>
        <w:tc>
          <w:tcPr>
            <w:tcW w:w="1600" w:type="dxa"/>
            <w:vAlign w:val="bottom"/>
            <w:tcBorders>
              <w:top w:val="single" w:sz="8" w:color="0000EE"/>
            </w:tcBorders>
            <w:gridSpan w:val="12"/>
          </w:tcPr>
          <w:p>
            <w:pPr>
              <w:spacing w:after="0"/>
              <w:rPr>
                <w:sz w:val="17"/>
                <w:szCs w:val="17"/>
                <w:color w:val="auto"/>
              </w:rPr>
            </w:pPr>
          </w:p>
        </w:tc>
        <w:tc>
          <w:tcPr>
            <w:tcW w:w="460" w:type="dxa"/>
            <w:vAlign w:val="bottom"/>
            <w:gridSpan w:val="11"/>
          </w:tcPr>
          <w:p>
            <w:pPr>
              <w:spacing w:after="0"/>
              <w:rPr>
                <w:sz w:val="17"/>
                <w:szCs w:val="17"/>
                <w:color w:val="auto"/>
              </w:rPr>
            </w:pPr>
          </w:p>
        </w:tc>
        <w:tc>
          <w:tcPr>
            <w:tcW w:w="220" w:type="dxa"/>
            <w:vAlign w:val="bottom"/>
          </w:tcPr>
          <w:p>
            <w:pPr>
              <w:ind w:left="40"/>
              <w:spacing w:after="0" w:line="196" w:lineRule="exact"/>
              <w:rPr>
                <w:rFonts w:ascii="Arial" w:cs="Arial" w:eastAsia="Arial" w:hAnsi="Arial"/>
                <w:sz w:val="18"/>
                <w:szCs w:val="18"/>
                <w:u w:val="single" w:color="auto"/>
                <w:color w:val="0000EE"/>
                <w:w w:val="79"/>
              </w:rPr>
            </w:pPr>
            <w:hyperlink w:anchor="page31">
              <w:r>
                <w:rPr>
                  <w:rFonts w:ascii="Arial" w:cs="Arial" w:eastAsia="Arial" w:hAnsi="Arial"/>
                  <w:sz w:val="18"/>
                  <w:szCs w:val="18"/>
                  <w:u w:val="single" w:color="auto"/>
                  <w:color w:val="0000EE"/>
                  <w:w w:val="79"/>
                </w:rPr>
                <w:t>28</w:t>
              </w:r>
            </w:hyperlink>
          </w:p>
        </w:tc>
      </w:tr>
      <w:tr>
        <w:trPr>
          <w:trHeight w:val="290"/>
        </w:trPr>
        <w:tc>
          <w:tcPr>
            <w:tcW w:w="3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6"/>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Note 8: Regulatory Matters</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32">
              <w:r>
                <w:rPr>
                  <w:rFonts w:ascii="Arial" w:cs="Arial" w:eastAsia="Arial" w:hAnsi="Arial"/>
                  <w:sz w:val="18"/>
                  <w:szCs w:val="18"/>
                  <w:u w:val="single" w:color="auto"/>
                  <w:color w:val="0000EE"/>
                  <w:w w:val="79"/>
                </w:rPr>
                <w:t>29</w:t>
              </w:r>
            </w:hyperlink>
          </w:p>
        </w:tc>
      </w:tr>
      <w:tr>
        <w:trPr>
          <w:trHeight w:val="230"/>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Note 9: Revenue from Contracts</w:t>
              </w:r>
            </w:hyperlink>
          </w:p>
        </w:tc>
        <w:tc>
          <w:tcPr>
            <w:tcW w:w="280" w:type="dxa"/>
            <w:vAlign w:val="bottom"/>
            <w:gridSpan w:val="6"/>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with Customers</w:t>
              </w:r>
            </w:hyperlink>
          </w:p>
        </w:tc>
        <w:tc>
          <w:tcPr>
            <w:tcW w:w="1480" w:type="dxa"/>
            <w:vAlign w:val="bottom"/>
            <w:gridSpan w:val="20"/>
          </w:tcPr>
          <w:p>
            <w:pPr>
              <w:spacing w:after="0"/>
              <w:rPr>
                <w:sz w:val="17"/>
                <w:szCs w:val="17"/>
                <w:color w:val="auto"/>
              </w:rPr>
            </w:pPr>
          </w:p>
        </w:tc>
        <w:tc>
          <w:tcPr>
            <w:tcW w:w="220" w:type="dxa"/>
            <w:vAlign w:val="bottom"/>
          </w:tcPr>
          <w:p>
            <w:pPr>
              <w:ind w:left="40"/>
              <w:spacing w:after="0" w:line="196" w:lineRule="exact"/>
              <w:rPr>
                <w:rFonts w:ascii="Arial" w:cs="Arial" w:eastAsia="Arial" w:hAnsi="Arial"/>
                <w:sz w:val="18"/>
                <w:szCs w:val="18"/>
                <w:u w:val="single" w:color="auto"/>
                <w:color w:val="0000EE"/>
                <w:w w:val="79"/>
              </w:rPr>
            </w:pPr>
            <w:hyperlink w:anchor="page33">
              <w:r>
                <w:rPr>
                  <w:rFonts w:ascii="Arial" w:cs="Arial" w:eastAsia="Arial" w:hAnsi="Arial"/>
                  <w:sz w:val="18"/>
                  <w:szCs w:val="18"/>
                  <w:u w:val="single" w:color="auto"/>
                  <w:color w:val="0000EE"/>
                  <w:w w:val="79"/>
                </w:rPr>
                <w:t>30</w:t>
              </w:r>
            </w:hyperlink>
          </w:p>
        </w:tc>
      </w:tr>
      <w:tr>
        <w:trPr>
          <w:trHeight w:val="250"/>
        </w:trPr>
        <w:tc>
          <w:tcPr>
            <w:tcW w:w="3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2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Note 10: Equity-Based</w:t>
              </w:r>
            </w:hyperlink>
          </w:p>
        </w:tc>
        <w:tc>
          <w:tcPr>
            <w:tcW w:w="220" w:type="dxa"/>
            <w:vAlign w:val="bottom"/>
          </w:tcPr>
          <w:p>
            <w:pPr>
              <w:spacing w:after="0"/>
              <w:rPr>
                <w:sz w:val="21"/>
                <w:szCs w:val="21"/>
                <w:color w:val="auto"/>
              </w:rPr>
            </w:pPr>
          </w:p>
        </w:tc>
      </w:tr>
      <w:tr>
        <w:trPr>
          <w:trHeight w:val="237"/>
        </w:trPr>
        <w:tc>
          <w:tcPr>
            <w:tcW w:w="3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Compensation</w:t>
              </w:r>
            </w:hyperlink>
          </w:p>
        </w:tc>
        <w:tc>
          <w:tcPr>
            <w:tcW w:w="980" w:type="dxa"/>
            <w:vAlign w:val="bottom"/>
            <w:gridSpan w:val="18"/>
          </w:tcPr>
          <w:p>
            <w:pPr>
              <w:spacing w:after="0"/>
              <w:rPr>
                <w:sz w:val="20"/>
                <w:szCs w:val="20"/>
                <w:color w:val="auto"/>
              </w:rPr>
            </w:pPr>
          </w:p>
        </w:tc>
        <w:tc>
          <w:tcPr>
            <w:tcW w:w="220" w:type="dxa"/>
            <w:vAlign w:val="bottom"/>
          </w:tcPr>
          <w:p>
            <w:pPr>
              <w:ind w:left="40"/>
              <w:spacing w:after="0"/>
              <w:rPr>
                <w:rFonts w:ascii="Arial" w:cs="Arial" w:eastAsia="Arial" w:hAnsi="Arial"/>
                <w:sz w:val="18"/>
                <w:szCs w:val="18"/>
                <w:u w:val="single" w:color="auto"/>
                <w:color w:val="0000EE"/>
                <w:w w:val="79"/>
              </w:rPr>
            </w:pPr>
            <w:hyperlink w:anchor="page34">
              <w:r>
                <w:rPr>
                  <w:rFonts w:ascii="Arial" w:cs="Arial" w:eastAsia="Arial" w:hAnsi="Arial"/>
                  <w:sz w:val="18"/>
                  <w:szCs w:val="18"/>
                  <w:u w:val="single" w:color="auto"/>
                  <w:color w:val="0000EE"/>
                  <w:w w:val="79"/>
                </w:rPr>
                <w:t>31</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Note 11: Income Tax</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34">
              <w:r>
                <w:rPr>
                  <w:rFonts w:ascii="Arial" w:cs="Arial" w:eastAsia="Arial" w:hAnsi="Arial"/>
                  <w:sz w:val="18"/>
                  <w:szCs w:val="18"/>
                  <w:u w:val="single" w:color="auto"/>
                  <w:color w:val="0000EE"/>
                  <w:w w:val="79"/>
                </w:rPr>
                <w:t>31</w:t>
              </w:r>
            </w:hyperlink>
          </w:p>
        </w:tc>
      </w:tr>
      <w:tr>
        <w:trPr>
          <w:trHeight w:val="229"/>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Note 12: Disclosures about Fair</w:t>
              </w:r>
            </w:hyperlink>
          </w:p>
        </w:tc>
        <w:tc>
          <w:tcPr>
            <w:tcW w:w="220" w:type="dxa"/>
            <w:vAlign w:val="bottom"/>
          </w:tcPr>
          <w:p>
            <w:pPr>
              <w:spacing w:after="0"/>
              <w:rPr>
                <w:sz w:val="19"/>
                <w:szCs w:val="19"/>
                <w:color w:val="auto"/>
              </w:rPr>
            </w:pPr>
          </w:p>
        </w:tc>
      </w:tr>
      <w:tr>
        <w:trPr>
          <w:trHeight w:val="237"/>
        </w:trPr>
        <w:tc>
          <w:tcPr>
            <w:tcW w:w="3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Borders>
              <w:top w:val="single" w:sz="8" w:color="0000EE"/>
            </w:tcBorders>
            <w:gridSpan w:val="18"/>
          </w:tcPr>
          <w:p>
            <w:pPr>
              <w:spacing w:after="0"/>
              <w:rPr>
                <w:rFonts w:ascii="Arial" w:cs="Arial" w:eastAsia="Arial" w:hAnsi="Arial"/>
                <w:sz w:val="18"/>
                <w:szCs w:val="18"/>
                <w:u w:val="single" w:color="auto"/>
                <w:color w:val="0000EE"/>
                <w:w w:val="93"/>
              </w:rPr>
            </w:pPr>
            <w:hyperlink w:anchor="page35">
              <w:r>
                <w:rPr>
                  <w:rFonts w:ascii="Arial" w:cs="Arial" w:eastAsia="Arial" w:hAnsi="Arial"/>
                  <w:sz w:val="18"/>
                  <w:szCs w:val="18"/>
                  <w:u w:val="single" w:color="auto"/>
                  <w:color w:val="0000EE"/>
                  <w:w w:val="93"/>
                </w:rPr>
                <w:t>Value of Financial Instruments</w:t>
              </w:r>
            </w:hyperlink>
          </w:p>
        </w:tc>
        <w:tc>
          <w:tcPr>
            <w:tcW w:w="340" w:type="dxa"/>
            <w:vAlign w:val="bottom"/>
            <w:gridSpan w:val="8"/>
          </w:tcPr>
          <w:p>
            <w:pPr>
              <w:spacing w:after="0"/>
              <w:rPr>
                <w:sz w:val="20"/>
                <w:szCs w:val="20"/>
                <w:color w:val="auto"/>
              </w:rPr>
            </w:pPr>
          </w:p>
        </w:tc>
        <w:tc>
          <w:tcPr>
            <w:tcW w:w="220" w:type="dxa"/>
            <w:vAlign w:val="bottom"/>
          </w:tcPr>
          <w:p>
            <w:pPr>
              <w:ind w:left="40"/>
              <w:spacing w:after="0"/>
              <w:rPr>
                <w:rFonts w:ascii="Arial" w:cs="Arial" w:eastAsia="Arial" w:hAnsi="Arial"/>
                <w:sz w:val="18"/>
                <w:szCs w:val="18"/>
                <w:u w:val="single" w:color="auto"/>
                <w:color w:val="0000EE"/>
                <w:w w:val="79"/>
              </w:rPr>
            </w:pPr>
            <w:hyperlink w:anchor="page35">
              <w:r>
                <w:rPr>
                  <w:rFonts w:ascii="Arial" w:cs="Arial" w:eastAsia="Arial" w:hAnsi="Arial"/>
                  <w:sz w:val="18"/>
                  <w:szCs w:val="18"/>
                  <w:u w:val="single" w:color="auto"/>
                  <w:color w:val="0000EE"/>
                  <w:w w:val="79"/>
                </w:rPr>
                <w:t>32</w:t>
              </w:r>
            </w:hyperlink>
          </w:p>
        </w:tc>
      </w:tr>
      <w:tr>
        <w:trPr>
          <w:trHeight w:val="229"/>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6"/>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Note 13: Commitments and Credit</w:t>
              </w:r>
            </w:hyperlink>
          </w:p>
        </w:tc>
        <w:tc>
          <w:tcPr>
            <w:tcW w:w="220" w:type="dxa"/>
            <w:vAlign w:val="bottom"/>
          </w:tcPr>
          <w:p>
            <w:pPr>
              <w:spacing w:after="0"/>
              <w:rPr>
                <w:sz w:val="19"/>
                <w:szCs w:val="19"/>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w:t>
              </w:r>
            </w:hyperlink>
          </w:p>
        </w:tc>
        <w:tc>
          <w:tcPr>
            <w:tcW w:w="140" w:type="dxa"/>
            <w:vAlign w:val="bottom"/>
          </w:tcPr>
          <w:p>
            <w:pPr>
              <w:spacing w:after="0"/>
              <w:rPr>
                <w:sz w:val="17"/>
                <w:szCs w:val="17"/>
                <w:color w:val="auto"/>
              </w:rPr>
            </w:pPr>
          </w:p>
        </w:tc>
        <w:tc>
          <w:tcPr>
            <w:tcW w:w="220" w:type="dxa"/>
            <w:vAlign w:val="bottom"/>
          </w:tcPr>
          <w:p>
            <w:pPr>
              <w:ind w:left="40"/>
              <w:spacing w:after="0" w:line="196" w:lineRule="exact"/>
              <w:rPr>
                <w:rFonts w:ascii="Arial" w:cs="Arial" w:eastAsia="Arial" w:hAnsi="Arial"/>
                <w:sz w:val="18"/>
                <w:szCs w:val="18"/>
                <w:u w:val="single" w:color="auto"/>
                <w:color w:val="0000EE"/>
                <w:w w:val="79"/>
              </w:rPr>
            </w:pPr>
            <w:hyperlink w:anchor="page40">
              <w:r>
                <w:rPr>
                  <w:rFonts w:ascii="Arial" w:cs="Arial" w:eastAsia="Arial" w:hAnsi="Arial"/>
                  <w:sz w:val="18"/>
                  <w:szCs w:val="18"/>
                  <w:u w:val="single" w:color="auto"/>
                  <w:color w:val="0000EE"/>
                  <w:w w:val="79"/>
                </w:rPr>
                <w:t>37</w:t>
              </w:r>
            </w:hyperlink>
          </w:p>
        </w:tc>
      </w:tr>
      <w:tr>
        <w:trPr>
          <w:trHeight w:val="20"/>
        </w:trPr>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2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Note 14: Legal and Regulatory</w:t>
              </w:r>
            </w:hyperlink>
          </w:p>
        </w:tc>
        <w:tc>
          <w:tcPr>
            <w:tcW w:w="220" w:type="dxa"/>
            <w:vAlign w:val="bottom"/>
          </w:tcPr>
          <w:p>
            <w:pPr>
              <w:spacing w:after="0"/>
              <w:rPr>
                <w:sz w:val="21"/>
                <w:szCs w:val="21"/>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Proceedings</w:t>
              </w:r>
            </w:hyperlink>
          </w:p>
        </w:tc>
        <w:tc>
          <w:tcPr>
            <w:tcW w:w="1320" w:type="dxa"/>
            <w:vAlign w:val="bottom"/>
            <w:tcBorders>
              <w:top w:val="single" w:sz="8" w:color="0000EE"/>
            </w:tcBorders>
            <w:gridSpan w:val="13"/>
          </w:tcPr>
          <w:p>
            <w:pPr>
              <w:spacing w:after="0"/>
              <w:rPr>
                <w:sz w:val="17"/>
                <w:szCs w:val="17"/>
                <w:color w:val="auto"/>
              </w:rPr>
            </w:pPr>
          </w:p>
        </w:tc>
        <w:tc>
          <w:tcPr>
            <w:tcW w:w="400" w:type="dxa"/>
            <w:vAlign w:val="bottom"/>
            <w:gridSpan w:val="9"/>
          </w:tcPr>
          <w:p>
            <w:pPr>
              <w:spacing w:after="0"/>
              <w:rPr>
                <w:sz w:val="17"/>
                <w:szCs w:val="17"/>
                <w:color w:val="auto"/>
              </w:rPr>
            </w:pPr>
          </w:p>
        </w:tc>
        <w:tc>
          <w:tcPr>
            <w:tcW w:w="220" w:type="dxa"/>
            <w:vAlign w:val="bottom"/>
          </w:tcPr>
          <w:p>
            <w:pPr>
              <w:ind w:left="40"/>
              <w:spacing w:after="0" w:line="196" w:lineRule="exact"/>
              <w:rPr>
                <w:rFonts w:ascii="Arial" w:cs="Arial" w:eastAsia="Arial" w:hAnsi="Arial"/>
                <w:sz w:val="18"/>
                <w:szCs w:val="18"/>
                <w:u w:val="single" w:color="auto"/>
                <w:color w:val="0000EE"/>
                <w:w w:val="79"/>
              </w:rPr>
            </w:pPr>
            <w:hyperlink w:anchor="page40">
              <w:r>
                <w:rPr>
                  <w:rFonts w:ascii="Arial" w:cs="Arial" w:eastAsia="Arial" w:hAnsi="Arial"/>
                  <w:sz w:val="18"/>
                  <w:szCs w:val="18"/>
                  <w:u w:val="single" w:color="auto"/>
                  <w:color w:val="0000EE"/>
                  <w:w w:val="79"/>
                </w:rPr>
                <w:t>37</w:t>
              </w:r>
            </w:hyperlink>
          </w:p>
        </w:tc>
      </w:tr>
      <w:tr>
        <w:trPr>
          <w:trHeight w:val="276"/>
        </w:trPr>
        <w:tc>
          <w:tcPr>
            <w:tcW w:w="3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60" w:type="dxa"/>
            <w:vAlign w:val="bottom"/>
            <w:gridSpan w:val="27"/>
          </w:tcPr>
          <w:p>
            <w:pPr>
              <w:spacing w:after="0"/>
              <w:rPr>
                <w:sz w:val="20"/>
                <w:szCs w:val="20"/>
                <w:color w:val="auto"/>
              </w:rPr>
            </w:pPr>
            <w:r>
              <w:rPr>
                <w:rFonts w:ascii="Arial" w:cs="Arial" w:eastAsia="Arial" w:hAnsi="Arial"/>
                <w:sz w:val="18"/>
                <w:szCs w:val="18"/>
                <w:color w:val="auto"/>
              </w:rPr>
              <w:t>Management’s Discussion and</w:t>
            </w:r>
          </w:p>
        </w:tc>
        <w:tc>
          <w:tcPr>
            <w:tcW w:w="22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27"/>
          </w:tcPr>
          <w:p>
            <w:pPr>
              <w:spacing w:after="0"/>
              <w:rPr>
                <w:sz w:val="20"/>
                <w:szCs w:val="20"/>
                <w:color w:val="auto"/>
              </w:rPr>
            </w:pPr>
            <w:r>
              <w:rPr>
                <w:rFonts w:ascii="Arial" w:cs="Arial" w:eastAsia="Arial" w:hAnsi="Arial"/>
                <w:sz w:val="18"/>
                <w:szCs w:val="18"/>
                <w:color w:val="auto"/>
              </w:rPr>
              <w:t>Analysis of Financial Condition and</w:t>
            </w:r>
          </w:p>
        </w:tc>
        <w:tc>
          <w:tcPr>
            <w:tcW w:w="220" w:type="dxa"/>
            <w:vAlign w:val="bottom"/>
          </w:tcPr>
          <w:p>
            <w:pPr>
              <w:spacing w:after="0"/>
              <w:rPr>
                <w:sz w:val="18"/>
                <w:szCs w:val="18"/>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Item 2.</w:t>
            </w:r>
          </w:p>
        </w:tc>
        <w:tc>
          <w:tcPr>
            <w:tcW w:w="2740" w:type="dxa"/>
            <w:vAlign w:val="bottom"/>
          </w:tcPr>
          <w:p>
            <w:pPr>
              <w:spacing w:after="0"/>
              <w:rPr>
                <w:sz w:val="20"/>
                <w:szCs w:val="20"/>
                <w:color w:val="auto"/>
              </w:rPr>
            </w:pPr>
          </w:p>
        </w:tc>
        <w:tc>
          <w:tcPr>
            <w:tcW w:w="2860" w:type="dxa"/>
            <w:vAlign w:val="bottom"/>
            <w:gridSpan w:val="27"/>
          </w:tcPr>
          <w:p>
            <w:pPr>
              <w:spacing w:after="0"/>
              <w:rPr>
                <w:sz w:val="20"/>
                <w:szCs w:val="20"/>
                <w:color w:val="auto"/>
              </w:rPr>
            </w:pPr>
            <w:r>
              <w:rPr>
                <w:rFonts w:ascii="Arial" w:cs="Arial" w:eastAsia="Arial" w:hAnsi="Arial"/>
                <w:sz w:val="18"/>
                <w:szCs w:val="18"/>
                <w:color w:val="auto"/>
              </w:rPr>
              <w:t>Results of Operations</w:t>
            </w:r>
          </w:p>
        </w:tc>
        <w:tc>
          <w:tcPr>
            <w:tcW w:w="220" w:type="dxa"/>
            <w:vAlign w:val="bottom"/>
          </w:tcPr>
          <w:p>
            <w:pPr>
              <w:ind w:left="40"/>
              <w:spacing w:after="0"/>
              <w:rPr>
                <w:rFonts w:ascii="Arial" w:cs="Arial" w:eastAsia="Arial" w:hAnsi="Arial"/>
                <w:sz w:val="18"/>
                <w:szCs w:val="18"/>
                <w:u w:val="single" w:color="auto"/>
                <w:color w:val="0000EE"/>
                <w:w w:val="79"/>
              </w:rPr>
            </w:pPr>
            <w:hyperlink w:anchor="page41">
              <w:r>
                <w:rPr>
                  <w:rFonts w:ascii="Arial" w:cs="Arial" w:eastAsia="Arial" w:hAnsi="Arial"/>
                  <w:sz w:val="18"/>
                  <w:szCs w:val="18"/>
                  <w:u w:val="single" w:color="auto"/>
                  <w:color w:val="0000EE"/>
                  <w:w w:val="79"/>
                </w:rPr>
                <w:t>38</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Recent Developments</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41">
              <w:r>
                <w:rPr>
                  <w:rFonts w:ascii="Arial" w:cs="Arial" w:eastAsia="Arial" w:hAnsi="Arial"/>
                  <w:sz w:val="18"/>
                  <w:szCs w:val="18"/>
                  <w:u w:val="single" w:color="auto"/>
                  <w:color w:val="0000EE"/>
                  <w:w w:val="79"/>
                </w:rPr>
                <w:t>38</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spacing w:after="0"/>
              <w:rPr>
                <w:rFonts w:ascii="Arial" w:cs="Arial" w:eastAsia="Arial" w:hAnsi="Arial"/>
                <w:sz w:val="18"/>
                <w:szCs w:val="18"/>
                <w:u w:val="single" w:color="auto"/>
                <w:color w:val="0000EE"/>
                <w:w w:val="90"/>
              </w:rPr>
            </w:pPr>
            <w:hyperlink w:anchor="page42">
              <w:r>
                <w:rPr>
                  <w:rFonts w:ascii="Arial" w:cs="Arial" w:eastAsia="Arial" w:hAnsi="Arial"/>
                  <w:sz w:val="18"/>
                  <w:szCs w:val="18"/>
                  <w:u w:val="single" w:color="auto"/>
                  <w:color w:val="0000EE"/>
                  <w:w w:val="90"/>
                </w:rPr>
                <w:t>Selected Financial Data (unaudited)</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42">
              <w:r>
                <w:rPr>
                  <w:rFonts w:ascii="Arial" w:cs="Arial" w:eastAsia="Arial" w:hAnsi="Arial"/>
                  <w:sz w:val="18"/>
                  <w:szCs w:val="18"/>
                  <w:u w:val="single" w:color="auto"/>
                  <w:color w:val="0000EE"/>
                  <w:w w:val="79"/>
                </w:rPr>
                <w:t>39</w:t>
              </w:r>
            </w:hyperlink>
          </w:p>
        </w:tc>
      </w:tr>
      <w:tr>
        <w:trPr>
          <w:trHeight w:val="229"/>
        </w:trPr>
        <w:tc>
          <w:tcPr>
            <w:tcW w:w="3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GAAP Reconciliation and</w:t>
              </w:r>
            </w:hyperlink>
          </w:p>
        </w:tc>
        <w:tc>
          <w:tcPr>
            <w:tcW w:w="2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11"/>
            <w:shd w:val="clear" w:color="auto" w:fill="0000EE"/>
          </w:tcPr>
          <w:p>
            <w:pPr>
              <w:spacing w:after="0" w:line="20" w:lineRule="exact"/>
              <w:rPr>
                <w:sz w:val="1"/>
                <w:szCs w:val="1"/>
                <w:color w:val="auto"/>
              </w:rPr>
            </w:pPr>
          </w:p>
        </w:tc>
        <w:tc>
          <w:tcPr>
            <w:tcW w:w="58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26"/>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Management Explanation of Non-</w:t>
              </w:r>
            </w:hyperlink>
          </w:p>
        </w:tc>
        <w:tc>
          <w:tcPr>
            <w:tcW w:w="220" w:type="dxa"/>
            <w:vAlign w:val="bottom"/>
          </w:tcPr>
          <w:p>
            <w:pPr>
              <w:spacing w:after="0"/>
              <w:rPr>
                <w:sz w:val="17"/>
                <w:szCs w:val="17"/>
                <w:color w:val="auto"/>
              </w:rPr>
            </w:pPr>
          </w:p>
        </w:tc>
      </w:tr>
      <w:tr>
        <w:trPr>
          <w:trHeight w:val="236"/>
        </w:trPr>
        <w:tc>
          <w:tcPr>
            <w:tcW w:w="3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top w:val="single" w:sz="8" w:color="0000EE"/>
            </w:tcBorders>
            <w:gridSpan w:val="2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GAAP Financial Measures</w:t>
              </w:r>
            </w:hyperlink>
          </w:p>
        </w:tc>
        <w:tc>
          <w:tcPr>
            <w:tcW w:w="160" w:type="dxa"/>
            <w:vAlign w:val="bottom"/>
            <w:gridSpan w:val="2"/>
          </w:tcPr>
          <w:p>
            <w:pPr>
              <w:spacing w:after="0"/>
              <w:rPr>
                <w:sz w:val="20"/>
                <w:szCs w:val="20"/>
                <w:color w:val="auto"/>
              </w:rPr>
            </w:pPr>
          </w:p>
        </w:tc>
        <w:tc>
          <w:tcPr>
            <w:tcW w:w="220" w:type="dxa"/>
            <w:vAlign w:val="bottom"/>
          </w:tcPr>
          <w:p>
            <w:pPr>
              <w:ind w:left="40"/>
              <w:spacing w:after="0"/>
              <w:rPr>
                <w:rFonts w:ascii="Arial" w:cs="Arial" w:eastAsia="Arial" w:hAnsi="Arial"/>
                <w:sz w:val="18"/>
                <w:szCs w:val="18"/>
                <w:u w:val="single" w:color="auto"/>
                <w:color w:val="0000EE"/>
                <w:w w:val="79"/>
              </w:rPr>
            </w:pPr>
            <w:hyperlink w:anchor="page43">
              <w:r>
                <w:rPr>
                  <w:rFonts w:ascii="Arial" w:cs="Arial" w:eastAsia="Arial" w:hAnsi="Arial"/>
                  <w:sz w:val="18"/>
                  <w:szCs w:val="18"/>
                  <w:u w:val="single" w:color="auto"/>
                  <w:color w:val="0000EE"/>
                  <w:w w:val="79"/>
                </w:rPr>
                <w:t>40</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Results of Operations</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47">
              <w:r>
                <w:rPr>
                  <w:rFonts w:ascii="Arial" w:cs="Arial" w:eastAsia="Arial" w:hAnsi="Arial"/>
                  <w:sz w:val="18"/>
                  <w:szCs w:val="18"/>
                  <w:u w:val="single" w:color="auto"/>
                  <w:color w:val="0000EE"/>
                  <w:w w:val="79"/>
                </w:rPr>
                <w:t>44</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Summary</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47">
              <w:r>
                <w:rPr>
                  <w:rFonts w:ascii="Arial" w:cs="Arial" w:eastAsia="Arial" w:hAnsi="Arial"/>
                  <w:sz w:val="18"/>
                  <w:szCs w:val="18"/>
                  <w:u w:val="single" w:color="auto"/>
                  <w:color w:val="0000EE"/>
                  <w:w w:val="79"/>
                </w:rPr>
                <w:t>44</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Net Interest Income</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48">
              <w:r>
                <w:rPr>
                  <w:rFonts w:ascii="Arial" w:cs="Arial" w:eastAsia="Arial" w:hAnsi="Arial"/>
                  <w:sz w:val="18"/>
                  <w:szCs w:val="18"/>
                  <w:u w:val="single" w:color="auto"/>
                  <w:color w:val="0000EE"/>
                  <w:w w:val="79"/>
                </w:rPr>
                <w:t>45</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Provision for Loan Losses</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51">
              <w:r>
                <w:rPr>
                  <w:rFonts w:ascii="Arial" w:cs="Arial" w:eastAsia="Arial" w:hAnsi="Arial"/>
                  <w:sz w:val="18"/>
                  <w:szCs w:val="18"/>
                  <w:u w:val="single" w:color="auto"/>
                  <w:color w:val="0000EE"/>
                  <w:w w:val="79"/>
                </w:rPr>
                <w:t>47</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Non-Interest Income</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52">
              <w:r>
                <w:rPr>
                  <w:rFonts w:ascii="Arial" w:cs="Arial" w:eastAsia="Arial" w:hAnsi="Arial"/>
                  <w:sz w:val="18"/>
                  <w:szCs w:val="18"/>
                  <w:u w:val="single" w:color="auto"/>
                  <w:color w:val="0000EE"/>
                  <w:w w:val="79"/>
                </w:rPr>
                <w:t>48</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Non-Interest Expense</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53">
              <w:r>
                <w:rPr>
                  <w:rFonts w:ascii="Arial" w:cs="Arial" w:eastAsia="Arial" w:hAnsi="Arial"/>
                  <w:sz w:val="18"/>
                  <w:szCs w:val="18"/>
                  <w:u w:val="single" w:color="auto"/>
                  <w:color w:val="0000EE"/>
                  <w:w w:val="79"/>
                </w:rPr>
                <w:t>49</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Income Taxes</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54">
              <w:r>
                <w:rPr>
                  <w:rFonts w:ascii="Arial" w:cs="Arial" w:eastAsia="Arial" w:hAnsi="Arial"/>
                  <w:sz w:val="18"/>
                  <w:szCs w:val="18"/>
                  <w:u w:val="single" w:color="auto"/>
                  <w:color w:val="0000EE"/>
                  <w:w w:val="79"/>
                </w:rPr>
                <w:t>50</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Analysis of Financial Condition</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54">
              <w:r>
                <w:rPr>
                  <w:rFonts w:ascii="Arial" w:cs="Arial" w:eastAsia="Arial" w:hAnsi="Arial"/>
                  <w:sz w:val="18"/>
                  <w:szCs w:val="18"/>
                  <w:u w:val="single" w:color="auto"/>
                  <w:color w:val="0000EE"/>
                  <w:w w:val="79"/>
                </w:rPr>
                <w:t>50</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Balance Sheet Summary</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54">
              <w:r>
                <w:rPr>
                  <w:rFonts w:ascii="Arial" w:cs="Arial" w:eastAsia="Arial" w:hAnsi="Arial"/>
                  <w:sz w:val="18"/>
                  <w:szCs w:val="18"/>
                  <w:u w:val="single" w:color="auto"/>
                  <w:color w:val="0000EE"/>
                  <w:w w:val="79"/>
                </w:rPr>
                <w:t>50</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Security Portfolio</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55">
              <w:r>
                <w:rPr>
                  <w:rFonts w:ascii="Arial" w:cs="Arial" w:eastAsia="Arial" w:hAnsi="Arial"/>
                  <w:sz w:val="18"/>
                  <w:szCs w:val="18"/>
                  <w:u w:val="single" w:color="auto"/>
                  <w:color w:val="0000EE"/>
                  <w:w w:val="79"/>
                </w:rPr>
                <w:t>51</w:t>
              </w:r>
            </w:hyperlink>
          </w:p>
        </w:tc>
      </w:tr>
      <w:tr>
        <w:trPr>
          <w:trHeight w:val="270"/>
        </w:trPr>
        <w:tc>
          <w:tcPr>
            <w:tcW w:w="32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26"/>
          </w:tcPr>
          <w:p>
            <w:pPr>
              <w:ind w:left="10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Loans Portfolio</w:t>
              </w:r>
            </w:hyperlink>
          </w:p>
        </w:tc>
        <w:tc>
          <w:tcPr>
            <w:tcW w:w="220" w:type="dxa"/>
            <w:vAlign w:val="bottom"/>
          </w:tcPr>
          <w:p>
            <w:pPr>
              <w:ind w:left="40"/>
              <w:spacing w:after="0"/>
              <w:rPr>
                <w:rFonts w:ascii="Arial" w:cs="Arial" w:eastAsia="Arial" w:hAnsi="Arial"/>
                <w:sz w:val="18"/>
                <w:szCs w:val="18"/>
                <w:u w:val="single" w:color="auto"/>
                <w:color w:val="0000EE"/>
                <w:w w:val="79"/>
              </w:rPr>
            </w:pPr>
            <w:hyperlink w:anchor="page55">
              <w:r>
                <w:rPr>
                  <w:rFonts w:ascii="Arial" w:cs="Arial" w:eastAsia="Arial" w:hAnsi="Arial"/>
                  <w:sz w:val="18"/>
                  <w:szCs w:val="18"/>
                  <w:u w:val="single" w:color="auto"/>
                  <w:color w:val="0000EE"/>
                  <w:w w:val="79"/>
                </w:rPr>
                <w:t>51</w:t>
              </w:r>
            </w:hyperlink>
          </w:p>
        </w:tc>
      </w:tr>
    </w:tbl>
    <w:p>
      <w:pPr>
        <w:sectPr>
          <w:pgSz w:w="11900" w:h="16850" w:orient="portrait"/>
          <w:cols w:equalWidth="0" w:num="1">
            <w:col w:w="10099"/>
          </w:cols>
          <w:pgMar w:left="360" w:top="365"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Allowance for Loan Losses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56">
              <w:r>
                <w:rPr>
                  <w:rFonts w:ascii="Arial" w:cs="Arial" w:eastAsia="Arial" w:hAnsi="Arial"/>
                  <w:sz w:val="18"/>
                  <w:szCs w:val="18"/>
                  <w:u w:val="single" w:color="auto"/>
                  <w:color w:val="0000EE"/>
                  <w:w w:val="99"/>
                </w:rPr>
                <w:t>52</w:t>
              </w:r>
            </w:hyperlink>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(‘‘ALLL’’)</w:t>
              </w:r>
            </w:hyperlink>
          </w:p>
        </w:tc>
        <w:tc>
          <w:tcPr>
            <w:tcW w:w="5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Nonperforming Assets and Other</w:t>
              </w:r>
            </w:hyperlink>
          </w:p>
        </w:tc>
        <w:tc>
          <w:tcPr>
            <w:tcW w:w="120" w:type="dxa"/>
            <w:vAlign w:val="bottom"/>
            <w:gridSpan w:val="3"/>
          </w:tcPr>
          <w:p>
            <w:pPr>
              <w:spacing w:after="0"/>
              <w:rPr>
                <w:sz w:val="21"/>
                <w:szCs w:val="21"/>
                <w:color w:val="auto"/>
              </w:rPr>
            </w:pPr>
          </w:p>
        </w:tc>
        <w:tc>
          <w:tcPr>
            <w:tcW w:w="220" w:type="dxa"/>
            <w:vAlign w:val="bottom"/>
          </w:tcPr>
          <w:p>
            <w:pPr>
              <w:spacing w:after="0"/>
              <w:rPr>
                <w:sz w:val="21"/>
                <w:szCs w:val="21"/>
                <w:color w:val="auto"/>
              </w:rPr>
            </w:pP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Asset Quality Metrics</w:t>
              </w:r>
            </w:hyperlink>
          </w:p>
        </w:tc>
        <w:tc>
          <w:tcPr>
            <w:tcW w:w="220" w:type="dxa"/>
            <w:vAlign w:val="bottom"/>
          </w:tcPr>
          <w:p>
            <w:pPr>
              <w:jc w:val="right"/>
              <w:spacing w:after="0" w:line="196" w:lineRule="exact"/>
              <w:rPr>
                <w:rFonts w:ascii="Arial" w:cs="Arial" w:eastAsia="Arial" w:hAnsi="Arial"/>
                <w:sz w:val="18"/>
                <w:szCs w:val="18"/>
                <w:u w:val="single" w:color="auto"/>
                <w:color w:val="0000EE"/>
                <w:w w:val="99"/>
              </w:rPr>
            </w:pPr>
            <w:hyperlink w:anchor="page58">
              <w:r>
                <w:rPr>
                  <w:rFonts w:ascii="Arial" w:cs="Arial" w:eastAsia="Arial" w:hAnsi="Arial"/>
                  <w:sz w:val="18"/>
                  <w:szCs w:val="18"/>
                  <w:u w:val="single" w:color="auto"/>
                  <w:color w:val="0000EE"/>
                  <w:w w:val="99"/>
                </w:rPr>
                <w:t>53</w:t>
              </w:r>
            </w:hyperlink>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1"/>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10"/>
          </w:tcPr>
          <w:p>
            <w:pPr>
              <w:spacing w:after="0"/>
              <w:rPr>
                <w:rFonts w:ascii="Arial" w:cs="Arial" w:eastAsia="Arial" w:hAnsi="Arial"/>
                <w:sz w:val="18"/>
                <w:szCs w:val="18"/>
                <w:u w:val="single" w:color="auto"/>
                <w:color w:val="0000EE"/>
                <w:w w:val="99"/>
              </w:rPr>
            </w:pPr>
            <w:hyperlink w:anchor="page59">
              <w:r>
                <w:rPr>
                  <w:rFonts w:ascii="Arial" w:cs="Arial" w:eastAsia="Arial" w:hAnsi="Arial"/>
                  <w:sz w:val="18"/>
                  <w:szCs w:val="18"/>
                  <w:u w:val="single" w:color="auto"/>
                  <w:color w:val="0000EE"/>
                  <w:w w:val="99"/>
                </w:rPr>
                <w:t>Deposits and Other Borrowings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59">
              <w:r>
                <w:rPr>
                  <w:rFonts w:ascii="Arial" w:cs="Arial" w:eastAsia="Arial" w:hAnsi="Arial"/>
                  <w:sz w:val="18"/>
                  <w:szCs w:val="18"/>
                  <w:u w:val="single" w:color="auto"/>
                  <w:color w:val="0000EE"/>
                  <w:w w:val="99"/>
                </w:rPr>
                <w:t>54</w:t>
              </w:r>
            </w:hyperlink>
          </w:p>
        </w:tc>
      </w:tr>
      <w:tr>
        <w:trPr>
          <w:trHeight w:val="270"/>
        </w:trPr>
        <w:tc>
          <w:tcPr>
            <w:tcW w:w="5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11"/>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Liquidity</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59">
              <w:r>
                <w:rPr>
                  <w:rFonts w:ascii="Arial" w:cs="Arial" w:eastAsia="Arial" w:hAnsi="Arial"/>
                  <w:sz w:val="18"/>
                  <w:szCs w:val="18"/>
                  <w:u w:val="single" w:color="auto"/>
                  <w:color w:val="0000EE"/>
                  <w:w w:val="99"/>
                </w:rPr>
                <w:t>54</w:t>
              </w:r>
            </w:hyperlink>
          </w:p>
        </w:tc>
      </w:tr>
      <w:tr>
        <w:trPr>
          <w:trHeight w:val="270"/>
        </w:trPr>
        <w:tc>
          <w:tcPr>
            <w:tcW w:w="5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20" w:type="dxa"/>
            <w:vAlign w:val="bottom"/>
            <w:gridSpan w:val="11"/>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Contractual Obligations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0">
              <w:r>
                <w:rPr>
                  <w:rFonts w:ascii="Arial" w:cs="Arial" w:eastAsia="Arial" w:hAnsi="Arial"/>
                  <w:sz w:val="18"/>
                  <w:szCs w:val="18"/>
                  <w:u w:val="single" w:color="auto"/>
                  <w:color w:val="0000EE"/>
                  <w:w w:val="99"/>
                </w:rPr>
                <w:t>55</w:t>
              </w:r>
            </w:hyperlink>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Capital Resources and Off-Balance</w:t>
              </w:r>
            </w:hyperlink>
          </w:p>
        </w:tc>
        <w:tc>
          <w:tcPr>
            <w:tcW w:w="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1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Sheet Arrangements</w:t>
              </w:r>
            </w:hyperlink>
          </w:p>
        </w:tc>
        <w:tc>
          <w:tcPr>
            <w:tcW w:w="220" w:type="dxa"/>
            <w:vAlign w:val="bottom"/>
          </w:tcPr>
          <w:p>
            <w:pPr>
              <w:jc w:val="right"/>
              <w:spacing w:after="0" w:line="196" w:lineRule="exact"/>
              <w:rPr>
                <w:rFonts w:ascii="Arial" w:cs="Arial" w:eastAsia="Arial" w:hAnsi="Arial"/>
                <w:sz w:val="18"/>
                <w:szCs w:val="18"/>
                <w:u w:val="single" w:color="auto"/>
                <w:color w:val="0000EE"/>
                <w:w w:val="99"/>
              </w:rPr>
            </w:pPr>
            <w:hyperlink w:anchor="page60">
              <w:r>
                <w:rPr>
                  <w:rFonts w:ascii="Arial" w:cs="Arial" w:eastAsia="Arial" w:hAnsi="Arial"/>
                  <w:sz w:val="18"/>
                  <w:szCs w:val="18"/>
                  <w:u w:val="single" w:color="auto"/>
                  <w:color w:val="0000EE"/>
                  <w:w w:val="99"/>
                </w:rPr>
                <w:t>55</w:t>
              </w:r>
            </w:hyperlink>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1"/>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Critical Accounting Policies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1">
              <w:r>
                <w:rPr>
                  <w:rFonts w:ascii="Arial" w:cs="Arial" w:eastAsia="Arial" w:hAnsi="Arial"/>
                  <w:sz w:val="18"/>
                  <w:szCs w:val="18"/>
                  <w:u w:val="single" w:color="auto"/>
                  <w:color w:val="0000EE"/>
                  <w:w w:val="99"/>
                </w:rPr>
                <w:t>56</w:t>
              </w:r>
            </w:hyperlink>
          </w:p>
        </w:tc>
      </w:tr>
      <w:tr>
        <w:trPr>
          <w:trHeight w:val="229"/>
        </w:trPr>
        <w:tc>
          <w:tcPr>
            <w:tcW w:w="5980" w:type="dxa"/>
            <w:vAlign w:val="bottom"/>
          </w:tcPr>
          <w:p>
            <w:pPr>
              <w:spacing w:after="0"/>
              <w:rPr>
                <w:sz w:val="19"/>
                <w:szCs w:val="19"/>
                <w:color w:val="auto"/>
              </w:rPr>
            </w:pPr>
          </w:p>
        </w:tc>
        <w:tc>
          <w:tcPr>
            <w:tcW w:w="20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Quantitative and Qualitative</w:t>
              </w:r>
            </w:hyperlink>
          </w:p>
        </w:tc>
        <w:tc>
          <w:tcPr>
            <w:tcW w:w="820" w:type="dxa"/>
            <w:vAlign w:val="bottom"/>
            <w:gridSpan w:val="5"/>
          </w:tcPr>
          <w:p>
            <w:pPr>
              <w:spacing w:after="0"/>
              <w:rPr>
                <w:sz w:val="19"/>
                <w:szCs w:val="19"/>
                <w:color w:val="auto"/>
              </w:rPr>
            </w:pPr>
          </w:p>
        </w:tc>
        <w:tc>
          <w:tcPr>
            <w:tcW w:w="220" w:type="dxa"/>
            <w:vAlign w:val="bottom"/>
          </w:tcPr>
          <w:p>
            <w:pPr>
              <w:spacing w:after="0"/>
              <w:rPr>
                <w:sz w:val="19"/>
                <w:szCs w:val="19"/>
                <w:color w:val="auto"/>
              </w:rPr>
            </w:pPr>
          </w:p>
        </w:tc>
      </w:tr>
      <w:tr>
        <w:trPr>
          <w:trHeight w:val="237"/>
        </w:trPr>
        <w:tc>
          <w:tcPr>
            <w:tcW w:w="5980" w:type="dxa"/>
            <w:vAlign w:val="bottom"/>
          </w:tcPr>
          <w:p>
            <w:pPr>
              <w:ind w:left="220"/>
              <w:spacing w:after="0"/>
              <w:rPr>
                <w:sz w:val="20"/>
                <w:szCs w:val="20"/>
                <w:color w:val="auto"/>
              </w:rPr>
            </w:pPr>
            <w:r>
              <w:rPr>
                <w:rFonts w:ascii="Arial" w:cs="Arial" w:eastAsia="Arial" w:hAnsi="Arial"/>
                <w:sz w:val="18"/>
                <w:szCs w:val="18"/>
                <w:color w:val="auto"/>
              </w:rPr>
              <w:t>Item 3.</w:t>
            </w:r>
          </w:p>
        </w:tc>
        <w:tc>
          <w:tcPr>
            <w:tcW w:w="2860" w:type="dxa"/>
            <w:vAlign w:val="bottom"/>
            <w:gridSpan w:val="12"/>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Disclosures about Market Risk</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1">
              <w:r>
                <w:rPr>
                  <w:rFonts w:ascii="Arial" w:cs="Arial" w:eastAsia="Arial" w:hAnsi="Arial"/>
                  <w:sz w:val="18"/>
                  <w:szCs w:val="18"/>
                  <w:u w:val="single" w:color="auto"/>
                  <w:color w:val="0000EE"/>
                  <w:w w:val="99"/>
                </w:rPr>
                <w:t>56</w:t>
              </w:r>
            </w:hyperlink>
          </w:p>
        </w:tc>
      </w:tr>
      <w:tr>
        <w:trPr>
          <w:trHeight w:val="270"/>
        </w:trPr>
        <w:tc>
          <w:tcPr>
            <w:tcW w:w="5980" w:type="dxa"/>
            <w:vAlign w:val="bottom"/>
          </w:tcPr>
          <w:p>
            <w:pPr>
              <w:ind w:left="220"/>
              <w:spacing w:after="0"/>
              <w:rPr>
                <w:sz w:val="20"/>
                <w:szCs w:val="20"/>
                <w:color w:val="auto"/>
              </w:rPr>
            </w:pPr>
            <w:r>
              <w:rPr>
                <w:rFonts w:ascii="Arial" w:cs="Arial" w:eastAsia="Arial" w:hAnsi="Arial"/>
                <w:sz w:val="18"/>
                <w:szCs w:val="18"/>
                <w:color w:val="auto"/>
              </w:rPr>
              <w:t>Item 4.</w:t>
            </w:r>
          </w:p>
        </w:tc>
        <w:tc>
          <w:tcPr>
            <w:tcW w:w="2860" w:type="dxa"/>
            <w:vAlign w:val="bottom"/>
            <w:gridSpan w:val="1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Controls and Procedures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3">
              <w:r>
                <w:rPr>
                  <w:rFonts w:ascii="Arial" w:cs="Arial" w:eastAsia="Arial" w:hAnsi="Arial"/>
                  <w:sz w:val="18"/>
                  <w:szCs w:val="18"/>
                  <w:u w:val="single" w:color="auto"/>
                  <w:color w:val="0000EE"/>
                  <w:w w:val="99"/>
                </w:rPr>
                <w:t>58</w:t>
              </w:r>
            </w:hyperlink>
          </w:p>
        </w:tc>
      </w:tr>
      <w:tr>
        <w:trPr>
          <w:trHeight w:val="392"/>
        </w:trPr>
        <w:tc>
          <w:tcPr>
            <w:tcW w:w="5980" w:type="dxa"/>
            <w:vAlign w:val="bottom"/>
          </w:tcPr>
          <w:p>
            <w:pPr>
              <w:spacing w:after="0"/>
              <w:rPr>
                <w:sz w:val="20"/>
                <w:szCs w:val="20"/>
                <w:color w:val="auto"/>
              </w:rPr>
            </w:pPr>
            <w:r>
              <w:rPr>
                <w:rFonts w:ascii="Arial" w:cs="Arial" w:eastAsia="Arial" w:hAnsi="Arial"/>
                <w:sz w:val="18"/>
                <w:szCs w:val="18"/>
                <w:color w:val="auto"/>
              </w:rPr>
              <w:t>Part II. Other Information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5980" w:type="dxa"/>
            <w:vAlign w:val="bottom"/>
          </w:tcPr>
          <w:p>
            <w:pPr>
              <w:ind w:left="220"/>
              <w:spacing w:after="0"/>
              <w:rPr>
                <w:sz w:val="20"/>
                <w:szCs w:val="20"/>
                <w:color w:val="auto"/>
              </w:rPr>
            </w:pPr>
            <w:r>
              <w:rPr>
                <w:rFonts w:ascii="Arial" w:cs="Arial" w:eastAsia="Arial" w:hAnsi="Arial"/>
                <w:sz w:val="18"/>
                <w:szCs w:val="18"/>
                <w:color w:val="auto"/>
              </w:rPr>
              <w:t>Item 1.</w:t>
            </w:r>
          </w:p>
        </w:tc>
        <w:tc>
          <w:tcPr>
            <w:tcW w:w="2860" w:type="dxa"/>
            <w:vAlign w:val="bottom"/>
            <w:gridSpan w:val="1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Legal Proceedings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3">
              <w:r>
                <w:rPr>
                  <w:rFonts w:ascii="Arial" w:cs="Arial" w:eastAsia="Arial" w:hAnsi="Arial"/>
                  <w:sz w:val="18"/>
                  <w:szCs w:val="18"/>
                  <w:u w:val="single" w:color="auto"/>
                  <w:color w:val="0000EE"/>
                  <w:w w:val="99"/>
                </w:rPr>
                <w:t>58</w:t>
              </w:r>
            </w:hyperlink>
          </w:p>
        </w:tc>
      </w:tr>
      <w:tr>
        <w:trPr>
          <w:trHeight w:val="270"/>
        </w:trPr>
        <w:tc>
          <w:tcPr>
            <w:tcW w:w="5980" w:type="dxa"/>
            <w:vAlign w:val="bottom"/>
          </w:tcPr>
          <w:p>
            <w:pPr>
              <w:ind w:left="220"/>
              <w:spacing w:after="0"/>
              <w:rPr>
                <w:sz w:val="20"/>
                <w:szCs w:val="20"/>
                <w:color w:val="auto"/>
              </w:rPr>
            </w:pPr>
            <w:r>
              <w:rPr>
                <w:rFonts w:ascii="Arial" w:cs="Arial" w:eastAsia="Arial" w:hAnsi="Arial"/>
                <w:sz w:val="18"/>
                <w:szCs w:val="18"/>
                <w:color w:val="auto"/>
              </w:rPr>
              <w:t>Item 1A.</w:t>
            </w:r>
          </w:p>
        </w:tc>
        <w:tc>
          <w:tcPr>
            <w:tcW w:w="2860" w:type="dxa"/>
            <w:vAlign w:val="bottom"/>
            <w:gridSpan w:val="1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Risk Factors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3">
              <w:r>
                <w:rPr>
                  <w:rFonts w:ascii="Arial" w:cs="Arial" w:eastAsia="Arial" w:hAnsi="Arial"/>
                  <w:sz w:val="18"/>
                  <w:szCs w:val="18"/>
                  <w:u w:val="single" w:color="auto"/>
                  <w:color w:val="0000EE"/>
                  <w:w w:val="99"/>
                </w:rPr>
                <w:t>58</w:t>
              </w:r>
            </w:hyperlink>
          </w:p>
        </w:tc>
      </w:tr>
      <w:tr>
        <w:trPr>
          <w:trHeight w:val="229"/>
        </w:trPr>
        <w:tc>
          <w:tcPr>
            <w:tcW w:w="5980" w:type="dxa"/>
            <w:vAlign w:val="bottom"/>
          </w:tcPr>
          <w:p>
            <w:pPr>
              <w:spacing w:after="0"/>
              <w:rPr>
                <w:sz w:val="19"/>
                <w:szCs w:val="19"/>
                <w:color w:val="auto"/>
              </w:rPr>
            </w:pPr>
          </w:p>
        </w:tc>
        <w:tc>
          <w:tcPr>
            <w:tcW w:w="2860" w:type="dxa"/>
            <w:vAlign w:val="bottom"/>
            <w:gridSpan w:val="12"/>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Unregistered Sales of Equity Securities</w:t>
              </w:r>
            </w:hyperlink>
          </w:p>
        </w:tc>
        <w:tc>
          <w:tcPr>
            <w:tcW w:w="220" w:type="dxa"/>
            <w:vAlign w:val="bottom"/>
          </w:tcPr>
          <w:p>
            <w:pPr>
              <w:spacing w:after="0"/>
              <w:rPr>
                <w:sz w:val="19"/>
                <w:szCs w:val="19"/>
                <w:color w:val="auto"/>
              </w:rPr>
            </w:pPr>
          </w:p>
        </w:tc>
      </w:tr>
      <w:tr>
        <w:trPr>
          <w:trHeight w:val="196"/>
        </w:trPr>
        <w:tc>
          <w:tcPr>
            <w:tcW w:w="5980" w:type="dxa"/>
            <w:vAlign w:val="bottom"/>
          </w:tcPr>
          <w:p>
            <w:pPr>
              <w:ind w:left="220"/>
              <w:spacing w:after="0" w:line="196" w:lineRule="exact"/>
              <w:rPr>
                <w:sz w:val="20"/>
                <w:szCs w:val="20"/>
                <w:color w:val="auto"/>
              </w:rPr>
            </w:pPr>
            <w:r>
              <w:rPr>
                <w:rFonts w:ascii="Arial" w:cs="Arial" w:eastAsia="Arial" w:hAnsi="Arial"/>
                <w:sz w:val="18"/>
                <w:szCs w:val="18"/>
                <w:color w:val="auto"/>
              </w:rPr>
              <w:t>Item 2.</w:t>
            </w:r>
          </w:p>
        </w:tc>
        <w:tc>
          <w:tcPr>
            <w:tcW w:w="2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and Use of Proceeds</w:t>
              </w:r>
            </w:hyperlink>
          </w:p>
        </w:tc>
        <w:tc>
          <w:tcPr>
            <w:tcW w:w="40" w:type="dxa"/>
            <w:vAlign w:val="bottom"/>
          </w:tcPr>
          <w:p>
            <w:pPr>
              <w:spacing w:after="0"/>
              <w:rPr>
                <w:sz w:val="17"/>
                <w:szCs w:val="17"/>
                <w:color w:val="auto"/>
              </w:rPr>
            </w:pPr>
          </w:p>
        </w:tc>
        <w:tc>
          <w:tcPr>
            <w:tcW w:w="220" w:type="dxa"/>
            <w:vAlign w:val="bottom"/>
          </w:tcPr>
          <w:p>
            <w:pPr>
              <w:jc w:val="right"/>
              <w:spacing w:after="0" w:line="196" w:lineRule="exact"/>
              <w:rPr>
                <w:rFonts w:ascii="Arial" w:cs="Arial" w:eastAsia="Arial" w:hAnsi="Arial"/>
                <w:sz w:val="18"/>
                <w:szCs w:val="18"/>
                <w:u w:val="single" w:color="auto"/>
                <w:color w:val="0000EE"/>
                <w:w w:val="99"/>
              </w:rPr>
            </w:pPr>
            <w:hyperlink w:anchor="page63">
              <w:r>
                <w:rPr>
                  <w:rFonts w:ascii="Arial" w:cs="Arial" w:eastAsia="Arial" w:hAnsi="Arial"/>
                  <w:sz w:val="18"/>
                  <w:szCs w:val="18"/>
                  <w:u w:val="single" w:color="auto"/>
                  <w:color w:val="0000EE"/>
                  <w:w w:val="99"/>
                </w:rPr>
                <w:t>58</w:t>
              </w:r>
            </w:hyperlink>
          </w:p>
        </w:tc>
      </w:tr>
      <w:tr>
        <w:trPr>
          <w:trHeight w:val="20"/>
        </w:trPr>
        <w:tc>
          <w:tcPr>
            <w:tcW w:w="598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1"/>
        </w:trPr>
        <w:tc>
          <w:tcPr>
            <w:tcW w:w="5980" w:type="dxa"/>
            <w:vAlign w:val="bottom"/>
          </w:tcPr>
          <w:p>
            <w:pPr>
              <w:ind w:left="220"/>
              <w:spacing w:after="0"/>
              <w:rPr>
                <w:sz w:val="20"/>
                <w:szCs w:val="20"/>
                <w:color w:val="auto"/>
              </w:rPr>
            </w:pPr>
            <w:r>
              <w:rPr>
                <w:rFonts w:ascii="Arial" w:cs="Arial" w:eastAsia="Arial" w:hAnsi="Arial"/>
                <w:sz w:val="18"/>
                <w:szCs w:val="18"/>
                <w:color w:val="auto"/>
              </w:rPr>
              <w:t>Item 3.</w:t>
            </w:r>
          </w:p>
        </w:tc>
        <w:tc>
          <w:tcPr>
            <w:tcW w:w="2860" w:type="dxa"/>
            <w:vAlign w:val="bottom"/>
            <w:gridSpan w:val="1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Defaults Upon Senior Securities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4">
              <w:r>
                <w:rPr>
                  <w:rFonts w:ascii="Arial" w:cs="Arial" w:eastAsia="Arial" w:hAnsi="Arial"/>
                  <w:sz w:val="18"/>
                  <w:szCs w:val="18"/>
                  <w:u w:val="single" w:color="auto"/>
                  <w:color w:val="0000EE"/>
                  <w:w w:val="99"/>
                </w:rPr>
                <w:t>59</w:t>
              </w:r>
            </w:hyperlink>
          </w:p>
        </w:tc>
      </w:tr>
      <w:tr>
        <w:trPr>
          <w:trHeight w:val="270"/>
        </w:trPr>
        <w:tc>
          <w:tcPr>
            <w:tcW w:w="5980" w:type="dxa"/>
            <w:vAlign w:val="bottom"/>
          </w:tcPr>
          <w:p>
            <w:pPr>
              <w:ind w:left="220"/>
              <w:spacing w:after="0"/>
              <w:rPr>
                <w:sz w:val="20"/>
                <w:szCs w:val="20"/>
                <w:color w:val="auto"/>
              </w:rPr>
            </w:pPr>
            <w:r>
              <w:rPr>
                <w:rFonts w:ascii="Arial" w:cs="Arial" w:eastAsia="Arial" w:hAnsi="Arial"/>
                <w:sz w:val="18"/>
                <w:szCs w:val="18"/>
                <w:color w:val="auto"/>
              </w:rPr>
              <w:t>Item 4.</w:t>
            </w:r>
          </w:p>
        </w:tc>
        <w:tc>
          <w:tcPr>
            <w:tcW w:w="2860" w:type="dxa"/>
            <w:vAlign w:val="bottom"/>
            <w:gridSpan w:val="1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Mine Safety Disclosures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4">
              <w:r>
                <w:rPr>
                  <w:rFonts w:ascii="Arial" w:cs="Arial" w:eastAsia="Arial" w:hAnsi="Arial"/>
                  <w:sz w:val="18"/>
                  <w:szCs w:val="18"/>
                  <w:u w:val="single" w:color="auto"/>
                  <w:color w:val="0000EE"/>
                  <w:w w:val="99"/>
                </w:rPr>
                <w:t>59</w:t>
              </w:r>
            </w:hyperlink>
          </w:p>
        </w:tc>
      </w:tr>
      <w:tr>
        <w:trPr>
          <w:trHeight w:val="270"/>
        </w:trPr>
        <w:tc>
          <w:tcPr>
            <w:tcW w:w="5980" w:type="dxa"/>
            <w:vAlign w:val="bottom"/>
          </w:tcPr>
          <w:p>
            <w:pPr>
              <w:ind w:left="220"/>
              <w:spacing w:after="0"/>
              <w:rPr>
                <w:sz w:val="20"/>
                <w:szCs w:val="20"/>
                <w:color w:val="auto"/>
              </w:rPr>
            </w:pPr>
            <w:r>
              <w:rPr>
                <w:rFonts w:ascii="Arial" w:cs="Arial" w:eastAsia="Arial" w:hAnsi="Arial"/>
                <w:sz w:val="18"/>
                <w:szCs w:val="18"/>
                <w:color w:val="auto"/>
              </w:rPr>
              <w:t>Item 5.</w:t>
            </w:r>
          </w:p>
        </w:tc>
        <w:tc>
          <w:tcPr>
            <w:tcW w:w="2860" w:type="dxa"/>
            <w:vAlign w:val="bottom"/>
            <w:gridSpan w:val="1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4">
              <w:r>
                <w:rPr>
                  <w:rFonts w:ascii="Arial" w:cs="Arial" w:eastAsia="Arial" w:hAnsi="Arial"/>
                  <w:sz w:val="18"/>
                  <w:szCs w:val="18"/>
                  <w:u w:val="single" w:color="auto"/>
                  <w:color w:val="0000EE"/>
                  <w:w w:val="99"/>
                </w:rPr>
                <w:t>59</w:t>
              </w:r>
            </w:hyperlink>
          </w:p>
        </w:tc>
      </w:tr>
      <w:tr>
        <w:trPr>
          <w:trHeight w:val="270"/>
        </w:trPr>
        <w:tc>
          <w:tcPr>
            <w:tcW w:w="5980" w:type="dxa"/>
            <w:vAlign w:val="bottom"/>
          </w:tcPr>
          <w:p>
            <w:pPr>
              <w:ind w:left="220"/>
              <w:spacing w:after="0"/>
              <w:rPr>
                <w:sz w:val="20"/>
                <w:szCs w:val="20"/>
                <w:color w:val="auto"/>
              </w:rPr>
            </w:pPr>
            <w:r>
              <w:rPr>
                <w:rFonts w:ascii="Arial" w:cs="Arial" w:eastAsia="Arial" w:hAnsi="Arial"/>
                <w:sz w:val="18"/>
                <w:szCs w:val="18"/>
                <w:color w:val="auto"/>
              </w:rPr>
              <w:t>Item 6.</w:t>
            </w:r>
          </w:p>
        </w:tc>
        <w:tc>
          <w:tcPr>
            <w:tcW w:w="2860" w:type="dxa"/>
            <w:vAlign w:val="bottom"/>
            <w:gridSpan w:val="1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Exhibits</w:t>
              </w:r>
            </w:hyperlink>
          </w:p>
        </w:tc>
        <w:tc>
          <w:tcPr>
            <w:tcW w:w="220" w:type="dxa"/>
            <w:vAlign w:val="bottom"/>
          </w:tcPr>
          <w:p>
            <w:pPr>
              <w:jc w:val="right"/>
              <w:spacing w:after="0"/>
              <w:rPr>
                <w:rFonts w:ascii="Arial" w:cs="Arial" w:eastAsia="Arial" w:hAnsi="Arial"/>
                <w:sz w:val="18"/>
                <w:szCs w:val="18"/>
                <w:u w:val="single" w:color="auto"/>
                <w:color w:val="0000EE"/>
                <w:w w:val="99"/>
              </w:rPr>
            </w:pPr>
            <w:hyperlink w:anchor="page65">
              <w:r>
                <w:rPr>
                  <w:rFonts w:ascii="Arial" w:cs="Arial" w:eastAsia="Arial" w:hAnsi="Arial"/>
                  <w:sz w:val="18"/>
                  <w:szCs w:val="18"/>
                  <w:u w:val="single" w:color="auto"/>
                  <w:color w:val="0000EE"/>
                  <w:w w:val="99"/>
                </w:rPr>
                <w:t>60</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0099"/>
          </w:cols>
          <w:pgMar w:left="360" w:top="108" w:right="1440" w:bottom="1440" w:gutter="0" w:footer="0" w:header="0"/>
        </w:sectPr>
      </w:pPr>
    </w:p>
    <w:bookmarkStart w:id="4" w:name="page5"/>
    <w:bookmarkEnd w:id="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Information</w:t>
      </w:r>
    </w:p>
    <w:p>
      <w:pPr>
        <w:spacing w:after="0" w:line="230" w:lineRule="exact"/>
        <w:rPr>
          <w:sz w:val="20"/>
          <w:szCs w:val="20"/>
          <w:color w:val="auto"/>
        </w:rPr>
      </w:pPr>
    </w:p>
    <w:p>
      <w:pPr>
        <w:ind w:right="300" w:firstLine="486"/>
        <w:spacing w:after="0" w:line="260" w:lineRule="auto"/>
        <w:rPr>
          <w:sz w:val="20"/>
          <w:szCs w:val="20"/>
          <w:color w:val="auto"/>
        </w:rPr>
      </w:pPr>
      <w:r>
        <w:rPr>
          <w:rFonts w:ascii="Arial" w:cs="Arial" w:eastAsia="Arial" w:hAnsi="Arial"/>
          <w:sz w:val="19"/>
          <w:szCs w:val="19"/>
          <w:color w:val="auto"/>
        </w:rPr>
        <w:t>This report may contain forward-looking statements that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194" w:lineRule="exact"/>
        <w:rPr>
          <w:sz w:val="20"/>
          <w:szCs w:val="20"/>
          <w:color w:val="auto"/>
        </w:rPr>
      </w:pPr>
    </w:p>
    <w:p>
      <w:pPr>
        <w:ind w:right="40" w:firstLine="486"/>
        <w:spacing w:after="0" w:line="308" w:lineRule="auto"/>
        <w:rPr>
          <w:sz w:val="20"/>
          <w:szCs w:val="20"/>
          <w:color w:val="auto"/>
        </w:rPr>
      </w:pPr>
      <w:r>
        <w:rPr>
          <w:rFonts w:ascii="Arial" w:cs="Arial" w:eastAsia="Arial" w:hAnsi="Arial"/>
          <w:sz w:val="16"/>
          <w:szCs w:val="16"/>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 Such possible events or factors include: changes in economic conditions in the Company’s market area, changes in policies by regulatory agencies, governmental legislation and regulation, fluctuations in interest rates, changes in liquidity requirements, demand for loans in the Company’s market area, changes in accounting and tax principles, estimates made on income taxes, competition with other entities that offer financial services, cybersecurity threats, and such other factors as discussed in our prospectus (File No. 333-232704), dated August 14, 2019, filed with the Securities and Exchange Commission (‘‘SEC’’) pursuant to Rule 424(b) of the Securities Act of 1933, as amended (the ‘‘Securities Act’’), on August 15, 2019, related to our initial public offering.</w:t>
      </w:r>
    </w:p>
    <w:p>
      <w:pPr>
        <w:spacing w:after="0" w:line="393" w:lineRule="exact"/>
        <w:rPr>
          <w:sz w:val="20"/>
          <w:szCs w:val="20"/>
          <w:color w:val="auto"/>
        </w:rPr>
      </w:pPr>
    </w:p>
    <w:p>
      <w:pPr>
        <w:ind w:right="220" w:firstLine="486"/>
        <w:spacing w:after="0" w:line="385" w:lineRule="auto"/>
        <w:rPr>
          <w:sz w:val="20"/>
          <w:szCs w:val="20"/>
          <w:color w:val="auto"/>
        </w:rPr>
      </w:pPr>
      <w:r>
        <w:rPr>
          <w:rFonts w:ascii="Arial" w:cs="Arial" w:eastAsia="Arial" w:hAnsi="Arial"/>
          <w:sz w:val="16"/>
          <w:szCs w:val="16"/>
          <w:color w:val="auto"/>
        </w:rPr>
        <w:t>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PART I -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ITEM 1. FINANCIAL STATEMENTS</w:t>
      </w:r>
    </w:p>
    <w:p>
      <w:pPr>
        <w:jc w:val="center"/>
        <w:spacing w:after="0"/>
        <w:rPr>
          <w:sz w:val="20"/>
          <w:szCs w:val="20"/>
          <w:color w:val="auto"/>
        </w:rPr>
      </w:pPr>
      <w:r>
        <w:rPr>
          <w:rFonts w:ascii="Arial" w:cs="Arial" w:eastAsia="Arial" w:hAnsi="Arial"/>
          <w:sz w:val="20"/>
          <w:szCs w:val="20"/>
          <w:color w:val="auto"/>
        </w:rPr>
        <w:t>CROSSFIRST BANKSHARES, INC.</w:t>
      </w:r>
    </w:p>
    <w:p>
      <w:pPr>
        <w:jc w:val="center"/>
        <w:spacing w:after="0"/>
        <w:rPr>
          <w:sz w:val="20"/>
          <w:szCs w:val="20"/>
          <w:color w:val="auto"/>
        </w:rPr>
      </w:pPr>
      <w:r>
        <w:rPr>
          <w:rFonts w:ascii="Arial" w:cs="Arial" w:eastAsia="Arial" w:hAnsi="Arial"/>
          <w:sz w:val="20"/>
          <w:szCs w:val="20"/>
          <w:color w:val="auto"/>
        </w:rPr>
        <w:t>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2019</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2018</w:t>
            </w:r>
          </w:p>
        </w:tc>
      </w:tr>
      <w:tr>
        <w:trPr>
          <w:trHeight w:val="264"/>
        </w:trPr>
        <w:tc>
          <w:tcPr>
            <w:tcW w:w="7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(Unaudited)</w:t>
            </w:r>
          </w:p>
        </w:tc>
        <w:tc>
          <w:tcPr>
            <w:tcW w:w="2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33"/>
        </w:trPr>
        <w:tc>
          <w:tcPr>
            <w:tcW w:w="7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4"/>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4"/>
          </w:tcPr>
          <w:p>
            <w:pPr>
              <w:jc w:val="right"/>
              <w:ind w:right="1250"/>
              <w:spacing w:after="0"/>
              <w:rPr>
                <w:sz w:val="20"/>
                <w:szCs w:val="20"/>
                <w:color w:val="auto"/>
              </w:rPr>
            </w:pPr>
            <w:r>
              <w:rPr>
                <w:rFonts w:ascii="Arial" w:cs="Arial" w:eastAsia="Arial" w:hAnsi="Arial"/>
                <w:sz w:val="16"/>
                <w:szCs w:val="16"/>
                <w:i w:val="1"/>
                <w:iCs w:val="1"/>
                <w:color w:val="auto"/>
              </w:rPr>
              <w:t>(Dollars in thousands)</w:t>
            </w:r>
          </w:p>
        </w:tc>
      </w:tr>
      <w:tr>
        <w:trPr>
          <w:trHeight w:val="276"/>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216,541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Available for sale securities - taxable</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323,531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296,133</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 for sale securities - tax-exempt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367,545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Premises and equipment, held for sale</w:t>
            </w:r>
          </w:p>
        </w:tc>
        <w:tc>
          <w:tcPr>
            <w:tcW w:w="20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3,444</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9"/>
        </w:trPr>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Loans, net of allowance for loan losses of $42,995 and $37,826 at September 30, 2019</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and December 31,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3,586,797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3,022,921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71,314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74,945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15,909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14,092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Foreclosed assets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7,429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16,316</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and 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65,228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63,811</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9,146</w:t>
            </w: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4,651,313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4,107,215</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Non-interest bearing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484,284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Savings, NOW and money market</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1,922,522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1,714,136</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1,221,754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1,009,677</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Total deposits</w:t>
            </w: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3,658,108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3,208,097</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 funds purchased and repurchase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75,406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307,804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312,985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payable and other liabilities</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32,244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19,507</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4,048,878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3,616,879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 $0.01 par value, $25 liquidation value:</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29"/>
        </w:trPr>
        <w:tc>
          <w:tcPr>
            <w:tcW w:w="7080" w:type="dxa"/>
            <w:vAlign w:val="bottom"/>
          </w:tcPr>
          <w:p>
            <w:pPr>
              <w:ind w:left="380"/>
              <w:spacing w:after="0"/>
              <w:rPr>
                <w:sz w:val="20"/>
                <w:szCs w:val="20"/>
                <w:color w:val="auto"/>
              </w:rPr>
            </w:pPr>
            <w:r>
              <w:rPr>
                <w:rFonts w:ascii="Arial" w:cs="Arial" w:eastAsia="Arial" w:hAnsi="Arial"/>
                <w:sz w:val="18"/>
                <w:szCs w:val="18"/>
                <w:color w:val="auto"/>
                <w:w w:val="91"/>
              </w:rPr>
              <w:t>authorized - 5,000,000 shares, issued - 0 and 1,200,000 shares at September 30, 2019 and</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80" w:type="dxa"/>
            <w:vAlign w:val="bottom"/>
          </w:tcPr>
          <w:p>
            <w:pPr>
              <w:ind w:left="380"/>
              <w:spacing w:after="0"/>
              <w:rPr>
                <w:sz w:val="20"/>
                <w:szCs w:val="20"/>
                <w:color w:val="auto"/>
              </w:rPr>
            </w:pPr>
            <w:r>
              <w:rPr>
                <w:rFonts w:ascii="Arial" w:cs="Arial" w:eastAsia="Arial" w:hAnsi="Arial"/>
                <w:sz w:val="18"/>
                <w:szCs w:val="18"/>
                <w:color w:val="auto"/>
              </w:rPr>
              <w:t>December 31, 2018, respectively</w:t>
            </w:r>
          </w:p>
        </w:tc>
        <w:tc>
          <w:tcPr>
            <w:tcW w:w="200" w:type="dxa"/>
            <w:vAlign w:val="bottom"/>
          </w:tcPr>
          <w:p>
            <w:pPr>
              <w:spacing w:after="0"/>
              <w:rPr>
                <w:sz w:val="20"/>
                <w:szCs w:val="20"/>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$0.01 par value:</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29"/>
        </w:trPr>
        <w:tc>
          <w:tcPr>
            <w:tcW w:w="7080" w:type="dxa"/>
            <w:vAlign w:val="bottom"/>
          </w:tcPr>
          <w:p>
            <w:pPr>
              <w:ind w:left="380"/>
              <w:spacing w:after="0"/>
              <w:rPr>
                <w:sz w:val="20"/>
                <w:szCs w:val="20"/>
                <w:color w:val="auto"/>
              </w:rPr>
            </w:pPr>
            <w:r>
              <w:rPr>
                <w:rFonts w:ascii="Arial" w:cs="Arial" w:eastAsia="Arial" w:hAnsi="Arial"/>
                <w:sz w:val="18"/>
                <w:szCs w:val="18"/>
                <w:color w:val="auto"/>
                <w:w w:val="91"/>
              </w:rPr>
              <w:t>authorized - 200,000,000 shares, issued - 51,969,203 and 45,074,322 shares at September</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80" w:type="dxa"/>
            <w:vAlign w:val="bottom"/>
          </w:tcPr>
          <w:p>
            <w:pPr>
              <w:ind w:left="380"/>
              <w:spacing w:after="0"/>
              <w:rPr>
                <w:sz w:val="20"/>
                <w:szCs w:val="20"/>
                <w:color w:val="auto"/>
              </w:rPr>
            </w:pPr>
            <w:r>
              <w:rPr>
                <w:rFonts w:ascii="Arial" w:cs="Arial" w:eastAsia="Arial" w:hAnsi="Arial"/>
                <w:sz w:val="18"/>
                <w:szCs w:val="18"/>
                <w:color w:val="auto"/>
              </w:rPr>
              <w:t>30, 2019 and December 31, 2018, respectively</w:t>
            </w:r>
          </w:p>
        </w:tc>
        <w:tc>
          <w:tcPr>
            <w:tcW w:w="200" w:type="dxa"/>
            <w:vAlign w:val="bottom"/>
          </w:tcPr>
          <w:p>
            <w:pPr>
              <w:spacing w:after="0"/>
              <w:rPr>
                <w:sz w:val="20"/>
                <w:szCs w:val="20"/>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454,512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65,282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38,567</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17,901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(3,010)</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602,435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490,336</w:t>
            </w:r>
          </w:p>
        </w:tc>
      </w:tr>
      <w:tr>
        <w:trPr>
          <w:trHeight w:val="257"/>
        </w:trPr>
        <w:tc>
          <w:tcPr>
            <w:tcW w:w="708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4,651,313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4,107,215</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 (unaudited)</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CROSSFIRST BANKSHARES,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INCOME -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Three months ended</w:t>
            </w:r>
          </w:p>
        </w:tc>
        <w:tc>
          <w:tcPr>
            <w:tcW w:w="280" w:type="dxa"/>
            <w:vAlign w:val="bottom"/>
          </w:tcPr>
          <w:p>
            <w:pPr>
              <w:spacing w:after="0"/>
              <w:rPr>
                <w:sz w:val="20"/>
                <w:szCs w:val="20"/>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3"/>
                <w:szCs w:val="23"/>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9"/>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gridSpan w:val="9"/>
          </w:tcPr>
          <w:p>
            <w:pPr>
              <w:jc w:val="right"/>
              <w:ind w:right="30"/>
              <w:spacing w:after="0"/>
              <w:rPr>
                <w:sz w:val="20"/>
                <w:szCs w:val="20"/>
                <w:color w:val="auto"/>
              </w:rPr>
            </w:pPr>
            <w:r>
              <w:rPr>
                <w:rFonts w:ascii="Arial" w:cs="Arial" w:eastAsia="Arial" w:hAnsi="Arial"/>
                <w:sz w:val="18"/>
                <w:szCs w:val="18"/>
                <w:i w:val="1"/>
                <w:iCs w:val="1"/>
                <w:color w:val="auto"/>
              </w:rPr>
              <w:t>(Dollars in thousands except per share data)</w:t>
            </w:r>
          </w:p>
        </w:tc>
        <w:tc>
          <w:tcPr>
            <w:tcW w:w="9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Loans, including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49,327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34,012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142,319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89,262</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 for sale securities - Taxable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5,729</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Available for sale securities - Tax-exempt</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11,622</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Deposits with financial institutions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Dividends on bank stocks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109,812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Deposits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26,639</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Fed funds purchased and repurchase agreements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Advances from Federal Home Loan Bank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Other borrowings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19,743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31,759</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Interest Income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35,786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28,968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104,265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78,053</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Loan Losses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30,936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25,968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69,053</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Service charges and fees (rebates) on customer accounts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available for 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Impairment of premises and equipment held for sale</w:t>
            </w:r>
          </w:p>
        </w:tc>
        <w:tc>
          <w:tcPr>
            <w:tcW w:w="2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loans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Income from bank-owned life insurance</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1,511</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Swap fee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ATM and credit card interchange income</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827</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37"/>
        </w:trPr>
        <w:tc>
          <w:tcPr>
            <w:tcW w:w="5960" w:type="dxa"/>
            <w:vAlign w:val="bottom"/>
          </w:tcPr>
          <w:p>
            <w:pPr>
              <w:ind w:left="720"/>
              <w:spacing w:after="0"/>
              <w:rPr>
                <w:sz w:val="20"/>
                <w:szCs w:val="20"/>
                <w:color w:val="auto"/>
              </w:rPr>
            </w:pPr>
            <w:r>
              <w:rPr>
                <w:rFonts w:ascii="Arial" w:cs="Arial" w:eastAsia="Arial" w:hAnsi="Arial"/>
                <w:sz w:val="18"/>
                <w:szCs w:val="18"/>
                <w:color w:val="auto"/>
              </w:rPr>
              <w:t>Total non-interest income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Salaries and employee benefits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43,296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43,689</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2,421</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Deposit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Data processing</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1,470</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Software and communication</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1,958</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Other non-interest expense</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4,153</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non-interest expense</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65,589</w:t>
            </w: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Income Before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12,976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34,481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8,352</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10,384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6,354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29,173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9,256</w:t>
            </w:r>
          </w:p>
        </w:tc>
      </w:tr>
      <w:tr>
        <w:trPr>
          <w:trHeight w:val="257"/>
        </w:trPr>
        <w:tc>
          <w:tcPr>
            <w:tcW w:w="5960" w:type="dxa"/>
            <w:vAlign w:val="bottom"/>
            <w:tcBorders>
              <w:bottom w:val="single" w:sz="8" w:color="CCEEFF"/>
            </w:tcBorders>
            <w:shd w:val="clear" w:color="auto" w:fill="CCEEFF"/>
          </w:tcPr>
          <w:p>
            <w:pPr>
              <w:ind w:left="40"/>
              <w:spacing w:after="0" w:line="257" w:lineRule="exact"/>
              <w:rPr>
                <w:sz w:val="20"/>
                <w:szCs w:val="20"/>
                <w:color w:val="auto"/>
              </w:rPr>
            </w:pPr>
            <w:r>
              <w:rPr>
                <w:rFonts w:ascii="Arial" w:cs="Arial" w:eastAsia="Arial" w:hAnsi="Arial"/>
                <w:sz w:val="18"/>
                <w:szCs w:val="18"/>
                <w:b w:val="1"/>
                <w:bCs w:val="1"/>
                <w:color w:val="auto"/>
              </w:rPr>
              <w:t>Basic Earnings Per Share</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9"/>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r>
              <w:rPr>
                <w:rFonts w:ascii="Arial" w:cs="Arial" w:eastAsia="Arial" w:hAnsi="Arial"/>
                <w:sz w:val="25"/>
                <w:szCs w:val="25"/>
                <w:b w:val="1"/>
                <w:bCs w:val="1"/>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-24130</wp:posOffset>
            </wp:positionV>
            <wp:extent cx="33515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1530" cy="26035"/>
                    </a:xfrm>
                    <a:prstGeom prst="rect">
                      <a:avLst/>
                    </a:prstGeom>
                    <a:noFill/>
                  </pic:spPr>
                </pic:pic>
              </a:graphicData>
            </a:graphic>
          </wp:anchor>
        </w:drawing>
      </w:r>
    </w:p>
    <w:p>
      <w:pPr>
        <w:ind w:left="200" w:hanging="165"/>
        <w:spacing w:after="0" w:line="217" w:lineRule="auto"/>
        <w:tabs>
          <w:tab w:leader="none" w:pos="20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Share data has been adjusted to reflect a 2-for-1 stock split effected in the form of a dividend on December 21, 2018.</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 (unaudited)</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CROSSFIRST BANKSHARES,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OTHER COMPREHENSIVE INCOME (LOSS) -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Three months ended</w:t>
            </w:r>
          </w:p>
        </w:tc>
        <w:tc>
          <w:tcPr>
            <w:tcW w:w="280" w:type="dxa"/>
            <w:vAlign w:val="bottom"/>
          </w:tcPr>
          <w:p>
            <w:pPr>
              <w:spacing w:after="0"/>
              <w:rPr>
                <w:sz w:val="20"/>
                <w:szCs w:val="20"/>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3"/>
                <w:szCs w:val="23"/>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5"/>
          </w:tcPr>
          <w:p>
            <w:pPr>
              <w:ind w:left="26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9,256</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Less: income tax (benefit)</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(5,414)</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(loss) on available-for-sale securities, net of income tax</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5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(benefit)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(16,648)</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Reclassification adjustment for realized gains included in income</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income tax</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09"/>
        </w:trPr>
        <w:tc>
          <w:tcPr>
            <w:tcW w:w="5960" w:type="dxa"/>
            <w:vAlign w:val="bottom"/>
          </w:tcPr>
          <w:p>
            <w:pPr>
              <w:ind w:left="380"/>
              <w:spacing w:after="0"/>
              <w:rPr>
                <w:sz w:val="20"/>
                <w:szCs w:val="20"/>
                <w:color w:val="auto"/>
              </w:rPr>
            </w:pPr>
            <w:r>
              <w:rPr>
                <w:rFonts w:ascii="Arial" w:cs="Arial" w:eastAsia="Arial" w:hAnsi="Arial"/>
                <w:sz w:val="18"/>
                <w:szCs w:val="18"/>
                <w:color w:val="auto"/>
                <w:w w:val="94"/>
              </w:rPr>
              <w:t>Less: reclassification adjustment for realized gains included in income, net</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5960" w:type="dxa"/>
            <w:vAlign w:val="bottom"/>
          </w:tcPr>
          <w:p>
            <w:pPr>
              <w:ind w:left="540"/>
              <w:spacing w:after="0"/>
              <w:rPr>
                <w:sz w:val="20"/>
                <w:szCs w:val="20"/>
                <w:color w:val="auto"/>
              </w:rPr>
            </w:pPr>
            <w:r>
              <w:rPr>
                <w:rFonts w:ascii="Arial" w:cs="Arial" w:eastAsia="Arial" w:hAnsi="Arial"/>
                <w:sz w:val="18"/>
                <w:szCs w:val="18"/>
                <w:color w:val="auto"/>
              </w:rPr>
              <w:t>of income tax</w:t>
            </w: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(17,107)</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14,706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50,015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(7,851)</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 (unaudited)</w:t>
      </w:r>
    </w:p>
    <w:p>
      <w:pPr>
        <w:spacing w:after="0" w:line="23"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CROSSFIRST BANKSHARES,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STOCKHOLDERS’ EQUITY -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760" w:type="dxa"/>
            <w:vAlign w:val="bottom"/>
          </w:tcPr>
          <w:p>
            <w:pPr>
              <w:spacing w:after="0"/>
              <w:rPr>
                <w:sz w:val="18"/>
                <w:szCs w:val="18"/>
                <w:color w:val="auto"/>
              </w:rPr>
            </w:pPr>
          </w:p>
        </w:tc>
      </w:tr>
      <w:tr>
        <w:trPr>
          <w:trHeight w:val="270"/>
        </w:trPr>
        <w:tc>
          <w:tcPr>
            <w:tcW w:w="2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760" w:type="dxa"/>
            <w:vAlign w:val="bottom"/>
          </w:tcPr>
          <w:p>
            <w:pPr>
              <w:spacing w:after="0"/>
              <w:rPr>
                <w:sz w:val="23"/>
                <w:szCs w:val="23"/>
                <w:color w:val="auto"/>
              </w:rPr>
            </w:pPr>
          </w:p>
        </w:tc>
      </w:tr>
      <w:tr>
        <w:trPr>
          <w:trHeight w:val="270"/>
        </w:trPr>
        <w:tc>
          <w:tcPr>
            <w:tcW w:w="2260" w:type="dxa"/>
            <w:vAlign w:val="bottom"/>
          </w:tcPr>
          <w:p>
            <w:pPr>
              <w:spacing w:after="0"/>
              <w:rPr>
                <w:sz w:val="23"/>
                <w:szCs w:val="23"/>
                <w:color w:val="auto"/>
              </w:rPr>
            </w:pPr>
          </w:p>
        </w:tc>
        <w:tc>
          <w:tcPr>
            <w:tcW w:w="1980" w:type="dxa"/>
            <w:vAlign w:val="bottom"/>
            <w:gridSpan w:val="5"/>
          </w:tcPr>
          <w:p>
            <w:pPr>
              <w:ind w:left="400"/>
              <w:spacing w:after="0"/>
              <w:rPr>
                <w:sz w:val="20"/>
                <w:szCs w:val="20"/>
                <w:color w:val="auto"/>
              </w:rPr>
            </w:pPr>
            <w:r>
              <w:rPr>
                <w:rFonts w:ascii="Arial" w:cs="Arial" w:eastAsia="Arial" w:hAnsi="Arial"/>
                <w:sz w:val="16"/>
                <w:szCs w:val="16"/>
                <w:b w:val="1"/>
                <w:bCs w:val="1"/>
                <w:color w:val="auto"/>
              </w:rPr>
              <w:t>Preferred Stock</w:t>
            </w: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Paid in</w:t>
            </w:r>
          </w:p>
        </w:tc>
        <w:tc>
          <w:tcPr>
            <w:tcW w:w="10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760" w:type="dxa"/>
            <w:vAlign w:val="bottom"/>
          </w:tcPr>
          <w:p>
            <w:pPr>
              <w:spacing w:after="0"/>
              <w:rPr>
                <w:sz w:val="23"/>
                <w:szCs w:val="23"/>
                <w:color w:val="auto"/>
              </w:rPr>
            </w:pPr>
          </w:p>
        </w:tc>
      </w:tr>
      <w:tr>
        <w:trPr>
          <w:trHeight w:val="33"/>
        </w:trPr>
        <w:tc>
          <w:tcPr>
            <w:tcW w:w="226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63"/>
        </w:trPr>
        <w:tc>
          <w:tcPr>
            <w:tcW w:w="2260" w:type="dxa"/>
            <w:vAlign w:val="bottom"/>
          </w:tcPr>
          <w:p>
            <w:pPr>
              <w:spacing w:after="0"/>
              <w:rPr>
                <w:sz w:val="22"/>
                <w:szCs w:val="22"/>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92"/>
              </w:rPr>
              <w:t>Amount</w:t>
            </w: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1"/>
                <w:szCs w:val="21"/>
                <w:b w:val="1"/>
                <w:bCs w:val="1"/>
                <w:color w:val="auto"/>
                <w:vertAlign w:val="superscript"/>
              </w:rPr>
              <w:t>(1)</w:t>
            </w: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6"/>
              </w:rPr>
              <w:t>Earnings</w:t>
            </w:r>
            <w:r>
              <w:rPr>
                <w:rFonts w:ascii="Arial" w:cs="Arial" w:eastAsia="Arial" w:hAnsi="Arial"/>
                <w:sz w:val="21"/>
                <w:szCs w:val="21"/>
                <w:b w:val="1"/>
                <w:bCs w:val="1"/>
                <w:color w:val="auto"/>
                <w:w w:val="86"/>
                <w:vertAlign w:val="superscript"/>
              </w:rPr>
              <w:t>(1)</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w:t>
            </w:r>
          </w:p>
        </w:tc>
      </w:tr>
      <w:tr>
        <w:trPr>
          <w:trHeight w:val="244"/>
        </w:trPr>
        <w:tc>
          <w:tcPr>
            <w:tcW w:w="2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80" w:type="dxa"/>
            <w:vAlign w:val="bottom"/>
            <w:gridSpan w:val="8"/>
          </w:tcPr>
          <w:p>
            <w:pPr>
              <w:ind w:left="3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35,496,278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321,544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$ 342,537</w:t>
            </w:r>
          </w:p>
        </w:tc>
      </w:tr>
      <w:tr>
        <w:trPr>
          <w:trHeight w:val="237"/>
        </w:trPr>
        <w:tc>
          <w:tcPr>
            <w:tcW w:w="22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6,354</w:t>
            </w:r>
          </w:p>
        </w:tc>
      </w:tr>
      <w:tr>
        <w:trPr>
          <w:trHeight w:val="33"/>
        </w:trPr>
        <w:tc>
          <w:tcPr>
            <w:tcW w:w="2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unrealized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2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on available-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9"/>
        </w:trPr>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for-sale securities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(5,120)</w:t>
            </w:r>
          </w:p>
        </w:tc>
      </w:tr>
      <w:tr>
        <w:trPr>
          <w:trHeight w:val="237"/>
        </w:trPr>
        <w:tc>
          <w:tcPr>
            <w:tcW w:w="2260" w:type="dxa"/>
            <w:vAlign w:val="bottom"/>
          </w:tcPr>
          <w:p>
            <w:pPr>
              <w:ind w:left="180"/>
              <w:spacing w:after="0"/>
              <w:rPr>
                <w:sz w:val="20"/>
                <w:szCs w:val="20"/>
                <w:color w:val="auto"/>
              </w:rPr>
            </w:pPr>
            <w:r>
              <w:rPr>
                <w:rFonts w:ascii="Arial" w:cs="Arial" w:eastAsia="Arial" w:hAnsi="Arial"/>
                <w:sz w:val="16"/>
                <w:szCs w:val="16"/>
                <w:color w:val="auto"/>
              </w:rPr>
              <w:t>Issuance of shares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5,031,110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69,733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69,758</w:t>
            </w:r>
          </w:p>
        </w:tc>
      </w:tr>
      <w:tr>
        <w:trPr>
          <w:trHeight w:val="33"/>
        </w:trPr>
        <w:tc>
          <w:tcPr>
            <w:tcW w:w="2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Issuance of shares from equity-</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based awards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260" w:type="dxa"/>
            <w:vAlign w:val="bottom"/>
          </w:tcPr>
          <w:p>
            <w:pPr>
              <w:ind w:left="180"/>
              <w:spacing w:after="0"/>
              <w:rPr>
                <w:sz w:val="20"/>
                <w:szCs w:val="20"/>
                <w:color w:val="auto"/>
              </w:rPr>
            </w:pPr>
            <w:r>
              <w:rPr>
                <w:rFonts w:ascii="Arial" w:cs="Arial" w:eastAsia="Arial" w:hAnsi="Arial"/>
                <w:sz w:val="16"/>
                <w:szCs w:val="16"/>
                <w:color w:val="auto"/>
              </w:rPr>
              <w:t>Retired shares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(265,908)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(3,790)</w:t>
            </w:r>
          </w:p>
        </w:tc>
      </w:tr>
      <w:tr>
        <w:trPr>
          <w:trHeight w:val="33"/>
        </w:trPr>
        <w:tc>
          <w:tcPr>
            <w:tcW w:w="2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dividends declared</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20"/>
        </w:trPr>
        <w:tc>
          <w:tcPr>
            <w:tcW w:w="2260" w:type="dxa"/>
            <w:vAlign w:val="bottom"/>
          </w:tcPr>
          <w:p>
            <w:pPr>
              <w:ind w:left="440"/>
              <w:spacing w:after="0"/>
              <w:rPr>
                <w:sz w:val="20"/>
                <w:szCs w:val="20"/>
                <w:color w:val="auto"/>
              </w:rPr>
            </w:pPr>
            <w:r>
              <w:rPr>
                <w:rFonts w:ascii="Arial" w:cs="Arial" w:eastAsia="Arial" w:hAnsi="Arial"/>
                <w:sz w:val="16"/>
                <w:szCs w:val="16"/>
                <w:color w:val="auto"/>
                <w:w w:val="93"/>
              </w:rPr>
              <w:t>Employee receivables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260" w:type="dxa"/>
            <w:vAlign w:val="bottom"/>
          </w:tcPr>
          <w:p>
            <w:pPr>
              <w:ind w:left="440"/>
              <w:spacing w:after="0"/>
              <w:rPr>
                <w:sz w:val="20"/>
                <w:szCs w:val="20"/>
                <w:color w:val="auto"/>
              </w:rPr>
            </w:pPr>
            <w:r>
              <w:rPr>
                <w:rFonts w:ascii="Arial" w:cs="Arial" w:eastAsia="Arial" w:hAnsi="Arial"/>
                <w:sz w:val="16"/>
                <w:szCs w:val="16"/>
                <w:color w:val="auto"/>
              </w:rPr>
              <w:t>sale of stock</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2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r>
      <w:tr>
        <w:trPr>
          <w:trHeight w:val="220"/>
        </w:trPr>
        <w:tc>
          <w:tcPr>
            <w:tcW w:w="2260" w:type="dxa"/>
            <w:vAlign w:val="bottom"/>
          </w:tcPr>
          <w:p>
            <w:pPr>
              <w:ind w:left="440"/>
              <w:spacing w:after="0"/>
              <w:rPr>
                <w:sz w:val="20"/>
                <w:szCs w:val="20"/>
                <w:color w:val="auto"/>
              </w:rPr>
            </w:pPr>
            <w:r>
              <w:rPr>
                <w:rFonts w:ascii="Arial" w:cs="Arial" w:eastAsia="Arial" w:hAnsi="Arial"/>
                <w:sz w:val="16"/>
                <w:szCs w:val="16"/>
                <w:color w:val="auto"/>
                <w:w w:val="98"/>
              </w:rPr>
              <w:t>Employee stock purchase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260" w:type="dxa"/>
            <w:vAlign w:val="bottom"/>
          </w:tcPr>
          <w:p>
            <w:pPr>
              <w:ind w:left="440"/>
              <w:spacing w:after="0"/>
              <w:rPr>
                <w:sz w:val="20"/>
                <w:szCs w:val="20"/>
                <w:color w:val="auto"/>
              </w:rPr>
            </w:pPr>
            <w:r>
              <w:rPr>
                <w:rFonts w:ascii="Arial" w:cs="Arial" w:eastAsia="Arial" w:hAnsi="Arial"/>
                <w:sz w:val="16"/>
                <w:szCs w:val="16"/>
                <w:color w:val="auto"/>
              </w:rPr>
              <w:t>plan additions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2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Balance at September 30, 2018</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40,261,480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389,310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$ 409,780</w:t>
            </w:r>
          </w:p>
        </w:tc>
      </w:tr>
      <w:tr>
        <w:trPr>
          <w:trHeight w:val="20"/>
        </w:trPr>
        <w:tc>
          <w:tcPr>
            <w:tcW w:w="2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2"/>
        </w:trPr>
        <w:tc>
          <w:tcPr>
            <w:tcW w:w="226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2019</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45,367,641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430,347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$ 499,195</w:t>
            </w:r>
          </w:p>
        </w:tc>
      </w:tr>
      <w:tr>
        <w:trPr>
          <w:trHeight w:val="237"/>
        </w:trPr>
        <w:tc>
          <w:tcPr>
            <w:tcW w:w="22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10,384</w:t>
            </w:r>
          </w:p>
        </w:tc>
      </w:tr>
      <w:tr>
        <w:trPr>
          <w:trHeight w:val="33"/>
        </w:trPr>
        <w:tc>
          <w:tcPr>
            <w:tcW w:w="2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unrealized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2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appreciation on available-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9"/>
        </w:trPr>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for-sale securities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4,322</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4,322</w:t>
            </w:r>
          </w:p>
        </w:tc>
      </w:tr>
      <w:tr>
        <w:trPr>
          <w:trHeight w:val="237"/>
        </w:trPr>
        <w:tc>
          <w:tcPr>
            <w:tcW w:w="2260" w:type="dxa"/>
            <w:vAlign w:val="bottom"/>
          </w:tcPr>
          <w:p>
            <w:pPr>
              <w:ind w:left="180"/>
              <w:spacing w:after="0"/>
              <w:rPr>
                <w:sz w:val="20"/>
                <w:szCs w:val="20"/>
                <w:color w:val="auto"/>
              </w:rPr>
            </w:pPr>
            <w:r>
              <w:rPr>
                <w:rFonts w:ascii="Arial" w:cs="Arial" w:eastAsia="Arial" w:hAnsi="Arial"/>
                <w:sz w:val="16"/>
                <w:szCs w:val="16"/>
                <w:color w:val="auto"/>
              </w:rPr>
              <w:t>Issuance of shares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6,600,245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87,154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87,220</w:t>
            </w:r>
          </w:p>
        </w:tc>
      </w:tr>
      <w:tr>
        <w:trPr>
          <w:trHeight w:val="33"/>
        </w:trPr>
        <w:tc>
          <w:tcPr>
            <w:tcW w:w="2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Issuance of shares from equity-</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2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based awards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2260" w:type="dxa"/>
            <w:vAlign w:val="bottom"/>
          </w:tcPr>
          <w:p>
            <w:pPr>
              <w:ind w:left="180"/>
              <w:spacing w:after="0"/>
              <w:rPr>
                <w:sz w:val="20"/>
                <w:szCs w:val="20"/>
                <w:color w:val="auto"/>
              </w:rPr>
            </w:pPr>
            <w:r>
              <w:rPr>
                <w:rFonts w:ascii="Arial" w:cs="Arial" w:eastAsia="Arial" w:hAnsi="Arial"/>
                <w:sz w:val="16"/>
                <w:szCs w:val="16"/>
                <w:color w:val="auto"/>
              </w:rPr>
              <w:t>Employee receivables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260" w:type="dxa"/>
            <w:vAlign w:val="bottom"/>
          </w:tcPr>
          <w:p>
            <w:pPr>
              <w:ind w:left="340"/>
              <w:spacing w:after="0"/>
              <w:rPr>
                <w:sz w:val="20"/>
                <w:szCs w:val="20"/>
                <w:color w:val="auto"/>
              </w:rPr>
            </w:pPr>
            <w:r>
              <w:rPr>
                <w:rFonts w:ascii="Arial" w:cs="Arial" w:eastAsia="Arial" w:hAnsi="Arial"/>
                <w:sz w:val="16"/>
                <w:szCs w:val="16"/>
                <w:color w:val="auto"/>
              </w:rPr>
              <w:t>sale of stock</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r>
      <w:tr>
        <w:trPr>
          <w:trHeight w:val="220"/>
        </w:trPr>
        <w:tc>
          <w:tcPr>
            <w:tcW w:w="2260" w:type="dxa"/>
            <w:vAlign w:val="bottom"/>
          </w:tcPr>
          <w:p>
            <w:pPr>
              <w:ind w:left="180"/>
              <w:spacing w:after="0"/>
              <w:rPr>
                <w:sz w:val="20"/>
                <w:szCs w:val="20"/>
                <w:color w:val="auto"/>
              </w:rPr>
            </w:pPr>
            <w:r>
              <w:rPr>
                <w:rFonts w:ascii="Arial" w:cs="Arial" w:eastAsia="Arial" w:hAnsi="Arial"/>
                <w:sz w:val="16"/>
                <w:szCs w:val="16"/>
                <w:color w:val="auto"/>
                <w:w w:val="94"/>
              </w:rPr>
              <w:t>Employee stock purchase plan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260" w:type="dxa"/>
            <w:vAlign w:val="bottom"/>
          </w:tcPr>
          <w:p>
            <w:pPr>
              <w:ind w:left="340"/>
              <w:spacing w:after="0"/>
              <w:rPr>
                <w:sz w:val="20"/>
                <w:szCs w:val="20"/>
                <w:color w:val="auto"/>
              </w:rPr>
            </w:pPr>
            <w:r>
              <w:rPr>
                <w:rFonts w:ascii="Arial" w:cs="Arial" w:eastAsia="Arial" w:hAnsi="Arial"/>
                <w:sz w:val="16"/>
                <w:szCs w:val="16"/>
                <w:color w:val="auto"/>
              </w:rPr>
              <w:t>additions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Balance at September 30, 2019</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51,969,203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518,816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17,901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$ 602,435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8890</wp:posOffset>
            </wp:positionV>
            <wp:extent cx="570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ind w:left="180" w:hanging="172"/>
        <w:spacing w:after="0" w:line="222"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Share data has been adjusted to reflect a 2-for-1 stock split effected in the form of a dividend on December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 (unaudited)</w:t>
      </w:r>
    </w:p>
    <w:p>
      <w:pPr>
        <w:spacing w:after="0" w:line="23"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CROSSFIRST BANKSHARES,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STOCKHOLDERS’ EQUITY - UNAUDITED - CONTINUED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760" w:type="dxa"/>
            <w:vAlign w:val="bottom"/>
          </w:tcPr>
          <w:p>
            <w:pPr>
              <w:spacing w:after="0"/>
              <w:rPr>
                <w:sz w:val="18"/>
                <w:szCs w:val="18"/>
                <w:color w:val="auto"/>
              </w:rPr>
            </w:pPr>
          </w:p>
        </w:tc>
      </w:tr>
      <w:tr>
        <w:trPr>
          <w:trHeight w:val="270"/>
        </w:trPr>
        <w:tc>
          <w:tcPr>
            <w:tcW w:w="2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760" w:type="dxa"/>
            <w:vAlign w:val="bottom"/>
          </w:tcPr>
          <w:p>
            <w:pPr>
              <w:spacing w:after="0"/>
              <w:rPr>
                <w:sz w:val="23"/>
                <w:szCs w:val="23"/>
                <w:color w:val="auto"/>
              </w:rPr>
            </w:pPr>
          </w:p>
        </w:tc>
      </w:tr>
      <w:tr>
        <w:trPr>
          <w:trHeight w:val="270"/>
        </w:trPr>
        <w:tc>
          <w:tcPr>
            <w:tcW w:w="2160" w:type="dxa"/>
            <w:vAlign w:val="bottom"/>
          </w:tcPr>
          <w:p>
            <w:pPr>
              <w:spacing w:after="0"/>
              <w:rPr>
                <w:sz w:val="23"/>
                <w:szCs w:val="23"/>
                <w:color w:val="auto"/>
              </w:rPr>
            </w:pPr>
          </w:p>
        </w:tc>
        <w:tc>
          <w:tcPr>
            <w:tcW w:w="2080" w:type="dxa"/>
            <w:vAlign w:val="bottom"/>
            <w:gridSpan w:val="5"/>
          </w:tcPr>
          <w:p>
            <w:pPr>
              <w:ind w:left="440"/>
              <w:spacing w:after="0"/>
              <w:rPr>
                <w:sz w:val="20"/>
                <w:szCs w:val="20"/>
                <w:color w:val="auto"/>
              </w:rPr>
            </w:pPr>
            <w:r>
              <w:rPr>
                <w:rFonts w:ascii="Arial" w:cs="Arial" w:eastAsia="Arial" w:hAnsi="Arial"/>
                <w:sz w:val="16"/>
                <w:szCs w:val="16"/>
                <w:b w:val="1"/>
                <w:bCs w:val="1"/>
                <w:color w:val="auto"/>
              </w:rPr>
              <w:t>Preferred Stock</w:t>
            </w: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Paid in</w:t>
            </w:r>
          </w:p>
        </w:tc>
        <w:tc>
          <w:tcPr>
            <w:tcW w:w="10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760" w:type="dxa"/>
            <w:vAlign w:val="bottom"/>
          </w:tcPr>
          <w:p>
            <w:pPr>
              <w:spacing w:after="0"/>
              <w:rPr>
                <w:sz w:val="23"/>
                <w:szCs w:val="23"/>
                <w:color w:val="auto"/>
              </w:rPr>
            </w:pPr>
          </w:p>
        </w:tc>
      </w:tr>
      <w:tr>
        <w:trPr>
          <w:trHeight w:val="33"/>
        </w:trPr>
        <w:tc>
          <w:tcPr>
            <w:tcW w:w="216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63"/>
        </w:trPr>
        <w:tc>
          <w:tcPr>
            <w:tcW w:w="2160" w:type="dxa"/>
            <w:vAlign w:val="bottom"/>
          </w:tcPr>
          <w:p>
            <w:pPr>
              <w:spacing w:after="0"/>
              <w:rPr>
                <w:sz w:val="22"/>
                <w:szCs w:val="22"/>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1"/>
                <w:szCs w:val="21"/>
                <w:b w:val="1"/>
                <w:bCs w:val="1"/>
                <w:color w:val="auto"/>
                <w:vertAlign w:val="superscript"/>
              </w:rPr>
              <w:t>(1)</w:t>
            </w: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6"/>
              </w:rPr>
              <w:t>Earnings</w:t>
            </w:r>
            <w:r>
              <w:rPr>
                <w:rFonts w:ascii="Arial" w:cs="Arial" w:eastAsia="Arial" w:hAnsi="Arial"/>
                <w:sz w:val="21"/>
                <w:szCs w:val="21"/>
                <w:b w:val="1"/>
                <w:bCs w:val="1"/>
                <w:color w:val="auto"/>
                <w:w w:val="86"/>
                <w:vertAlign w:val="superscript"/>
              </w:rPr>
              <w:t>(1)</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w:t>
            </w:r>
          </w:p>
        </w:tc>
      </w:tr>
      <w:tr>
        <w:trPr>
          <w:trHeight w:val="217"/>
        </w:trPr>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gridSpan w:val="8"/>
          </w:tcPr>
          <w:p>
            <w:pPr>
              <w:jc w:val="center"/>
              <w:ind w:right="620"/>
              <w:spacing w:after="0"/>
              <w:rPr>
                <w:sz w:val="20"/>
                <w:szCs w:val="20"/>
                <w:color w:val="auto"/>
              </w:rPr>
            </w:pPr>
            <w:r>
              <w:rPr>
                <w:rFonts w:ascii="Arial" w:cs="Arial" w:eastAsia="Arial" w:hAnsi="Arial"/>
                <w:sz w:val="16"/>
                <w:szCs w:val="16"/>
                <w:i w:val="1"/>
                <w:iCs w:val="1"/>
                <w:color w:val="auto"/>
                <w:w w:val="93"/>
              </w:rPr>
              <w:t>(Dollars in thousands)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6"/>
                <w:szCs w:val="16"/>
                <w:color w:val="auto"/>
                <w:w w:val="95"/>
              </w:rPr>
              <w:t>Balance at December 31, 2017</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1,200,000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w w:val="97"/>
              </w:rPr>
              <w:t>30,686,256</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307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256,108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23,950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7,026</w:t>
            </w:r>
          </w:p>
        </w:tc>
        <w:tc>
          <w:tcPr>
            <w:tcW w:w="12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$ 287,147</w:t>
            </w:r>
          </w:p>
        </w:tc>
      </w:tr>
      <w:tr>
        <w:trPr>
          <w:trHeight w:val="33"/>
        </w:trPr>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9,256</w:t>
            </w:r>
          </w:p>
        </w:tc>
      </w:tr>
      <w:tr>
        <w:trPr>
          <w:trHeight w:val="220"/>
        </w:trPr>
        <w:tc>
          <w:tcPr>
            <w:tcW w:w="2160" w:type="dxa"/>
            <w:vAlign w:val="bottom"/>
          </w:tcPr>
          <w:p>
            <w:pPr>
              <w:ind w:left="180"/>
              <w:spacing w:after="0"/>
              <w:rPr>
                <w:sz w:val="20"/>
                <w:szCs w:val="20"/>
                <w:color w:val="auto"/>
              </w:rPr>
            </w:pPr>
            <w:r>
              <w:rPr>
                <w:rFonts w:ascii="Arial" w:cs="Arial" w:eastAsia="Arial" w:hAnsi="Arial"/>
                <w:sz w:val="16"/>
                <w:szCs w:val="16"/>
                <w:color w:val="auto"/>
              </w:rPr>
              <w:t>Change in unrealized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2160" w:type="dxa"/>
            <w:vAlign w:val="bottom"/>
          </w:tcPr>
          <w:p>
            <w:pPr>
              <w:ind w:left="340"/>
              <w:spacing w:after="0"/>
              <w:rPr>
                <w:sz w:val="20"/>
                <w:szCs w:val="20"/>
                <w:color w:val="auto"/>
              </w:rPr>
            </w:pPr>
            <w:r>
              <w:rPr>
                <w:rFonts w:ascii="Arial" w:cs="Arial" w:eastAsia="Arial" w:hAnsi="Arial"/>
                <w:sz w:val="16"/>
                <w:szCs w:val="16"/>
                <w:color w:val="auto"/>
                <w:w w:val="98"/>
              </w:rPr>
              <w:t>depreciation on available-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2160" w:type="dxa"/>
            <w:vAlign w:val="bottom"/>
          </w:tcPr>
          <w:p>
            <w:pPr>
              <w:ind w:left="340"/>
              <w:spacing w:after="0"/>
              <w:rPr>
                <w:sz w:val="20"/>
                <w:szCs w:val="20"/>
                <w:color w:val="auto"/>
              </w:rPr>
            </w:pPr>
            <w:r>
              <w:rPr>
                <w:rFonts w:ascii="Arial" w:cs="Arial" w:eastAsia="Arial" w:hAnsi="Arial"/>
                <w:sz w:val="16"/>
                <w:szCs w:val="16"/>
                <w:color w:val="auto"/>
              </w:rPr>
              <w:t>for-sale securities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(17,107)</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(17,107)</w:t>
            </w:r>
          </w:p>
        </w:tc>
      </w:tr>
      <w:tr>
        <w:trPr>
          <w:trHeight w:val="33"/>
        </w:trPr>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shares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9,557,054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132,915</w:t>
            </w:r>
          </w:p>
        </w:tc>
      </w:tr>
      <w:tr>
        <w:trPr>
          <w:trHeight w:val="220"/>
        </w:trPr>
        <w:tc>
          <w:tcPr>
            <w:tcW w:w="2160" w:type="dxa"/>
            <w:vAlign w:val="bottom"/>
          </w:tcPr>
          <w:p>
            <w:pPr>
              <w:ind w:left="180"/>
              <w:spacing w:after="0"/>
              <w:rPr>
                <w:sz w:val="20"/>
                <w:szCs w:val="20"/>
                <w:color w:val="auto"/>
              </w:rPr>
            </w:pPr>
            <w:r>
              <w:rPr>
                <w:rFonts w:ascii="Arial" w:cs="Arial" w:eastAsia="Arial" w:hAnsi="Arial"/>
                <w:sz w:val="16"/>
                <w:szCs w:val="16"/>
                <w:color w:val="auto"/>
              </w:rPr>
              <w:t>Issuance of shares from</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160" w:type="dxa"/>
            <w:vAlign w:val="bottom"/>
          </w:tcPr>
          <w:p>
            <w:pPr>
              <w:ind w:left="340"/>
              <w:spacing w:after="0"/>
              <w:rPr>
                <w:sz w:val="20"/>
                <w:szCs w:val="20"/>
                <w:color w:val="auto"/>
              </w:rPr>
            </w:pPr>
            <w:r>
              <w:rPr>
                <w:rFonts w:ascii="Arial" w:cs="Arial" w:eastAsia="Arial" w:hAnsi="Arial"/>
                <w:sz w:val="16"/>
                <w:szCs w:val="16"/>
                <w:color w:val="auto"/>
              </w:rPr>
              <w:t>equity-based awards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284,078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(1,651)</w:t>
            </w:r>
          </w:p>
        </w:tc>
      </w:tr>
      <w:tr>
        <w:trPr>
          <w:trHeight w:val="33"/>
        </w:trPr>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Retired shares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(265,908)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r>
      <w:tr>
        <w:trPr>
          <w:trHeight w:val="237"/>
        </w:trPr>
        <w:tc>
          <w:tcPr>
            <w:tcW w:w="2160" w:type="dxa"/>
            <w:vAlign w:val="bottom"/>
          </w:tcPr>
          <w:p>
            <w:pPr>
              <w:ind w:left="180"/>
              <w:spacing w:after="0"/>
              <w:rPr>
                <w:sz w:val="20"/>
                <w:szCs w:val="20"/>
                <w:color w:val="auto"/>
              </w:rPr>
            </w:pPr>
            <w:r>
              <w:rPr>
                <w:rFonts w:ascii="Arial" w:cs="Arial" w:eastAsia="Arial" w:hAnsi="Arial"/>
                <w:sz w:val="16"/>
                <w:szCs w:val="16"/>
                <w:color w:val="auto"/>
                <w:w w:val="95"/>
              </w:rPr>
              <w:t>Preferred dividends declared</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33"/>
        </w:trPr>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receivables from</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sale of stock</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216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4,386</w:t>
            </w:r>
          </w:p>
        </w:tc>
      </w:tr>
      <w:tr>
        <w:trPr>
          <w:trHeight w:val="33"/>
        </w:trPr>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stock purchase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2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plan additions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43"/>
        </w:trPr>
        <w:tc>
          <w:tcPr>
            <w:tcW w:w="2160" w:type="dxa"/>
            <w:vAlign w:val="bottom"/>
          </w:tcPr>
          <w:p>
            <w:pPr>
              <w:ind w:left="40"/>
              <w:spacing w:after="0"/>
              <w:rPr>
                <w:sz w:val="20"/>
                <w:szCs w:val="20"/>
                <w:color w:val="auto"/>
              </w:rPr>
            </w:pPr>
            <w:r>
              <w:rPr>
                <w:rFonts w:ascii="Arial" w:cs="Arial" w:eastAsia="Arial" w:hAnsi="Arial"/>
                <w:sz w:val="16"/>
                <w:szCs w:val="16"/>
                <w:color w:val="auto"/>
                <w:w w:val="93"/>
              </w:rPr>
              <w:t>Balance at September 30, 2018</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1,200,000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40,261,480</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402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389,310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30,329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(10,081)</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$ 409,780</w:t>
            </w:r>
          </w:p>
        </w:tc>
      </w:tr>
      <w:tr>
        <w:trPr>
          <w:trHeight w:val="20"/>
        </w:trPr>
        <w:tc>
          <w:tcPr>
            <w:tcW w:w="2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2"/>
        </w:trPr>
        <w:tc>
          <w:tcPr>
            <w:tcW w:w="2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Balance at December 31, 2018</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45,074,322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454,512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$ 490,336</w:t>
            </w:r>
          </w:p>
        </w:tc>
      </w:tr>
      <w:tr>
        <w:trPr>
          <w:trHeight w:val="237"/>
        </w:trPr>
        <w:tc>
          <w:tcPr>
            <w:tcW w:w="21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29,173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29,173</w:t>
            </w:r>
          </w:p>
        </w:tc>
      </w:tr>
      <w:tr>
        <w:trPr>
          <w:trHeight w:val="33"/>
        </w:trPr>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unrealized</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216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appreciation on available-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9"/>
        </w:trPr>
        <w:tc>
          <w:tcPr>
            <w:tcW w:w="2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for-sale securities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20,842</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20,842</w:t>
            </w:r>
          </w:p>
        </w:tc>
      </w:tr>
      <w:tr>
        <w:trPr>
          <w:trHeight w:val="237"/>
        </w:trPr>
        <w:tc>
          <w:tcPr>
            <w:tcW w:w="2160" w:type="dxa"/>
            <w:vAlign w:val="bottom"/>
          </w:tcPr>
          <w:p>
            <w:pPr>
              <w:ind w:left="180"/>
              <w:spacing w:after="0"/>
              <w:rPr>
                <w:sz w:val="20"/>
                <w:szCs w:val="20"/>
                <w:color w:val="auto"/>
              </w:rPr>
            </w:pPr>
            <w:r>
              <w:rPr>
                <w:rFonts w:ascii="Arial" w:cs="Arial" w:eastAsia="Arial" w:hAnsi="Arial"/>
                <w:sz w:val="16"/>
                <w:szCs w:val="16"/>
                <w:color w:val="auto"/>
              </w:rPr>
              <w:t>Issuance of shares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6,851,213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88,869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88,937</w:t>
            </w:r>
          </w:p>
        </w:tc>
      </w:tr>
      <w:tr>
        <w:trPr>
          <w:trHeight w:val="33"/>
        </w:trPr>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shares from</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equity-based awards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53,668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37"/>
        </w:trPr>
        <w:tc>
          <w:tcPr>
            <w:tcW w:w="2160" w:type="dxa"/>
            <w:vAlign w:val="bottom"/>
          </w:tcPr>
          <w:p>
            <w:pPr>
              <w:ind w:left="180"/>
              <w:spacing w:after="0"/>
              <w:rPr>
                <w:sz w:val="20"/>
                <w:szCs w:val="20"/>
                <w:color w:val="auto"/>
              </w:rPr>
            </w:pPr>
            <w:r>
              <w:rPr>
                <w:rFonts w:ascii="Arial" w:cs="Arial" w:eastAsia="Arial" w:hAnsi="Arial"/>
                <w:sz w:val="16"/>
                <w:szCs w:val="16"/>
                <w:color w:val="auto"/>
              </w:rPr>
              <w:t>Retired shares</w:t>
            </w:r>
          </w:p>
        </w:tc>
        <w:tc>
          <w:tcPr>
            <w:tcW w:w="1020" w:type="dxa"/>
            <w:vAlign w:val="bottom"/>
          </w:tcPr>
          <w:p>
            <w:pPr>
              <w:jc w:val="right"/>
              <w:spacing w:after="0"/>
              <w:rPr>
                <w:sz w:val="20"/>
                <w:szCs w:val="20"/>
                <w:color w:val="auto"/>
              </w:rPr>
            </w:pPr>
            <w:r>
              <w:rPr>
                <w:rFonts w:ascii="Arial" w:cs="Arial" w:eastAsia="Arial" w:hAnsi="Arial"/>
                <w:sz w:val="16"/>
                <w:szCs w:val="16"/>
                <w:color w:val="auto"/>
              </w:rPr>
              <w:t>(1,200,000)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(30,155)</w:t>
            </w:r>
          </w:p>
        </w:tc>
      </w:tr>
      <w:tr>
        <w:trPr>
          <w:trHeight w:val="33"/>
        </w:trPr>
        <w:tc>
          <w:tcPr>
            <w:tcW w:w="2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Preferred dividends declared</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20"/>
        </w:trPr>
        <w:tc>
          <w:tcPr>
            <w:tcW w:w="2160" w:type="dxa"/>
            <w:vAlign w:val="bottom"/>
          </w:tcPr>
          <w:p>
            <w:pPr>
              <w:ind w:left="180"/>
              <w:spacing w:after="0"/>
              <w:rPr>
                <w:sz w:val="20"/>
                <w:szCs w:val="20"/>
                <w:color w:val="auto"/>
              </w:rPr>
            </w:pPr>
            <w:r>
              <w:rPr>
                <w:rFonts w:ascii="Arial" w:cs="Arial" w:eastAsia="Arial" w:hAnsi="Arial"/>
                <w:sz w:val="16"/>
                <w:szCs w:val="16"/>
                <w:color w:val="auto"/>
              </w:rPr>
              <w:t>Employee receivables from</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160" w:type="dxa"/>
            <w:vAlign w:val="bottom"/>
          </w:tcPr>
          <w:p>
            <w:pPr>
              <w:ind w:left="340"/>
              <w:spacing w:after="0"/>
              <w:rPr>
                <w:sz w:val="20"/>
                <w:szCs w:val="20"/>
                <w:color w:val="auto"/>
              </w:rPr>
            </w:pPr>
            <w:r>
              <w:rPr>
                <w:rFonts w:ascii="Arial" w:cs="Arial" w:eastAsia="Arial" w:hAnsi="Arial"/>
                <w:sz w:val="16"/>
                <w:szCs w:val="16"/>
                <w:color w:val="auto"/>
              </w:rPr>
              <w:t>sale of stock</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2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3,569</w:t>
            </w:r>
          </w:p>
        </w:tc>
      </w:tr>
      <w:tr>
        <w:trPr>
          <w:trHeight w:val="220"/>
        </w:trPr>
        <w:tc>
          <w:tcPr>
            <w:tcW w:w="2160" w:type="dxa"/>
            <w:vAlign w:val="bottom"/>
          </w:tcPr>
          <w:p>
            <w:pPr>
              <w:ind w:left="180"/>
              <w:spacing w:after="0"/>
              <w:rPr>
                <w:sz w:val="20"/>
                <w:szCs w:val="20"/>
                <w:color w:val="auto"/>
              </w:rPr>
            </w:pPr>
            <w:r>
              <w:rPr>
                <w:rFonts w:ascii="Arial" w:cs="Arial" w:eastAsia="Arial" w:hAnsi="Arial"/>
                <w:sz w:val="16"/>
                <w:szCs w:val="16"/>
                <w:color w:val="auto"/>
              </w:rPr>
              <w:t>Employee receivables from</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160" w:type="dxa"/>
            <w:vAlign w:val="bottom"/>
          </w:tcPr>
          <w:p>
            <w:pPr>
              <w:ind w:left="340"/>
              <w:spacing w:after="0"/>
              <w:rPr>
                <w:sz w:val="20"/>
                <w:szCs w:val="20"/>
                <w:color w:val="auto"/>
              </w:rPr>
            </w:pPr>
            <w:r>
              <w:rPr>
                <w:rFonts w:ascii="Arial" w:cs="Arial" w:eastAsia="Arial" w:hAnsi="Arial"/>
                <w:sz w:val="16"/>
                <w:szCs w:val="16"/>
                <w:color w:val="auto"/>
              </w:rPr>
              <w:t>sale of stock</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2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Adoption of ASU 2016-01</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160" w:type="dxa"/>
            <w:vAlign w:val="bottom"/>
          </w:tcPr>
          <w:p>
            <w:pPr>
              <w:ind w:left="180"/>
              <w:spacing w:after="0"/>
              <w:rPr>
                <w:sz w:val="20"/>
                <w:szCs w:val="20"/>
                <w:color w:val="auto"/>
              </w:rPr>
            </w:pPr>
            <w:r>
              <w:rPr>
                <w:rFonts w:ascii="Arial" w:cs="Arial" w:eastAsia="Arial" w:hAnsi="Arial"/>
                <w:sz w:val="16"/>
                <w:szCs w:val="16"/>
                <w:color w:val="auto"/>
              </w:rPr>
              <w:t>Adoption of ASU 2018-07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Balance at September 30, 2019</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51,969,203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518,816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17,901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$ 602,435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8255</wp:posOffset>
            </wp:positionV>
            <wp:extent cx="5768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ind w:left="180" w:hanging="172"/>
        <w:spacing w:after="0" w:line="222"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Share data has been adjusted to reflect a 2-for-1 stock split effected in the form of a dividend on December 21,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 (unaudited)</w:t>
      </w:r>
    </w:p>
    <w:p>
      <w:pPr>
        <w:spacing w:after="0" w:line="23"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CROSSFIRST BANKSHARES,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60" w:type="dxa"/>
            <w:vAlign w:val="bottom"/>
          </w:tcPr>
          <w:p>
            <w:pPr>
              <w:spacing w:after="0"/>
              <w:rPr>
                <w:sz w:val="20"/>
                <w:szCs w:val="20"/>
                <w:color w:val="auto"/>
              </w:rPr>
            </w:pPr>
          </w:p>
        </w:tc>
      </w:tr>
      <w:tr>
        <w:trPr>
          <w:trHeight w:val="270"/>
        </w:trPr>
        <w:tc>
          <w:tcPr>
            <w:tcW w:w="7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tcPr>
          <w:p>
            <w:pPr>
              <w:spacing w:after="0"/>
              <w:rPr>
                <w:sz w:val="23"/>
                <w:szCs w:val="23"/>
                <w:color w:val="auto"/>
              </w:rPr>
            </w:pPr>
          </w:p>
        </w:tc>
      </w:tr>
      <w:tr>
        <w:trPr>
          <w:trHeight w:val="27"/>
        </w:trPr>
        <w:tc>
          <w:tcPr>
            <w:tcW w:w="70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jc w:val="right"/>
              <w:ind w:right="75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70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126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29,173</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9,256</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Items not requiring (providing) cash</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3,299</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Provision for loan losses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Accretion of discounts and amortization of premiums on securities</w:t>
            </w:r>
          </w:p>
        </w:tc>
        <w:tc>
          <w:tcPr>
            <w:tcW w:w="1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4,098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4,134</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Equity based compensation</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4,513</w:t>
            </w: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(Gain) loss on disposal of fixed assets</w:t>
            </w:r>
          </w:p>
        </w:tc>
        <w:tc>
          <w:tcPr>
            <w:tcW w:w="1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Gain on sale of loans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increase in bank owned life insurance</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Net realized gains on available-for-sale securities</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Impairment of assets held for sale</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Dividends on FHLB stock</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Stock dividends on CRA mutual fund</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Changes in</w:t>
            </w: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r>
      <w:tr>
        <w:trPr>
          <w:trHeight w:val="237"/>
        </w:trPr>
        <w:tc>
          <w:tcPr>
            <w:tcW w:w="7080" w:type="dxa"/>
            <w:vAlign w:val="bottom"/>
          </w:tcPr>
          <w:p>
            <w:pPr>
              <w:ind w:left="920"/>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54,670</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27,742</w:t>
            </w:r>
          </w:p>
        </w:tc>
      </w:tr>
      <w:tr>
        <w:trPr>
          <w:trHeight w:val="27"/>
        </w:trPr>
        <w:tc>
          <w:tcPr>
            <w:tcW w:w="70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change in loans</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(576,897)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(741,784)</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available-for-sale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(157,492)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(198,214)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maturities of available-for-sale securities</w:t>
            </w:r>
          </w:p>
        </w:tc>
        <w:tc>
          <w:tcPr>
            <w:tcW w:w="1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48,658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35,755</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available-for-sale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Purchase of premises and equipment</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(41,268)</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restricted equity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the sale of fixed assets</w:t>
            </w:r>
          </w:p>
        </w:tc>
        <w:tc>
          <w:tcPr>
            <w:tcW w:w="1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1,862</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restricted equity securities</w:t>
            </w:r>
          </w:p>
        </w:tc>
        <w:tc>
          <w:tcPr>
            <w:tcW w:w="1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37"/>
        </w:trPr>
        <w:tc>
          <w:tcPr>
            <w:tcW w:w="7080" w:type="dxa"/>
            <w:vAlign w:val="bottom"/>
          </w:tcPr>
          <w:p>
            <w:pPr>
              <w:ind w:left="92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(620,273)</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(794,736)</w:t>
            </w:r>
          </w:p>
        </w:tc>
      </w:tr>
      <w:tr>
        <w:trPr>
          <w:trHeight w:val="27"/>
        </w:trPr>
        <w:tc>
          <w:tcPr>
            <w:tcW w:w="70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increase in demand deposits, savings, NOW and money market accounts</w:t>
            </w:r>
          </w:p>
        </w:tc>
        <w:tc>
          <w:tcPr>
            <w:tcW w:w="1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237,934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456,487</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increase in time deposits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212,077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increase (decrease) in repurchase agreements and fed funds purchased</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(50,596)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77,479</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increase in federal funds sold</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55,000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line of credit</w:t>
            </w:r>
          </w:p>
        </w:tc>
        <w:tc>
          <w:tcPr>
            <w:tcW w:w="1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30,000</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line of credit</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Federal Home Loan Bank advances</w:t>
            </w:r>
          </w:p>
        </w:tc>
        <w:tc>
          <w:tcPr>
            <w:tcW w:w="1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28,000</w:t>
            </w: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Federal Home Loan Bank advances</w:t>
            </w:r>
          </w:p>
        </w:tc>
        <w:tc>
          <w:tcPr>
            <w:tcW w:w="1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repayments of Federal Home Loan Bank line of credit</w:t>
            </w:r>
          </w:p>
        </w:tc>
        <w:tc>
          <w:tcPr>
            <w:tcW w:w="1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 (unaudited)</w:t>
      </w:r>
    </w:p>
    <w:p>
      <w:pPr>
        <w:sectPr>
          <w:pgSz w:w="11900" w:h="16838" w:orient="portrait"/>
          <w:cols w:equalWidth="0" w:num="1">
            <w:col w:w="11240"/>
          </w:cols>
          <w:pgMar w:left="320" w:top="122" w:right="339" w:bottom="1440" w:gutter="0" w:footer="0" w:header="0"/>
        </w:sectPr>
      </w:pPr>
    </w:p>
    <w:p>
      <w:pPr>
        <w:spacing w:after="0" w:line="23"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CROSSFIRST BANKSHARES,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60" w:type="dxa"/>
            <w:vAlign w:val="bottom"/>
          </w:tcPr>
          <w:p>
            <w:pPr>
              <w:spacing w:after="0"/>
              <w:rPr>
                <w:sz w:val="20"/>
                <w:szCs w:val="20"/>
                <w:color w:val="auto"/>
              </w:rPr>
            </w:pPr>
          </w:p>
        </w:tc>
      </w:tr>
      <w:tr>
        <w:trPr>
          <w:trHeight w:val="270"/>
        </w:trPr>
        <w:tc>
          <w:tcPr>
            <w:tcW w:w="70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tcPr>
          <w:p>
            <w:pPr>
              <w:spacing w:after="0"/>
              <w:rPr>
                <w:sz w:val="23"/>
                <w:szCs w:val="23"/>
                <w:color w:val="auto"/>
              </w:rPr>
            </w:pPr>
          </w:p>
        </w:tc>
      </w:tr>
      <w:tr>
        <w:trPr>
          <w:trHeight w:val="27"/>
        </w:trPr>
        <w:tc>
          <w:tcPr>
            <w:tcW w:w="7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jc w:val="right"/>
              <w:ind w:right="75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7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126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Retirement of preferred stock</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Issuance of common shares, net of issuance cost</w:t>
            </w:r>
          </w:p>
        </w:tc>
        <w:tc>
          <w:tcPr>
            <w:tcW w:w="1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88,390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132,550</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employee stock purchase plan</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Common stock purchased and retired</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common stock for tax withholding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decrease in employee receivables</w:t>
            </w:r>
          </w:p>
        </w:tc>
        <w:tc>
          <w:tcPr>
            <w:tcW w:w="1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on preferred stock</w:t>
            </w:r>
          </w:p>
        </w:tc>
        <w:tc>
          <w:tcPr>
            <w:tcW w:w="1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37"/>
        </w:trPr>
        <w:tc>
          <w:tcPr>
            <w:tcW w:w="7080" w:type="dxa"/>
            <w:vAlign w:val="bottom"/>
          </w:tcPr>
          <w:p>
            <w:pPr>
              <w:ind w:left="92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477,188</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754,497</w:t>
            </w:r>
          </w:p>
        </w:tc>
      </w:tr>
      <w:tr>
        <w:trPr>
          <w:trHeight w:val="27"/>
        </w:trPr>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(88,415)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216,541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130,820</w:t>
            </w:r>
          </w:p>
        </w:tc>
      </w:tr>
      <w:tr>
        <w:trPr>
          <w:trHeight w:val="27"/>
        </w:trPr>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128,126</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118,323</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Flows Information</w:t>
            </w:r>
          </w:p>
        </w:tc>
        <w:tc>
          <w:tcPr>
            <w:tcW w:w="1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54,998</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31,437</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Foreclosed assets in settlement of loans</w:t>
            </w:r>
          </w:p>
        </w:tc>
        <w:tc>
          <w:tcPr>
            <w:tcW w:w="1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 declared and unpaid on preferred stock</w:t>
            </w:r>
          </w:p>
        </w:tc>
        <w:tc>
          <w:tcPr>
            <w:tcW w:w="1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70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 (unaudited)</w:t>
      </w:r>
    </w:p>
    <w:p>
      <w:pPr>
        <w:spacing w:after="0" w:line="2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22" w:right="339" w:bottom="1440" w:gutter="0" w:footer="0" w:header="0"/>
        </w:sectPr>
      </w:pPr>
    </w:p>
    <w:bookmarkStart w:id="12" w:name="page13"/>
    <w:bookmarkEnd w:id="12"/>
    <w:p>
      <w:pPr>
        <w:ind w:left="40"/>
        <w:spacing w:after="0"/>
        <w:tabs>
          <w:tab w:leader="none" w:pos="358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Note 1:</w:t>
      </w:r>
      <w:r>
        <w:rPr>
          <w:sz w:val="20"/>
          <w:szCs w:val="20"/>
          <w:color w:val="auto"/>
        </w:rPr>
        <w:tab/>
      </w:r>
      <w:r>
        <w:rPr>
          <w:rFonts w:ascii="Arial" w:cs="Arial" w:eastAsia="Arial" w:hAnsi="Arial"/>
          <w:sz w:val="19"/>
          <w:szCs w:val="19"/>
          <w:b w:val="1"/>
          <w:bCs w:val="1"/>
          <w:color w:val="auto"/>
        </w:rPr>
        <w:t>Nature of Operations and Summary of Significant Accounting Policies</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Organization and Nature of Operations</w:t>
      </w:r>
    </w:p>
    <w:p>
      <w:pPr>
        <w:spacing w:after="0" w:line="162" w:lineRule="exact"/>
        <w:rPr>
          <w:sz w:val="20"/>
          <w:szCs w:val="20"/>
          <w:color w:val="auto"/>
        </w:rPr>
      </w:pPr>
    </w:p>
    <w:p>
      <w:pPr>
        <w:ind w:left="180" w:right="20" w:firstLine="486"/>
        <w:spacing w:after="0" w:line="260" w:lineRule="auto"/>
        <w:rPr>
          <w:sz w:val="20"/>
          <w:szCs w:val="20"/>
          <w:color w:val="auto"/>
        </w:rPr>
      </w:pPr>
      <w:r>
        <w:rPr>
          <w:rFonts w:ascii="Arial" w:cs="Arial" w:eastAsia="Arial" w:hAnsi="Arial"/>
          <w:sz w:val="19"/>
          <w:szCs w:val="19"/>
          <w:color w:val="auto"/>
        </w:rPr>
        <w:t>CrossFirst Bankshares, Inc. (the ‘‘Company’’), a Kansas corporation, was incorporated in December 2017. Prior to incorporation, the Company was registered as a limited liability company under the name CrossFirst Holdings, LLC. The Company is a bank holding company whose principal activities are the ownership and management of its wholly-owned subsidiaries, CrossFirst Bank (the ‘‘Bank’’) and CFSA, LLC (“CFSA”), which holds title to certain assets. In addition, CrossFirst Investments, Inc. (‘‘CFI’’) is a wholly-owned subsidiary of the Bank, which holds investments in marketable securities.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62" w:lineRule="exact"/>
        <w:rPr>
          <w:sz w:val="20"/>
          <w:szCs w:val="20"/>
          <w:color w:val="auto"/>
        </w:rPr>
      </w:pPr>
    </w:p>
    <w:p>
      <w:pPr>
        <w:jc w:val="both"/>
        <w:ind w:left="180" w:right="740" w:firstLine="486"/>
        <w:spacing w:after="0" w:line="250" w:lineRule="auto"/>
        <w:rPr>
          <w:sz w:val="20"/>
          <w:szCs w:val="20"/>
          <w:color w:val="auto"/>
        </w:rPr>
      </w:pPr>
      <w:r>
        <w:rPr>
          <w:rFonts w:ascii="Arial" w:cs="Arial" w:eastAsia="Arial" w:hAnsi="Arial"/>
          <w:sz w:val="20"/>
          <w:szCs w:val="20"/>
          <w:color w:val="auto"/>
        </w:rPr>
        <w:t>The Company’s accounting and reporting policies conform to accounting principles generally accepted in the United States (‘‘GAAP’’). The consolidated financial statements include the accounts of the Company; the Bank, CFI and CFSA. All significant intercompany accounts and transactions have been eliminated in consolidation.</w:t>
      </w:r>
    </w:p>
    <w:p>
      <w:pPr>
        <w:spacing w:after="0" w:line="132" w:lineRule="exact"/>
        <w:rPr>
          <w:sz w:val="20"/>
          <w:szCs w:val="20"/>
          <w:color w:val="auto"/>
        </w:rPr>
      </w:pPr>
    </w:p>
    <w:p>
      <w:pPr>
        <w:ind w:left="180" w:firstLine="486"/>
        <w:spacing w:after="0" w:line="278"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presented in accordance with GAAP have been condensed or omitted and should be read in conjunction with the Company’s consolidated financial statements, and notes thereto, for the six-months ended June 30, 2019 and year ended December 31, 2018 included in the Company’s prospectus, dated August 14, 2019, filed with the Securities and Exchange Commission (‘‘SEC’’) pursuant to Rule 424(b) of the Securities Act of 1933, as amended, on August 15, 2019, related to the Company’s initial public offering (the ‘‘IPO Prospectus’’).</w:t>
      </w:r>
    </w:p>
    <w:p>
      <w:pPr>
        <w:spacing w:after="0" w:line="111" w:lineRule="exact"/>
        <w:rPr>
          <w:sz w:val="20"/>
          <w:szCs w:val="20"/>
          <w:color w:val="auto"/>
        </w:rPr>
      </w:pPr>
    </w:p>
    <w:p>
      <w:pPr>
        <w:ind w:left="180" w:right="100" w:firstLine="486"/>
        <w:spacing w:after="0" w:line="282" w:lineRule="auto"/>
        <w:rPr>
          <w:sz w:val="20"/>
          <w:szCs w:val="20"/>
          <w:color w:val="auto"/>
        </w:rPr>
      </w:pPr>
      <w:r>
        <w:rPr>
          <w:rFonts w:ascii="Arial" w:cs="Arial" w:eastAsia="Arial" w:hAnsi="Arial"/>
          <w:sz w:val="18"/>
          <w:szCs w:val="18"/>
          <w:color w:val="auto"/>
        </w:rPr>
        <w:t>In the opinion of management, the interim financial statements include all adjustments all of which are of a normal, recurring nature necessary for the fair presentation of the financial position, results of operations, and cash flows of the Company and the disclosures made are adequate to make the interim financial information not misleading. The consolidated financial statements have been prepared in accordance with GAAP for interim financial information and the instructions to Form 10-Q adopted by the SEC.</w:t>
      </w:r>
    </w:p>
    <w:p>
      <w:pPr>
        <w:spacing w:after="0" w:line="107" w:lineRule="exact"/>
        <w:rPr>
          <w:sz w:val="20"/>
          <w:szCs w:val="20"/>
          <w:color w:val="auto"/>
        </w:rPr>
      </w:pPr>
    </w:p>
    <w:p>
      <w:pPr>
        <w:ind w:left="180" w:firstLine="486"/>
        <w:spacing w:after="0" w:line="246" w:lineRule="auto"/>
        <w:rPr>
          <w:sz w:val="20"/>
          <w:szCs w:val="20"/>
          <w:color w:val="auto"/>
        </w:rPr>
      </w:pPr>
      <w:r>
        <w:rPr>
          <w:rFonts w:ascii="Arial" w:cs="Arial" w:eastAsia="Arial" w:hAnsi="Arial"/>
          <w:sz w:val="20"/>
          <w:szCs w:val="20"/>
          <w:color w:val="auto"/>
        </w:rPr>
        <w:t>There have been no significant changes in the accounting policies of the Company since June 30, 2019, the most recent date financial statements were provided within the IPO Prospectus. The information contained in the financial statements and footnotes for the period ended June 30, 2019 included in the Company’s IPO Prospectus should be referred to in connection with these unaudited interim consolidated financial statements.</w:t>
      </w:r>
    </w:p>
    <w:p>
      <w:pPr>
        <w:spacing w:after="0" w:line="137" w:lineRule="exact"/>
        <w:rPr>
          <w:sz w:val="20"/>
          <w:szCs w:val="20"/>
          <w:color w:val="auto"/>
        </w:rPr>
      </w:pPr>
    </w:p>
    <w:p>
      <w:pPr>
        <w:ind w:left="180" w:right="160" w:firstLine="486"/>
        <w:spacing w:after="0" w:line="260" w:lineRule="auto"/>
        <w:rPr>
          <w:sz w:val="20"/>
          <w:szCs w:val="20"/>
          <w:color w:val="auto"/>
        </w:rPr>
      </w:pPr>
      <w:r>
        <w:rPr>
          <w:rFonts w:ascii="Arial" w:cs="Arial" w:eastAsia="Arial" w:hAnsi="Arial"/>
          <w:sz w:val="20"/>
          <w:szCs w:val="20"/>
          <w:color w:val="auto"/>
        </w:rPr>
        <w:t>Operating results for the interim periods disclosed herein are not necessarily indicative of the results that may be expected for a full year or any future period.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62" w:lineRule="exact"/>
        <w:rPr>
          <w:sz w:val="20"/>
          <w:szCs w:val="20"/>
          <w:color w:val="auto"/>
        </w:rPr>
      </w:pPr>
    </w:p>
    <w:p>
      <w:pPr>
        <w:ind w:left="180" w:right="40" w:firstLine="486"/>
        <w:spacing w:after="0" w:line="260" w:lineRule="auto"/>
        <w:rPr>
          <w:sz w:val="20"/>
          <w:szCs w:val="20"/>
          <w:color w:val="auto"/>
        </w:rPr>
      </w:pPr>
      <w:r>
        <w:rPr>
          <w:rFonts w:ascii="Arial" w:cs="Arial" w:eastAsia="Arial" w:hAnsi="Arial"/>
          <w:sz w:val="19"/>
          <w:szCs w:val="19"/>
          <w:color w:val="auto"/>
        </w:rPr>
        <w:t>The Company has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The Allowance for Loan and Lease Losses, Investment Securities Impairment, Deferred Tax Asset, and Fair Value of Financial Instruments are particularly susceptible to significant change.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Presentation Due to Stock Split</w:t>
      </w:r>
    </w:p>
    <w:p>
      <w:pPr>
        <w:spacing w:after="0" w:line="270" w:lineRule="exact"/>
        <w:rPr>
          <w:sz w:val="20"/>
          <w:szCs w:val="20"/>
          <w:color w:val="auto"/>
        </w:rPr>
      </w:pPr>
    </w:p>
    <w:p>
      <w:pPr>
        <w:ind w:left="180" w:right="360" w:firstLine="486"/>
        <w:spacing w:after="0" w:line="385" w:lineRule="auto"/>
        <w:rPr>
          <w:sz w:val="20"/>
          <w:szCs w:val="20"/>
          <w:color w:val="auto"/>
        </w:rPr>
      </w:pPr>
      <w:r>
        <w:rPr>
          <w:rFonts w:ascii="Arial" w:cs="Arial" w:eastAsia="Arial" w:hAnsi="Arial"/>
          <w:sz w:val="16"/>
          <w:szCs w:val="16"/>
          <w:color w:val="auto"/>
        </w:rPr>
        <w:t>On December 18, 2018, the Company announced a 2-for-1 stock split, effected in the form of a dividend, effective December 21, 2018. Share data and per share data were retroactively adjusted for the periods presented to reflect the change in capital structure.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Equivalents</w:t>
      </w:r>
    </w:p>
    <w:p>
      <w:pPr>
        <w:spacing w:after="0" w:line="270" w:lineRule="exact"/>
        <w:rPr>
          <w:sz w:val="20"/>
          <w:szCs w:val="20"/>
          <w:color w:val="auto"/>
        </w:rPr>
      </w:pPr>
    </w:p>
    <w:p>
      <w:pPr>
        <w:ind w:left="180" w:right="60" w:firstLine="486"/>
        <w:spacing w:after="0" w:line="260" w:lineRule="auto"/>
        <w:rPr>
          <w:sz w:val="20"/>
          <w:szCs w:val="20"/>
          <w:color w:val="auto"/>
        </w:rPr>
      </w:pPr>
      <w:r>
        <w:rPr>
          <w:rFonts w:ascii="Arial" w:cs="Arial" w:eastAsia="Arial" w:hAnsi="Arial"/>
          <w:sz w:val="20"/>
          <w:szCs w:val="20"/>
          <w:color w:val="auto"/>
        </w:rPr>
        <w:t>The Company had $85.0 million of cash and cash equivalents at the Federal Reserve Bank of Kansas City as of September 30, 2019. The reserve required at September 30, 2019 was approximately $63.3 million. In addition, the</w:t>
      </w:r>
    </w:p>
    <w:p>
      <w:pPr>
        <w:spacing w:after="0" w:line="200" w:lineRule="exact"/>
        <w:rPr>
          <w:sz w:val="20"/>
          <w:szCs w:val="20"/>
          <w:color w:val="auto"/>
        </w:rPr>
      </w:pPr>
    </w:p>
    <w:p>
      <w:pPr>
        <w:spacing w:after="0" w:line="330"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320" w:top="287" w:right="359" w:bottom="1440" w:gutter="0" w:footer="0" w:header="0"/>
        </w:sectPr>
      </w:pPr>
    </w:p>
    <w:bookmarkStart w:id="13" w:name="page14"/>
    <w:bookmarkEnd w:id="13"/>
    <w:p>
      <w:pPr>
        <w:ind w:left="40"/>
        <w:spacing w:after="0"/>
        <w:tabs>
          <w:tab w:leader="none" w:pos="358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385" w:lineRule="exact"/>
        <w:rPr>
          <w:sz w:val="20"/>
          <w:szCs w:val="20"/>
          <w:color w:val="auto"/>
        </w:rPr>
      </w:pPr>
    </w:p>
    <w:p>
      <w:pPr>
        <w:ind w:left="180" w:right="440"/>
        <w:spacing w:after="0" w:line="260" w:lineRule="auto"/>
        <w:rPr>
          <w:sz w:val="20"/>
          <w:szCs w:val="20"/>
          <w:color w:val="auto"/>
        </w:rPr>
      </w:pPr>
      <w:r>
        <w:rPr>
          <w:rFonts w:ascii="Arial" w:cs="Arial" w:eastAsia="Arial" w:hAnsi="Arial"/>
          <w:sz w:val="20"/>
          <w:szCs w:val="20"/>
          <w:color w:val="auto"/>
        </w:rPr>
        <w:t>Company is at times required to place cash collateral with a third party as part of its back-to-back swap agreements. At September 30, 2019, approximately $18.2 million was required as cash collateral.</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Initial Public Offering</w:t>
      </w:r>
    </w:p>
    <w:p>
      <w:pPr>
        <w:spacing w:after="0" w:line="270" w:lineRule="exact"/>
        <w:rPr>
          <w:sz w:val="20"/>
          <w:szCs w:val="20"/>
          <w:color w:val="auto"/>
        </w:rPr>
      </w:pPr>
    </w:p>
    <w:p>
      <w:pPr>
        <w:ind w:left="180" w:right="120" w:firstLine="486"/>
        <w:spacing w:after="0" w:line="260" w:lineRule="auto"/>
        <w:rPr>
          <w:sz w:val="20"/>
          <w:szCs w:val="20"/>
          <w:color w:val="auto"/>
        </w:rPr>
      </w:pPr>
      <w:r>
        <w:rPr>
          <w:rFonts w:ascii="Arial" w:cs="Arial" w:eastAsia="Arial" w:hAnsi="Arial"/>
          <w:sz w:val="19"/>
          <w:szCs w:val="19"/>
          <w:color w:val="auto"/>
        </w:rPr>
        <w:t>On August 19, 2019, the Company completed its initial public offering of common shares. The Company issued and sold 5,750,000 common shares at a public offering price of $14.50 per share. After deducting the underwriting discounts and offering expenses, the Company received total net proceeds of $75.6 million from the initial public offering. In addition, certain selling stockholders participated in the offering and sold an aggregate of 1,261,589 common shares at a public offering price of $14.50 per share. The Company did not receive any proceeds from the sales of shares by the selling stockholders.</w:t>
      </w:r>
    </w:p>
    <w:p>
      <w:pPr>
        <w:spacing w:after="0" w:line="234" w:lineRule="exact"/>
        <w:rPr>
          <w:sz w:val="20"/>
          <w:szCs w:val="20"/>
          <w:color w:val="auto"/>
        </w:rPr>
      </w:pPr>
    </w:p>
    <w:p>
      <w:pPr>
        <w:ind w:left="180" w:firstLine="486"/>
        <w:spacing w:after="0" w:line="250" w:lineRule="auto"/>
        <w:rPr>
          <w:sz w:val="20"/>
          <w:szCs w:val="20"/>
          <w:color w:val="auto"/>
        </w:rPr>
      </w:pPr>
      <w:r>
        <w:rPr>
          <w:rFonts w:ascii="Arial" w:cs="Arial" w:eastAsia="Arial" w:hAnsi="Arial"/>
          <w:sz w:val="20"/>
          <w:szCs w:val="20"/>
          <w:color w:val="auto"/>
        </w:rPr>
        <w:t>On September 17, 2019, the underwriters partially exercised their option to purchase additional shares. The Company issued and sold 844,362 common shares at a public offering price of $14.50 per share. After deducting the underwriting discounts and offering expenses, the Company received total net proceeds of $11.4 million.</w:t>
      </w:r>
    </w:p>
    <w:p>
      <w:pPr>
        <w:spacing w:after="0" w:line="240" w:lineRule="exact"/>
        <w:rPr>
          <w:sz w:val="20"/>
          <w:szCs w:val="20"/>
          <w:color w:val="auto"/>
        </w:rPr>
      </w:pPr>
    </w:p>
    <w:p>
      <w:pPr>
        <w:ind w:left="180" w:right="20" w:firstLine="486"/>
        <w:spacing w:after="0" w:line="257" w:lineRule="auto"/>
        <w:rPr>
          <w:sz w:val="20"/>
          <w:szCs w:val="20"/>
          <w:color w:val="auto"/>
        </w:rPr>
      </w:pPr>
      <w:r>
        <w:rPr>
          <w:rFonts w:ascii="Arial" w:cs="Arial" w:eastAsia="Arial" w:hAnsi="Arial"/>
          <w:sz w:val="19"/>
          <w:szCs w:val="19"/>
          <w:color w:val="auto"/>
        </w:rPr>
        <w:t>As of September 30, 2019, the Company qualified as an emerging growth company (‘‘EGC’’) under the Jumpstart Our Business Startups Act of 2012 (the ‘‘JOBS Act’’). An EGC may take advantage of reduced reporting requirements and is relieved of certain other significant requirements that are otherwise generally applicable to public companies. Amongst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 out of the extended transition period under the JOBS Act.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Company has implemented the following Accounting Standards Updates (‘‘ASU’’) during 2019:</w:t>
      </w:r>
    </w:p>
    <w:p>
      <w:pPr>
        <w:sectPr>
          <w:pgSz w:w="11900" w:h="16838" w:orient="portrait"/>
          <w:cols w:equalWidth="0" w:num="1">
            <w:col w:w="11220"/>
          </w:cols>
          <w:pgMar w:left="320" w:top="287" w:right="359" w:bottom="1440" w:gutter="0" w:footer="0" w:header="0"/>
        </w:sectPr>
      </w:pP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Date of</w:t>
            </w:r>
          </w:p>
        </w:tc>
        <w:tc>
          <w:tcPr>
            <w:tcW w:w="4140" w:type="dxa"/>
            <w:vAlign w:val="bottom"/>
          </w:tcPr>
          <w:p>
            <w:pPr>
              <w:spacing w:after="0"/>
              <w:rPr>
                <w:sz w:val="18"/>
                <w:szCs w:val="18"/>
                <w:color w:val="auto"/>
              </w:rPr>
            </w:pPr>
          </w:p>
        </w:tc>
      </w:tr>
      <w:tr>
        <w:trPr>
          <w:trHeight w:val="234"/>
        </w:trPr>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Standard</w:t>
            </w: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Adoption</w:t>
            </w:r>
          </w:p>
        </w:tc>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2"/>
        </w:trPr>
        <w:tc>
          <w:tcPr>
            <w:tcW w:w="1860" w:type="dxa"/>
            <w:vAlign w:val="bottom"/>
            <w:gridSpan w:val="2"/>
          </w:tcPr>
          <w:p>
            <w:pPr>
              <w:ind w:left="40"/>
              <w:spacing w:after="0"/>
              <w:rPr>
                <w:sz w:val="20"/>
                <w:szCs w:val="20"/>
                <w:color w:val="auto"/>
              </w:rPr>
            </w:pPr>
            <w:r>
              <w:rPr>
                <w:rFonts w:ascii="Arial" w:cs="Arial" w:eastAsia="Arial" w:hAnsi="Arial"/>
                <w:sz w:val="18"/>
                <w:szCs w:val="18"/>
                <w:color w:val="auto"/>
              </w:rPr>
              <w:t>ASU 2018-07 -</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January 2019</w:t>
            </w:r>
          </w:p>
        </w:tc>
        <w:tc>
          <w:tcPr>
            <w:tcW w:w="4140" w:type="dxa"/>
            <w:vAlign w:val="bottom"/>
          </w:tcPr>
          <w:p>
            <w:pPr>
              <w:ind w:left="40"/>
              <w:spacing w:after="0"/>
              <w:rPr>
                <w:sz w:val="20"/>
                <w:szCs w:val="20"/>
                <w:color w:val="auto"/>
              </w:rPr>
            </w:pPr>
            <w:r>
              <w:rPr>
                <w:rFonts w:ascii="Arial" w:cs="Arial" w:eastAsia="Arial" w:hAnsi="Arial"/>
                <w:sz w:val="18"/>
                <w:szCs w:val="18"/>
                <w:color w:val="auto"/>
                <w:w w:val="89"/>
              </w:rPr>
              <w:t>Expanded the scope of Topic 718 to include share-based</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3"/>
              </w:rPr>
              <w:t>payment transactions for acquiring goods and services</w:t>
            </w:r>
          </w:p>
        </w:tc>
      </w:tr>
      <w:tr>
        <w:trPr>
          <w:trHeight w:val="216"/>
        </w:trPr>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Stock Compensation</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Early adoption</w:t>
            </w:r>
          </w:p>
        </w:tc>
        <w:tc>
          <w:tcPr>
            <w:tcW w:w="4140" w:type="dxa"/>
            <w:vAlign w:val="bottom"/>
          </w:tcPr>
          <w:p>
            <w:pPr>
              <w:ind w:left="40"/>
              <w:spacing w:after="0"/>
              <w:rPr>
                <w:sz w:val="20"/>
                <w:szCs w:val="20"/>
                <w:color w:val="auto"/>
              </w:rPr>
            </w:pPr>
            <w:r>
              <w:rPr>
                <w:rFonts w:ascii="Arial" w:cs="Arial" w:eastAsia="Arial" w:hAnsi="Arial"/>
                <w:sz w:val="18"/>
                <w:szCs w:val="18"/>
                <w:color w:val="auto"/>
                <w:w w:val="94"/>
              </w:rPr>
              <w:t>from nonemployees, excluding share-based payments</w:t>
            </w:r>
          </w:p>
        </w:tc>
      </w:tr>
      <w:tr>
        <w:trPr>
          <w:trHeight w:val="216"/>
        </w:trPr>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(Topic 718):</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3"/>
              </w:rPr>
              <w:t>used to effectively provide (1) financing to the issuer or</w:t>
            </w:r>
          </w:p>
        </w:tc>
      </w:tr>
      <w:tr>
        <w:trPr>
          <w:trHeight w:val="216"/>
        </w:trPr>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Improvements to</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3"/>
              </w:rPr>
              <w:t>(2) awards granted in conjunction with selling goods or</w:t>
            </w:r>
          </w:p>
        </w:tc>
      </w:tr>
      <w:tr>
        <w:trPr>
          <w:trHeight w:val="216"/>
        </w:trPr>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Nonemployee Share-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0"/>
              </w:rPr>
              <w:t>services to customers as part of a contract accounted for</w:t>
            </w:r>
          </w:p>
        </w:tc>
      </w:tr>
      <w:tr>
        <w:trPr>
          <w:trHeight w:val="216"/>
        </w:trPr>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Based Payment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 xml:space="preserve">under Topic 606, </w:t>
            </w:r>
            <w:r>
              <w:rPr>
                <w:rFonts w:ascii="Arial" w:cs="Arial" w:eastAsia="Arial" w:hAnsi="Arial"/>
                <w:sz w:val="18"/>
                <w:szCs w:val="18"/>
                <w:i w:val="1"/>
                <w:iCs w:val="1"/>
                <w:color w:val="auto"/>
              </w:rPr>
              <w:t>Revenue from Contracts with</w:t>
            </w:r>
          </w:p>
        </w:tc>
      </w:tr>
      <w:tr>
        <w:trPr>
          <w:trHeight w:val="230"/>
        </w:trPr>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Accounting</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i w:val="1"/>
                <w:iCs w:val="1"/>
                <w:color w:val="auto"/>
              </w:rPr>
              <w:t>Customers</w:t>
            </w:r>
            <w:r>
              <w:rPr>
                <w:rFonts w:ascii="Arial" w:cs="Arial" w:eastAsia="Arial" w:hAnsi="Arial"/>
                <w:sz w:val="18"/>
                <w:szCs w:val="18"/>
                <w:color w:val="auto"/>
              </w:rPr>
              <w:t>.</w:t>
            </w:r>
          </w:p>
        </w:tc>
      </w:tr>
      <w:tr>
        <w:trPr>
          <w:trHeight w:val="418"/>
        </w:trPr>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7"/>
              </w:rPr>
              <w:t>The amendments include (1) grants are measured at</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grant-date fair value of the equity instruments, (2)</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7"/>
              </w:rPr>
              <w:t>equity-classified nonemployee share-based payment</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awards are measured at the grant date,</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2"/>
              </w:rPr>
              <w:t>(3) performance based awards are measured based on</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2"/>
              </w:rPr>
              <w:t>the probability of satisfying the performance conditions,</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1"/>
              </w:rPr>
              <w:t>and (4) in general, non-employee share-based payment</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5"/>
              </w:rPr>
              <w:t>awards will continue to be subject to the requirements</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7"/>
              </w:rPr>
              <w:t>of ASC 718 unless modified after the good has been</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9"/>
              </w:rPr>
              <w:t>delivered, the service has been rendered, any other</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0"/>
              </w:rPr>
              <w:t>conditions necessary to earn the right to benefit from the</w:t>
            </w: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1"/>
              </w:rPr>
              <w:t>instrument have been satisfied, and the nonemployee is</w:t>
            </w:r>
          </w:p>
        </w:tc>
      </w:tr>
      <w:tr>
        <w:trPr>
          <w:trHeight w:val="230"/>
        </w:trPr>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no longer providing goods or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-3042285</wp:posOffset>
            </wp:positionV>
            <wp:extent cx="6909435" cy="3060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9435" cy="3060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9" w:right="340"/>
        <w:spacing w:after="0" w:line="282" w:lineRule="auto"/>
        <w:rPr>
          <w:sz w:val="20"/>
          <w:szCs w:val="20"/>
          <w:color w:val="auto"/>
        </w:rPr>
      </w:pPr>
      <w:r>
        <w:rPr>
          <w:rFonts w:ascii="Arial" w:cs="Arial" w:eastAsia="Arial" w:hAnsi="Arial"/>
          <w:sz w:val="18"/>
          <w:szCs w:val="18"/>
          <w:b w:val="1"/>
          <w:bCs w:val="1"/>
          <w:color w:val="auto"/>
        </w:rPr>
        <w:t>Effect on Financial Statements or Other Significant Matters</w:t>
      </w:r>
    </w:p>
    <w:p>
      <w:pPr>
        <w:spacing w:after="0" w:line="17" w:lineRule="exact"/>
        <w:rPr>
          <w:sz w:val="20"/>
          <w:szCs w:val="20"/>
          <w:color w:val="auto"/>
        </w:rPr>
      </w:pPr>
    </w:p>
    <w:p>
      <w:pPr>
        <w:ind w:left="9" w:right="100"/>
        <w:spacing w:after="0" w:line="285" w:lineRule="auto"/>
        <w:rPr>
          <w:sz w:val="20"/>
          <w:szCs w:val="20"/>
          <w:color w:val="auto"/>
        </w:rPr>
      </w:pPr>
      <w:r>
        <w:rPr>
          <w:rFonts w:ascii="Arial" w:cs="Arial" w:eastAsia="Arial" w:hAnsi="Arial"/>
          <w:sz w:val="16"/>
          <w:szCs w:val="16"/>
          <w:color w:val="auto"/>
        </w:rPr>
        <w:t>The Company had 216,960 stock-based awards to non-employees as of the implementation date, including 116,960 performance-based restricted stock units. The adoption of the ASU allowed the Company to</w:t>
      </w:r>
    </w:p>
    <w:p>
      <w:pPr>
        <w:spacing w:after="0" w:line="2" w:lineRule="exact"/>
        <w:rPr>
          <w:sz w:val="20"/>
          <w:szCs w:val="20"/>
          <w:color w:val="auto"/>
        </w:rPr>
      </w:pPr>
    </w:p>
    <w:p>
      <w:pPr>
        <w:ind w:left="9" w:right="180" w:hanging="9"/>
        <w:spacing w:after="0" w:line="300" w:lineRule="auto"/>
        <w:tabs>
          <w:tab w:leader="none" w:pos="224" w:val="left"/>
        </w:tabs>
        <w:numPr>
          <w:ilvl w:val="0"/>
          <w:numId w:val="6"/>
        </w:numPr>
        <w:rPr>
          <w:rFonts w:ascii="Arial" w:cs="Arial" w:eastAsia="Arial" w:hAnsi="Arial"/>
          <w:sz w:val="15"/>
          <w:szCs w:val="15"/>
          <w:color w:val="auto"/>
        </w:rPr>
      </w:pPr>
      <w:r>
        <w:rPr>
          <w:rFonts w:ascii="Arial" w:cs="Arial" w:eastAsia="Arial" w:hAnsi="Arial"/>
          <w:sz w:val="15"/>
          <w:szCs w:val="15"/>
          <w:color w:val="auto"/>
        </w:rPr>
        <w:t>set the fair market value of the non-employee awards as of the adoption date and</w:t>
      </w:r>
    </w:p>
    <w:p>
      <w:pPr>
        <w:ind w:left="9" w:right="140" w:hanging="9"/>
        <w:spacing w:after="0" w:line="302" w:lineRule="auto"/>
        <w:tabs>
          <w:tab w:leader="none" w:pos="274" w:val="left"/>
        </w:tabs>
        <w:numPr>
          <w:ilvl w:val="0"/>
          <w:numId w:val="6"/>
        </w:numPr>
        <w:rPr>
          <w:rFonts w:ascii="Arial" w:cs="Arial" w:eastAsia="Arial" w:hAnsi="Arial"/>
          <w:sz w:val="16"/>
          <w:szCs w:val="16"/>
          <w:color w:val="auto"/>
        </w:rPr>
      </w:pPr>
      <w:r>
        <w:rPr>
          <w:rFonts w:ascii="Arial" w:cs="Arial" w:eastAsia="Arial" w:hAnsi="Arial"/>
          <w:sz w:val="16"/>
          <w:szCs w:val="16"/>
          <w:color w:val="auto"/>
        </w:rPr>
        <w:t>start to expense the performance-based restricted stock units based on the probability of satisfying the performance conditions.</w:t>
      </w:r>
    </w:p>
    <w:p>
      <w:pPr>
        <w:spacing w:after="0" w:line="155" w:lineRule="exact"/>
        <w:rPr>
          <w:sz w:val="20"/>
          <w:szCs w:val="20"/>
          <w:color w:val="auto"/>
        </w:rPr>
      </w:pPr>
    </w:p>
    <w:p>
      <w:pPr>
        <w:ind w:left="9" w:right="140"/>
        <w:spacing w:after="0" w:line="254" w:lineRule="auto"/>
        <w:rPr>
          <w:sz w:val="20"/>
          <w:szCs w:val="20"/>
          <w:color w:val="auto"/>
        </w:rPr>
      </w:pPr>
      <w:r>
        <w:rPr>
          <w:rFonts w:ascii="Arial" w:cs="Arial" w:eastAsia="Arial" w:hAnsi="Arial"/>
          <w:sz w:val="18"/>
          <w:szCs w:val="18"/>
          <w:color w:val="auto"/>
        </w:rPr>
        <w:t>Adoption of ASU 2018-07 required the Company to make a one-time transfer of $2.2 million from retained earnings to additional paid in capital. The Company will record forfeitures as they occur and base fair market values on the expected term, like the Company’s accounting for employee-based awards.</w:t>
      </w:r>
    </w:p>
    <w:p>
      <w:pPr>
        <w:spacing w:after="0" w:line="837" w:lineRule="exact"/>
        <w:rPr>
          <w:sz w:val="20"/>
          <w:szCs w:val="20"/>
          <w:color w:val="auto"/>
        </w:rPr>
      </w:pPr>
    </w:p>
    <w:p>
      <w:pPr>
        <w:sectPr>
          <w:pgSz w:w="11900" w:h="16838" w:orient="portrait"/>
          <w:cols w:equalWidth="0" w:num="2">
            <w:col w:w="7680" w:space="131"/>
            <w:col w:w="3409"/>
          </w:cols>
          <w:pgMar w:left="320" w:top="287" w:right="359" w:bottom="1440" w:gutter="0" w:footer="0" w:header="0"/>
          <w:type w:val="continuous"/>
        </w:sectPr>
      </w:pPr>
    </w:p>
    <w:p>
      <w:pPr>
        <w:spacing w:after="0" w:line="380"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320" w:top="287" w:right="3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08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ind w:left="60"/>
              <w:spacing w:after="0"/>
              <w:rPr>
                <w:sz w:val="20"/>
                <w:szCs w:val="20"/>
                <w:color w:val="auto"/>
              </w:rPr>
            </w:pPr>
            <w:r>
              <w:rPr>
                <w:rFonts w:ascii="Arial" w:cs="Arial" w:eastAsia="Arial" w:hAnsi="Arial"/>
                <w:sz w:val="18"/>
                <w:szCs w:val="18"/>
                <w:color w:val="auto"/>
                <w:w w:val="92"/>
              </w:rPr>
              <w:t>Notes to Unaudited Consolidated Financial Statements</w:t>
            </w:r>
          </w:p>
        </w:tc>
        <w:tc>
          <w:tcPr>
            <w:tcW w:w="0" w:type="dxa"/>
            <w:vAlign w:val="bottom"/>
          </w:tcPr>
          <w:p>
            <w:pPr>
              <w:spacing w:after="0"/>
              <w:rPr>
                <w:sz w:val="1"/>
                <w:szCs w:val="1"/>
                <w:color w:val="auto"/>
              </w:rPr>
            </w:pPr>
          </w:p>
        </w:tc>
      </w:tr>
      <w:tr>
        <w:trPr>
          <w:trHeight w:val="630"/>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Date of</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Standard</w:t>
            </w: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Adoption</w:t>
            </w:r>
          </w:p>
        </w:tc>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ASU 2016-01 -</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January 2019</w:t>
            </w:r>
          </w:p>
        </w:tc>
        <w:tc>
          <w:tcPr>
            <w:tcW w:w="4140" w:type="dxa"/>
            <w:vAlign w:val="bottom"/>
          </w:tcPr>
          <w:p>
            <w:pPr>
              <w:ind w:left="40"/>
              <w:spacing w:after="0"/>
              <w:rPr>
                <w:sz w:val="20"/>
                <w:szCs w:val="20"/>
                <w:color w:val="auto"/>
              </w:rPr>
            </w:pPr>
            <w:r>
              <w:rPr>
                <w:rFonts w:ascii="Arial" w:cs="Arial" w:eastAsia="Arial" w:hAnsi="Arial"/>
                <w:sz w:val="18"/>
                <w:szCs w:val="18"/>
                <w:color w:val="auto"/>
                <w:w w:val="95"/>
              </w:rPr>
              <w:t>Required equity investments (except those accounted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3"/>
              </w:rPr>
              <w:t>for under the equity method of accounting or those that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Financial Instruments-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0"/>
              </w:rPr>
              <w:t>result in consolidation of the investee) to be measured at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Overall (Subtopic 825-</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6"/>
              </w:rPr>
              <w:t>fair value with changes in fair value recognized in net</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60"/>
              <w:spacing w:after="0"/>
              <w:rPr>
                <w:sz w:val="20"/>
                <w:szCs w:val="20"/>
                <w:color w:val="auto"/>
              </w:rPr>
            </w:pPr>
            <w:r>
              <w:rPr>
                <w:rFonts w:ascii="Arial" w:cs="Arial" w:eastAsia="Arial" w:hAnsi="Arial"/>
                <w:sz w:val="18"/>
                <w:szCs w:val="18"/>
                <w:i w:val="1"/>
                <w:iCs w:val="1"/>
                <w:color w:val="auto"/>
              </w:rPr>
              <w:t>10)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3"/>
              </w:rPr>
              <w:t>Emphasized the existing requirement to use exit prices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to measure fair value for disclosure purposes and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clarifies that entities should not make use of</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3"/>
              </w:rPr>
              <w:t>practicability exceptions in determining the fair value of</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loans.</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ASU 2014-09 -</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January 2019</w:t>
            </w:r>
          </w:p>
        </w:tc>
        <w:tc>
          <w:tcPr>
            <w:tcW w:w="4140" w:type="dxa"/>
            <w:vAlign w:val="bottom"/>
          </w:tcPr>
          <w:p>
            <w:pPr>
              <w:ind w:left="40"/>
              <w:spacing w:after="0"/>
              <w:rPr>
                <w:sz w:val="20"/>
                <w:szCs w:val="20"/>
                <w:color w:val="auto"/>
              </w:rPr>
            </w:pPr>
            <w:r>
              <w:rPr>
                <w:rFonts w:ascii="Arial" w:cs="Arial" w:eastAsia="Arial" w:hAnsi="Arial"/>
                <w:sz w:val="18"/>
                <w:szCs w:val="18"/>
                <w:color w:val="auto"/>
                <w:w w:val="96"/>
              </w:rPr>
              <w:t>Amended guidance related to revenue from contracts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86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Revenue from</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with customers.</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Contracts with</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The core principle of ASU 2014-09 is that an entity</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i w:val="1"/>
                <w:iCs w:val="1"/>
                <w:color w:val="auto"/>
              </w:rPr>
              <w:t>Customers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should recognize revenue to depict the transfer of</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3"/>
              </w:rPr>
              <w:t>promised goods or services to customers in an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that reflects the consideration to which the entity</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6"/>
              </w:rPr>
              <w:t>expects to be entitled in exchange for those goods or</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Replaced nearly all existing revenue recognition</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guidance, including industry-specific guidance,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6"/>
              </w:rPr>
              <w:t>established a new control-based revenue recognition</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2"/>
              </w:rPr>
              <w:t>model, changed the basis for deciding when revenue is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2"/>
              </w:rPr>
              <w:t>recognized over time or at a point in time, provided new</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and more detailed guidance on specific topics and</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expands and improves disclosures about revenue.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-2348230</wp:posOffset>
            </wp:positionV>
            <wp:extent cx="6909435" cy="2503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9435" cy="2503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Effect on Financial Statements or 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-5080</wp:posOffset>
            </wp:positionV>
            <wp:extent cx="2134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ind w:right="240"/>
        <w:spacing w:after="0" w:line="286" w:lineRule="auto"/>
        <w:rPr>
          <w:sz w:val="20"/>
          <w:szCs w:val="20"/>
          <w:color w:val="auto"/>
        </w:rPr>
      </w:pPr>
      <w:r>
        <w:rPr>
          <w:rFonts w:ascii="Arial" w:cs="Arial" w:eastAsia="Arial" w:hAnsi="Arial"/>
          <w:sz w:val="17"/>
          <w:szCs w:val="17"/>
          <w:color w:val="auto"/>
        </w:rPr>
        <w:t>The Company transferred $68.7 thousand from accumulated other comprehensive loss to retained earnings in January 2019.</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impact to the income statement on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accounting update did not materially impact the financial statements or recognition of revenues.</w:t>
      </w:r>
    </w:p>
    <w:p>
      <w:pPr>
        <w:spacing w:after="0" w:line="184"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The update did not apply to revenue associated with financial instruments, including loans and securities that are accounted for under other GAAP, which comprises a significant portion of the Company’s revenue stream.</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the Company’s non-interest income is generated by customer transactions or through the passage of time and as a result the pattern or timing of income recognition was not impacted.</w:t>
      </w:r>
    </w:p>
    <w:p>
      <w:pPr>
        <w:spacing w:after="0" w:line="402" w:lineRule="exact"/>
        <w:rPr>
          <w:sz w:val="20"/>
          <w:szCs w:val="20"/>
          <w:color w:val="auto"/>
        </w:rPr>
      </w:pPr>
    </w:p>
    <w:p>
      <w:pPr>
        <w:sectPr>
          <w:pgSz w:w="11900" w:h="16838" w:orient="portrait"/>
          <w:cols w:equalWidth="0" w:num="2">
            <w:col w:w="7640" w:space="140"/>
            <w:col w:w="3400"/>
          </w:cols>
          <w:pgMar w:left="360" w:top="287" w:right="359" w:bottom="1440" w:gutter="0" w:footer="0" w:header="0"/>
        </w:sectPr>
      </w:pPr>
    </w:p>
    <w:p>
      <w:pPr>
        <w:spacing w:after="0" w:line="188" w:lineRule="exact"/>
        <w:rPr>
          <w:sz w:val="20"/>
          <w:szCs w:val="20"/>
          <w:color w:val="auto"/>
        </w:rPr>
      </w:pPr>
    </w:p>
    <w:p>
      <w:pPr>
        <w:ind w:left="140" w:right="280" w:firstLine="486"/>
        <w:spacing w:after="0" w:line="260" w:lineRule="auto"/>
        <w:rPr>
          <w:sz w:val="20"/>
          <w:szCs w:val="20"/>
          <w:color w:val="auto"/>
        </w:rPr>
      </w:pPr>
      <w:r>
        <w:rPr>
          <w:rFonts w:ascii="Arial" w:cs="Arial" w:eastAsia="Arial" w:hAnsi="Arial"/>
          <w:sz w:val="20"/>
          <w:szCs w:val="20"/>
          <w:color w:val="auto"/>
        </w:rPr>
        <w:t>The Company has updates to the following ASUs that have not yet been adopted. A complete list of recent, applicable accounting pronouncements was provided in the IPO Prospectus:</w:t>
      </w:r>
    </w:p>
    <w:p>
      <w:pPr>
        <w:sectPr>
          <w:pgSz w:w="11900" w:h="16838" w:orient="portrait"/>
          <w:cols w:equalWidth="0" w:num="1">
            <w:col w:w="11180"/>
          </w:cols>
          <w:pgMar w:left="360" w:top="287" w:right="359" w:bottom="1440" w:gutter="0" w:footer="0" w:header="0"/>
          <w:type w:val="continuous"/>
        </w:sectPr>
      </w:pPr>
    </w:p>
    <w:p>
      <w:pPr>
        <w:spacing w:after="0" w:line="283"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Anticipated Date of</w:t>
      </w:r>
    </w:p>
    <w:p>
      <w:pPr>
        <w:spacing w:after="0" w:line="27" w:lineRule="exact"/>
        <w:rPr>
          <w:sz w:val="20"/>
          <w:szCs w:val="20"/>
          <w:color w:val="auto"/>
        </w:rPr>
      </w:pPr>
    </w:p>
    <w:p>
      <w:pPr>
        <w:ind w:left="260"/>
        <w:spacing w:after="0"/>
        <w:tabs>
          <w:tab w:leader="none" w:pos="1660" w:val="left"/>
        </w:tabs>
        <w:rPr>
          <w:sz w:val="20"/>
          <w:szCs w:val="20"/>
          <w:color w:val="auto"/>
        </w:rPr>
      </w:pPr>
      <w:r>
        <w:rPr>
          <w:rFonts w:ascii="Arial" w:cs="Arial" w:eastAsia="Arial" w:hAnsi="Arial"/>
          <w:sz w:val="18"/>
          <w:szCs w:val="18"/>
          <w:b w:val="1"/>
          <w:bCs w:val="1"/>
          <w:color w:val="auto"/>
        </w:rPr>
        <w:t>Standard</w:t>
      </w:r>
      <w:r>
        <w:rPr>
          <w:sz w:val="20"/>
          <w:szCs w:val="20"/>
          <w:color w:val="auto"/>
        </w:rPr>
        <w:tab/>
      </w:r>
      <w:r>
        <w:rPr>
          <w:rFonts w:ascii="Arial" w:cs="Arial" w:eastAsia="Arial" w:hAnsi="Arial"/>
          <w:sz w:val="18"/>
          <w:szCs w:val="18"/>
          <w:b w:val="1"/>
          <w:bCs w:val="1"/>
          <w:color w:val="auto"/>
        </w:rPr>
        <w:t>Adoption</w:t>
      </w:r>
    </w:p>
    <w:p>
      <w:pPr>
        <w:spacing w:after="0" w:line="62" w:lineRule="exact"/>
        <w:rPr>
          <w:sz w:val="20"/>
          <w:szCs w:val="20"/>
          <w:color w:val="auto"/>
        </w:rPr>
      </w:pPr>
    </w:p>
    <w:p>
      <w:pPr>
        <w:ind w:left="1680" w:right="180" w:hanging="1430"/>
        <w:spacing w:after="0" w:line="291" w:lineRule="auto"/>
        <w:tabs>
          <w:tab w:leader="none" w:pos="1660" w:val="left"/>
        </w:tabs>
        <w:rPr>
          <w:sz w:val="20"/>
          <w:szCs w:val="20"/>
          <w:color w:val="auto"/>
        </w:rPr>
      </w:pPr>
      <w:r>
        <w:rPr>
          <w:rFonts w:ascii="Arial" w:cs="Arial" w:eastAsia="Arial" w:hAnsi="Arial"/>
          <w:sz w:val="18"/>
          <w:szCs w:val="18"/>
          <w:color w:val="auto"/>
        </w:rPr>
        <w:t>ASU 2016-13</w:t>
      </w:r>
      <w:r>
        <w:rPr>
          <w:sz w:val="20"/>
          <w:szCs w:val="20"/>
          <w:color w:val="auto"/>
        </w:rPr>
        <w:tab/>
      </w:r>
      <w:r>
        <w:rPr>
          <w:rFonts w:ascii="Arial" w:cs="Arial" w:eastAsia="Arial" w:hAnsi="Arial"/>
          <w:sz w:val="16"/>
          <w:szCs w:val="16"/>
          <w:color w:val="auto"/>
        </w:rPr>
        <w:t>The Company expects to implement this standard in</w:t>
      </w:r>
    </w:p>
    <w:p>
      <w:pPr>
        <w:ind w:left="260"/>
        <w:spacing w:after="0"/>
        <w:tabs>
          <w:tab w:leader="none" w:pos="1660" w:val="left"/>
        </w:tabs>
        <w:rPr>
          <w:sz w:val="20"/>
          <w:szCs w:val="20"/>
          <w:color w:val="auto"/>
        </w:rPr>
      </w:pPr>
      <w:r>
        <w:rPr>
          <w:rFonts w:ascii="Arial" w:cs="Arial" w:eastAsia="Arial" w:hAnsi="Arial"/>
          <w:sz w:val="18"/>
          <w:szCs w:val="18"/>
          <w:i w:val="1"/>
          <w:iCs w:val="1"/>
          <w:color w:val="auto"/>
        </w:rPr>
        <w:t>Financial</w:t>
      </w:r>
      <w:r>
        <w:rPr>
          <w:sz w:val="20"/>
          <w:szCs w:val="20"/>
          <w:color w:val="auto"/>
        </w:rPr>
        <w:tab/>
      </w:r>
      <w:r>
        <w:rPr>
          <w:rFonts w:ascii="Arial" w:cs="Arial" w:eastAsia="Arial" w:hAnsi="Arial"/>
          <w:sz w:val="18"/>
          <w:szCs w:val="18"/>
          <w:color w:val="auto"/>
        </w:rPr>
        <w:t>2020; however, the</w:t>
      </w:r>
    </w:p>
    <w:p>
      <w:pPr>
        <w:spacing w:after="0" w:line="9" w:lineRule="exact"/>
        <w:rPr>
          <w:sz w:val="20"/>
          <w:szCs w:val="20"/>
          <w:color w:val="auto"/>
        </w:rPr>
      </w:pPr>
    </w:p>
    <w:p>
      <w:pPr>
        <w:ind w:left="260"/>
        <w:spacing w:after="0"/>
        <w:tabs>
          <w:tab w:leader="none" w:pos="1660" w:val="left"/>
        </w:tabs>
        <w:rPr>
          <w:sz w:val="20"/>
          <w:szCs w:val="20"/>
          <w:color w:val="auto"/>
        </w:rPr>
      </w:pPr>
      <w:r>
        <w:rPr>
          <w:rFonts w:ascii="Arial" w:cs="Arial" w:eastAsia="Arial" w:hAnsi="Arial"/>
          <w:sz w:val="18"/>
          <w:szCs w:val="18"/>
          <w:i w:val="1"/>
          <w:iCs w:val="1"/>
          <w:color w:val="auto"/>
        </w:rPr>
        <w:t>Instruments-</w:t>
      </w:r>
      <w:r>
        <w:rPr>
          <w:sz w:val="20"/>
          <w:szCs w:val="20"/>
          <w:color w:val="auto"/>
        </w:rPr>
        <w:tab/>
      </w:r>
      <w:r>
        <w:rPr>
          <w:rFonts w:ascii="Arial" w:cs="Arial" w:eastAsia="Arial" w:hAnsi="Arial"/>
          <w:sz w:val="16"/>
          <w:szCs w:val="16"/>
          <w:color w:val="auto"/>
        </w:rPr>
        <w:t>Company is not required to</w:t>
      </w:r>
    </w:p>
    <w:p>
      <w:pPr>
        <w:spacing w:after="0" w:line="9" w:lineRule="exact"/>
        <w:rPr>
          <w:sz w:val="20"/>
          <w:szCs w:val="20"/>
          <w:color w:val="auto"/>
        </w:rPr>
      </w:pPr>
    </w:p>
    <w:p>
      <w:pPr>
        <w:ind w:left="1680" w:hanging="1430"/>
        <w:spacing w:after="0" w:line="255" w:lineRule="auto"/>
        <w:tabs>
          <w:tab w:leader="none" w:pos="1660" w:val="left"/>
        </w:tabs>
        <w:rPr>
          <w:sz w:val="20"/>
          <w:szCs w:val="20"/>
          <w:color w:val="auto"/>
        </w:rPr>
      </w:pPr>
      <w:r>
        <w:rPr>
          <w:rFonts w:ascii="Arial" w:cs="Arial" w:eastAsia="Arial" w:hAnsi="Arial"/>
          <w:sz w:val="18"/>
          <w:szCs w:val="18"/>
          <w:i w:val="1"/>
          <w:iCs w:val="1"/>
          <w:color w:val="auto"/>
        </w:rPr>
        <w:t>Credit Losses</w:t>
      </w:r>
      <w:r>
        <w:rPr>
          <w:sz w:val="20"/>
          <w:szCs w:val="20"/>
          <w:color w:val="auto"/>
        </w:rPr>
        <w:tab/>
      </w:r>
      <w:r>
        <w:rPr>
          <w:rFonts w:ascii="Arial" w:cs="Arial" w:eastAsia="Arial" w:hAnsi="Arial"/>
          <w:sz w:val="18"/>
          <w:szCs w:val="18"/>
          <w:color w:val="auto"/>
        </w:rPr>
        <w:t>implement this standard until January 2023 if it maintains its EGC status.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34290</wp:posOffset>
            </wp:positionV>
            <wp:extent cx="6909435" cy="3060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9435" cy="3060065"/>
                    </a:xfrm>
                    <a:prstGeom prst="rect">
                      <a:avLst/>
                    </a:prstGeom>
                    <a:noFill/>
                  </pic:spPr>
                </pic:pic>
              </a:graphicData>
            </a:graphic>
          </wp:anchor>
        </w:drawing>
      </w:r>
    </w:p>
    <w:p>
      <w:pPr>
        <w:spacing w:after="0" w:line="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Requires an entity to utilize a new impairment model known as the current expected credit loss (’’CECL’’) model to estimate its lifetime expected credit loss and record an allowance that, when deducted from amortized cost basis of the financial asset, presents the net amount expected to be collected on the financial asset.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Effect on Financial Statements or Other Significant Matters</w:t>
      </w:r>
    </w:p>
    <w:p>
      <w:pPr>
        <w:spacing w:after="0" w:line="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established a committee of individuals from applicable departments to oversee the implementation process.</w:t>
      </w:r>
    </w:p>
    <w:p>
      <w:pPr>
        <w:spacing w:after="0" w:line="18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The Company implemented a third-party software solution and completed the software implementation phase of the transition. The software implementation phase included data capture and portfolio segmentation amongst other items.</w:t>
      </w:r>
    </w:p>
    <w:p>
      <w:pPr>
        <w:spacing w:after="0" w:line="17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has completed an initial parallel run using 2019 data and expects to complete a second parallel run using third quarter data during the fourth quarter.</w:t>
      </w:r>
    </w:p>
    <w:p>
      <w:pPr>
        <w:spacing w:after="0" w:line="14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At this time, an estimate of the impact cannot be established as the Company continues to evaluate the inputs into the model. The fourth quarter parallel run may provide a better estimate of the impact to the Company’s financial statements, but the actual impact could be significantly affected by the composition, characteristics and quality of the underlying loan portfolio at the time of adoption.</w:t>
      </w:r>
    </w:p>
    <w:p>
      <w:pPr>
        <w:spacing w:after="0" w:line="200" w:lineRule="exact"/>
        <w:rPr>
          <w:sz w:val="20"/>
          <w:szCs w:val="20"/>
          <w:color w:val="auto"/>
        </w:rPr>
      </w:pPr>
    </w:p>
    <w:p>
      <w:pPr>
        <w:sectPr>
          <w:pgSz w:w="11900" w:h="16838" w:orient="portrait"/>
          <w:cols w:equalWidth="0" w:num="3">
            <w:col w:w="3780" w:space="180"/>
            <w:col w:w="2740" w:space="200"/>
            <w:col w:w="4280"/>
          </w:cols>
          <w:pgMar w:left="360" w:top="287" w:right="35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80"/>
          </w:cols>
          <w:pgMar w:left="360" w:top="287" w:right="359" w:bottom="1440" w:gutter="0" w:footer="0" w:header="0"/>
          <w:type w:val="continuous"/>
        </w:sectPr>
      </w:pPr>
    </w:p>
    <w:bookmarkStart w:id="15" w:name="page16"/>
    <w:bookmarkEnd w:id="15"/>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ectPr>
          <w:pgSz w:w="11900" w:h="16838" w:orient="portrait"/>
          <w:cols w:equalWidth="0" w:num="1">
            <w:col w:w="11180"/>
          </w:cols>
          <w:pgMar w:left="360" w:top="287"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Anticipated Date of</w:t>
            </w:r>
          </w:p>
        </w:tc>
      </w:tr>
      <w:tr>
        <w:trPr>
          <w:trHeight w:val="234"/>
        </w:trPr>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Standard</w:t>
            </w:r>
          </w:p>
        </w:tc>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Adoption</w:t>
            </w:r>
          </w:p>
        </w:tc>
      </w:tr>
      <w:tr>
        <w:trPr>
          <w:trHeight w:val="27"/>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2"/>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ASU 2016-02</w:t>
            </w:r>
          </w:p>
        </w:tc>
        <w:tc>
          <w:tcPr>
            <w:tcW w:w="2160" w:type="dxa"/>
            <w:vAlign w:val="bottom"/>
          </w:tcPr>
          <w:p>
            <w:pPr>
              <w:ind w:left="20"/>
              <w:spacing w:after="0"/>
              <w:rPr>
                <w:sz w:val="20"/>
                <w:szCs w:val="20"/>
                <w:color w:val="auto"/>
              </w:rPr>
            </w:pPr>
            <w:r>
              <w:rPr>
                <w:rFonts w:ascii="Arial" w:cs="Arial" w:eastAsia="Arial" w:hAnsi="Arial"/>
                <w:sz w:val="18"/>
                <w:szCs w:val="18"/>
                <w:color w:val="auto"/>
              </w:rPr>
              <w:t>The Company expects to</w:t>
            </w: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implement this standard in</w:t>
            </w:r>
          </w:p>
        </w:tc>
      </w:tr>
      <w:tr>
        <w:trPr>
          <w:trHeight w:val="230"/>
        </w:trPr>
        <w:tc>
          <w:tcPr>
            <w:tcW w:w="1440" w:type="dxa"/>
            <w:vAlign w:val="bottom"/>
            <w:gridSpan w:val="2"/>
          </w:tcPr>
          <w:p>
            <w:pPr>
              <w:ind w:left="40"/>
              <w:spacing w:after="0"/>
              <w:rPr>
                <w:sz w:val="20"/>
                <w:szCs w:val="20"/>
                <w:color w:val="auto"/>
              </w:rPr>
            </w:pPr>
            <w:r>
              <w:rPr>
                <w:rFonts w:ascii="Arial" w:cs="Arial" w:eastAsia="Arial" w:hAnsi="Arial"/>
                <w:sz w:val="18"/>
                <w:szCs w:val="18"/>
                <w:i w:val="1"/>
                <w:iCs w:val="1"/>
                <w:color w:val="auto"/>
              </w:rPr>
              <w:t>Leases (Topic</w:t>
            </w:r>
          </w:p>
        </w:tc>
        <w:tc>
          <w:tcPr>
            <w:tcW w:w="2160" w:type="dxa"/>
            <w:vAlign w:val="bottom"/>
          </w:tcPr>
          <w:p>
            <w:pPr>
              <w:ind w:left="20"/>
              <w:spacing w:after="0"/>
              <w:rPr>
                <w:sz w:val="20"/>
                <w:szCs w:val="20"/>
                <w:color w:val="auto"/>
              </w:rPr>
            </w:pPr>
            <w:r>
              <w:rPr>
                <w:rFonts w:ascii="Arial" w:cs="Arial" w:eastAsia="Arial" w:hAnsi="Arial"/>
                <w:sz w:val="18"/>
                <w:szCs w:val="18"/>
                <w:color w:val="auto"/>
              </w:rPr>
              <w:t>2020; however, the</w:t>
            </w:r>
          </w:p>
        </w:tc>
      </w:tr>
    </w:tbl>
    <w:p>
      <w:pPr>
        <w:ind w:left="1680" w:right="40" w:hanging="1429"/>
        <w:spacing w:after="0" w:line="273" w:lineRule="auto"/>
        <w:tabs>
          <w:tab w:leader="none" w:pos="1680" w:val="left"/>
        </w:tabs>
        <w:numPr>
          <w:ilvl w:val="0"/>
          <w:numId w:val="7"/>
        </w:numPr>
        <w:rPr>
          <w:rFonts w:ascii="Arial" w:cs="Arial" w:eastAsia="Arial" w:hAnsi="Arial"/>
          <w:sz w:val="17"/>
          <w:szCs w:val="17"/>
          <w:i w:val="1"/>
          <w:iCs w:val="1"/>
          <w:color w:val="auto"/>
        </w:rPr>
      </w:pPr>
      <w:r>
        <w:rPr>
          <w:rFonts w:ascii="Arial" w:cs="Arial" w:eastAsia="Arial" w:hAnsi="Arial"/>
          <w:sz w:val="17"/>
          <w:szCs w:val="17"/>
          <w:color w:val="auto"/>
        </w:rPr>
        <w:t>Company is not required to implement this standard until January 2021 if it maintains its EGC status.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1791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6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Requires lessees and lessors to recognize lease assets and lease liabilities on the balance sheet and disclose key information about leasing arrangements.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update requires lessees and lessors to recognize and measure leases at the beginning of the earliest period presented using a modified retrospective approach with the option to elect certain practical expedients.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update will also increase disclosures around leases, including qualitative and specific quantitative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Effect on Financial Statements or 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-5080</wp:posOffset>
            </wp:positionV>
            <wp:extent cx="2691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ind w:right="260"/>
        <w:spacing w:after="0" w:line="301" w:lineRule="auto"/>
        <w:rPr>
          <w:sz w:val="20"/>
          <w:szCs w:val="20"/>
          <w:color w:val="auto"/>
        </w:rPr>
      </w:pPr>
      <w:r>
        <w:rPr>
          <w:rFonts w:ascii="Arial" w:cs="Arial" w:eastAsia="Arial" w:hAnsi="Arial"/>
          <w:sz w:val="16"/>
          <w:szCs w:val="16"/>
          <w:color w:val="auto"/>
        </w:rPr>
        <w:t>The Company is electing to apply the update as of the beginning of the period of adoption and the Company will not restate comparative periods. The Company also expects to elect certain optional practical expedients.</w:t>
      </w:r>
    </w:p>
    <w:p>
      <w:pPr>
        <w:spacing w:after="0" w:line="15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gathered all potential lease and embedded lease agreements and is evaluating the applicability and impact to the financial statements.</w:t>
      </w:r>
    </w:p>
    <w:p>
      <w:pPr>
        <w:spacing w:after="0" w:line="18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Company’s current operating leases relate primarily to three branch locations. Based on these current leases, the Company anticipates recognizing a lease liability and related right-to-use asset on its balance sheet, with an immaterial impact to its income statement compared to the current lease accounting model. However, the ultimate impact of the standard will depend on the Company lease portfolio as of the adoption date.</w:t>
      </w:r>
    </w:p>
    <w:p>
      <w:pPr>
        <w:spacing w:after="0" w:line="394" w:lineRule="exact"/>
        <w:rPr>
          <w:sz w:val="20"/>
          <w:szCs w:val="20"/>
          <w:color w:val="auto"/>
        </w:rPr>
      </w:pPr>
    </w:p>
    <w:p>
      <w:pPr>
        <w:sectPr>
          <w:pgSz w:w="11900" w:h="16838" w:orient="portrait"/>
          <w:cols w:equalWidth="0" w:num="3">
            <w:col w:w="3820" w:space="140"/>
            <w:col w:w="2660" w:space="280"/>
            <w:col w:w="4280"/>
          </w:cols>
          <w:pgMar w:left="360" w:top="287" w:right="359" w:bottom="1440" w:gutter="0" w:footer="0" w:header="0"/>
          <w:type w:val="continuous"/>
        </w:sectPr>
      </w:pP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840" w:type="dxa"/>
            <w:vAlign w:val="bottom"/>
            <w:gridSpan w:val="2"/>
          </w:tcPr>
          <w:p>
            <w:pPr>
              <w:spacing w:after="0"/>
              <w:rPr>
                <w:sz w:val="20"/>
                <w:szCs w:val="20"/>
                <w:color w:val="auto"/>
              </w:rPr>
            </w:pPr>
            <w:r>
              <w:rPr>
                <w:rFonts w:ascii="Arial" w:cs="Arial" w:eastAsia="Arial" w:hAnsi="Arial"/>
                <w:sz w:val="22"/>
                <w:szCs w:val="22"/>
                <w:b w:val="1"/>
                <w:bCs w:val="1"/>
                <w:color w:val="auto"/>
              </w:rPr>
              <w:t>Note 2:</w:t>
            </w:r>
          </w:p>
        </w:tc>
        <w:tc>
          <w:tcPr>
            <w:tcW w:w="4560" w:type="dxa"/>
            <w:vAlign w:val="bottom"/>
          </w:tcPr>
          <w:p>
            <w:pPr>
              <w:ind w:left="200"/>
              <w:spacing w:after="0"/>
              <w:rPr>
                <w:sz w:val="20"/>
                <w:szCs w:val="20"/>
                <w:color w:val="auto"/>
              </w:rPr>
            </w:pPr>
            <w:r>
              <w:rPr>
                <w:rFonts w:ascii="Arial" w:cs="Arial" w:eastAsia="Arial" w:hAnsi="Arial"/>
                <w:sz w:val="22"/>
                <w:szCs w:val="22"/>
                <w:b w:val="1"/>
                <w:bCs w:val="1"/>
                <w:color w:val="auto"/>
              </w:rPr>
              <w:t>Earnings Per Share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0"/>
        </w:trPr>
        <w:tc>
          <w:tcPr>
            <w:tcW w:w="80" w:type="dxa"/>
            <w:vAlign w:val="bottom"/>
          </w:tcPr>
          <w:p>
            <w:pPr>
              <w:spacing w:after="0"/>
              <w:rPr>
                <w:sz w:val="24"/>
                <w:szCs w:val="24"/>
                <w:color w:val="auto"/>
              </w:rPr>
            </w:pPr>
          </w:p>
        </w:tc>
        <w:tc>
          <w:tcPr>
            <w:tcW w:w="6740" w:type="dxa"/>
            <w:vAlign w:val="bottom"/>
            <w:gridSpan w:val="5"/>
          </w:tcPr>
          <w:p>
            <w:pPr>
              <w:ind w:left="20"/>
              <w:spacing w:after="0"/>
              <w:rPr>
                <w:sz w:val="20"/>
                <w:szCs w:val="20"/>
                <w:color w:val="auto"/>
              </w:rPr>
            </w:pPr>
            <w:r>
              <w:rPr>
                <w:rFonts w:ascii="Arial" w:cs="Arial" w:eastAsia="Arial" w:hAnsi="Arial"/>
                <w:sz w:val="20"/>
                <w:szCs w:val="20"/>
                <w:color w:val="auto"/>
                <w:w w:val="89"/>
              </w:rPr>
              <w:t>The following table presents the computation of basic and diluted earnings per share: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4"/>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4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5"/>
          </w:tcPr>
          <w:p>
            <w:pPr>
              <w:ind w:left="38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80" w:type="dxa"/>
            <w:vAlign w:val="bottom"/>
          </w:tcPr>
          <w:p>
            <w:pPr>
              <w:spacing w:after="0"/>
              <w:rPr>
                <w:sz w:val="2"/>
                <w:szCs w:val="2"/>
                <w:color w:val="auto"/>
              </w:rPr>
            </w:pPr>
          </w:p>
        </w:tc>
        <w:tc>
          <w:tcPr>
            <w:tcW w:w="5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29,173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9,256</w:t>
            </w:r>
          </w:p>
        </w:tc>
      </w:tr>
      <w:tr>
        <w:trPr>
          <w:trHeight w:val="27"/>
        </w:trPr>
        <w:tc>
          <w:tcPr>
            <w:tcW w:w="80" w:type="dxa"/>
            <w:vAlign w:val="bottom"/>
          </w:tcPr>
          <w:p>
            <w:pPr>
              <w:spacing w:after="0"/>
              <w:rPr>
                <w:sz w:val="2"/>
                <w:szCs w:val="2"/>
                <w:color w:val="auto"/>
              </w:rPr>
            </w:pPr>
          </w:p>
        </w:tc>
        <w:tc>
          <w:tcPr>
            <w:tcW w:w="5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preferred stock dividends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w:t>
            </w:r>
          </w:p>
        </w:tc>
      </w:tr>
      <w:tr>
        <w:trPr>
          <w:trHeight w:val="297"/>
        </w:trPr>
        <w:tc>
          <w:tcPr>
            <w:tcW w:w="80" w:type="dxa"/>
            <w:vAlign w:val="bottom"/>
          </w:tcPr>
          <w:p>
            <w:pPr>
              <w:spacing w:after="0"/>
              <w:rPr>
                <w:sz w:val="24"/>
                <w:szCs w:val="24"/>
                <w:color w:val="auto"/>
              </w:rPr>
            </w:pPr>
          </w:p>
        </w:tc>
        <w:tc>
          <w:tcPr>
            <w:tcW w:w="53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10,384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28,998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7,681</w:t>
            </w:r>
          </w:p>
        </w:tc>
      </w:tr>
      <w:tr>
        <w:trPr>
          <w:trHeight w:val="257"/>
        </w:trPr>
        <w:tc>
          <w:tcPr>
            <w:tcW w:w="80" w:type="dxa"/>
            <w:vAlign w:val="bottom"/>
          </w:tcPr>
          <w:p>
            <w:pPr>
              <w:spacing w:after="0"/>
              <w:rPr>
                <w:sz w:val="22"/>
                <w:szCs w:val="22"/>
                <w:color w:val="auto"/>
              </w:rPr>
            </w:pPr>
          </w:p>
        </w:tc>
        <w:tc>
          <w:tcPr>
            <w:tcW w:w="532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Weighted average common shares</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48,351,553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37,790,614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46,239,021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33,918,540</w:t>
            </w:r>
          </w:p>
        </w:tc>
      </w:tr>
      <w:tr>
        <w:trPr>
          <w:trHeight w:val="297"/>
        </w:trPr>
        <w:tc>
          <w:tcPr>
            <w:tcW w:w="80" w:type="dxa"/>
            <w:vAlign w:val="bottom"/>
          </w:tcPr>
          <w:p>
            <w:pPr>
              <w:spacing w:after="0"/>
              <w:rPr>
                <w:sz w:val="24"/>
                <w:szCs w:val="24"/>
                <w:color w:val="auto"/>
              </w:rPr>
            </w:pPr>
          </w:p>
        </w:tc>
        <w:tc>
          <w:tcPr>
            <w:tcW w:w="53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0.23</w:t>
            </w:r>
          </w:p>
        </w:tc>
      </w:tr>
      <w:tr>
        <w:trPr>
          <w:trHeight w:val="237"/>
        </w:trPr>
        <w:tc>
          <w:tcPr>
            <w:tcW w:w="80" w:type="dxa"/>
            <w:vAlign w:val="bottom"/>
          </w:tcPr>
          <w:p>
            <w:pPr>
              <w:spacing w:after="0"/>
              <w:rPr>
                <w:sz w:val="20"/>
                <w:szCs w:val="20"/>
                <w:color w:val="auto"/>
              </w:rPr>
            </w:pPr>
          </w:p>
        </w:tc>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Dilutive 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5320" w:type="dxa"/>
            <w:vAlign w:val="bottom"/>
            <w:gridSpan w:val="2"/>
          </w:tcPr>
          <w:p>
            <w:pPr>
              <w:ind w:left="28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28,998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7,681</w:t>
            </w:r>
          </w:p>
        </w:tc>
      </w:tr>
      <w:tr>
        <w:trPr>
          <w:trHeight w:val="27"/>
        </w:trPr>
        <w:tc>
          <w:tcPr>
            <w:tcW w:w="80" w:type="dxa"/>
            <w:vAlign w:val="bottom"/>
          </w:tcPr>
          <w:p>
            <w:pPr>
              <w:spacing w:after="0"/>
              <w:rPr>
                <w:sz w:val="2"/>
                <w:szCs w:val="2"/>
                <w:color w:val="auto"/>
              </w:rPr>
            </w:pPr>
          </w:p>
        </w:tc>
        <w:tc>
          <w:tcPr>
            <w:tcW w:w="5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53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Weighted average common shares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48,351,553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37,790,614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46,239,021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33,918,540</w:t>
            </w:r>
          </w:p>
        </w:tc>
      </w:tr>
      <w:tr>
        <w:trPr>
          <w:trHeight w:val="270"/>
        </w:trPr>
        <w:tc>
          <w:tcPr>
            <w:tcW w:w="80" w:type="dxa"/>
            <w:vAlign w:val="bottom"/>
          </w:tcPr>
          <w:p>
            <w:pPr>
              <w:spacing w:after="0"/>
              <w:rPr>
                <w:sz w:val="23"/>
                <w:szCs w:val="23"/>
                <w:color w:val="auto"/>
              </w:rPr>
            </w:pPr>
          </w:p>
        </w:tc>
        <w:tc>
          <w:tcPr>
            <w:tcW w:w="5320" w:type="dxa"/>
            <w:vAlign w:val="bottom"/>
            <w:tcBorders>
              <w:bottom w:val="single" w:sz="8" w:color="CCEEFF"/>
            </w:tcBorders>
            <w:gridSpan w:val="2"/>
          </w:tcPr>
          <w:p>
            <w:pPr>
              <w:ind w:left="280"/>
              <w:spacing w:after="0" w:line="270" w:lineRule="exact"/>
              <w:rPr>
                <w:sz w:val="20"/>
                <w:szCs w:val="20"/>
                <w:color w:val="auto"/>
              </w:rPr>
            </w:pPr>
            <w:r>
              <w:rPr>
                <w:rFonts w:ascii="Arial" w:cs="Arial" w:eastAsia="Arial" w:hAnsi="Arial"/>
                <w:sz w:val="18"/>
                <w:szCs w:val="18"/>
                <w:color w:val="auto"/>
              </w:rPr>
              <w:t>Effect of dilutive shares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812,996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988,010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842,706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1,133,888</w:t>
            </w:r>
          </w:p>
        </w:tc>
      </w:tr>
      <w:tr>
        <w:trPr>
          <w:trHeight w:val="263"/>
        </w:trPr>
        <w:tc>
          <w:tcPr>
            <w:tcW w:w="80" w:type="dxa"/>
            <w:vAlign w:val="bottom"/>
          </w:tcPr>
          <w:p>
            <w:pPr>
              <w:spacing w:after="0"/>
              <w:rPr>
                <w:sz w:val="22"/>
                <w:szCs w:val="22"/>
                <w:color w:val="auto"/>
              </w:rPr>
            </w:pPr>
          </w:p>
        </w:tc>
        <w:tc>
          <w:tcPr>
            <w:tcW w:w="5320" w:type="dxa"/>
            <w:vAlign w:val="bottom"/>
            <w:gridSpan w:val="2"/>
            <w:shd w:val="clear" w:color="auto" w:fill="CCEEFF"/>
          </w:tcPr>
          <w:p>
            <w:pPr>
              <w:ind w:left="280"/>
              <w:spacing w:after="0" w:line="263" w:lineRule="exact"/>
              <w:rPr>
                <w:sz w:val="20"/>
                <w:szCs w:val="20"/>
                <w:color w:val="auto"/>
              </w:rPr>
            </w:pPr>
            <w:r>
              <w:rPr>
                <w:rFonts w:ascii="Arial" w:cs="Arial" w:eastAsia="Arial" w:hAnsi="Arial"/>
                <w:sz w:val="18"/>
                <w:szCs w:val="18"/>
                <w:color w:val="auto"/>
              </w:rPr>
              <w:t>Weighted average dilutive common shares</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49,164,549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38,778,624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47,081,727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35,052,428</w:t>
            </w:r>
          </w:p>
        </w:tc>
      </w:tr>
      <w:tr>
        <w:trPr>
          <w:trHeight w:val="257"/>
        </w:trPr>
        <w:tc>
          <w:tcPr>
            <w:tcW w:w="80" w:type="dxa"/>
            <w:vAlign w:val="bottom"/>
          </w:tcPr>
          <w:p>
            <w:pPr>
              <w:spacing w:after="0"/>
              <w:rPr>
                <w:sz w:val="22"/>
                <w:szCs w:val="22"/>
                <w:color w:val="auto"/>
              </w:rPr>
            </w:pPr>
          </w:p>
        </w:tc>
        <w:tc>
          <w:tcPr>
            <w:tcW w:w="5320" w:type="dxa"/>
            <w:vAlign w:val="bottom"/>
            <w:gridSpan w:val="2"/>
          </w:tcPr>
          <w:p>
            <w:pPr>
              <w:ind w:left="38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0.22</w:t>
            </w: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08"/>
        </w:trPr>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SARs, RSUs, RSAs, PRSUs, PSSs not included because to do so would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80" w:type="dxa"/>
            <w:vAlign w:val="bottom"/>
          </w:tcPr>
          <w:p>
            <w:pPr>
              <w:spacing w:after="0"/>
              <w:rPr>
                <w:sz w:val="22"/>
                <w:szCs w:val="22"/>
                <w:color w:val="auto"/>
              </w:rPr>
            </w:pPr>
          </w:p>
        </w:tc>
        <w:tc>
          <w:tcPr>
            <w:tcW w:w="53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be antidilutive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541,556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442,452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507,167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273,180</w:t>
            </w:r>
          </w:p>
        </w:tc>
      </w:tr>
    </w:tbl>
    <w:p>
      <w:pPr>
        <w:spacing w:after="0" w:line="92" w:lineRule="exact"/>
        <w:rPr>
          <w:sz w:val="20"/>
          <w:szCs w:val="20"/>
          <w:color w:val="auto"/>
        </w:rPr>
      </w:pPr>
    </w:p>
    <w:p>
      <w:pPr>
        <w:ind w:left="260" w:hanging="103"/>
        <w:spacing w:after="0"/>
        <w:tabs>
          <w:tab w:leader="none" w:pos="26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Share data has been adjusted to reflect a 2-for-1 stock split effected in the form of a dividend on December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60" w:top="287" w:right="359" w:bottom="1440" w:gutter="0" w:footer="0" w:header="0"/>
          <w:type w:val="continuous"/>
        </w:sectPr>
      </w:pPr>
    </w:p>
    <w:bookmarkStart w:id="16" w:name="page17"/>
    <w:bookmarkEnd w:id="16"/>
    <w:p>
      <w:pPr>
        <w:ind w:left="40"/>
        <w:spacing w:after="0"/>
        <w:tabs>
          <w:tab w:leader="none" w:pos="358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9"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2"/>
          <w:szCs w:val="22"/>
          <w:b w:val="1"/>
          <w:bCs w:val="1"/>
          <w:color w:val="auto"/>
        </w:rPr>
        <w:t>Note 3:</w:t>
      </w:r>
      <w:r>
        <w:rPr>
          <w:sz w:val="20"/>
          <w:szCs w:val="20"/>
          <w:color w:val="auto"/>
        </w:rPr>
        <w:tab/>
      </w:r>
      <w:r>
        <w:rPr>
          <w:rFonts w:ascii="Arial" w:cs="Arial" w:eastAsia="Arial" w:hAnsi="Arial"/>
          <w:sz w:val="18"/>
          <w:szCs w:val="18"/>
          <w:b w:val="1"/>
          <w:bCs w:val="1"/>
          <w:color w:val="auto"/>
        </w:rPr>
        <w:t>Securities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Available-for-Sale Debt and Equity Securities</w:t>
      </w:r>
    </w:p>
    <w:p>
      <w:pPr>
        <w:spacing w:after="0" w:line="162" w:lineRule="exact"/>
        <w:rPr>
          <w:sz w:val="20"/>
          <w:szCs w:val="20"/>
          <w:color w:val="auto"/>
        </w:rPr>
      </w:pPr>
    </w:p>
    <w:p>
      <w:pPr>
        <w:ind w:left="180" w:firstLine="486"/>
        <w:spacing w:after="0" w:line="260" w:lineRule="auto"/>
        <w:rPr>
          <w:sz w:val="20"/>
          <w:szCs w:val="20"/>
          <w:color w:val="auto"/>
        </w:rPr>
      </w:pPr>
      <w:r>
        <w:rPr>
          <w:rFonts w:ascii="Arial" w:cs="Arial" w:eastAsia="Arial" w:hAnsi="Arial"/>
          <w:sz w:val="20"/>
          <w:szCs w:val="20"/>
          <w:color w:val="auto"/>
        </w:rPr>
        <w:t>The amortized cost and approximate fair values, together with gross unrealized gains and losses, of period end available-for-sale debt and equity securities consisted of the following:</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 2019</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Approximate Fair</w:t>
            </w:r>
          </w:p>
        </w:tc>
      </w:tr>
      <w:tr>
        <w:trPr>
          <w:trHeight w:val="234"/>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Value</w:t>
            </w:r>
          </w:p>
        </w:tc>
      </w:tr>
      <w:tr>
        <w:trPr>
          <w:trHeight w:val="27"/>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5"/>
          </w:tcPr>
          <w:p>
            <w:pPr>
              <w:jc w:val="right"/>
              <w:ind w:right="980"/>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Mortgage-backed - GSE residential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158,897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160,714</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4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Collateralized mortgage obligations - GSE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148,675</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398,963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21,051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420,009</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Total available-for-sale debt securities</w:t>
            </w: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707,221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730,934</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w:t>
            </w: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709,400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733,093</w:t>
            </w: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5"/>
          </w:tcPr>
          <w:p>
            <w:pPr>
              <w:ind w:left="92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Approximate Fair</w:t>
            </w:r>
          </w:p>
        </w:tc>
      </w:tr>
      <w:tr>
        <w:trPr>
          <w:trHeight w:val="234"/>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Value</w:t>
            </w:r>
          </w:p>
        </w:tc>
      </w:tr>
      <w:tr>
        <w:trPr>
          <w:trHeight w:val="27"/>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5"/>
          </w:tcPr>
          <w:p>
            <w:pPr>
              <w:ind w:left="760"/>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Mortgage-backed - GSE residential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131,215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129,287</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4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Collateralized mortgage obligations - GSE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152,626</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378,595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378,058</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Total available-for-sale debt securities</w:t>
            </w: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665,533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661,628</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2,050</w:t>
            </w:r>
          </w:p>
        </w:tc>
      </w:tr>
      <w:tr>
        <w:trPr>
          <w:trHeight w:val="27"/>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667,674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663,678</w:t>
            </w: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left="180" w:right="40" w:firstLine="486"/>
        <w:spacing w:after="0" w:line="260" w:lineRule="auto"/>
        <w:rPr>
          <w:sz w:val="20"/>
          <w:szCs w:val="20"/>
          <w:color w:val="auto"/>
        </w:rPr>
      </w:pPr>
      <w:r>
        <w:rPr>
          <w:rFonts w:ascii="Arial" w:cs="Arial" w:eastAsia="Arial" w:hAnsi="Arial"/>
          <w:sz w:val="20"/>
          <w:szCs w:val="20"/>
          <w:color w:val="auto"/>
        </w:rPr>
        <w:t>The carrying value of securities pledged as collateral was $36.6 million and $108.6 million at September 30, 2019 and December 31, 2018, respectively.</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87" w:right="359" w:bottom="1440" w:gutter="0" w:footer="0" w:header="0"/>
        </w:sectPr>
      </w:pPr>
    </w:p>
    <w:bookmarkStart w:id="17" w:name="page18"/>
    <w:bookmarkEnd w:id="17"/>
    <w:p>
      <w:pPr>
        <w:ind w:left="40"/>
        <w:spacing w:after="0"/>
        <w:tabs>
          <w:tab w:leader="none" w:pos="358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180" w:right="440" w:firstLine="486"/>
        <w:spacing w:after="0" w:line="260" w:lineRule="auto"/>
        <w:rPr>
          <w:sz w:val="20"/>
          <w:szCs w:val="20"/>
          <w:color w:val="auto"/>
        </w:rPr>
      </w:pPr>
      <w:r>
        <w:rPr>
          <w:rFonts w:ascii="Arial" w:cs="Arial" w:eastAsia="Arial" w:hAnsi="Arial"/>
          <w:sz w:val="20"/>
          <w:szCs w:val="20"/>
          <w:color w:val="auto"/>
        </w:rPr>
        <w:t>The amortized cost and fair value of available-for-sale debt securities at September 30, 2019, by contractual maturity, are shown below:</w:t>
      </w:r>
    </w:p>
    <w:p>
      <w:pPr>
        <w:spacing w:after="0" w:line="229"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34290</wp:posOffset>
            </wp:positionV>
            <wp:extent cx="44316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5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Within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After One to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After Five to</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After</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One Year</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Five Years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Ten Years</w:t>
            </w:r>
          </w:p>
        </w:tc>
        <w:tc>
          <w:tcPr>
            <w:tcW w:w="20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Ten Years</w:t>
            </w:r>
          </w:p>
        </w:tc>
        <w:tc>
          <w:tcPr>
            <w:tcW w:w="28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3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6"/>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0" w:type="dxa"/>
            <w:vAlign w:val="bottom"/>
            <w:gridSpan w:val="6"/>
          </w:tcPr>
          <w:p>
            <w:pPr>
              <w:jc w:val="center"/>
              <w:ind w:right="10"/>
              <w:spacing w:after="0"/>
              <w:rPr>
                <w:sz w:val="20"/>
                <w:szCs w:val="20"/>
                <w:color w:val="auto"/>
              </w:rPr>
            </w:pPr>
            <w:r>
              <w:rPr>
                <w:rFonts w:ascii="Arial" w:cs="Arial" w:eastAsia="Arial" w:hAnsi="Arial"/>
                <w:sz w:val="18"/>
                <w:szCs w:val="18"/>
                <w:i w:val="1"/>
                <w:iCs w:val="1"/>
                <w:color w:val="auto"/>
                <w:w w:val="92"/>
              </w:rPr>
              <w:t>(Dollars in thousands)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debt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3900" w:type="dxa"/>
            <w:vAlign w:val="bottom"/>
          </w:tcPr>
          <w:p>
            <w:pPr>
              <w:ind w:left="160"/>
              <w:spacing w:after="0" w:line="270" w:lineRule="exact"/>
              <w:rPr>
                <w:sz w:val="20"/>
                <w:szCs w:val="20"/>
                <w:color w:val="auto"/>
              </w:rPr>
            </w:pPr>
            <w:r>
              <w:rPr>
                <w:rFonts w:ascii="Arial" w:cs="Arial" w:eastAsia="Arial" w:hAnsi="Arial"/>
                <w:sz w:val="18"/>
                <w:szCs w:val="18"/>
                <w:color w:val="auto"/>
              </w:rPr>
              <w:t>Mortgage-backed - GSE residential</w:t>
            </w:r>
            <w:r>
              <w:rPr>
                <w:rFonts w:ascii="Arial" w:cs="Arial" w:eastAsia="Arial" w:hAnsi="Arial"/>
                <w:sz w:val="25"/>
                <w:szCs w:val="25"/>
                <w:color w:val="auto"/>
                <w:vertAlign w:val="superscript"/>
              </w:rPr>
              <w:t>(1)</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Amortized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158,897</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Estimated fair value</w:t>
            </w:r>
          </w:p>
        </w:tc>
        <w:tc>
          <w:tcPr>
            <w:tcW w:w="102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159,243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160,714</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 - GSE</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3900" w:type="dxa"/>
            <w:vAlign w:val="bottom"/>
            <w:shd w:val="clear" w:color="auto" w:fill="CCEEFF"/>
          </w:tcPr>
          <w:p>
            <w:pPr>
              <w:ind w:left="320"/>
              <w:spacing w:after="0" w:line="257" w:lineRule="exact"/>
              <w:rPr>
                <w:sz w:val="20"/>
                <w:szCs w:val="20"/>
                <w:color w:val="auto"/>
              </w:rPr>
            </w:pPr>
            <w:r>
              <w:rPr>
                <w:rFonts w:ascii="Arial" w:cs="Arial" w:eastAsia="Arial" w:hAnsi="Arial"/>
                <w:sz w:val="18"/>
                <w:szCs w:val="18"/>
                <w:color w:val="auto"/>
              </w:rPr>
              <w:t>residential</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Amortized cost</w:t>
            </w:r>
          </w:p>
        </w:tc>
        <w:tc>
          <w:tcPr>
            <w:tcW w:w="102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145,041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147,917</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Estimated fair value</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148,675</w:t>
            </w: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State and political subdivisions</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Amortized cost</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398,963</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Estimated fair value</w:t>
            </w:r>
          </w:p>
        </w:tc>
        <w:tc>
          <w:tcPr>
            <w:tcW w:w="102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43,071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373,264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420,009</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Amortized cost</w:t>
            </w:r>
          </w:p>
        </w:tc>
        <w:tc>
          <w:tcPr>
            <w:tcW w:w="102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1,444</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Estimated fair value</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available-for-sale debt securities</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Amortized cost</w:t>
            </w:r>
          </w:p>
        </w:tc>
        <w:tc>
          <w:tcPr>
            <w:tcW w:w="10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657,500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707,221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3900" w:type="dxa"/>
            <w:vAlign w:val="bottom"/>
          </w:tcPr>
          <w:p>
            <w:pPr>
              <w:ind w:left="160"/>
              <w:spacing w:after="0"/>
              <w:rPr>
                <w:sz w:val="20"/>
                <w:szCs w:val="20"/>
                <w:color w:val="auto"/>
              </w:rPr>
            </w:pPr>
            <w:r>
              <w:rPr>
                <w:rFonts w:ascii="Arial" w:cs="Arial" w:eastAsia="Arial" w:hAnsi="Arial"/>
                <w:sz w:val="18"/>
                <w:szCs w:val="18"/>
                <w:color w:val="auto"/>
              </w:rPr>
              <w:t>Estimated fair value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49,089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678,171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730,934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8255</wp:posOffset>
            </wp:positionV>
            <wp:extent cx="44316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 w:lineRule="exact"/>
        <w:rPr>
          <w:sz w:val="20"/>
          <w:szCs w:val="20"/>
          <w:color w:val="auto"/>
        </w:rPr>
      </w:pPr>
    </w:p>
    <w:p>
      <w:pPr>
        <w:ind w:left="700" w:right="500" w:hanging="4"/>
        <w:spacing w:after="0" w:line="252" w:lineRule="auto"/>
        <w:tabs>
          <w:tab w:leader="none" w:pos="88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Actual maturities may differ from contractual maturities because issuers may have the rights to call or prepay obligations with or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-290195</wp:posOffset>
            </wp:positionV>
            <wp:extent cx="44316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167" w:lineRule="exact"/>
        <w:rPr>
          <w:sz w:val="20"/>
          <w:szCs w:val="20"/>
          <w:color w:val="auto"/>
        </w:rPr>
      </w:pPr>
    </w:p>
    <w:p>
      <w:pPr>
        <w:ind w:left="180" w:right="220" w:firstLine="486"/>
        <w:spacing w:after="0" w:line="246" w:lineRule="auto"/>
        <w:rPr>
          <w:sz w:val="20"/>
          <w:szCs w:val="20"/>
          <w:color w:val="auto"/>
        </w:rPr>
      </w:pPr>
      <w:r>
        <w:rPr>
          <w:rFonts w:ascii="Arial" w:cs="Arial" w:eastAsia="Arial" w:hAnsi="Arial"/>
          <w:sz w:val="20"/>
          <w:szCs w:val="20"/>
          <w:color w:val="auto"/>
        </w:rPr>
        <w:t>The following tables show gross unrealized losses, the number of securities that are in an unrealized loss position, and fair value of the Company’s investments with unrealized losses that are not deemed to be other-than-temporarily impaired, aggregated by investment class and length of time that individual securities have been in a continuous unrealized loss position at September 30, 2019 and 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7"/>
          </w:tcPr>
          <w:p>
            <w:pPr>
              <w:ind w:left="58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7"/>
          </w:tcPr>
          <w:p>
            <w:pPr>
              <w:ind w:left="600"/>
              <w:spacing w:after="0"/>
              <w:rPr>
                <w:sz w:val="20"/>
                <w:szCs w:val="20"/>
                <w:color w:val="auto"/>
              </w:rPr>
            </w:pPr>
            <w:r>
              <w:rPr>
                <w:rFonts w:ascii="Arial" w:cs="Arial" w:eastAsia="Arial" w:hAnsi="Arial"/>
                <w:sz w:val="18"/>
                <w:szCs w:val="18"/>
                <w:b w:val="1"/>
                <w:bCs w:val="1"/>
                <w:color w:val="auto"/>
              </w:rPr>
              <w:t>Less than 12 Months</w:t>
            </w:r>
          </w:p>
        </w:tc>
        <w:tc>
          <w:tcPr>
            <w:tcW w:w="200" w:type="dxa"/>
            <w:vAlign w:val="bottom"/>
          </w:tcPr>
          <w:p>
            <w:pPr>
              <w:spacing w:after="0"/>
              <w:rPr>
                <w:sz w:val="20"/>
                <w:szCs w:val="20"/>
                <w:color w:val="auto"/>
              </w:rPr>
            </w:pPr>
          </w:p>
        </w:tc>
        <w:tc>
          <w:tcPr>
            <w:tcW w:w="3020" w:type="dxa"/>
            <w:vAlign w:val="bottom"/>
            <w:gridSpan w:val="7"/>
          </w:tcPr>
          <w:p>
            <w:pPr>
              <w:ind w:left="620"/>
              <w:spacing w:after="0"/>
              <w:rPr>
                <w:sz w:val="20"/>
                <w:szCs w:val="20"/>
                <w:color w:val="auto"/>
              </w:rPr>
            </w:pPr>
            <w:r>
              <w:rPr>
                <w:rFonts w:ascii="Arial" w:cs="Arial" w:eastAsia="Arial" w:hAnsi="Arial"/>
                <w:sz w:val="18"/>
                <w:szCs w:val="18"/>
                <w:b w:val="1"/>
                <w:bCs w:val="1"/>
                <w:color w:val="auto"/>
              </w:rPr>
              <w:t>12 Months or More</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9"/>
              </w:rPr>
              <w:t>Number of</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Securities</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7"/>
          </w:tcPr>
          <w:p>
            <w:pPr>
              <w:ind w:left="60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Available-for-Sale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180"/>
              <w:spacing w:after="0"/>
              <w:rPr>
                <w:sz w:val="20"/>
                <w:szCs w:val="20"/>
                <w:color w:val="auto"/>
              </w:rPr>
            </w:pPr>
            <w:r>
              <w:rPr>
                <w:rFonts w:ascii="Arial" w:cs="Arial" w:eastAsia="Arial" w:hAnsi="Arial"/>
                <w:sz w:val="18"/>
                <w:szCs w:val="18"/>
                <w:color w:val="auto"/>
                <w:w w:val="91"/>
              </w:rPr>
              <w:t>Mortgage-backed -</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w w:val="97"/>
              </w:rPr>
              <w:t>GSE residential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27,889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31,877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Collateralized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GSE residential</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1580" w:type="dxa"/>
            <w:vAlign w:val="bottom"/>
          </w:tcPr>
          <w:p>
            <w:pPr>
              <w:ind w:left="180"/>
              <w:spacing w:after="0"/>
              <w:rPr>
                <w:sz w:val="20"/>
                <w:szCs w:val="20"/>
                <w:color w:val="auto"/>
              </w:rPr>
            </w:pPr>
            <w:r>
              <w:rPr>
                <w:rFonts w:ascii="Arial" w:cs="Arial" w:eastAsia="Arial" w:hAnsi="Arial"/>
                <w:sz w:val="18"/>
                <w:szCs w:val="18"/>
                <w:color w:val="auto"/>
                <w:w w:val="97"/>
              </w:rPr>
              <w:t>State and political</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rPr>
              <w:t>subdivisions</w:t>
            </w:r>
          </w:p>
        </w:tc>
        <w:tc>
          <w:tcPr>
            <w:tcW w:w="2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1580" w:type="dxa"/>
            <w:vAlign w:val="bottom"/>
          </w:tcPr>
          <w:p>
            <w:pPr>
              <w:ind w:left="40"/>
              <w:spacing w:after="0"/>
              <w:rPr>
                <w:sz w:val="20"/>
                <w:szCs w:val="20"/>
                <w:color w:val="auto"/>
              </w:rPr>
            </w:pPr>
            <w:r>
              <w:rPr>
                <w:rFonts w:ascii="Arial" w:cs="Arial" w:eastAsia="Arial" w:hAnsi="Arial"/>
                <w:sz w:val="18"/>
                <w:szCs w:val="18"/>
                <w:color w:val="auto"/>
              </w:rPr>
              <w:t>Total temporarily</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200"/>
              <w:spacing w:after="0"/>
              <w:rPr>
                <w:sz w:val="20"/>
                <w:szCs w:val="20"/>
                <w:color w:val="auto"/>
              </w:rPr>
            </w:pPr>
            <w:r>
              <w:rPr>
                <w:rFonts w:ascii="Arial" w:cs="Arial" w:eastAsia="Arial" w:hAnsi="Arial"/>
                <w:sz w:val="18"/>
                <w:szCs w:val="18"/>
                <w:color w:val="auto"/>
              </w:rPr>
              <w:t>impaired debt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55,791</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rPr>
              <w:t>37,827</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93,618</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2"/>
        </w:trPr>
        <w:tc>
          <w:tcPr>
            <w:tcW w:w="158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287"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158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20" w:type="dxa"/>
            <w:vAlign w:val="bottom"/>
            <w:gridSpan w:val="12"/>
          </w:tcPr>
          <w:p>
            <w:pPr>
              <w:spacing w:after="0"/>
              <w:rPr>
                <w:sz w:val="20"/>
                <w:szCs w:val="20"/>
                <w:color w:val="auto"/>
              </w:rPr>
            </w:pPr>
            <w:r>
              <w:rPr>
                <w:rFonts w:ascii="Arial" w:cs="Arial" w:eastAsia="Arial" w:hAnsi="Arial"/>
                <w:sz w:val="18"/>
                <w:szCs w:val="18"/>
                <w:color w:val="auto"/>
              </w:rPr>
              <w:t>Notes to Unaudited Consolidated Financial Statements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7"/>
          </w:tcPr>
          <w:p>
            <w:pPr>
              <w:ind w:left="64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7"/>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8"/>
          </w:tcPr>
          <w:p>
            <w:pPr>
              <w:ind w:left="64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3060" w:type="dxa"/>
            <w:vAlign w:val="bottom"/>
            <w:gridSpan w:val="7"/>
          </w:tcPr>
          <w:p>
            <w:pPr>
              <w:ind w:left="660"/>
              <w:spacing w:after="0"/>
              <w:rPr>
                <w:sz w:val="20"/>
                <w:szCs w:val="20"/>
                <w:color w:val="auto"/>
              </w:rPr>
            </w:pPr>
            <w:r>
              <w:rPr>
                <w:rFonts w:ascii="Arial" w:cs="Arial" w:eastAsia="Arial" w:hAnsi="Arial"/>
                <w:sz w:val="18"/>
                <w:szCs w:val="18"/>
                <w:b w:val="1"/>
                <w:bCs w:val="1"/>
                <w:color w:val="auto"/>
              </w:rPr>
              <w:t>12 Months or More</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9"/>
              </w:rPr>
              <w:t>Number of</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Securities</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7"/>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ind w:left="6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Available-for-Sale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180"/>
              <w:spacing w:after="0"/>
              <w:rPr>
                <w:sz w:val="20"/>
                <w:szCs w:val="20"/>
                <w:color w:val="auto"/>
              </w:rPr>
            </w:pPr>
            <w:r>
              <w:rPr>
                <w:rFonts w:ascii="Arial" w:cs="Arial" w:eastAsia="Arial" w:hAnsi="Arial"/>
                <w:sz w:val="18"/>
                <w:szCs w:val="18"/>
                <w:color w:val="auto"/>
                <w:w w:val="91"/>
              </w:rPr>
              <w:t>Mortgage-backed -</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w w:val="97"/>
              </w:rPr>
              <w:t>GSE residential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66,232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369</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44,280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110,512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Collateralized</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GSE residential</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1580" w:type="dxa"/>
            <w:vAlign w:val="bottom"/>
          </w:tcPr>
          <w:p>
            <w:pPr>
              <w:ind w:left="180"/>
              <w:spacing w:after="0"/>
              <w:rPr>
                <w:sz w:val="20"/>
                <w:szCs w:val="20"/>
                <w:color w:val="auto"/>
              </w:rPr>
            </w:pPr>
            <w:r>
              <w:rPr>
                <w:rFonts w:ascii="Arial" w:cs="Arial" w:eastAsia="Arial" w:hAnsi="Arial"/>
                <w:sz w:val="18"/>
                <w:szCs w:val="18"/>
                <w:color w:val="auto"/>
                <w:w w:val="97"/>
              </w:rPr>
              <w:t>State and political</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rPr>
              <w:t>subdivisions</w:t>
            </w:r>
          </w:p>
        </w:tc>
        <w:tc>
          <w:tcPr>
            <w:tcW w:w="1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85,181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97,721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182,902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580" w:type="dxa"/>
            <w:vAlign w:val="bottom"/>
          </w:tcPr>
          <w:p>
            <w:pPr>
              <w:ind w:left="40"/>
              <w:spacing w:after="0"/>
              <w:rPr>
                <w:sz w:val="20"/>
                <w:szCs w:val="20"/>
                <w:color w:val="auto"/>
              </w:rPr>
            </w:pPr>
            <w:r>
              <w:rPr>
                <w:rFonts w:ascii="Arial" w:cs="Arial" w:eastAsia="Arial" w:hAnsi="Arial"/>
                <w:sz w:val="18"/>
                <w:szCs w:val="18"/>
                <w:color w:val="auto"/>
              </w:rPr>
              <w:t>Total temporarily</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200"/>
              <w:spacing w:after="0"/>
              <w:rPr>
                <w:sz w:val="20"/>
                <w:szCs w:val="20"/>
                <w:color w:val="auto"/>
              </w:rPr>
            </w:pPr>
            <w:r>
              <w:rPr>
                <w:rFonts w:ascii="Arial" w:cs="Arial" w:eastAsia="Arial" w:hAnsi="Arial"/>
                <w:sz w:val="18"/>
                <w:szCs w:val="18"/>
                <w:color w:val="auto"/>
              </w:rPr>
              <w:t>impaired debt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w w:val="95"/>
              </w:rPr>
              <w:t>156,775</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1,647</w:t>
            </w:r>
          </w:p>
        </w:tc>
        <w:tc>
          <w:tcPr>
            <w:tcW w:w="118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1"/>
              <w:spacing w:after="0"/>
              <w:rPr>
                <w:sz w:val="20"/>
                <w:szCs w:val="20"/>
                <w:color w:val="auto"/>
              </w:rPr>
            </w:pPr>
            <w:r>
              <w:rPr>
                <w:rFonts w:ascii="Arial" w:cs="Arial" w:eastAsia="Arial" w:hAnsi="Arial"/>
                <w:sz w:val="18"/>
                <w:szCs w:val="18"/>
                <w:color w:val="auto"/>
                <w:w w:val="92"/>
              </w:rPr>
              <w:t>210,363</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6,685</w:t>
            </w:r>
          </w:p>
        </w:tc>
        <w:tc>
          <w:tcPr>
            <w:tcW w:w="120" w:type="dxa"/>
            <w:vAlign w:val="bottom"/>
          </w:tcPr>
          <w:p>
            <w:pPr>
              <w:spacing w:after="0"/>
              <w:rPr>
                <w:sz w:val="18"/>
                <w:szCs w:val="18"/>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367,138</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color w:val="auto"/>
              </w:rPr>
              <w:t>8,332</w:t>
            </w:r>
          </w:p>
        </w:tc>
        <w:tc>
          <w:tcPr>
            <w:tcW w:w="100" w:type="dxa"/>
            <w:vAlign w:val="bottom"/>
          </w:tcPr>
          <w:p>
            <w:pPr>
              <w:spacing w:after="0"/>
              <w:rPr>
                <w:sz w:val="18"/>
                <w:szCs w:val="18"/>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7"/>
        </w:trPr>
        <w:tc>
          <w:tcPr>
            <w:tcW w:w="158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1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80" w:right="140" w:firstLine="486"/>
        <w:spacing w:after="0" w:line="282" w:lineRule="auto"/>
        <w:rPr>
          <w:sz w:val="20"/>
          <w:szCs w:val="20"/>
          <w:color w:val="auto"/>
        </w:rPr>
      </w:pPr>
      <w:r>
        <w:rPr>
          <w:rFonts w:ascii="Arial" w:cs="Arial" w:eastAsia="Arial" w:hAnsi="Arial"/>
          <w:sz w:val="18"/>
          <w:szCs w:val="18"/>
          <w:color w:val="auto"/>
        </w:rPr>
        <w:t>The unrealized losses on the Company’s investments in state and political subdivisions were caused by interest rate changes and adjustments in credit ratings. The contractual terms of those investments do not permit the issuer to settle the securities at a price less than the amortized cost basis of the investments. The unrealized losses on the Company’s investments in collateralized mortgage-backed securities and corporate bonds were caused by interest rate changes and market assumptions about prepayment speeds.</w:t>
      </w:r>
    </w:p>
    <w:p>
      <w:pPr>
        <w:spacing w:after="0" w:line="107" w:lineRule="exact"/>
        <w:rPr>
          <w:sz w:val="20"/>
          <w:szCs w:val="20"/>
          <w:color w:val="auto"/>
        </w:rPr>
      </w:pPr>
    </w:p>
    <w:p>
      <w:pPr>
        <w:ind w:left="180" w:right="180" w:firstLine="486"/>
        <w:spacing w:after="0" w:line="246" w:lineRule="auto"/>
        <w:rPr>
          <w:sz w:val="20"/>
          <w:szCs w:val="20"/>
          <w:color w:val="auto"/>
        </w:rPr>
      </w:pPr>
      <w:r>
        <w:rPr>
          <w:rFonts w:ascii="Arial" w:cs="Arial" w:eastAsia="Arial" w:hAnsi="Arial"/>
          <w:sz w:val="20"/>
          <w:szCs w:val="20"/>
          <w:color w:val="auto"/>
        </w:rPr>
        <w:t>The Company expects to recover the amortized cost basis over the term of the securities, excluding a previously disclosed impaired security. Because the Company does not intend to sell the investments and it is not more likely than not the Company will be required to sell the investments before recovery of their amortized cost basis, which may be maturity, the Company does not consider those investments to be other-than-temporarily impaired (‘‘OTTI’’) at September 30, 2019.</w:t>
      </w:r>
    </w:p>
    <w:p>
      <w:pPr>
        <w:spacing w:after="0" w:line="137" w:lineRule="exact"/>
        <w:rPr>
          <w:sz w:val="20"/>
          <w:szCs w:val="20"/>
          <w:color w:val="auto"/>
        </w:rPr>
      </w:pPr>
    </w:p>
    <w:p>
      <w:pPr>
        <w:ind w:left="180" w:right="760" w:firstLine="486"/>
        <w:spacing w:after="0" w:line="287" w:lineRule="auto"/>
        <w:rPr>
          <w:sz w:val="20"/>
          <w:szCs w:val="20"/>
          <w:color w:val="auto"/>
        </w:rPr>
      </w:pPr>
      <w:r>
        <w:rPr>
          <w:rFonts w:ascii="Arial" w:cs="Arial" w:eastAsia="Arial" w:hAnsi="Arial"/>
          <w:sz w:val="19"/>
          <w:szCs w:val="19"/>
          <w:color w:val="auto"/>
        </w:rPr>
        <w:t>Gross gains of $506.2 thousand and $2.0 million and gross losses of $39.4 thousand and $1.4 million resulting from sales of available-for-sale securities were realized for the nine-months ended September 30, 2019 and 2018, respectively.</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Equity Securities</w:t>
      </w:r>
    </w:p>
    <w:p>
      <w:pPr>
        <w:spacing w:after="0" w:line="216" w:lineRule="exact"/>
        <w:rPr>
          <w:sz w:val="20"/>
          <w:szCs w:val="20"/>
          <w:color w:val="auto"/>
        </w:rPr>
      </w:pPr>
    </w:p>
    <w:p>
      <w:pPr>
        <w:ind w:left="180" w:right="100"/>
        <w:spacing w:after="0" w:line="274" w:lineRule="auto"/>
        <w:rPr>
          <w:sz w:val="20"/>
          <w:szCs w:val="20"/>
          <w:color w:val="auto"/>
        </w:rPr>
      </w:pPr>
      <w:r>
        <w:rPr>
          <w:rFonts w:ascii="Arial" w:cs="Arial" w:eastAsia="Arial" w:hAnsi="Arial"/>
          <w:sz w:val="18"/>
          <w:szCs w:val="18"/>
          <w:color w:val="auto"/>
        </w:rPr>
        <w:t>Equity securities consist of Community Reinvestment Act mutual funds. The fair value of the equity securities was $2.2 million and $2.1 million at September 30, 2019 and December 31, 2018, respectively. Prior to January 1, 2019, equity securities were stated at fair value with unrealized gains and losses reported as a separate component of accumulated other comprehensive income, net of tax. A net unrealized loss of $68.7 thousand had been recognized in accumulated other comprehensive income as of December 31, 2018. On January 1, 2019, the unrealized loss was reclassified out of accumulated other comprehensive income and into retained earnings with subsequent changes in fair value being recognized in other non-interest income. The following is a summary of the recorded fair value and the unrealized and realized gains and losses recognized in net income on available-for-sale equity securities:</w:t>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434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September 30, 2019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Nine months ended</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43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340" w:type="dxa"/>
            <w:vAlign w:val="bottom"/>
            <w:gridSpan w:val="3"/>
          </w:tcPr>
          <w:p>
            <w:pPr>
              <w:jc w:val="right"/>
              <w:ind w:right="107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recognized during the period on equity securities</w:t>
            </w:r>
          </w:p>
        </w:tc>
        <w:tc>
          <w:tcPr>
            <w:tcW w:w="1960" w:type="dxa"/>
            <w:vAlign w:val="bottom"/>
            <w:tcBorders>
              <w:bottom w:val="single" w:sz="8" w:color="CCEEFF"/>
            </w:tcBorders>
            <w:shd w:val="clear" w:color="auto" w:fill="CCEEFF"/>
          </w:tcPr>
          <w:p>
            <w:pPr>
              <w:jc w:val="right"/>
              <w:ind w:right="17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16</w:t>
            </w:r>
          </w:p>
        </w:tc>
        <w:tc>
          <w:tcPr>
            <w:tcW w:w="2040" w:type="dxa"/>
            <w:vAlign w:val="bottom"/>
            <w:tcBorders>
              <w:bottom w:val="single" w:sz="8" w:color="CCEEFF"/>
            </w:tcBorders>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6200" w:type="dxa"/>
            <w:vAlign w:val="bottom"/>
          </w:tcPr>
          <w:p>
            <w:pPr>
              <w:ind w:left="40"/>
              <w:spacing w:after="0"/>
              <w:rPr>
                <w:sz w:val="20"/>
                <w:szCs w:val="20"/>
                <w:color w:val="auto"/>
              </w:rPr>
            </w:pPr>
            <w:r>
              <w:rPr>
                <w:rFonts w:ascii="Arial" w:cs="Arial" w:eastAsia="Arial" w:hAnsi="Arial"/>
                <w:sz w:val="18"/>
                <w:szCs w:val="18"/>
                <w:color w:val="auto"/>
                <w:w w:val="96"/>
              </w:rPr>
              <w:t>Less: net gains recognized during the period on equity securities sold during the</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0"/>
              <w:spacing w:after="0"/>
              <w:rPr>
                <w:sz w:val="20"/>
                <w:szCs w:val="20"/>
                <w:color w:val="auto"/>
              </w:rPr>
            </w:pPr>
            <w:r>
              <w:rPr>
                <w:rFonts w:ascii="Arial" w:cs="Arial" w:eastAsia="Arial" w:hAnsi="Arial"/>
                <w:sz w:val="18"/>
                <w:szCs w:val="18"/>
                <w:color w:val="auto"/>
              </w:rPr>
              <w:t>period</w:t>
            </w:r>
          </w:p>
        </w:tc>
        <w:tc>
          <w:tcPr>
            <w:tcW w:w="196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Unrealized gain recognized during the reporting period on equity securities still held</w:t>
            </w:r>
          </w:p>
        </w:tc>
        <w:tc>
          <w:tcPr>
            <w:tcW w:w="1960" w:type="dxa"/>
            <w:vAlign w:val="bottom"/>
            <w:vMerge w:val="restart"/>
            <w:shd w:val="clear" w:color="auto" w:fill="CCEEFF"/>
          </w:tcPr>
          <w:p>
            <w:pPr>
              <w:jc w:val="right"/>
              <w:ind w:right="1750"/>
              <w:spacing w:after="0"/>
              <w:rPr>
                <w:sz w:val="20"/>
                <w:szCs w:val="20"/>
                <w:color w:val="auto"/>
              </w:rPr>
            </w:pPr>
            <w:r>
              <w:rPr>
                <w:rFonts w:ascii="Arial" w:cs="Arial" w:eastAsia="Arial" w:hAnsi="Arial"/>
                <w:sz w:val="18"/>
                <w:szCs w:val="18"/>
                <w:color w:val="auto"/>
                <w:w w:val="99"/>
              </w:rPr>
              <w:t>$</w:t>
            </w:r>
          </w:p>
        </w:tc>
        <w:tc>
          <w:tcPr>
            <w:tcW w:w="3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16</w:t>
            </w:r>
          </w:p>
        </w:tc>
        <w:tc>
          <w:tcPr>
            <w:tcW w:w="2040" w:type="dxa"/>
            <w:vAlign w:val="bottom"/>
            <w:vMerge w:val="restart"/>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at the reporting date</w:t>
            </w:r>
          </w:p>
        </w:tc>
        <w:tc>
          <w:tcPr>
            <w:tcW w:w="19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204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287" w:right="339" w:bottom="1440" w:gutter="0" w:footer="0" w:header="0"/>
          <w:type w:val="continuous"/>
        </w:sectPr>
      </w:pPr>
    </w:p>
    <w:bookmarkStart w:id="19" w:name="page20"/>
    <w:bookmarkEnd w:id="19"/>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1000" w:type="dxa"/>
            <w:vAlign w:val="bottom"/>
            <w:gridSpan w:val="2"/>
          </w:tcPr>
          <w:p>
            <w:pPr>
              <w:spacing w:after="0"/>
              <w:rPr>
                <w:sz w:val="20"/>
                <w:szCs w:val="20"/>
                <w:color w:val="auto"/>
              </w:rPr>
            </w:pPr>
            <w:r>
              <w:rPr>
                <w:rFonts w:ascii="Arial" w:cs="Arial" w:eastAsia="Arial" w:hAnsi="Arial"/>
                <w:sz w:val="22"/>
                <w:szCs w:val="22"/>
                <w:b w:val="1"/>
                <w:bCs w:val="1"/>
                <w:color w:val="auto"/>
              </w:rPr>
              <w:t>Note 4:</w:t>
            </w:r>
          </w:p>
        </w:tc>
        <w:tc>
          <w:tcPr>
            <w:tcW w:w="5320" w:type="dxa"/>
            <w:vAlign w:val="bottom"/>
          </w:tcPr>
          <w:p>
            <w:pPr>
              <w:ind w:left="40"/>
              <w:spacing w:after="0"/>
              <w:rPr>
                <w:sz w:val="20"/>
                <w:szCs w:val="20"/>
                <w:color w:val="auto"/>
              </w:rPr>
            </w:pPr>
            <w:r>
              <w:rPr>
                <w:rFonts w:ascii="Arial" w:cs="Arial" w:eastAsia="Arial" w:hAnsi="Arial"/>
                <w:sz w:val="22"/>
                <w:szCs w:val="22"/>
                <w:b w:val="1"/>
                <w:bCs w:val="1"/>
                <w:color w:val="auto"/>
              </w:rPr>
              <w:t>Loans and Allowance for Loan Losses</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40"/>
        </w:trPr>
        <w:tc>
          <w:tcPr>
            <w:tcW w:w="6320" w:type="dxa"/>
            <w:vAlign w:val="bottom"/>
            <w:gridSpan w:val="3"/>
          </w:tcPr>
          <w:p>
            <w:pPr>
              <w:ind w:left="100"/>
              <w:spacing w:after="0"/>
              <w:rPr>
                <w:sz w:val="20"/>
                <w:szCs w:val="20"/>
                <w:color w:val="auto"/>
              </w:rPr>
            </w:pPr>
            <w:r>
              <w:rPr>
                <w:rFonts w:ascii="Arial" w:cs="Arial" w:eastAsia="Arial" w:hAnsi="Arial"/>
                <w:sz w:val="20"/>
                <w:szCs w:val="20"/>
                <w:color w:val="auto"/>
                <w:w w:val="91"/>
              </w:rPr>
              <w:t>Categories of loans at September 30, 2019 and December 31, 2018 include:</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ind w:left="80"/>
              <w:spacing w:after="0"/>
              <w:rPr>
                <w:sz w:val="20"/>
                <w:szCs w:val="20"/>
                <w:color w:val="auto"/>
              </w:rPr>
            </w:pPr>
            <w:r>
              <w:rPr>
                <w:rFonts w:ascii="Arial" w:cs="Arial" w:eastAsia="Arial" w:hAnsi="Arial"/>
                <w:sz w:val="20"/>
                <w:szCs w:val="20"/>
                <w:b w:val="1"/>
                <w:bCs w:val="1"/>
                <w:color w:val="auto"/>
              </w:rPr>
              <w:t>September 30, 2019</w:t>
            </w:r>
          </w:p>
        </w:tc>
        <w:tc>
          <w:tcPr>
            <w:tcW w:w="220" w:type="dxa"/>
            <w:vAlign w:val="bottom"/>
          </w:tcPr>
          <w:p>
            <w:pPr>
              <w:spacing w:after="0"/>
              <w:rPr>
                <w:sz w:val="24"/>
                <w:szCs w:val="24"/>
                <w:color w:val="auto"/>
              </w:rPr>
            </w:pPr>
          </w:p>
        </w:tc>
        <w:tc>
          <w:tcPr>
            <w:tcW w:w="2000" w:type="dxa"/>
            <w:vAlign w:val="bottom"/>
          </w:tcPr>
          <w:p>
            <w:pPr>
              <w:jc w:val="right"/>
              <w:ind w:right="201"/>
              <w:spacing w:after="0"/>
              <w:rPr>
                <w:sz w:val="20"/>
                <w:szCs w:val="20"/>
                <w:color w:val="auto"/>
              </w:rPr>
            </w:pPr>
            <w:r>
              <w:rPr>
                <w:rFonts w:ascii="Arial" w:cs="Arial" w:eastAsia="Arial" w:hAnsi="Arial"/>
                <w:sz w:val="20"/>
                <w:szCs w:val="20"/>
                <w:b w:val="1"/>
                <w:bCs w:val="1"/>
                <w:color w:val="auto"/>
                <w:w w:val="93"/>
              </w:rPr>
              <w:t>December 31, 2018</w:t>
            </w:r>
          </w:p>
        </w:tc>
      </w:tr>
      <w:tr>
        <w:trPr>
          <w:trHeight w:val="23"/>
        </w:trPr>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4"/>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4"/>
          </w:tcPr>
          <w:p>
            <w:pPr>
              <w:jc w:val="right"/>
              <w:ind w:right="1421"/>
              <w:spacing w:after="0"/>
              <w:rPr>
                <w:sz w:val="20"/>
                <w:szCs w:val="20"/>
                <w:color w:val="auto"/>
              </w:rPr>
            </w:pPr>
            <w:r>
              <w:rPr>
                <w:rFonts w:ascii="Arial" w:cs="Arial" w:eastAsia="Arial" w:hAnsi="Arial"/>
                <w:sz w:val="16"/>
                <w:szCs w:val="16"/>
                <w:i w:val="1"/>
                <w:iCs w:val="1"/>
                <w:color w:val="auto"/>
              </w:rPr>
              <w:t>(Dollars in thousands)</w:t>
            </w:r>
          </w:p>
        </w:tc>
      </w:tr>
      <w:tr>
        <w:trPr>
          <w:trHeight w:val="294"/>
        </w:trPr>
        <w:tc>
          <w:tcPr>
            <w:tcW w:w="360" w:type="dxa"/>
            <w:vAlign w:val="bottom"/>
          </w:tcPr>
          <w:p>
            <w:pPr>
              <w:spacing w:after="0"/>
              <w:rPr>
                <w:sz w:val="24"/>
                <w:szCs w:val="24"/>
                <w:color w:val="auto"/>
              </w:rPr>
            </w:pPr>
          </w:p>
        </w:tc>
        <w:tc>
          <w:tcPr>
            <w:tcW w:w="5960" w:type="dxa"/>
            <w:vAlign w:val="bottom"/>
            <w:gridSpan w:val="2"/>
          </w:tcPr>
          <w:p>
            <w:pPr>
              <w:ind w:left="20"/>
              <w:spacing w:after="0"/>
              <w:rPr>
                <w:sz w:val="20"/>
                <w:szCs w:val="20"/>
                <w:color w:val="auto"/>
              </w:rPr>
            </w:pPr>
            <w:r>
              <w:rPr>
                <w:rFonts w:ascii="Arial" w:cs="Arial" w:eastAsia="Arial" w:hAnsi="Arial"/>
                <w:sz w:val="20"/>
                <w:szCs w:val="20"/>
                <w:color w:val="auto"/>
              </w:rPr>
              <w:t>Commercial</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20" w:type="dxa"/>
            <w:vAlign w:val="bottom"/>
          </w:tcPr>
          <w:p>
            <w:pPr>
              <w:jc w:val="right"/>
              <w:ind w:right="2"/>
              <w:spacing w:after="0"/>
              <w:rPr>
                <w:sz w:val="20"/>
                <w:szCs w:val="20"/>
                <w:color w:val="auto"/>
              </w:rPr>
            </w:pPr>
            <w:r>
              <w:rPr>
                <w:rFonts w:ascii="Arial" w:cs="Arial" w:eastAsia="Arial" w:hAnsi="Arial"/>
                <w:sz w:val="20"/>
                <w:szCs w:val="20"/>
                <w:color w:val="auto"/>
              </w:rPr>
              <w:t>1,312,647</w:t>
            </w:r>
          </w:p>
        </w:tc>
        <w:tc>
          <w:tcPr>
            <w:tcW w:w="100" w:type="dxa"/>
            <w:vAlign w:val="bottom"/>
          </w:tcPr>
          <w:p>
            <w:pPr>
              <w:spacing w:after="0"/>
              <w:rPr>
                <w:sz w:val="24"/>
                <w:szCs w:val="24"/>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1,134,414</w:t>
            </w:r>
          </w:p>
        </w:tc>
      </w:tr>
      <w:tr>
        <w:trPr>
          <w:trHeight w:val="23"/>
        </w:trPr>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w w:val="94"/>
              </w:rPr>
              <w:t>Energy</w:t>
            </w:r>
          </w:p>
        </w:tc>
        <w:tc>
          <w:tcPr>
            <w:tcW w:w="5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396,132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358,283</w:t>
            </w:r>
          </w:p>
        </w:tc>
      </w:tr>
      <w:tr>
        <w:trPr>
          <w:trHeight w:val="261"/>
        </w:trPr>
        <w:tc>
          <w:tcPr>
            <w:tcW w:w="360" w:type="dxa"/>
            <w:vAlign w:val="bottom"/>
          </w:tcPr>
          <w:p>
            <w:pPr>
              <w:spacing w:after="0"/>
              <w:rPr>
                <w:sz w:val="22"/>
                <w:szCs w:val="22"/>
                <w:color w:val="auto"/>
              </w:rPr>
            </w:pPr>
          </w:p>
        </w:tc>
        <w:tc>
          <w:tcPr>
            <w:tcW w:w="5960" w:type="dxa"/>
            <w:vAlign w:val="bottom"/>
            <w:gridSpan w:val="2"/>
          </w:tcPr>
          <w:p>
            <w:pPr>
              <w:ind w:left="20"/>
              <w:spacing w:after="0"/>
              <w:rPr>
                <w:sz w:val="20"/>
                <w:szCs w:val="20"/>
                <w:color w:val="auto"/>
              </w:rPr>
            </w:pPr>
            <w:r>
              <w:rPr>
                <w:rFonts w:ascii="Arial" w:cs="Arial" w:eastAsia="Arial" w:hAnsi="Arial"/>
                <w:sz w:val="20"/>
                <w:szCs w:val="20"/>
                <w:color w:val="auto"/>
              </w:rPr>
              <w:t>Commercial real estate</w:t>
            </w:r>
          </w:p>
        </w:tc>
        <w:tc>
          <w:tcPr>
            <w:tcW w:w="220" w:type="dxa"/>
            <w:vAlign w:val="bottom"/>
          </w:tcPr>
          <w:p>
            <w:pPr>
              <w:spacing w:after="0"/>
              <w:rPr>
                <w:sz w:val="22"/>
                <w:szCs w:val="22"/>
                <w:color w:val="auto"/>
              </w:rPr>
            </w:pPr>
          </w:p>
        </w:tc>
        <w:tc>
          <w:tcPr>
            <w:tcW w:w="2020" w:type="dxa"/>
            <w:vAlign w:val="bottom"/>
          </w:tcPr>
          <w:p>
            <w:pPr>
              <w:jc w:val="right"/>
              <w:ind w:right="2"/>
              <w:spacing w:after="0"/>
              <w:rPr>
                <w:sz w:val="20"/>
                <w:szCs w:val="20"/>
                <w:color w:val="auto"/>
              </w:rPr>
            </w:pPr>
            <w:r>
              <w:rPr>
                <w:rFonts w:ascii="Arial" w:cs="Arial" w:eastAsia="Arial" w:hAnsi="Arial"/>
                <w:sz w:val="20"/>
                <w:szCs w:val="20"/>
                <w:color w:val="auto"/>
              </w:rPr>
              <w:t>993,153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846,561</w:t>
            </w:r>
          </w:p>
        </w:tc>
      </w:tr>
      <w:tr>
        <w:trPr>
          <w:trHeight w:val="23"/>
        </w:trPr>
        <w:tc>
          <w:tcPr>
            <w:tcW w:w="360" w:type="dxa"/>
            <w:vAlign w:val="bottom"/>
          </w:tcPr>
          <w:p>
            <w:pPr>
              <w:spacing w:after="0"/>
              <w:rPr>
                <w:sz w:val="2"/>
                <w:szCs w:val="2"/>
                <w:color w:val="auto"/>
              </w:rPr>
            </w:pPr>
          </w:p>
        </w:tc>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Construction and land development</w:t>
            </w: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527,582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440,032</w:t>
            </w:r>
          </w:p>
        </w:tc>
      </w:tr>
      <w:tr>
        <w:trPr>
          <w:trHeight w:val="261"/>
        </w:trPr>
        <w:tc>
          <w:tcPr>
            <w:tcW w:w="360" w:type="dxa"/>
            <w:vAlign w:val="bottom"/>
          </w:tcPr>
          <w:p>
            <w:pPr>
              <w:spacing w:after="0"/>
              <w:rPr>
                <w:sz w:val="22"/>
                <w:szCs w:val="22"/>
                <w:color w:val="auto"/>
              </w:rPr>
            </w:pPr>
          </w:p>
        </w:tc>
        <w:tc>
          <w:tcPr>
            <w:tcW w:w="5960" w:type="dxa"/>
            <w:vAlign w:val="bottom"/>
            <w:gridSpan w:val="2"/>
          </w:tcPr>
          <w:p>
            <w:pPr>
              <w:ind w:left="20"/>
              <w:spacing w:after="0"/>
              <w:rPr>
                <w:sz w:val="20"/>
                <w:szCs w:val="20"/>
                <w:color w:val="auto"/>
              </w:rPr>
            </w:pPr>
            <w:r>
              <w:rPr>
                <w:rFonts w:ascii="Arial" w:cs="Arial" w:eastAsia="Arial" w:hAnsi="Arial"/>
                <w:sz w:val="20"/>
                <w:szCs w:val="20"/>
                <w:color w:val="auto"/>
              </w:rPr>
              <w:t>Residential real estate</w:t>
            </w:r>
          </w:p>
        </w:tc>
        <w:tc>
          <w:tcPr>
            <w:tcW w:w="220" w:type="dxa"/>
            <w:vAlign w:val="bottom"/>
          </w:tcPr>
          <w:p>
            <w:pPr>
              <w:spacing w:after="0"/>
              <w:rPr>
                <w:sz w:val="22"/>
                <w:szCs w:val="22"/>
                <w:color w:val="auto"/>
              </w:rPr>
            </w:pPr>
          </w:p>
        </w:tc>
        <w:tc>
          <w:tcPr>
            <w:tcW w:w="2020" w:type="dxa"/>
            <w:vAlign w:val="bottom"/>
          </w:tcPr>
          <w:p>
            <w:pPr>
              <w:jc w:val="right"/>
              <w:ind w:right="2"/>
              <w:spacing w:after="0"/>
              <w:rPr>
                <w:sz w:val="20"/>
                <w:szCs w:val="20"/>
                <w:color w:val="auto"/>
              </w:rPr>
            </w:pPr>
            <w:r>
              <w:rPr>
                <w:rFonts w:ascii="Arial" w:cs="Arial" w:eastAsia="Arial" w:hAnsi="Arial"/>
                <w:sz w:val="20"/>
                <w:szCs w:val="20"/>
                <w:color w:val="auto"/>
              </w:rPr>
              <w:t>365,435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246,275</w:t>
            </w:r>
          </w:p>
        </w:tc>
      </w:tr>
      <w:tr>
        <w:trPr>
          <w:trHeight w:val="23"/>
        </w:trPr>
        <w:tc>
          <w:tcPr>
            <w:tcW w:w="360" w:type="dxa"/>
            <w:vAlign w:val="bottom"/>
          </w:tcPr>
          <w:p>
            <w:pPr>
              <w:spacing w:after="0"/>
              <w:rPr>
                <w:sz w:val="2"/>
                <w:szCs w:val="2"/>
                <w:color w:val="auto"/>
              </w:rPr>
            </w:pPr>
          </w:p>
        </w:tc>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Equity lines of credit</w:t>
            </w: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22,192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20,286</w:t>
            </w:r>
          </w:p>
        </w:tc>
      </w:tr>
      <w:tr>
        <w:trPr>
          <w:trHeight w:val="261"/>
        </w:trPr>
        <w:tc>
          <w:tcPr>
            <w:tcW w:w="360" w:type="dxa"/>
            <w:vAlign w:val="bottom"/>
          </w:tcPr>
          <w:p>
            <w:pPr>
              <w:spacing w:after="0"/>
              <w:rPr>
                <w:sz w:val="22"/>
                <w:szCs w:val="22"/>
                <w:color w:val="auto"/>
              </w:rPr>
            </w:pPr>
          </w:p>
        </w:tc>
        <w:tc>
          <w:tcPr>
            <w:tcW w:w="5960" w:type="dxa"/>
            <w:vAlign w:val="bottom"/>
            <w:gridSpan w:val="2"/>
          </w:tcPr>
          <w:p>
            <w:pPr>
              <w:ind w:left="20"/>
              <w:spacing w:after="0"/>
              <w:rPr>
                <w:sz w:val="20"/>
                <w:szCs w:val="20"/>
                <w:color w:val="auto"/>
              </w:rPr>
            </w:pPr>
            <w:r>
              <w:rPr>
                <w:rFonts w:ascii="Arial" w:cs="Arial" w:eastAsia="Arial" w:hAnsi="Arial"/>
                <w:sz w:val="20"/>
                <w:szCs w:val="20"/>
                <w:color w:val="auto"/>
              </w:rPr>
              <w:t>Consumer installment</w:t>
            </w:r>
          </w:p>
        </w:tc>
        <w:tc>
          <w:tcPr>
            <w:tcW w:w="220" w:type="dxa"/>
            <w:vAlign w:val="bottom"/>
          </w:tcPr>
          <w:p>
            <w:pPr>
              <w:spacing w:after="0"/>
              <w:rPr>
                <w:sz w:val="22"/>
                <w:szCs w:val="22"/>
                <w:color w:val="auto"/>
              </w:rPr>
            </w:pPr>
          </w:p>
        </w:tc>
        <w:tc>
          <w:tcPr>
            <w:tcW w:w="2020" w:type="dxa"/>
            <w:vAlign w:val="bottom"/>
          </w:tcPr>
          <w:p>
            <w:pPr>
              <w:jc w:val="right"/>
              <w:ind w:right="2"/>
              <w:spacing w:after="0"/>
              <w:rPr>
                <w:sz w:val="20"/>
                <w:szCs w:val="20"/>
                <w:color w:val="auto"/>
              </w:rPr>
            </w:pPr>
            <w:r>
              <w:rPr>
                <w:rFonts w:ascii="Arial" w:cs="Arial" w:eastAsia="Arial" w:hAnsi="Arial"/>
                <w:sz w:val="20"/>
                <w:szCs w:val="20"/>
                <w:color w:val="auto"/>
              </w:rPr>
              <w:t>21,552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23,528</w:t>
            </w:r>
          </w:p>
        </w:tc>
      </w:tr>
      <w:tr>
        <w:trPr>
          <w:trHeight w:val="23"/>
        </w:trPr>
        <w:tc>
          <w:tcPr>
            <w:tcW w:w="360" w:type="dxa"/>
            <w:vAlign w:val="bottom"/>
          </w:tcPr>
          <w:p>
            <w:pPr>
              <w:spacing w:after="0"/>
              <w:rPr>
                <w:sz w:val="2"/>
                <w:szCs w:val="2"/>
                <w:color w:val="auto"/>
              </w:rPr>
            </w:pPr>
          </w:p>
        </w:tc>
        <w:tc>
          <w:tcPr>
            <w:tcW w:w="59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color w:val="auto"/>
              </w:rPr>
              <w:t>Gross loans</w:t>
            </w: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3,638,693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3,069,379</w:t>
            </w:r>
          </w:p>
        </w:tc>
      </w:tr>
      <w:tr>
        <w:trPr>
          <w:trHeight w:val="261"/>
        </w:trPr>
        <w:tc>
          <w:tcPr>
            <w:tcW w:w="360" w:type="dxa"/>
            <w:vAlign w:val="bottom"/>
          </w:tcPr>
          <w:p>
            <w:pPr>
              <w:spacing w:after="0"/>
              <w:rPr>
                <w:sz w:val="22"/>
                <w:szCs w:val="22"/>
                <w:color w:val="auto"/>
              </w:rPr>
            </w:pPr>
          </w:p>
        </w:tc>
        <w:tc>
          <w:tcPr>
            <w:tcW w:w="5960" w:type="dxa"/>
            <w:vAlign w:val="bottom"/>
            <w:gridSpan w:val="2"/>
          </w:tcPr>
          <w:p>
            <w:pPr>
              <w:ind w:left="20"/>
              <w:spacing w:after="0"/>
              <w:rPr>
                <w:sz w:val="20"/>
                <w:szCs w:val="20"/>
                <w:color w:val="auto"/>
              </w:rPr>
            </w:pPr>
            <w:r>
              <w:rPr>
                <w:rFonts w:ascii="Arial" w:cs="Arial" w:eastAsia="Arial" w:hAnsi="Arial"/>
                <w:sz w:val="20"/>
                <w:szCs w:val="20"/>
                <w:color w:val="auto"/>
              </w:rPr>
              <w:t>Less: Allowance for loan losses</w:t>
            </w:r>
          </w:p>
        </w:tc>
        <w:tc>
          <w:tcPr>
            <w:tcW w:w="220" w:type="dxa"/>
            <w:vAlign w:val="bottom"/>
          </w:tcPr>
          <w:p>
            <w:pPr>
              <w:spacing w:after="0"/>
              <w:rPr>
                <w:sz w:val="22"/>
                <w:szCs w:val="22"/>
                <w:color w:val="auto"/>
              </w:rPr>
            </w:pPr>
          </w:p>
        </w:tc>
        <w:tc>
          <w:tcPr>
            <w:tcW w:w="2020" w:type="dxa"/>
            <w:vAlign w:val="bottom"/>
          </w:tcPr>
          <w:p>
            <w:pPr>
              <w:jc w:val="right"/>
              <w:ind w:right="2"/>
              <w:spacing w:after="0"/>
              <w:rPr>
                <w:sz w:val="20"/>
                <w:szCs w:val="20"/>
                <w:color w:val="auto"/>
              </w:rPr>
            </w:pPr>
            <w:r>
              <w:rPr>
                <w:rFonts w:ascii="Arial" w:cs="Arial" w:eastAsia="Arial" w:hAnsi="Arial"/>
                <w:sz w:val="20"/>
                <w:szCs w:val="20"/>
                <w:color w:val="auto"/>
              </w:rPr>
              <w:t>42,995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37,826</w:t>
            </w:r>
          </w:p>
        </w:tc>
      </w:tr>
      <w:tr>
        <w:trPr>
          <w:trHeight w:val="23"/>
        </w:trPr>
        <w:tc>
          <w:tcPr>
            <w:tcW w:w="360" w:type="dxa"/>
            <w:vAlign w:val="bottom"/>
          </w:tcPr>
          <w:p>
            <w:pPr>
              <w:spacing w:after="0"/>
              <w:rPr>
                <w:sz w:val="2"/>
                <w:szCs w:val="2"/>
                <w:color w:val="auto"/>
              </w:rPr>
            </w:pPr>
          </w:p>
        </w:tc>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84"/>
        </w:trPr>
        <w:tc>
          <w:tcPr>
            <w:tcW w:w="360" w:type="dxa"/>
            <w:vAlign w:val="bottom"/>
          </w:tcPr>
          <w:p>
            <w:pPr>
              <w:spacing w:after="0"/>
              <w:rPr>
                <w:sz w:val="24"/>
                <w:szCs w:val="24"/>
                <w:color w:val="auto"/>
              </w:rPr>
            </w:pPr>
          </w:p>
        </w:tc>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Less: Net deferred loan fees and costs</w:t>
            </w:r>
          </w:p>
        </w:tc>
        <w:tc>
          <w:tcPr>
            <w:tcW w:w="22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8,901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8,632</w:t>
            </w:r>
          </w:p>
        </w:tc>
      </w:tr>
      <w:tr>
        <w:trPr>
          <w:trHeight w:val="272"/>
        </w:trPr>
        <w:tc>
          <w:tcPr>
            <w:tcW w:w="360" w:type="dxa"/>
            <w:vAlign w:val="bottom"/>
          </w:tcPr>
          <w:p>
            <w:pPr>
              <w:spacing w:after="0"/>
              <w:rPr>
                <w:sz w:val="23"/>
                <w:szCs w:val="23"/>
                <w:color w:val="auto"/>
              </w:rPr>
            </w:pPr>
          </w:p>
        </w:tc>
        <w:tc>
          <w:tcPr>
            <w:tcW w:w="5960" w:type="dxa"/>
            <w:vAlign w:val="bottom"/>
            <w:gridSpan w:val="2"/>
          </w:tcPr>
          <w:p>
            <w:pPr>
              <w:ind w:left="160"/>
              <w:spacing w:after="0"/>
              <w:rPr>
                <w:sz w:val="20"/>
                <w:szCs w:val="20"/>
                <w:color w:val="auto"/>
              </w:rPr>
            </w:pPr>
            <w:r>
              <w:rPr>
                <w:rFonts w:ascii="Arial" w:cs="Arial" w:eastAsia="Arial" w:hAnsi="Arial"/>
                <w:sz w:val="20"/>
                <w:szCs w:val="20"/>
                <w:color w:val="auto"/>
              </w:rPr>
              <w:t>Net loans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3,586,797</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3,022,921</w:t>
            </w:r>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40" w:right="240" w:firstLine="486"/>
        <w:spacing w:after="0" w:line="250" w:lineRule="auto"/>
        <w:rPr>
          <w:sz w:val="20"/>
          <w:szCs w:val="20"/>
          <w:color w:val="auto"/>
        </w:rPr>
      </w:pPr>
      <w:r>
        <w:rPr>
          <w:rFonts w:ascii="Arial" w:cs="Arial" w:eastAsia="Arial" w:hAnsi="Arial"/>
          <w:sz w:val="20"/>
          <w:szCs w:val="20"/>
          <w:color w:val="auto"/>
        </w:rPr>
        <w:t>The allowance for loan losses is established as losses are estimated to have occurred through a provision for loan losses charged to income. Loan losses are charged against the allowance when management believes the loan balance is not collectible. Subsequent recoveries, if any, are credited to the allowance.</w:t>
      </w:r>
    </w:p>
    <w:p>
      <w:pPr>
        <w:spacing w:after="0" w:line="132" w:lineRule="exact"/>
        <w:rPr>
          <w:sz w:val="20"/>
          <w:szCs w:val="20"/>
          <w:color w:val="auto"/>
        </w:rPr>
      </w:pPr>
    </w:p>
    <w:p>
      <w:pPr>
        <w:ind w:left="140" w:right="80" w:firstLine="486"/>
        <w:spacing w:after="0" w:line="282" w:lineRule="auto"/>
        <w:rPr>
          <w:sz w:val="20"/>
          <w:szCs w:val="20"/>
          <w:color w:val="auto"/>
        </w:rPr>
      </w:pPr>
      <w:r>
        <w:rPr>
          <w:rFonts w:ascii="Arial" w:cs="Arial" w:eastAsia="Arial" w:hAnsi="Arial"/>
          <w:sz w:val="18"/>
          <w:szCs w:val="18"/>
          <w:color w:val="auto"/>
        </w:rPr>
        <w:t>The allowance for loan losses is evaluated on a regular basis by management and is based upon management’s periodic review of its ability to collect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07" w:lineRule="exact"/>
        <w:rPr>
          <w:sz w:val="20"/>
          <w:szCs w:val="20"/>
          <w:color w:val="auto"/>
        </w:rPr>
      </w:pPr>
    </w:p>
    <w:p>
      <w:pPr>
        <w:ind w:left="140" w:firstLine="486"/>
        <w:spacing w:after="0" w:line="259" w:lineRule="auto"/>
        <w:rPr>
          <w:sz w:val="20"/>
          <w:szCs w:val="20"/>
          <w:color w:val="auto"/>
        </w:rPr>
      </w:pPr>
      <w:r>
        <w:rPr>
          <w:rFonts w:ascii="Arial" w:cs="Arial" w:eastAsia="Arial" w:hAnsi="Arial"/>
          <w:sz w:val="19"/>
          <w:szCs w:val="19"/>
          <w:color w:val="auto"/>
        </w:rPr>
        <w:t>The allowance consists of allocated and general components. The allocated component relates to loans that are classified as impaired. For those loans that are classified as impaired, an allowance is established when the discounted cash flows (or collateral value or observable market price) of the impaired loan is lower than the carrying value of that loan. The general component covers unclassified loans and is based on historical charge-off experience and expected loss given default derived from the Company’s internal risk rating process and loan categories. Other adjustments may be made to the allowance for pools of loans after an assessment of internal or external influences on credit quality that are not fully reflected in the historical loss or risk rating data.</w:t>
      </w:r>
    </w:p>
    <w:p>
      <w:pPr>
        <w:spacing w:after="0" w:line="124" w:lineRule="exact"/>
        <w:rPr>
          <w:sz w:val="20"/>
          <w:szCs w:val="20"/>
          <w:color w:val="auto"/>
        </w:rPr>
      </w:pPr>
    </w:p>
    <w:p>
      <w:pPr>
        <w:jc w:val="both"/>
        <w:ind w:left="140" w:right="300" w:firstLine="486"/>
        <w:spacing w:after="0" w:line="250" w:lineRule="auto"/>
        <w:rPr>
          <w:sz w:val="20"/>
          <w:szCs w:val="20"/>
          <w:color w:val="auto"/>
        </w:rPr>
      </w:pPr>
      <w:r>
        <w:rPr>
          <w:rFonts w:ascii="Arial" w:cs="Arial" w:eastAsia="Arial" w:hAnsi="Arial"/>
          <w:sz w:val="20"/>
          <w:szCs w:val="20"/>
          <w:color w:val="auto"/>
        </w:rPr>
        <w:t>The following tables summarize the activity in the allowance for loan losses by portfolio segment and disaggregated based on the Company’s impairment methodology. The allocation in one portfolio segment does not preclude its availability to absorb losses in other segments:</w:t>
      </w:r>
    </w:p>
    <w:p>
      <w:pPr>
        <w:spacing w:after="0" w:line="135"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Construction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Commercial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and Land</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Residential</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Equity Lines</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Consumer</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Commercial</w:t>
            </w:r>
          </w:p>
        </w:tc>
        <w:tc>
          <w:tcPr>
            <w:tcW w:w="2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Development</w:t>
            </w:r>
          </w:p>
        </w:tc>
        <w:tc>
          <w:tcPr>
            <w:tcW w:w="14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of Credit</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Installment</w:t>
            </w: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ind w:left="36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80" w:type="dxa"/>
            <w:vAlign w:val="bottom"/>
            <w:gridSpan w:val="3"/>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gridSpan w:val="4"/>
          </w:tcPr>
          <w:p>
            <w:pPr>
              <w:ind w:left="4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Beginning</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42,852</w:t>
            </w:r>
          </w:p>
        </w:tc>
        <w:tc>
          <w:tcPr>
            <w:tcW w:w="0" w:type="dxa"/>
            <w:vAlign w:val="bottom"/>
          </w:tcPr>
          <w:p>
            <w:pPr>
              <w:spacing w:after="0"/>
              <w:rPr>
                <w:sz w:val="1"/>
                <w:szCs w:val="1"/>
                <w:color w:val="auto"/>
              </w:rPr>
            </w:pPr>
          </w:p>
        </w:tc>
      </w:tr>
      <w:tr>
        <w:trPr>
          <w:trHeight w:val="229"/>
        </w:trPr>
        <w:tc>
          <w:tcPr>
            <w:tcW w:w="128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320"/>
              <w:spacing w:after="0"/>
              <w:rPr>
                <w:sz w:val="20"/>
                <w:szCs w:val="20"/>
                <w:color w:val="auto"/>
              </w:rPr>
            </w:pPr>
            <w:r>
              <w:rPr>
                <w:rFonts w:ascii="Arial" w:cs="Arial" w:eastAsia="Arial" w:hAnsi="Arial"/>
                <w:sz w:val="18"/>
                <w:szCs w:val="18"/>
                <w:color w:val="auto"/>
              </w:rPr>
              <w:t>charged to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32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43"/>
        </w:trPr>
        <w:tc>
          <w:tcPr>
            <w:tcW w:w="128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24,811</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5,377</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42,995</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287" w:right="359" w:bottom="1440" w:gutter="0" w:footer="0" w:header="0"/>
        </w:sectPr>
      </w:pPr>
    </w:p>
    <w:p>
      <w:pPr>
        <w:spacing w:after="0" w:line="191"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80"/>
          </w:cols>
          <w:pgMar w:left="360" w:top="287" w:right="3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gridSpan w:val="11"/>
          </w:tcPr>
          <w:p>
            <w:pPr>
              <w:ind w:left="640"/>
              <w:spacing w:after="0"/>
              <w:rPr>
                <w:sz w:val="20"/>
                <w:szCs w:val="20"/>
                <w:color w:val="auto"/>
              </w:rPr>
            </w:pPr>
            <w:r>
              <w:rPr>
                <w:rFonts w:ascii="Arial" w:cs="Arial" w:eastAsia="Arial" w:hAnsi="Arial"/>
                <w:sz w:val="18"/>
                <w:szCs w:val="18"/>
                <w:color w:val="auto"/>
                <w:w w:val="91"/>
              </w:rPr>
              <w:t>Notes to Unaudited Consolidated Financial Statements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Construction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Commercial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and Land</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Residential</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Equity Lines</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Consumer</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Commercial</w:t>
            </w:r>
          </w:p>
        </w:tc>
        <w:tc>
          <w:tcPr>
            <w:tcW w:w="2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Development</w:t>
            </w:r>
          </w:p>
        </w:tc>
        <w:tc>
          <w:tcPr>
            <w:tcW w:w="14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of Credit</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Installment</w:t>
            </w: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ind w:left="36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2380" w:type="dxa"/>
            <w:vAlign w:val="bottom"/>
            <w:gridSpan w:val="3"/>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68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480" w:type="dxa"/>
            <w:vAlign w:val="bottom"/>
            <w:gridSpan w:val="4"/>
          </w:tcPr>
          <w:p>
            <w:pPr>
              <w:ind w:left="4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Beginning</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30,197</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charged to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13,183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9,141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6,899</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33,540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Construction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Commercial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and Land</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Residential</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Equity Lines</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Consumer</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Commercial</w:t>
            </w:r>
          </w:p>
        </w:tc>
        <w:tc>
          <w:tcPr>
            <w:tcW w:w="2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Development</w:t>
            </w:r>
          </w:p>
        </w:tc>
        <w:tc>
          <w:tcPr>
            <w:tcW w:w="14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of Credit</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Installment</w:t>
            </w: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ind w:left="36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3680" w:type="dxa"/>
            <w:vAlign w:val="bottom"/>
            <w:gridSpan w:val="7"/>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68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480" w:type="dxa"/>
            <w:vAlign w:val="bottom"/>
            <w:gridSpan w:val="4"/>
          </w:tcPr>
          <w:p>
            <w:pPr>
              <w:ind w:left="4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Beginning</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37,826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charged to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11,166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24,811</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5,377</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42,995</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Construction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Commercial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and Land</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Residential</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Equity Lines</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Consumer</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Commercial</w:t>
            </w:r>
          </w:p>
        </w:tc>
        <w:tc>
          <w:tcPr>
            <w:tcW w:w="2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Development</w:t>
            </w:r>
          </w:p>
        </w:tc>
        <w:tc>
          <w:tcPr>
            <w:tcW w:w="14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of Credit</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Installment</w:t>
            </w: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ind w:left="36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3680" w:type="dxa"/>
            <w:vAlign w:val="bottom"/>
            <w:gridSpan w:val="7"/>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68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480" w:type="dxa"/>
            <w:vAlign w:val="bottom"/>
            <w:gridSpan w:val="4"/>
          </w:tcPr>
          <w:p>
            <w:pPr>
              <w:ind w:left="4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Beginning</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charged to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13,183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9,141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6,899</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33,540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balance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60" w:top="287" w:right="359" w:bottom="1440" w:gutter="0" w:footer="0" w:header="0"/>
        </w:sectPr>
      </w:pPr>
    </w:p>
    <w:bookmarkStart w:id="21" w:name="page22"/>
    <w:bookmarkEnd w:id="21"/>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gridSpan w:val="11"/>
          </w:tcPr>
          <w:p>
            <w:pPr>
              <w:ind w:left="520"/>
              <w:spacing w:after="0"/>
              <w:rPr>
                <w:sz w:val="20"/>
                <w:szCs w:val="20"/>
                <w:color w:val="auto"/>
              </w:rPr>
            </w:pPr>
            <w:r>
              <w:rPr>
                <w:rFonts w:ascii="Arial" w:cs="Arial" w:eastAsia="Arial" w:hAnsi="Arial"/>
                <w:sz w:val="18"/>
                <w:szCs w:val="18"/>
                <w:color w:val="auto"/>
                <w:w w:val="92"/>
              </w:rPr>
              <w:t>Notes to Unaudited Consolidated Financial Statements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621"/>
        </w:trPr>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Construction and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Commercial</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Land</w:t>
            </w:r>
          </w:p>
        </w:tc>
        <w:tc>
          <w:tcPr>
            <w:tcW w:w="12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Residential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Equity Lines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Consumer</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Commercial</w:t>
            </w:r>
          </w:p>
        </w:tc>
        <w:tc>
          <w:tcPr>
            <w:tcW w:w="16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Real Estate</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Development</w:t>
            </w:r>
          </w:p>
        </w:tc>
        <w:tc>
          <w:tcPr>
            <w:tcW w:w="1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of Credit</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Installment</w:t>
            </w:r>
          </w:p>
        </w:tc>
        <w:tc>
          <w:tcPr>
            <w:tcW w:w="22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ind w:left="46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20" w:type="dxa"/>
            <w:vAlign w:val="bottom"/>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220" w:type="dxa"/>
            <w:vAlign w:val="bottom"/>
          </w:tcPr>
          <w:p>
            <w:pPr>
              <w:spacing w:after="0"/>
              <w:rPr>
                <w:sz w:val="19"/>
                <w:szCs w:val="19"/>
                <w:color w:val="auto"/>
              </w:rPr>
            </w:pPr>
          </w:p>
        </w:tc>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Individually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3"/>
        </w:trPr>
        <w:tc>
          <w:tcPr>
            <w:tcW w:w="220" w:type="dxa"/>
            <w:vAlign w:val="bottom"/>
          </w:tcPr>
          <w:p>
            <w:pPr>
              <w:spacing w:after="0"/>
              <w:rPr>
                <w:sz w:val="17"/>
                <w:szCs w:val="17"/>
                <w:color w:val="auto"/>
              </w:rPr>
            </w:pPr>
          </w:p>
        </w:tc>
        <w:tc>
          <w:tcPr>
            <w:tcW w:w="1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evaluated for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9"/>
        </w:trPr>
        <w:tc>
          <w:tcPr>
            <w:tcW w:w="22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11,814</w:t>
            </w:r>
          </w:p>
        </w:tc>
      </w:tr>
      <w:tr>
        <w:trPr>
          <w:trHeight w:val="200"/>
        </w:trPr>
        <w:tc>
          <w:tcPr>
            <w:tcW w:w="220" w:type="dxa"/>
            <w:vAlign w:val="bottom"/>
          </w:tcPr>
          <w:p>
            <w:pPr>
              <w:spacing w:after="0"/>
              <w:rPr>
                <w:sz w:val="17"/>
                <w:szCs w:val="17"/>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auto"/>
              </w:rPr>
              <w:t>Collectively</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6"/>
                <w:szCs w:val="16"/>
                <w:color w:val="auto"/>
              </w:rPr>
              <w:t>evaluated for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14,413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4,523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6,941</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31,181</w:t>
            </w:r>
          </w:p>
        </w:tc>
      </w:tr>
      <w:tr>
        <w:trPr>
          <w:trHeight w:val="33"/>
        </w:trPr>
        <w:tc>
          <w:tcPr>
            <w:tcW w:w="22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to loans: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220" w:type="dxa"/>
            <w:vAlign w:val="bottom"/>
          </w:tcPr>
          <w:p>
            <w:pPr>
              <w:spacing w:after="0"/>
              <w:rPr>
                <w:sz w:val="19"/>
                <w:szCs w:val="19"/>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auto"/>
              </w:rPr>
              <w:t>Individually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22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6"/>
                <w:szCs w:val="16"/>
                <w:color w:val="auto"/>
              </w:rPr>
              <w:t>evaluated for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66,162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10,226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16,544</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95,469</w:t>
            </w:r>
          </w:p>
        </w:tc>
      </w:tr>
      <w:tr>
        <w:trPr>
          <w:trHeight w:val="33"/>
        </w:trPr>
        <w:tc>
          <w:tcPr>
            <w:tcW w:w="22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0"/>
        </w:trPr>
        <w:tc>
          <w:tcPr>
            <w:tcW w:w="220" w:type="dxa"/>
            <w:vAlign w:val="bottom"/>
          </w:tcPr>
          <w:p>
            <w:pPr>
              <w:spacing w:after="0"/>
              <w:rPr>
                <w:sz w:val="17"/>
                <w:szCs w:val="17"/>
                <w:color w:val="auto"/>
              </w:rPr>
            </w:pPr>
          </w:p>
        </w:tc>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Collectively</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evaluated for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9"/>
        </w:trPr>
        <w:tc>
          <w:tcPr>
            <w:tcW w:w="22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1,246,485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385,906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976,609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527,582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362,898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3,543,224</w:t>
            </w:r>
          </w:p>
        </w:tc>
      </w:tr>
      <w:tr>
        <w:trPr>
          <w:trHeight w:val="243"/>
        </w:trPr>
        <w:tc>
          <w:tcPr>
            <w:tcW w:w="220" w:type="dxa"/>
            <w:vAlign w:val="bottom"/>
          </w:tcPr>
          <w:p>
            <w:pPr>
              <w:spacing w:after="0"/>
              <w:rPr>
                <w:sz w:val="21"/>
                <w:szCs w:val="21"/>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1,312,647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396,132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993,153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527,582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365,435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22,192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21,552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3,638,693</w:t>
            </w:r>
          </w:p>
        </w:tc>
      </w:tr>
      <w:tr>
        <w:trPr>
          <w:trHeight w:val="20"/>
        </w:trPr>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86"/>
        </w:trPr>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Construction and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Commercial</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Land</w:t>
            </w:r>
          </w:p>
        </w:tc>
        <w:tc>
          <w:tcPr>
            <w:tcW w:w="12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Residential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Equity Lines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Consumer</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Commercial</w:t>
            </w:r>
          </w:p>
        </w:tc>
        <w:tc>
          <w:tcPr>
            <w:tcW w:w="16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Real Estate</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Development</w:t>
            </w:r>
          </w:p>
        </w:tc>
        <w:tc>
          <w:tcPr>
            <w:tcW w:w="1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Real Estate</w:t>
            </w: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of Credit</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Installment</w:t>
            </w:r>
          </w:p>
        </w:tc>
        <w:tc>
          <w:tcPr>
            <w:tcW w:w="22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ind w:left="46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4"/>
              </w:rPr>
              <w:t>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20" w:type="dxa"/>
            <w:vAlign w:val="bottom"/>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220" w:type="dxa"/>
            <w:vAlign w:val="bottom"/>
          </w:tcPr>
          <w:p>
            <w:pPr>
              <w:spacing w:after="0"/>
              <w:rPr>
                <w:sz w:val="19"/>
                <w:szCs w:val="19"/>
                <w:color w:val="auto"/>
              </w:rPr>
            </w:pPr>
          </w:p>
        </w:tc>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Individually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3"/>
        </w:trPr>
        <w:tc>
          <w:tcPr>
            <w:tcW w:w="220" w:type="dxa"/>
            <w:vAlign w:val="bottom"/>
          </w:tcPr>
          <w:p>
            <w:pPr>
              <w:spacing w:after="0"/>
              <w:rPr>
                <w:sz w:val="17"/>
                <w:szCs w:val="17"/>
                <w:color w:val="auto"/>
              </w:rPr>
            </w:pPr>
          </w:p>
        </w:tc>
        <w:tc>
          <w:tcPr>
            <w:tcW w:w="1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evaluated for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9"/>
        </w:trPr>
        <w:tc>
          <w:tcPr>
            <w:tcW w:w="22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r>
      <w:tr>
        <w:trPr>
          <w:trHeight w:val="200"/>
        </w:trPr>
        <w:tc>
          <w:tcPr>
            <w:tcW w:w="220" w:type="dxa"/>
            <w:vAlign w:val="bottom"/>
          </w:tcPr>
          <w:p>
            <w:pPr>
              <w:spacing w:after="0"/>
              <w:rPr>
                <w:sz w:val="17"/>
                <w:szCs w:val="17"/>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auto"/>
              </w:rPr>
              <w:t>Collectively</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6"/>
                <w:szCs w:val="16"/>
                <w:color w:val="auto"/>
              </w:rPr>
              <w:t>evaluated for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10,770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7,154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6,282</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28,426</w:t>
            </w:r>
          </w:p>
        </w:tc>
      </w:tr>
      <w:tr>
        <w:trPr>
          <w:trHeight w:val="33"/>
        </w:trPr>
        <w:tc>
          <w:tcPr>
            <w:tcW w:w="22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to loans: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220" w:type="dxa"/>
            <w:vAlign w:val="bottom"/>
          </w:tcPr>
          <w:p>
            <w:pPr>
              <w:spacing w:after="0"/>
              <w:rPr>
                <w:sz w:val="19"/>
                <w:szCs w:val="19"/>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auto"/>
              </w:rPr>
              <w:t>Individually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22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6"/>
                <w:szCs w:val="16"/>
                <w:color w:val="auto"/>
              </w:rPr>
              <w:t>evaluated for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78,147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16,250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15,227</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111,651</w:t>
            </w:r>
          </w:p>
        </w:tc>
      </w:tr>
      <w:tr>
        <w:trPr>
          <w:trHeight w:val="33"/>
        </w:trPr>
        <w:tc>
          <w:tcPr>
            <w:tcW w:w="220" w:type="dxa"/>
            <w:vAlign w:val="bottom"/>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0"/>
        </w:trPr>
        <w:tc>
          <w:tcPr>
            <w:tcW w:w="220" w:type="dxa"/>
            <w:vAlign w:val="bottom"/>
          </w:tcPr>
          <w:p>
            <w:pPr>
              <w:spacing w:after="0"/>
              <w:rPr>
                <w:sz w:val="17"/>
                <w:szCs w:val="17"/>
                <w:color w:val="auto"/>
              </w:rPr>
            </w:pPr>
          </w:p>
        </w:tc>
        <w:tc>
          <w:tcPr>
            <w:tcW w:w="1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Collectively</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evaluated for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9"/>
        </w:trPr>
        <w:tc>
          <w:tcPr>
            <w:tcW w:w="22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1,056,267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342,033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831,334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440,032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244,248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2,957,728</w:t>
            </w:r>
          </w:p>
        </w:tc>
      </w:tr>
      <w:tr>
        <w:trPr>
          <w:trHeight w:val="244"/>
        </w:trPr>
        <w:tc>
          <w:tcPr>
            <w:tcW w:w="220" w:type="dxa"/>
            <w:vAlign w:val="bottom"/>
          </w:tcPr>
          <w:p>
            <w:pPr>
              <w:spacing w:after="0"/>
              <w:rPr>
                <w:sz w:val="21"/>
                <w:szCs w:val="21"/>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1,134,414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358,283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846,561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440,032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246,275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20,286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23,528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3,069,379</w:t>
            </w:r>
          </w:p>
        </w:tc>
      </w:tr>
      <w:tr>
        <w:trPr>
          <w:trHeight w:val="20"/>
        </w:trPr>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Credit Risk Profile</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analyzes its loan portfolio based on an internal rating category (grades 1 - 8), portfolio segment and payment activity.</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These categories are utilized to develop the associated allowance for loan losses. A description of the loan grades and segments follows: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20"/>
          <w:szCs w:val="20"/>
          <w:u w:val="single" w:color="auto"/>
          <w:color w:val="auto"/>
        </w:rPr>
        <w:t>Loan Grades</w:t>
      </w:r>
    </w:p>
    <w:p>
      <w:pPr>
        <w:spacing w:after="0" w:line="162" w:lineRule="exact"/>
        <w:rPr>
          <w:sz w:val="20"/>
          <w:szCs w:val="20"/>
          <w:color w:val="auto"/>
        </w:rPr>
      </w:pPr>
    </w:p>
    <w:p>
      <w:pPr>
        <w:ind w:left="940" w:hanging="324"/>
        <w:spacing w:after="0" w:line="269" w:lineRule="auto"/>
        <w:tabs>
          <w:tab w:leader="none" w:pos="94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Pass &amp; Watch</w:t>
      </w:r>
      <w:r>
        <w:rPr>
          <w:rFonts w:ascii="Arial" w:cs="Arial" w:eastAsia="Arial" w:hAnsi="Arial"/>
          <w:sz w:val="19"/>
          <w:szCs w:val="19"/>
          <w:color w:val="auto"/>
        </w:rPr>
        <w:t xml:space="preserve"> (risk rating 1 - 4) - Considered satisfactory. Includes borrowers that generally maintain good liquidity and financial condition or the credit is currently protected with sales trends remaining flat or declining. Most ratios compare favorably with industry norms and Company policies. Debt is programmed and timely repayment is expected.</w:t>
      </w:r>
    </w:p>
    <w:p>
      <w:pPr>
        <w:spacing w:after="0" w:line="115" w:lineRule="exact"/>
        <w:rPr>
          <w:rFonts w:ascii="Arial" w:cs="Arial" w:eastAsia="Arial" w:hAnsi="Arial"/>
          <w:sz w:val="19"/>
          <w:szCs w:val="19"/>
          <w:color w:val="auto"/>
        </w:rPr>
      </w:pPr>
    </w:p>
    <w:p>
      <w:pPr>
        <w:ind w:left="940" w:right="40" w:hanging="324"/>
        <w:spacing w:after="0" w:line="244" w:lineRule="auto"/>
        <w:tabs>
          <w:tab w:leader="none" w:pos="94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Special Mention</w:t>
      </w:r>
      <w:r>
        <w:rPr>
          <w:rFonts w:ascii="Arial" w:cs="Arial" w:eastAsia="Arial" w:hAnsi="Arial"/>
          <w:sz w:val="20"/>
          <w:szCs w:val="20"/>
          <w:color w:val="auto"/>
        </w:rPr>
        <w:t xml:space="preserve"> (risk rating 5) - Borrowers generally exhibit adverse trends in operations or an imbalanced position in their balance sheet that has not reached a point where 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140" w:lineRule="exact"/>
        <w:rPr>
          <w:rFonts w:ascii="Arial" w:cs="Arial" w:eastAsia="Arial" w:hAnsi="Arial"/>
          <w:sz w:val="20"/>
          <w:szCs w:val="20"/>
          <w:color w:val="auto"/>
        </w:rPr>
      </w:pPr>
    </w:p>
    <w:p>
      <w:pPr>
        <w:ind w:left="940" w:right="120" w:hanging="324"/>
        <w:spacing w:after="0" w:line="263" w:lineRule="auto"/>
        <w:tabs>
          <w:tab w:leader="none" w:pos="94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Substandard</w:t>
      </w:r>
      <w:r>
        <w:rPr>
          <w:rFonts w:ascii="Arial" w:cs="Arial" w:eastAsia="Arial" w:hAnsi="Arial"/>
          <w:sz w:val="19"/>
          <w:szCs w:val="19"/>
          <w:color w:val="auto"/>
        </w:rPr>
        <w:t xml:space="preserve"> (risk rating 6) - Credits generally exhibit a well-defined weakness(es) that jeopardize repayment. Credits are inadequately protected by the current worth and paying capacity 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w:t>
      </w:r>
    </w:p>
    <w:p>
      <w:pPr>
        <w:spacing w:after="0" w:line="122" w:lineRule="exact"/>
        <w:rPr>
          <w:rFonts w:ascii="Arial" w:cs="Arial" w:eastAsia="Arial" w:hAnsi="Arial"/>
          <w:sz w:val="19"/>
          <w:szCs w:val="19"/>
          <w:color w:val="auto"/>
        </w:rPr>
      </w:pPr>
    </w:p>
    <w:p>
      <w:pPr>
        <w:ind w:left="940" w:right="260" w:hanging="324"/>
        <w:spacing w:after="0" w:line="282"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Doubtful</w:t>
      </w:r>
      <w:r>
        <w:rPr>
          <w:rFonts w:ascii="Arial" w:cs="Arial" w:eastAsia="Arial" w:hAnsi="Arial"/>
          <w:sz w:val="18"/>
          <w:szCs w:val="18"/>
          <w:color w:val="auto"/>
        </w:rPr>
        <w:t xml:space="preserve"> (risk rating 7) - Credits which exhibit weaknesses inherent in a substandard credit with the added characteristic that these weaknesses make collection or liquidation in full highly questionable and improbable based on existing facts, conditions and values. Because of reasonably specific pending factors, which may work to the advantage and strengthening of the assets, classification as a loss is deferred until its more exact status may be determined.</w:t>
      </w:r>
    </w:p>
    <w:p>
      <w:pPr>
        <w:sectPr>
          <w:pgSz w:w="11900" w:h="16915" w:orient="portrait"/>
          <w:cols w:equalWidth="0" w:num="1">
            <w:col w:w="11200"/>
          </w:cols>
          <w:pgMar w:left="360" w:top="287" w:right="339" w:bottom="0" w:gutter="0" w:footer="0" w:header="0"/>
        </w:sectPr>
      </w:pPr>
    </w:p>
    <w:bookmarkStart w:id="22" w:name="page23"/>
    <w:bookmarkEnd w:id="22"/>
    <w:p>
      <w:pPr>
        <w:ind w:left="800" w:right="140" w:hanging="324"/>
        <w:spacing w:after="0" w:line="260" w:lineRule="auto"/>
        <w:tabs>
          <w:tab w:leader="none" w:pos="80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Loss</w:t>
      </w:r>
      <w:r>
        <w:rPr>
          <w:rFonts w:ascii="Arial" w:cs="Arial" w:eastAsia="Arial" w:hAnsi="Arial"/>
          <w:sz w:val="20"/>
          <w:szCs w:val="20"/>
          <w:color w:val="auto"/>
        </w:rPr>
        <w:t xml:space="preserve"> (risk rating 8) - Credits which are considered uncollectible or of such little value that their continuance as a bankable asset is not warranted.</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20"/>
          <w:szCs w:val="20"/>
          <w:u w:val="single" w:color="auto"/>
          <w:color w:val="auto"/>
        </w:rPr>
        <w:t>Loan Portfolio Segments</w:t>
      </w:r>
    </w:p>
    <w:p>
      <w:pPr>
        <w:spacing w:after="0" w:line="162" w:lineRule="exact"/>
        <w:rPr>
          <w:sz w:val="20"/>
          <w:szCs w:val="20"/>
          <w:color w:val="auto"/>
        </w:rPr>
      </w:pPr>
    </w:p>
    <w:p>
      <w:pPr>
        <w:jc w:val="both"/>
        <w:ind w:left="800" w:right="400" w:hanging="324"/>
        <w:spacing w:after="0" w:line="291"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Includes loans to commercial customers for use in financing working capital needs, equipment purchases and expansions. Repayment is primarily from the cash flow of a borrower’s principal business operation. Credit risk is driven by creditworthiness of a borrower and the economic conditions that impact the cash flow stability from business operations.</w:t>
      </w:r>
    </w:p>
    <w:p>
      <w:pPr>
        <w:spacing w:after="0" w:line="97" w:lineRule="exact"/>
        <w:rPr>
          <w:rFonts w:ascii="Arial" w:cs="Arial" w:eastAsia="Arial" w:hAnsi="Arial"/>
          <w:sz w:val="18"/>
          <w:szCs w:val="18"/>
          <w:color w:val="auto"/>
        </w:rPr>
      </w:pPr>
    </w:p>
    <w:p>
      <w:pPr>
        <w:ind w:left="800" w:hanging="324"/>
        <w:spacing w:after="0" w:line="246" w:lineRule="auto"/>
        <w:tabs>
          <w:tab w:leader="none" w:pos="800" w:val="left"/>
        </w:tabs>
        <w:numPr>
          <w:ilvl w:val="0"/>
          <w:numId w:val="12"/>
        </w:numPr>
        <w:rPr>
          <w:rFonts w:ascii="Arial" w:cs="Arial" w:eastAsia="Arial" w:hAnsi="Arial"/>
          <w:sz w:val="20"/>
          <w:szCs w:val="20"/>
          <w:b w:val="1"/>
          <w:bCs w:val="1"/>
          <w:color w:val="auto"/>
        </w:rPr>
      </w:pPr>
      <w:r>
        <w:rPr>
          <w:rFonts w:ascii="Arial" w:cs="Arial" w:eastAsia="Arial" w:hAnsi="Arial"/>
          <w:sz w:val="20"/>
          <w:szCs w:val="20"/>
          <w:u w:val="single" w:color="auto"/>
          <w:color w:val="auto"/>
        </w:rPr>
        <w:t>Energy</w:t>
      </w:r>
      <w:r>
        <w:rPr>
          <w:rFonts w:ascii="Arial" w:cs="Arial" w:eastAsia="Arial" w:hAnsi="Arial"/>
          <w:sz w:val="20"/>
          <w:szCs w:val="20"/>
          <w:color w:val="auto"/>
        </w:rPr>
        <w:t xml:space="preserve"> - Includes loans to oil and natural gas customers for use in financing working capital needs, exploration and production activities, and acquisitions. The loans in this category are repaid primarily from the conversion of crude oil and natural gas to cash. Credit risk is driven by creditworthiness of a borrower and the economic conditions that impact the cash flow stability from business operations.</w:t>
      </w:r>
    </w:p>
    <w:p>
      <w:pPr>
        <w:spacing w:after="0" w:line="137" w:lineRule="exact"/>
        <w:rPr>
          <w:rFonts w:ascii="Arial" w:cs="Arial" w:eastAsia="Arial" w:hAnsi="Arial"/>
          <w:sz w:val="20"/>
          <w:szCs w:val="20"/>
          <w:b w:val="1"/>
          <w:bCs w:val="1"/>
          <w:color w:val="auto"/>
        </w:rPr>
      </w:pPr>
    </w:p>
    <w:p>
      <w:pPr>
        <w:ind w:left="800" w:right="60" w:hanging="324"/>
        <w:spacing w:after="0" w:line="282" w:lineRule="auto"/>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Commercial Real Estate</w:t>
      </w:r>
      <w:r>
        <w:rPr>
          <w:rFonts w:ascii="Arial" w:cs="Arial" w:eastAsia="Arial" w:hAnsi="Arial"/>
          <w:sz w:val="18"/>
          <w:szCs w:val="18"/>
          <w:color w:val="auto"/>
        </w:rPr>
        <w:t xml:space="preserve"> - Loans typically involve larger principal amounts, and repayment of these loans is generally dependent on the successful operations of the property securing the loan or the business conducted on the property securing the loan. These are viewed primarily as cash flow loans and secondarily as loans secured by real estate. Credit risk may be impacted by the creditworthiness of a borrower, property values and the local economies in the company’s market areas.</w:t>
      </w:r>
    </w:p>
    <w:p>
      <w:pPr>
        <w:spacing w:after="0" w:line="107" w:lineRule="exact"/>
        <w:rPr>
          <w:rFonts w:ascii="Arial" w:cs="Arial" w:eastAsia="Arial" w:hAnsi="Arial"/>
          <w:sz w:val="18"/>
          <w:szCs w:val="18"/>
          <w:b w:val="1"/>
          <w:bCs w:val="1"/>
          <w:color w:val="auto"/>
        </w:rPr>
      </w:pPr>
    </w:p>
    <w:p>
      <w:pPr>
        <w:ind w:left="800" w:right="280" w:hanging="324"/>
        <w:spacing w:after="0" w:line="316" w:lineRule="auto"/>
        <w:tabs>
          <w:tab w:leader="none" w:pos="800" w:val="left"/>
        </w:tabs>
        <w:numPr>
          <w:ilvl w:val="0"/>
          <w:numId w:val="12"/>
        </w:numPr>
        <w:rPr>
          <w:rFonts w:ascii="Arial" w:cs="Arial" w:eastAsia="Arial" w:hAnsi="Arial"/>
          <w:sz w:val="16"/>
          <w:szCs w:val="16"/>
          <w:b w:val="1"/>
          <w:bCs w:val="1"/>
          <w:color w:val="auto"/>
        </w:rPr>
      </w:pPr>
      <w:r>
        <w:rPr>
          <w:rFonts w:ascii="Arial" w:cs="Arial" w:eastAsia="Arial" w:hAnsi="Arial"/>
          <w:sz w:val="16"/>
          <w:szCs w:val="16"/>
          <w:u w:val="single" w:color="auto"/>
          <w:color w:val="auto"/>
        </w:rPr>
        <w:t>Construction and Land Development</w:t>
      </w:r>
      <w:r>
        <w:rPr>
          <w:rFonts w:ascii="Arial" w:cs="Arial" w:eastAsia="Arial" w:hAnsi="Arial"/>
          <w:sz w:val="16"/>
          <w:szCs w:val="16"/>
          <w:color w:val="auto"/>
        </w:rPr>
        <w:t xml:space="preserve"> - Loans are usually based upon estimates of costs and estimated value of the completed project and include independent appraisal reviews and a financial analysis of the developers and property owners. Sources of repayment include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company’s market areas.</w:t>
      </w:r>
    </w:p>
    <w:p>
      <w:pPr>
        <w:spacing w:after="0" w:line="85" w:lineRule="exact"/>
        <w:rPr>
          <w:rFonts w:ascii="Arial" w:cs="Arial" w:eastAsia="Arial" w:hAnsi="Arial"/>
          <w:sz w:val="16"/>
          <w:szCs w:val="16"/>
          <w:b w:val="1"/>
          <w:bCs w:val="1"/>
          <w:color w:val="auto"/>
        </w:rPr>
      </w:pPr>
    </w:p>
    <w:p>
      <w:pPr>
        <w:ind w:left="800" w:right="100" w:hanging="324"/>
        <w:spacing w:after="0" w:line="328" w:lineRule="auto"/>
        <w:tabs>
          <w:tab w:leader="none" w:pos="800" w:val="left"/>
        </w:tabs>
        <w:numPr>
          <w:ilvl w:val="0"/>
          <w:numId w:val="12"/>
        </w:numPr>
        <w:rPr>
          <w:rFonts w:ascii="Arial" w:cs="Arial" w:eastAsia="Arial" w:hAnsi="Arial"/>
          <w:sz w:val="16"/>
          <w:szCs w:val="16"/>
          <w:b w:val="1"/>
          <w:bCs w:val="1"/>
          <w:color w:val="auto"/>
        </w:rPr>
      </w:pPr>
      <w:r>
        <w:rPr>
          <w:rFonts w:ascii="Arial" w:cs="Arial" w:eastAsia="Arial" w:hAnsi="Arial"/>
          <w:sz w:val="16"/>
          <w:szCs w:val="16"/>
          <w:u w:val="single" w:color="auto"/>
          <w:color w:val="auto"/>
        </w:rPr>
        <w:t>Residential Real Estate</w:t>
      </w:r>
      <w:r>
        <w:rPr>
          <w:rFonts w:ascii="Arial" w:cs="Arial" w:eastAsia="Arial" w:hAnsi="Arial"/>
          <w:sz w:val="16"/>
          <w:szCs w:val="16"/>
          <w:color w:val="auto"/>
        </w:rPr>
        <w:t xml:space="preserve"> - The loans are generally secured by owner-occupied 1-4 family residences. Repayment of these loans is primarily dependent on the personal income and credit rating of the borrowers. Credit risk in these loans can be impacted by economic conditions within or outside the company’s market areas that might impact either property values or a borrower’s personal income. Risk is mitigated by the fact that the loans are of smaller individual amounts and spread over many borrowers.</w:t>
      </w:r>
    </w:p>
    <w:p>
      <w:pPr>
        <w:spacing w:after="0" w:line="74" w:lineRule="exact"/>
        <w:rPr>
          <w:rFonts w:ascii="Arial" w:cs="Arial" w:eastAsia="Arial" w:hAnsi="Arial"/>
          <w:sz w:val="16"/>
          <w:szCs w:val="16"/>
          <w:b w:val="1"/>
          <w:bCs w:val="1"/>
          <w:color w:val="auto"/>
        </w:rPr>
      </w:pPr>
    </w:p>
    <w:p>
      <w:pPr>
        <w:ind w:left="800" w:hanging="324"/>
        <w:spacing w:after="0" w:line="246" w:lineRule="auto"/>
        <w:tabs>
          <w:tab w:leader="none" w:pos="800" w:val="left"/>
        </w:tabs>
        <w:numPr>
          <w:ilvl w:val="0"/>
          <w:numId w:val="12"/>
        </w:numPr>
        <w:rPr>
          <w:rFonts w:ascii="Arial" w:cs="Arial" w:eastAsia="Arial" w:hAnsi="Arial"/>
          <w:sz w:val="20"/>
          <w:szCs w:val="20"/>
          <w:b w:val="1"/>
          <w:bCs w:val="1"/>
          <w:color w:val="auto"/>
        </w:rPr>
      </w:pPr>
      <w:r>
        <w:rPr>
          <w:rFonts w:ascii="Arial" w:cs="Arial" w:eastAsia="Arial" w:hAnsi="Arial"/>
          <w:sz w:val="20"/>
          <w:szCs w:val="20"/>
          <w:u w:val="single" w:color="auto"/>
          <w:color w:val="auto"/>
        </w:rPr>
        <w:t>Equity Lines of Credit</w:t>
      </w:r>
      <w:r>
        <w:rPr>
          <w:rFonts w:ascii="Arial" w:cs="Arial" w:eastAsia="Arial" w:hAnsi="Arial"/>
          <w:sz w:val="20"/>
          <w:szCs w:val="20"/>
          <w:color w:val="auto"/>
        </w:rPr>
        <w:t xml:space="preserve"> - The loans are revolving lines of credit extended to consumers secured through a first or second mortgage on their personal residence. Repayment is primarily dependent on the personal income and credit rating of the borrowers. Credit risk in these loans may be impacted by economic conditions within the company’s market areas that may impact either property values or a borrower’s personal income.</w:t>
      </w:r>
    </w:p>
    <w:p>
      <w:pPr>
        <w:spacing w:after="0" w:line="137" w:lineRule="exact"/>
        <w:rPr>
          <w:rFonts w:ascii="Arial" w:cs="Arial" w:eastAsia="Arial" w:hAnsi="Arial"/>
          <w:sz w:val="20"/>
          <w:szCs w:val="20"/>
          <w:b w:val="1"/>
          <w:bCs w:val="1"/>
          <w:color w:val="auto"/>
        </w:rPr>
      </w:pPr>
    </w:p>
    <w:p>
      <w:pPr>
        <w:ind w:left="800" w:right="260" w:hanging="324"/>
        <w:spacing w:after="0" w:line="263" w:lineRule="auto"/>
        <w:tabs>
          <w:tab w:leader="none" w:pos="800" w:val="left"/>
        </w:tabs>
        <w:numPr>
          <w:ilvl w:val="0"/>
          <w:numId w:val="12"/>
        </w:numPr>
        <w:rPr>
          <w:rFonts w:ascii="Arial" w:cs="Arial" w:eastAsia="Arial" w:hAnsi="Arial"/>
          <w:sz w:val="19"/>
          <w:szCs w:val="19"/>
          <w:b w:val="1"/>
          <w:bCs w:val="1"/>
          <w:color w:val="auto"/>
        </w:rPr>
      </w:pPr>
      <w:r>
        <w:rPr>
          <w:rFonts w:ascii="Arial" w:cs="Arial" w:eastAsia="Arial" w:hAnsi="Arial"/>
          <w:sz w:val="19"/>
          <w:szCs w:val="19"/>
          <w:u w:val="single" w:color="auto"/>
          <w:color w:val="auto"/>
        </w:rPr>
        <w:t>Consumer Installment</w:t>
      </w:r>
      <w:r>
        <w:rPr>
          <w:rFonts w:ascii="Arial" w:cs="Arial" w:eastAsia="Arial" w:hAnsi="Arial"/>
          <w:sz w:val="19"/>
          <w:szCs w:val="19"/>
          <w:color w:val="auto"/>
        </w:rPr>
        <w:t xml:space="preserve"> - The loan portfolio consists of various term and line of credit loans such as automobile loans and loans for other personal purposes. Repayment comes from a borrower’s income sources that are typically independent of the loan purpose. Credit risk is driven by consumer economic factors (such as unemployment and general economic conditions in the Company’s market area) and the creditworthiness of a borrower.</w:t>
      </w:r>
    </w:p>
    <w:p>
      <w:pPr>
        <w:spacing w:after="0" w:line="122" w:lineRule="exact"/>
        <w:rPr>
          <w:sz w:val="20"/>
          <w:szCs w:val="20"/>
          <w:color w:val="auto"/>
        </w:rPr>
      </w:pPr>
    </w:p>
    <w:p>
      <w:pPr>
        <w:ind w:right="220" w:firstLine="486"/>
        <w:spacing w:after="0" w:line="260" w:lineRule="auto"/>
        <w:rPr>
          <w:sz w:val="20"/>
          <w:szCs w:val="20"/>
          <w:color w:val="auto"/>
        </w:rPr>
      </w:pPr>
      <w:r>
        <w:rPr>
          <w:rFonts w:ascii="Arial" w:cs="Arial" w:eastAsia="Arial" w:hAnsi="Arial"/>
          <w:sz w:val="20"/>
          <w:szCs w:val="20"/>
          <w:color w:val="auto"/>
        </w:rPr>
        <w:t>The following tables present the credit risk profile of the Company’s loan portfolio based on an internal rating category (grades 1 - 8), portfolio segment and payment activity:</w:t>
      </w:r>
    </w:p>
    <w:p>
      <w:pPr>
        <w:spacing w:after="0" w:line="28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Pass &amp; Watch</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Special Mention</w:t>
            </w:r>
          </w:p>
        </w:tc>
        <w:tc>
          <w:tcPr>
            <w:tcW w:w="14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Substandard</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Doubtful</w:t>
            </w: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Loss</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5"/>
          </w:tcPr>
          <w:p>
            <w:pPr>
              <w:ind w:left="4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1,217,280</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29,350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1,312,647</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396,132</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976,262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993,153</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 and land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527,582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527,582</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362,625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365,435</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lines of credit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22,192</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21,552</w:t>
            </w:r>
          </w:p>
        </w:tc>
      </w:tr>
      <w:tr>
        <w:trPr>
          <w:trHeight w:val="27"/>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2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3,506,026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3,638,693</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Pass &amp; Watch</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Special Mention</w:t>
            </w:r>
          </w:p>
        </w:tc>
        <w:tc>
          <w:tcPr>
            <w:tcW w:w="14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Substandard</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Doubtful</w:t>
            </w: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Loss</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5"/>
          </w:tcPr>
          <w:p>
            <w:pPr>
              <w:ind w:left="4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1,056,505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73,824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1,134,414</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358,283</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831,290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846,561</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 and land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440,032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440,032</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244,178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246,275</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lines of credit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20,286</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23,528</w:t>
            </w:r>
          </w:p>
        </w:tc>
      </w:tr>
      <w:tr>
        <w:trPr>
          <w:trHeight w:val="27"/>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2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2,955,539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3,069,379</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040"/>
          </w:cols>
          <w:pgMar w:left="500" w:top="244" w:right="359" w:bottom="0" w:gutter="0" w:footer="0" w:header="0"/>
        </w:sectPr>
      </w:pPr>
    </w:p>
    <w:bookmarkStart w:id="23" w:name="page24"/>
    <w:bookmarkEnd w:id="23"/>
    <w:p>
      <w:pPr>
        <w:ind w:right="860" w:firstLine="486"/>
        <w:spacing w:after="0" w:line="260" w:lineRule="auto"/>
        <w:rPr>
          <w:sz w:val="20"/>
          <w:szCs w:val="20"/>
          <w:color w:val="auto"/>
        </w:rPr>
      </w:pPr>
      <w:r>
        <w:rPr>
          <w:rFonts w:ascii="Arial" w:cs="Arial" w:eastAsia="Arial" w:hAnsi="Arial"/>
          <w:sz w:val="20"/>
          <w:szCs w:val="20"/>
          <w:color w:val="auto"/>
        </w:rPr>
        <w:t>The Company evaluates the loan risk grading system definitions, portfolio segment definitions and allowance for loan loss methodology on an ongoing basis. No significant changes were made to either during the past year.</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500" w:top="312" w:right="359" w:bottom="1440" w:gutter="0" w:footer="0" w:header="0"/>
        </w:sectPr>
      </w:pPr>
    </w:p>
    <w:bookmarkStart w:id="24" w:name="page25"/>
    <w:bookmarkEnd w:id="24"/>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Loan Portfolio Aging Analysis</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tables present the Company’s loan portfolio aging analysis of the recorded investment in loans as of September 30,</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2019 and December 31, 2018:</w:t>
      </w:r>
    </w:p>
    <w:p>
      <w:pPr>
        <w:spacing w:after="0" w:line="38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Loans &gt;= 90</w:t>
            </w:r>
          </w:p>
        </w:tc>
      </w:tr>
      <w:tr>
        <w:trPr>
          <w:trHeight w:val="216"/>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30-59 Days</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60-89 Days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2"/>
              </w:rPr>
              <w:t>90 Days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Total Loans</w:t>
            </w: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Days and</w:t>
            </w:r>
          </w:p>
        </w:tc>
      </w:tr>
      <w:tr>
        <w:trPr>
          <w:trHeight w:val="234"/>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Past Due</w:t>
            </w: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Past Due</w:t>
            </w:r>
          </w:p>
        </w:tc>
        <w:tc>
          <w:tcPr>
            <w:tcW w:w="16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More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Past Due</w:t>
            </w:r>
          </w:p>
        </w:tc>
        <w:tc>
          <w:tcPr>
            <w:tcW w:w="2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Receivable</w:t>
            </w:r>
          </w:p>
        </w:tc>
        <w:tc>
          <w:tcPr>
            <w:tcW w:w="1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Accruing</w:t>
            </w:r>
          </w:p>
        </w:tc>
      </w:tr>
      <w:tr>
        <w:trPr>
          <w:trHeight w:val="27"/>
        </w:trPr>
        <w:tc>
          <w:tcPr>
            <w:tcW w:w="1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i w:val="1"/>
                <w:iCs w:val="1"/>
                <w:color w:val="auto"/>
                <w:w w:val="91"/>
              </w:rPr>
              <w:t>(Dollars 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42,039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1,101</w:t>
            </w: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45,925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1,266,722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1,312,647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383,691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w w:val="98"/>
              </w:rPr>
              <w:t>Commercial real estate</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992,743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993,153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and land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515,237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527,582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363,355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365,435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lines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Consumer installment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1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5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3,565,442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3,638,693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Loans &gt;= 90</w:t>
            </w:r>
          </w:p>
        </w:tc>
      </w:tr>
      <w:tr>
        <w:trPr>
          <w:trHeight w:val="216"/>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30-59 Days</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60-89 Days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2"/>
              </w:rPr>
              <w:t>90 Days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Total Loans</w:t>
            </w:r>
          </w:p>
        </w:tc>
        <w:tc>
          <w:tcPr>
            <w:tcW w:w="120" w:type="dxa"/>
            <w:vAlign w:val="bottom"/>
          </w:tcPr>
          <w:p>
            <w:pPr>
              <w:spacing w:after="0"/>
              <w:rPr>
                <w:sz w:val="18"/>
                <w:szCs w:val="18"/>
                <w:color w:val="auto"/>
              </w:rPr>
            </w:pPr>
          </w:p>
        </w:tc>
        <w:tc>
          <w:tcPr>
            <w:tcW w:w="1080" w:type="dxa"/>
            <w:vAlign w:val="bottom"/>
          </w:tcPr>
          <w:p>
            <w:pPr>
              <w:ind w:left="120"/>
              <w:spacing w:after="0"/>
              <w:rPr>
                <w:sz w:val="20"/>
                <w:szCs w:val="20"/>
                <w:color w:val="auto"/>
              </w:rPr>
            </w:pPr>
            <w:r>
              <w:rPr>
                <w:rFonts w:ascii="Arial" w:cs="Arial" w:eastAsia="Arial" w:hAnsi="Arial"/>
                <w:sz w:val="18"/>
                <w:szCs w:val="18"/>
                <w:b w:val="1"/>
                <w:bCs w:val="1"/>
                <w:color w:val="auto"/>
              </w:rPr>
              <w:t>Days and</w:t>
            </w:r>
          </w:p>
        </w:tc>
      </w:tr>
      <w:tr>
        <w:trPr>
          <w:trHeight w:val="234"/>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Past Due</w:t>
            </w: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Past Due</w:t>
            </w:r>
          </w:p>
        </w:tc>
        <w:tc>
          <w:tcPr>
            <w:tcW w:w="16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More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Past Due</w:t>
            </w:r>
          </w:p>
        </w:tc>
        <w:tc>
          <w:tcPr>
            <w:tcW w:w="2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Receivable</w:t>
            </w:r>
          </w:p>
        </w:tc>
        <w:tc>
          <w:tcPr>
            <w:tcW w:w="120" w:type="dxa"/>
            <w:vAlign w:val="bottom"/>
          </w:tcPr>
          <w:p>
            <w:pPr>
              <w:spacing w:after="0"/>
              <w:rPr>
                <w:sz w:val="20"/>
                <w:szCs w:val="20"/>
                <w:color w:val="auto"/>
              </w:rPr>
            </w:pPr>
          </w:p>
        </w:tc>
        <w:tc>
          <w:tcPr>
            <w:tcW w:w="1080" w:type="dxa"/>
            <w:vAlign w:val="bottom"/>
          </w:tcPr>
          <w:p>
            <w:pPr>
              <w:ind w:left="120"/>
              <w:spacing w:after="0"/>
              <w:rPr>
                <w:sz w:val="20"/>
                <w:szCs w:val="20"/>
                <w:color w:val="auto"/>
              </w:rPr>
            </w:pPr>
            <w:r>
              <w:rPr>
                <w:rFonts w:ascii="Arial" w:cs="Arial" w:eastAsia="Arial" w:hAnsi="Arial"/>
                <w:sz w:val="18"/>
                <w:szCs w:val="18"/>
                <w:b w:val="1"/>
                <w:bCs w:val="1"/>
                <w:color w:val="auto"/>
              </w:rPr>
              <w:t>Accruing</w:t>
            </w:r>
          </w:p>
        </w:tc>
      </w:tr>
      <w:tr>
        <w:trPr>
          <w:trHeight w:val="27"/>
        </w:trPr>
        <w:tc>
          <w:tcPr>
            <w:tcW w:w="1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i w:val="1"/>
                <w:iCs w:val="1"/>
                <w:color w:val="auto"/>
                <w:w w:val="91"/>
              </w:rPr>
              <w:t>(Dollars 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4,137</w:t>
            </w: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1,129,237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1,134,414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358,283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w w:val="98"/>
              </w:rPr>
              <w:t>Commercial real estate</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843,883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846,561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and land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440,032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246,053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246,275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lines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Consumer installment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23,528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23,528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1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5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3,050,090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3,069,379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Impaired Loans</w:t>
      </w:r>
    </w:p>
    <w:p>
      <w:pPr>
        <w:spacing w:after="0" w:line="229" w:lineRule="exact"/>
        <w:rPr>
          <w:sz w:val="20"/>
          <w:szCs w:val="20"/>
          <w:color w:val="auto"/>
        </w:rPr>
      </w:pPr>
    </w:p>
    <w:p>
      <w:pPr>
        <w:ind w:left="140" w:right="80" w:firstLine="486"/>
        <w:spacing w:after="0" w:line="328" w:lineRule="auto"/>
        <w:rPr>
          <w:sz w:val="20"/>
          <w:szCs w:val="20"/>
          <w:color w:val="auto"/>
        </w:rPr>
      </w:pPr>
      <w:r>
        <w:rPr>
          <w:rFonts w:ascii="Arial" w:cs="Arial" w:eastAsia="Arial" w:hAnsi="Arial"/>
          <w:sz w:val="16"/>
          <w:szCs w:val="16"/>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troubled debt restructurings where concessions have been granted to borrowers experiencing financial difficulties. The intent of concessions is to maximize collection.</w:t>
      </w:r>
    </w:p>
    <w:p>
      <w:pPr>
        <w:spacing w:after="0" w:line="142" w:lineRule="exact"/>
        <w:rPr>
          <w:sz w:val="20"/>
          <w:szCs w:val="20"/>
          <w:color w:val="auto"/>
        </w:rPr>
      </w:pPr>
    </w:p>
    <w:p>
      <w:pPr>
        <w:ind w:left="140" w:right="640" w:firstLine="486"/>
        <w:spacing w:after="0" w:line="316" w:lineRule="auto"/>
        <w:rPr>
          <w:sz w:val="20"/>
          <w:szCs w:val="20"/>
          <w:color w:val="auto"/>
        </w:rPr>
      </w:pPr>
      <w:r>
        <w:rPr>
          <w:rFonts w:ascii="Arial" w:cs="Arial" w:eastAsia="Arial" w:hAnsi="Arial"/>
          <w:sz w:val="18"/>
          <w:szCs w:val="18"/>
          <w:color w:val="auto"/>
        </w:rPr>
        <w:t>Groups of loans with similar risk characteristics are collectively evaluated for impairment based on the group’s historical loss experience adjusted for changes in trends, conditions and other relevant factors that affect repayment of the loans.</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60" w:top="287" w:right="359" w:bottom="1440" w:gutter="0" w:footer="0" w:header="0"/>
        </w:sectPr>
      </w:pPr>
    </w:p>
    <w:bookmarkStart w:id="25" w:name="page26"/>
    <w:bookmarkEnd w:id="25"/>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following tables present impaired loans for the periods ended September 30, 2019 and December 31, 2018:</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Unpaid</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gridSpan w:val="2"/>
          </w:tcPr>
          <w:p>
            <w:pPr>
              <w:ind w:left="140"/>
              <w:spacing w:after="0"/>
              <w:rPr>
                <w:sz w:val="20"/>
                <w:szCs w:val="20"/>
                <w:color w:val="auto"/>
              </w:rPr>
            </w:pPr>
            <w:r>
              <w:rPr>
                <w:rFonts w:ascii="Arial" w:cs="Arial" w:eastAsia="Arial" w:hAnsi="Arial"/>
                <w:sz w:val="18"/>
                <w:szCs w:val="18"/>
                <w:b w:val="1"/>
                <w:bCs w:val="1"/>
                <w:color w:val="auto"/>
              </w:rPr>
              <w:t>Recorded Balance</w:t>
            </w:r>
          </w:p>
        </w:tc>
        <w:tc>
          <w:tcPr>
            <w:tcW w:w="200" w:type="dxa"/>
            <w:vAlign w:val="bottom"/>
          </w:tcPr>
          <w:p>
            <w:pPr>
              <w:spacing w:after="0"/>
              <w:rPr>
                <w:sz w:val="23"/>
                <w:szCs w:val="23"/>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Principal Balance</w:t>
            </w:r>
          </w:p>
        </w:tc>
        <w:tc>
          <w:tcPr>
            <w:tcW w:w="240" w:type="dxa"/>
            <w:vAlign w:val="bottom"/>
          </w:tcPr>
          <w:p>
            <w:pPr>
              <w:spacing w:after="0"/>
              <w:rPr>
                <w:sz w:val="23"/>
                <w:szCs w:val="23"/>
                <w:color w:val="auto"/>
              </w:rPr>
            </w:pPr>
          </w:p>
        </w:tc>
        <w:tc>
          <w:tcPr>
            <w:tcW w:w="194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Specific Allowance</w:t>
            </w:r>
          </w:p>
        </w:tc>
      </w:tr>
      <w:tr>
        <w:trPr>
          <w:trHeight w:val="27"/>
        </w:trPr>
        <w:tc>
          <w:tcPr>
            <w:tcW w:w="4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93"/>
              </w:rPr>
              <w:t>(Dollars in thousands)</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Loans without a specific valuation</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Construction and land development</w:t>
            </w:r>
          </w:p>
        </w:tc>
        <w:tc>
          <w:tcPr>
            <w:tcW w:w="26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Equity lines of credit</w:t>
            </w:r>
          </w:p>
        </w:tc>
        <w:tc>
          <w:tcPr>
            <w:tcW w:w="26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installment</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Loans with a specific valuation</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10,398</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Construction and land development</w:t>
            </w:r>
          </w:p>
        </w:tc>
        <w:tc>
          <w:tcPr>
            <w:tcW w:w="26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Equity lines of credit</w:t>
            </w:r>
          </w:p>
        </w:tc>
        <w:tc>
          <w:tcPr>
            <w:tcW w:w="26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installment</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10,398</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Construction and land development</w:t>
            </w:r>
          </w:p>
        </w:tc>
        <w:tc>
          <w:tcPr>
            <w:tcW w:w="26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Equity lines of credit</w:t>
            </w:r>
          </w:p>
        </w:tc>
        <w:tc>
          <w:tcPr>
            <w:tcW w:w="26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installment</w:t>
            </w:r>
          </w:p>
        </w:tc>
        <w:tc>
          <w:tcPr>
            <w:tcW w:w="2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95,469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11,814</w:t>
            </w:r>
          </w:p>
        </w:tc>
      </w:tr>
      <w:tr>
        <w:trPr>
          <w:trHeight w:val="27"/>
        </w:trPr>
        <w:tc>
          <w:tcPr>
            <w:tcW w:w="4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60" w:top="287" w:right="359" w:bottom="1440" w:gutter="0" w:footer="0" w:header="0"/>
        </w:sectPr>
      </w:pPr>
    </w:p>
    <w:bookmarkStart w:id="26" w:name="page27"/>
    <w:bookmarkEnd w:id="26"/>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00" w:lineRule="exact"/>
        <w:rPr>
          <w:sz w:val="20"/>
          <w:szCs w:val="20"/>
          <w:color w:val="auto"/>
        </w:rPr>
      </w:pPr>
    </w:p>
    <w:p>
      <w:pPr>
        <w:spacing w:after="0" w:line="237"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Unpaid</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gridSpan w:val="2"/>
          </w:tcPr>
          <w:p>
            <w:pPr>
              <w:ind w:left="140"/>
              <w:spacing w:after="0"/>
              <w:rPr>
                <w:sz w:val="20"/>
                <w:szCs w:val="20"/>
                <w:color w:val="auto"/>
              </w:rPr>
            </w:pPr>
            <w:r>
              <w:rPr>
                <w:rFonts w:ascii="Arial" w:cs="Arial" w:eastAsia="Arial" w:hAnsi="Arial"/>
                <w:sz w:val="18"/>
                <w:szCs w:val="18"/>
                <w:b w:val="1"/>
                <w:bCs w:val="1"/>
                <w:color w:val="auto"/>
              </w:rPr>
              <w:t>Recorded Balance</w:t>
            </w:r>
          </w:p>
        </w:tc>
        <w:tc>
          <w:tcPr>
            <w:tcW w:w="180" w:type="dxa"/>
            <w:vAlign w:val="bottom"/>
          </w:tcPr>
          <w:p>
            <w:pPr>
              <w:spacing w:after="0"/>
              <w:rPr>
                <w:sz w:val="23"/>
                <w:szCs w:val="23"/>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Principal Balance</w:t>
            </w:r>
          </w:p>
        </w:tc>
        <w:tc>
          <w:tcPr>
            <w:tcW w:w="220" w:type="dxa"/>
            <w:vAlign w:val="bottom"/>
          </w:tcPr>
          <w:p>
            <w:pPr>
              <w:spacing w:after="0"/>
              <w:rPr>
                <w:sz w:val="23"/>
                <w:szCs w:val="23"/>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Specific Allowance</w:t>
            </w: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93"/>
              </w:rPr>
              <w:t>(Dollars in thousands)</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Loans without a specific valuation</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Construction and land development</w:t>
            </w:r>
          </w:p>
        </w:tc>
        <w:tc>
          <w:tcPr>
            <w:tcW w:w="260" w:type="dxa"/>
            <w:vAlign w:val="bottom"/>
          </w:tcPr>
          <w:p>
            <w:pPr>
              <w:spacing w:after="0"/>
              <w:rPr>
                <w:sz w:val="21"/>
                <w:szCs w:val="21"/>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Equity lines of credit</w:t>
            </w:r>
          </w:p>
        </w:tc>
        <w:tc>
          <w:tcPr>
            <w:tcW w:w="260" w:type="dxa"/>
            <w:vAlign w:val="bottom"/>
          </w:tcPr>
          <w:p>
            <w:pPr>
              <w:spacing w:after="0"/>
              <w:rPr>
                <w:sz w:val="21"/>
                <w:szCs w:val="21"/>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Consumer installment</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Loans with a specific valuation</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5,814</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13,461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13,461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3,108</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Construction and land development</w:t>
            </w:r>
          </w:p>
        </w:tc>
        <w:tc>
          <w:tcPr>
            <w:tcW w:w="260" w:type="dxa"/>
            <w:vAlign w:val="bottom"/>
          </w:tcPr>
          <w:p>
            <w:pPr>
              <w:spacing w:after="0"/>
              <w:rPr>
                <w:sz w:val="21"/>
                <w:szCs w:val="21"/>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Equity lines of credit</w:t>
            </w:r>
          </w:p>
        </w:tc>
        <w:tc>
          <w:tcPr>
            <w:tcW w:w="260" w:type="dxa"/>
            <w:vAlign w:val="bottom"/>
          </w:tcPr>
          <w:p>
            <w:pPr>
              <w:spacing w:after="0"/>
              <w:rPr>
                <w:sz w:val="21"/>
                <w:szCs w:val="21"/>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Consumer installment</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5,814</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16,250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16,250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3,108</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Construction and land development</w:t>
            </w:r>
          </w:p>
        </w:tc>
        <w:tc>
          <w:tcPr>
            <w:tcW w:w="260" w:type="dxa"/>
            <w:vAlign w:val="bottom"/>
          </w:tcPr>
          <w:p>
            <w:pPr>
              <w:spacing w:after="0"/>
              <w:rPr>
                <w:sz w:val="21"/>
                <w:szCs w:val="21"/>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Equity lines of credit</w:t>
            </w:r>
          </w:p>
        </w:tc>
        <w:tc>
          <w:tcPr>
            <w:tcW w:w="260" w:type="dxa"/>
            <w:vAlign w:val="bottom"/>
          </w:tcPr>
          <w:p>
            <w:pPr>
              <w:spacing w:after="0"/>
              <w:rPr>
                <w:sz w:val="21"/>
                <w:szCs w:val="21"/>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Consumer installment</w:t>
            </w:r>
          </w:p>
        </w:tc>
        <w:tc>
          <w:tcPr>
            <w:tcW w:w="2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111,651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111,651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9,400</w:t>
            </w: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table below shows interest income recognized during the three- and nine-month periods ended September 30, 2019 and</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September 30, 2018 for impaired loans held at the end of each period: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8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580" w:type="dxa"/>
            <w:vAlign w:val="bottom"/>
          </w:tcPr>
          <w:p>
            <w:pPr>
              <w:spacing w:after="0"/>
              <w:rPr>
                <w:sz w:val="20"/>
                <w:szCs w:val="20"/>
                <w:color w:val="auto"/>
              </w:rPr>
            </w:pPr>
          </w:p>
        </w:tc>
      </w:tr>
      <w:tr>
        <w:trPr>
          <w:trHeight w:val="270"/>
        </w:trPr>
        <w:tc>
          <w:tcPr>
            <w:tcW w:w="4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94"/>
              </w:rPr>
              <w:t>September 30,</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94"/>
              </w:rPr>
              <w:t>September 30,</w:t>
            </w:r>
          </w:p>
        </w:tc>
        <w:tc>
          <w:tcPr>
            <w:tcW w:w="580" w:type="dxa"/>
            <w:vAlign w:val="bottom"/>
          </w:tcPr>
          <w:p>
            <w:pPr>
              <w:spacing w:after="0"/>
              <w:rPr>
                <w:sz w:val="23"/>
                <w:szCs w:val="23"/>
                <w:color w:val="auto"/>
              </w:rPr>
            </w:pPr>
          </w:p>
        </w:tc>
      </w:tr>
      <w:tr>
        <w:trPr>
          <w:trHeight w:val="27"/>
        </w:trPr>
        <w:tc>
          <w:tcPr>
            <w:tcW w:w="4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190"/>
              <w:spacing w:after="0"/>
              <w:rPr>
                <w:sz w:val="20"/>
                <w:szCs w:val="20"/>
                <w:color w:val="auto"/>
              </w:rPr>
            </w:pPr>
            <w:r>
              <w:rPr>
                <w:rFonts w:ascii="Arial" w:cs="Arial" w:eastAsia="Arial" w:hAnsi="Arial"/>
                <w:sz w:val="18"/>
                <w:szCs w:val="18"/>
                <w:i w:val="1"/>
                <w:iCs w:val="1"/>
                <w:color w:val="auto"/>
              </w:rPr>
              <w:t>(Dollars in thousands)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1,110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Energy</w:t>
            </w:r>
          </w:p>
        </w:tc>
        <w:tc>
          <w:tcPr>
            <w:tcW w:w="10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369</w:t>
            </w:r>
          </w:p>
        </w:tc>
      </w:tr>
      <w:tr>
        <w:trPr>
          <w:trHeight w:val="27"/>
        </w:trPr>
        <w:tc>
          <w:tcPr>
            <w:tcW w:w="4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real estate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Construction and land development</w:t>
            </w:r>
          </w:p>
        </w:tc>
        <w:tc>
          <w:tcPr>
            <w:tcW w:w="10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real estate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Equity lines of credit</w:t>
            </w:r>
          </w:p>
        </w:tc>
        <w:tc>
          <w:tcPr>
            <w:tcW w:w="10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installment</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Total interest income recognized</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1,816</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1,822</w:t>
            </w:r>
          </w:p>
        </w:tc>
      </w:tr>
      <w:tr>
        <w:trPr>
          <w:trHeight w:val="20"/>
        </w:trPr>
        <w:tc>
          <w:tcPr>
            <w:tcW w:w="4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2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80"/>
          </w:cols>
          <w:pgMar w:left="360" w:top="287" w:right="359" w:bottom="1440" w:gutter="0" w:footer="0" w:header="0"/>
          <w:type w:val="continuous"/>
        </w:sectPr>
      </w:pPr>
    </w:p>
    <w:bookmarkStart w:id="27" w:name="page28"/>
    <w:bookmarkEnd w:id="27"/>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331" w:lineRule="exact"/>
        <w:rPr>
          <w:sz w:val="20"/>
          <w:szCs w:val="20"/>
          <w:color w:val="auto"/>
        </w:rPr>
      </w:pPr>
    </w:p>
    <w:p>
      <w:pPr>
        <w:ind w:left="140" w:right="240" w:firstLine="486"/>
        <w:spacing w:after="0" w:line="260" w:lineRule="auto"/>
        <w:rPr>
          <w:sz w:val="20"/>
          <w:szCs w:val="20"/>
          <w:color w:val="auto"/>
        </w:rPr>
      </w:pPr>
      <w:r>
        <w:rPr>
          <w:rFonts w:ascii="Arial" w:cs="Arial" w:eastAsia="Arial" w:hAnsi="Arial"/>
          <w:sz w:val="20"/>
          <w:szCs w:val="20"/>
          <w:color w:val="auto"/>
        </w:rPr>
        <w:t>The table below shows the average balance of impaired loans during the three- and nine-month periods ended September 30, 2019 and September 30, 2018 by loan category for impaired loans held at the end of each period:</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760" w:type="dxa"/>
            <w:vAlign w:val="bottom"/>
            <w:gridSpan w:val="4"/>
          </w:tcPr>
          <w:p>
            <w:pPr>
              <w:jc w:val="right"/>
              <w:ind w:right="172"/>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Nine months ended</w:t>
            </w:r>
          </w:p>
        </w:tc>
        <w:tc>
          <w:tcPr>
            <w:tcW w:w="760" w:type="dxa"/>
            <w:vAlign w:val="bottom"/>
          </w:tcPr>
          <w:p>
            <w:pPr>
              <w:spacing w:after="0"/>
              <w:rPr>
                <w:sz w:val="20"/>
                <w:szCs w:val="20"/>
                <w:color w:val="auto"/>
              </w:rPr>
            </w:pPr>
          </w:p>
        </w:tc>
      </w:tr>
      <w:tr>
        <w:trPr>
          <w:trHeight w:val="270"/>
        </w:trPr>
        <w:tc>
          <w:tcPr>
            <w:tcW w:w="4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4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w w:val="99"/>
              </w:rPr>
              <w:t>September 30,</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23"/>
                <w:szCs w:val="23"/>
                <w:color w:val="auto"/>
              </w:rPr>
            </w:pP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gridSpan w:val="6"/>
          </w:tcPr>
          <w:p>
            <w:pPr>
              <w:ind w:left="980"/>
              <w:spacing w:after="0"/>
              <w:rPr>
                <w:sz w:val="20"/>
                <w:szCs w:val="20"/>
                <w:color w:val="auto"/>
              </w:rPr>
            </w:pPr>
            <w:r>
              <w:rPr>
                <w:rFonts w:ascii="Arial" w:cs="Arial" w:eastAsia="Arial" w:hAnsi="Arial"/>
                <w:sz w:val="16"/>
                <w:szCs w:val="16"/>
                <w:i w:val="1"/>
                <w:iCs w:val="1"/>
                <w:color w:val="auto"/>
              </w:rPr>
              <w:t>(Dollars in thousands)</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54,410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27,671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26,849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Energy</w:t>
            </w:r>
          </w:p>
        </w:tc>
        <w:tc>
          <w:tcPr>
            <w:tcW w:w="10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13,623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17,683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15,091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18,992</w:t>
            </w:r>
          </w:p>
        </w:tc>
      </w:tr>
      <w:tr>
        <w:trPr>
          <w:trHeight w:val="27"/>
        </w:trPr>
        <w:tc>
          <w:tcPr>
            <w:tcW w:w="4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real estate</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16,690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Construction and land development</w:t>
            </w:r>
          </w:p>
        </w:tc>
        <w:tc>
          <w:tcPr>
            <w:tcW w:w="102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real estate</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Equity lines of credit</w:t>
            </w:r>
          </w:p>
        </w:tc>
        <w:tc>
          <w:tcPr>
            <w:tcW w:w="102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installment</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20" w:type="dxa"/>
            <w:vAlign w:val="bottom"/>
          </w:tcPr>
          <w:p>
            <w:pPr>
              <w:ind w:left="160"/>
              <w:spacing w:after="0"/>
              <w:rPr>
                <w:sz w:val="20"/>
                <w:szCs w:val="20"/>
                <w:color w:val="auto"/>
              </w:rPr>
            </w:pPr>
            <w:r>
              <w:rPr>
                <w:rFonts w:ascii="Arial" w:cs="Arial" w:eastAsia="Arial" w:hAnsi="Arial"/>
                <w:sz w:val="18"/>
                <w:szCs w:val="18"/>
                <w:color w:val="auto"/>
              </w:rPr>
              <w:t>Total average impaired loans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87,261</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55,455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83,238</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56,001</w:t>
            </w:r>
          </w:p>
        </w:tc>
      </w:tr>
      <w:tr>
        <w:trPr>
          <w:trHeight w:val="20"/>
        </w:trPr>
        <w:tc>
          <w:tcPr>
            <w:tcW w:w="4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Non-accrual Loans</w:t>
      </w:r>
    </w:p>
    <w:p>
      <w:pPr>
        <w:spacing w:after="0" w:line="229" w:lineRule="exact"/>
        <w:rPr>
          <w:sz w:val="20"/>
          <w:szCs w:val="20"/>
          <w:color w:val="auto"/>
        </w:rPr>
      </w:pPr>
    </w:p>
    <w:p>
      <w:pPr>
        <w:ind w:left="140" w:right="80" w:firstLine="486"/>
        <w:spacing w:after="0" w:line="246" w:lineRule="auto"/>
        <w:rPr>
          <w:sz w:val="20"/>
          <w:szCs w:val="20"/>
          <w:color w:val="auto"/>
        </w:rPr>
      </w:pPr>
      <w:r>
        <w:rPr>
          <w:rFonts w:ascii="Arial" w:cs="Arial" w:eastAsia="Arial" w:hAnsi="Arial"/>
          <w:sz w:val="20"/>
          <w:szCs w:val="20"/>
          <w:color w:val="auto"/>
        </w:rPr>
        <w:t>Nonperforming loans are loans for which the Company does not record interest income. The accrual of interest on mortgage and commercial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w:t>
      </w:r>
    </w:p>
    <w:p>
      <w:pPr>
        <w:spacing w:after="0" w:line="137" w:lineRule="exact"/>
        <w:rPr>
          <w:sz w:val="20"/>
          <w:szCs w:val="20"/>
          <w:color w:val="auto"/>
        </w:rPr>
      </w:pPr>
    </w:p>
    <w:p>
      <w:pPr>
        <w:ind w:left="140" w:right="20" w:firstLine="486"/>
        <w:spacing w:after="0" w:line="282" w:lineRule="auto"/>
        <w:rPr>
          <w:sz w:val="20"/>
          <w:szCs w:val="20"/>
          <w:color w:val="auto"/>
        </w:rPr>
      </w:pPr>
      <w:r>
        <w:rPr>
          <w:rFonts w:ascii="Arial" w:cs="Arial" w:eastAsia="Arial" w:hAnsi="Arial"/>
          <w:sz w:val="18"/>
          <w:szCs w:val="18"/>
          <w:color w:val="auto"/>
        </w:rPr>
        <w:t>All interest accrued but not collected for loans that are placed on non-accrual or charged 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 The following table presents the Company’s non-accrual loans at September 30, 2019 and December 31, 2018:</w:t>
      </w:r>
    </w:p>
    <w:p>
      <w:pPr>
        <w:spacing w:after="0" w:line="101"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gridSpan w:val="2"/>
          </w:tcPr>
          <w:p>
            <w:pPr>
              <w:ind w:left="40"/>
              <w:spacing w:after="0"/>
              <w:rPr>
                <w:sz w:val="20"/>
                <w:szCs w:val="20"/>
                <w:color w:val="auto"/>
              </w:rPr>
            </w:pPr>
            <w:r>
              <w:rPr>
                <w:rFonts w:ascii="Arial" w:cs="Arial" w:eastAsia="Arial" w:hAnsi="Arial"/>
                <w:sz w:val="20"/>
                <w:szCs w:val="20"/>
                <w:b w:val="1"/>
                <w:bCs w:val="1"/>
                <w:color w:val="auto"/>
              </w:rPr>
              <w:t>September 30, 2019</w:t>
            </w:r>
          </w:p>
        </w:tc>
        <w:tc>
          <w:tcPr>
            <w:tcW w:w="180" w:type="dxa"/>
            <w:vAlign w:val="bottom"/>
          </w:tcPr>
          <w:p>
            <w:pPr>
              <w:spacing w:after="0"/>
              <w:rPr>
                <w:sz w:val="22"/>
                <w:szCs w:val="22"/>
                <w:color w:val="auto"/>
              </w:rPr>
            </w:pPr>
          </w:p>
        </w:tc>
        <w:tc>
          <w:tcPr>
            <w:tcW w:w="1900" w:type="dxa"/>
            <w:vAlign w:val="bottom"/>
          </w:tcPr>
          <w:p>
            <w:pPr>
              <w:jc w:val="right"/>
              <w:ind w:right="141"/>
              <w:spacing w:after="0"/>
              <w:rPr>
                <w:sz w:val="20"/>
                <w:szCs w:val="20"/>
                <w:color w:val="auto"/>
              </w:rPr>
            </w:pPr>
            <w:r>
              <w:rPr>
                <w:rFonts w:ascii="Arial" w:cs="Arial" w:eastAsia="Arial" w:hAnsi="Arial"/>
                <w:sz w:val="20"/>
                <w:szCs w:val="20"/>
                <w:b w:val="1"/>
                <w:bCs w:val="1"/>
                <w:color w:val="auto"/>
                <w:w w:val="91"/>
              </w:rPr>
              <w:t>December 31, 2018</w:t>
            </w:r>
          </w:p>
        </w:tc>
      </w:tr>
      <w:tr>
        <w:trPr>
          <w:trHeight w:val="23"/>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4"/>
          </w:tcPr>
          <w:p>
            <w:pPr>
              <w:spacing w:after="0"/>
              <w:rPr>
                <w:sz w:val="2"/>
                <w:szCs w:val="2"/>
                <w:color w:val="auto"/>
              </w:rPr>
            </w:pPr>
          </w:p>
        </w:tc>
      </w:tr>
      <w:tr>
        <w:trPr>
          <w:trHeight w:val="217"/>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4"/>
          </w:tcPr>
          <w:p>
            <w:pPr>
              <w:jc w:val="right"/>
              <w:ind w:right="1281"/>
              <w:spacing w:after="0"/>
              <w:rPr>
                <w:sz w:val="20"/>
                <w:szCs w:val="20"/>
                <w:color w:val="auto"/>
              </w:rPr>
            </w:pPr>
            <w:r>
              <w:rPr>
                <w:rFonts w:ascii="Arial" w:cs="Arial" w:eastAsia="Arial" w:hAnsi="Arial"/>
                <w:sz w:val="16"/>
                <w:szCs w:val="16"/>
                <w:i w:val="1"/>
                <w:iCs w:val="1"/>
                <w:color w:val="auto"/>
              </w:rPr>
              <w:t>(Dollars in thousands)</w:t>
            </w:r>
          </w:p>
        </w:tc>
      </w:tr>
      <w:tr>
        <w:trPr>
          <w:trHeight w:val="294"/>
        </w:trPr>
        <w:tc>
          <w:tcPr>
            <w:tcW w:w="6600" w:type="dxa"/>
            <w:vAlign w:val="bottom"/>
          </w:tcPr>
          <w:p>
            <w:pPr>
              <w:ind w:left="20"/>
              <w:spacing w:after="0"/>
              <w:rPr>
                <w:sz w:val="20"/>
                <w:szCs w:val="20"/>
                <w:color w:val="auto"/>
              </w:rPr>
            </w:pPr>
            <w:r>
              <w:rPr>
                <w:rFonts w:ascii="Arial" w:cs="Arial" w:eastAsia="Arial" w:hAnsi="Arial"/>
                <w:sz w:val="20"/>
                <w:szCs w:val="20"/>
                <w:color w:val="auto"/>
              </w:rPr>
              <w:t>Commercial</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920" w:type="dxa"/>
            <w:vAlign w:val="bottom"/>
          </w:tcPr>
          <w:p>
            <w:pPr>
              <w:jc w:val="right"/>
              <w:ind w:right="23"/>
              <w:spacing w:after="0"/>
              <w:rPr>
                <w:sz w:val="20"/>
                <w:szCs w:val="20"/>
                <w:color w:val="auto"/>
              </w:rPr>
            </w:pPr>
            <w:r>
              <w:rPr>
                <w:rFonts w:ascii="Arial" w:cs="Arial" w:eastAsia="Arial" w:hAnsi="Arial"/>
                <w:sz w:val="20"/>
                <w:szCs w:val="20"/>
                <w:color w:val="auto"/>
              </w:rPr>
              <w:t>34,201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900" w:type="dxa"/>
            <w:vAlign w:val="bottom"/>
          </w:tcPr>
          <w:p>
            <w:pPr>
              <w:jc w:val="right"/>
              <w:ind w:right="1"/>
              <w:spacing w:after="0"/>
              <w:rPr>
                <w:sz w:val="20"/>
                <w:szCs w:val="20"/>
                <w:color w:val="auto"/>
              </w:rPr>
            </w:pPr>
            <w:r>
              <w:rPr>
                <w:rFonts w:ascii="Arial" w:cs="Arial" w:eastAsia="Arial" w:hAnsi="Arial"/>
                <w:sz w:val="20"/>
                <w:szCs w:val="20"/>
                <w:color w:val="auto"/>
              </w:rPr>
              <w:t>4,781</w:t>
            </w:r>
          </w:p>
        </w:tc>
      </w:tr>
      <w:tr>
        <w:trPr>
          <w:trHeight w:val="23"/>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Energy</w:t>
            </w:r>
          </w:p>
        </w:tc>
        <w:tc>
          <w:tcPr>
            <w:tcW w:w="1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4,677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9,219</w:t>
            </w:r>
          </w:p>
        </w:tc>
      </w:tr>
      <w:tr>
        <w:trPr>
          <w:trHeight w:val="260"/>
        </w:trPr>
        <w:tc>
          <w:tcPr>
            <w:tcW w:w="6600" w:type="dxa"/>
            <w:vAlign w:val="bottom"/>
          </w:tcPr>
          <w:p>
            <w:pPr>
              <w:ind w:left="20"/>
              <w:spacing w:after="0"/>
              <w:rPr>
                <w:sz w:val="20"/>
                <w:szCs w:val="20"/>
                <w:color w:val="auto"/>
              </w:rPr>
            </w:pPr>
            <w:r>
              <w:rPr>
                <w:rFonts w:ascii="Arial" w:cs="Arial" w:eastAsia="Arial" w:hAnsi="Arial"/>
                <w:sz w:val="20"/>
                <w:szCs w:val="20"/>
                <w:color w:val="auto"/>
              </w:rPr>
              <w:t>Commercial real estate</w:t>
            </w:r>
          </w:p>
        </w:tc>
        <w:tc>
          <w:tcPr>
            <w:tcW w:w="160" w:type="dxa"/>
            <w:vAlign w:val="bottom"/>
          </w:tcPr>
          <w:p>
            <w:pPr>
              <w:spacing w:after="0"/>
              <w:rPr>
                <w:sz w:val="22"/>
                <w:szCs w:val="22"/>
                <w:color w:val="auto"/>
              </w:rPr>
            </w:pPr>
          </w:p>
        </w:tc>
        <w:tc>
          <w:tcPr>
            <w:tcW w:w="1920" w:type="dxa"/>
            <w:vAlign w:val="bottom"/>
          </w:tcPr>
          <w:p>
            <w:pPr>
              <w:jc w:val="right"/>
              <w:ind w:right="23"/>
              <w:spacing w:after="0"/>
              <w:rPr>
                <w:sz w:val="20"/>
                <w:szCs w:val="20"/>
                <w:color w:val="auto"/>
              </w:rPr>
            </w:pPr>
            <w:r>
              <w:rPr>
                <w:rFonts w:ascii="Arial" w:cs="Arial" w:eastAsia="Arial" w:hAnsi="Arial"/>
                <w:sz w:val="20"/>
                <w:szCs w:val="20"/>
                <w:color w:val="auto"/>
              </w:rPr>
              <w:t>2,680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tcPr>
          <w:p>
            <w:pPr>
              <w:jc w:val="right"/>
              <w:ind w:right="1"/>
              <w:spacing w:after="0"/>
              <w:rPr>
                <w:sz w:val="20"/>
                <w:szCs w:val="20"/>
                <w:color w:val="auto"/>
              </w:rPr>
            </w:pPr>
            <w:r>
              <w:rPr>
                <w:rFonts w:ascii="Arial" w:cs="Arial" w:eastAsia="Arial" w:hAnsi="Arial"/>
                <w:sz w:val="20"/>
                <w:szCs w:val="20"/>
                <w:color w:val="auto"/>
              </w:rPr>
              <w:t>3,517</w:t>
            </w:r>
          </w:p>
        </w:tc>
      </w:tr>
      <w:tr>
        <w:trPr>
          <w:trHeight w:val="23"/>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Construction and land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0"/>
        </w:trPr>
        <w:tc>
          <w:tcPr>
            <w:tcW w:w="6600" w:type="dxa"/>
            <w:vAlign w:val="bottom"/>
          </w:tcPr>
          <w:p>
            <w:pPr>
              <w:ind w:left="20"/>
              <w:spacing w:after="0"/>
              <w:rPr>
                <w:sz w:val="20"/>
                <w:szCs w:val="20"/>
                <w:color w:val="auto"/>
              </w:rPr>
            </w:pPr>
            <w:r>
              <w:rPr>
                <w:rFonts w:ascii="Arial" w:cs="Arial" w:eastAsia="Arial" w:hAnsi="Arial"/>
                <w:sz w:val="20"/>
                <w:szCs w:val="20"/>
                <w:color w:val="auto"/>
              </w:rPr>
              <w:t>Residential real estate</w:t>
            </w:r>
          </w:p>
        </w:tc>
        <w:tc>
          <w:tcPr>
            <w:tcW w:w="160" w:type="dxa"/>
            <w:vAlign w:val="bottom"/>
          </w:tcPr>
          <w:p>
            <w:pPr>
              <w:spacing w:after="0"/>
              <w:rPr>
                <w:sz w:val="22"/>
                <w:szCs w:val="22"/>
                <w:color w:val="auto"/>
              </w:rPr>
            </w:pPr>
          </w:p>
        </w:tc>
        <w:tc>
          <w:tcPr>
            <w:tcW w:w="1920" w:type="dxa"/>
            <w:vAlign w:val="bottom"/>
          </w:tcPr>
          <w:p>
            <w:pPr>
              <w:jc w:val="right"/>
              <w:ind w:right="23"/>
              <w:spacing w:after="0"/>
              <w:rPr>
                <w:sz w:val="20"/>
                <w:szCs w:val="20"/>
                <w:color w:val="auto"/>
              </w:rPr>
            </w:pPr>
            <w:r>
              <w:rPr>
                <w:rFonts w:ascii="Arial" w:cs="Arial" w:eastAsia="Arial" w:hAnsi="Arial"/>
                <w:sz w:val="20"/>
                <w:szCs w:val="20"/>
                <w:color w:val="auto"/>
              </w:rPr>
              <w:t>2,068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tcPr>
          <w:p>
            <w:pPr>
              <w:jc w:val="right"/>
              <w:ind w:right="1"/>
              <w:spacing w:after="0"/>
              <w:rPr>
                <w:sz w:val="20"/>
                <w:szCs w:val="20"/>
                <w:color w:val="auto"/>
              </w:rPr>
            </w:pPr>
            <w:r>
              <w:rPr>
                <w:rFonts w:ascii="Arial" w:cs="Arial" w:eastAsia="Arial" w:hAnsi="Arial"/>
                <w:sz w:val="20"/>
                <w:szCs w:val="20"/>
                <w:color w:val="auto"/>
              </w:rPr>
              <w:t>301</w:t>
            </w:r>
          </w:p>
        </w:tc>
      </w:tr>
      <w:tr>
        <w:trPr>
          <w:trHeight w:val="23"/>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Equity lines of credit</w:t>
            </w:r>
          </w:p>
        </w:tc>
        <w:tc>
          <w:tcPr>
            <w:tcW w:w="1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0"/>
        </w:trPr>
        <w:tc>
          <w:tcPr>
            <w:tcW w:w="6600" w:type="dxa"/>
            <w:vAlign w:val="bottom"/>
          </w:tcPr>
          <w:p>
            <w:pPr>
              <w:ind w:left="20"/>
              <w:spacing w:after="0"/>
              <w:rPr>
                <w:sz w:val="20"/>
                <w:szCs w:val="20"/>
                <w:color w:val="auto"/>
              </w:rPr>
            </w:pPr>
            <w:r>
              <w:rPr>
                <w:rFonts w:ascii="Arial" w:cs="Arial" w:eastAsia="Arial" w:hAnsi="Arial"/>
                <w:sz w:val="20"/>
                <w:szCs w:val="20"/>
                <w:color w:val="auto"/>
              </w:rPr>
              <w:t>Consumer installment</w:t>
            </w:r>
          </w:p>
        </w:tc>
        <w:tc>
          <w:tcPr>
            <w:tcW w:w="160" w:type="dxa"/>
            <w:vAlign w:val="bottom"/>
          </w:tcPr>
          <w:p>
            <w:pPr>
              <w:spacing w:after="0"/>
              <w:rPr>
                <w:sz w:val="22"/>
                <w:szCs w:val="22"/>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90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72"/>
        </w:trPr>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Total non-accrual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43,626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17,818</w:t>
            </w: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Troubled Debt Restructurings</w:t>
      </w:r>
    </w:p>
    <w:p>
      <w:pPr>
        <w:spacing w:after="0" w:line="229" w:lineRule="exact"/>
        <w:rPr>
          <w:sz w:val="20"/>
          <w:szCs w:val="20"/>
          <w:color w:val="auto"/>
        </w:rPr>
      </w:pPr>
    </w:p>
    <w:p>
      <w:pPr>
        <w:ind w:left="140" w:right="720" w:firstLine="486"/>
        <w:spacing w:after="0" w:line="250" w:lineRule="auto"/>
        <w:rPr>
          <w:sz w:val="20"/>
          <w:szCs w:val="20"/>
          <w:color w:val="auto"/>
        </w:rPr>
      </w:pPr>
      <w:r>
        <w:rPr>
          <w:rFonts w:ascii="Arial" w:cs="Arial" w:eastAsia="Arial" w:hAnsi="Arial"/>
          <w:sz w:val="20"/>
          <w:szCs w:val="20"/>
          <w:color w:val="auto"/>
        </w:rPr>
        <w:t>Restructured loans are those extended to borrowers who are experiencing financial difficulty and who have been granted a concession. The modification of terms typically includes the extension of maturity, reduction or deferment of monthly payment, or reduction of the stated interest rate.</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60" w:top="287" w:right="359" w:bottom="1440" w:gutter="0" w:footer="0" w:header="0"/>
        </w:sectPr>
      </w:pPr>
    </w:p>
    <w:bookmarkStart w:id="28" w:name="page29"/>
    <w:bookmarkEnd w:id="28"/>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140" w:right="320" w:firstLine="486"/>
        <w:spacing w:after="0" w:line="260" w:lineRule="auto"/>
        <w:rPr>
          <w:sz w:val="20"/>
          <w:szCs w:val="20"/>
          <w:color w:val="auto"/>
        </w:rPr>
      </w:pPr>
      <w:r>
        <w:rPr>
          <w:rFonts w:ascii="Arial" w:cs="Arial" w:eastAsia="Arial" w:hAnsi="Arial"/>
          <w:sz w:val="20"/>
          <w:szCs w:val="20"/>
          <w:color w:val="auto"/>
        </w:rPr>
        <w:t>The table below presents loans restructured during the three- and nine-months ended September 30, 2019 and 2018, including the post-modification outstanding balance and the type of concession made:</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5"/>
          </w:tcPr>
          <w:p>
            <w:pPr>
              <w:ind w:left="9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366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3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60" w:type="dxa"/>
            <w:vAlign w:val="bottom"/>
          </w:tcPr>
          <w:p>
            <w:pPr>
              <w:spacing w:after="0"/>
              <w:rPr>
                <w:sz w:val="20"/>
                <w:szCs w:val="20"/>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 2018</w:t>
            </w:r>
          </w:p>
        </w:tc>
      </w:tr>
      <w:tr>
        <w:trPr>
          <w:trHeight w:val="27"/>
        </w:trPr>
        <w:tc>
          <w:tcPr>
            <w:tcW w:w="3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5"/>
          </w:tcPr>
          <w:p>
            <w:pPr>
              <w:ind w:left="960"/>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 Deferred payment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Reduction of monthly payment</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 Extension of maturity date</w:t>
            </w:r>
          </w:p>
        </w:tc>
        <w:tc>
          <w:tcPr>
            <w:tcW w:w="14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30,005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300</w:t>
            </w: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Energy</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 Reduction of monthly payment</w:t>
            </w:r>
          </w:p>
        </w:tc>
        <w:tc>
          <w:tcPr>
            <w:tcW w:w="14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2,972</w:t>
            </w: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 real estate</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 Reduction of monthly payment</w:t>
            </w:r>
          </w:p>
        </w:tc>
        <w:tc>
          <w:tcPr>
            <w:tcW w:w="14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Interest rate reduction</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2,256</w:t>
            </w:r>
          </w:p>
        </w:tc>
      </w:tr>
      <w:tr>
        <w:trPr>
          <w:trHeight w:val="257"/>
        </w:trPr>
        <w:tc>
          <w:tcPr>
            <w:tcW w:w="3160" w:type="dxa"/>
            <w:vAlign w:val="bottom"/>
          </w:tcPr>
          <w:p>
            <w:pPr>
              <w:ind w:left="180"/>
              <w:spacing w:after="0"/>
              <w:rPr>
                <w:sz w:val="20"/>
                <w:szCs w:val="20"/>
                <w:color w:val="auto"/>
              </w:rPr>
            </w:pPr>
            <w:r>
              <w:rPr>
                <w:rFonts w:ascii="Arial" w:cs="Arial" w:eastAsia="Arial" w:hAnsi="Arial"/>
                <w:sz w:val="18"/>
                <w:szCs w:val="18"/>
                <w:color w:val="auto"/>
              </w:rPr>
              <w:t>Total troubled debt restructurings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5,589</w:t>
            </w: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left="140" w:right="160" w:firstLine="486"/>
        <w:spacing w:after="0" w:line="278" w:lineRule="auto"/>
        <w:rPr>
          <w:sz w:val="20"/>
          <w:szCs w:val="20"/>
          <w:color w:val="auto"/>
        </w:rPr>
      </w:pPr>
      <w:r>
        <w:rPr>
          <w:rFonts w:ascii="Arial" w:cs="Arial" w:eastAsia="Arial" w:hAnsi="Arial"/>
          <w:sz w:val="18"/>
          <w:szCs w:val="18"/>
          <w:color w:val="auto"/>
        </w:rPr>
        <w:t>As of September 30, 2019 and December 31, 2018, the Company had $896 thousand and $0, respectively, in commitments to borrowers whose terms have been modified in troubled debt restructurings. As of September 30, 2019, the modifications related to the troubled debt restructurings above did not impact the allowance for loan losses because the loans were previously impaired and evaluated on an individual basis or enough collateral was obtained to provide an additional commitment. The restructured loans had a total specific valuation allowance of $8.8 million and $2.4 million as of September 30, 2019 and December 31, 2018, respectively.</w:t>
      </w:r>
    </w:p>
    <w:p>
      <w:pPr>
        <w:spacing w:after="0" w:line="111" w:lineRule="exact"/>
        <w:rPr>
          <w:sz w:val="20"/>
          <w:szCs w:val="20"/>
          <w:color w:val="auto"/>
        </w:rPr>
      </w:pPr>
    </w:p>
    <w:p>
      <w:pPr>
        <w:ind w:left="140" w:right="80" w:firstLine="486"/>
        <w:spacing w:after="0" w:line="385" w:lineRule="auto"/>
        <w:rPr>
          <w:sz w:val="20"/>
          <w:szCs w:val="20"/>
          <w:color w:val="auto"/>
        </w:rPr>
      </w:pPr>
      <w:r>
        <w:rPr>
          <w:rFonts w:ascii="Arial" w:cs="Arial" w:eastAsia="Arial" w:hAnsi="Arial"/>
          <w:sz w:val="16"/>
          <w:szCs w:val="16"/>
          <w:color w:val="auto"/>
        </w:rPr>
        <w:t>The balance of restructured loans is provided below as of September 30, 2019 and December 31, 2018. In addition, the balance of those loans that are in default at any time during the past twelve months at September 30, 2019 and December 31, 2018 is provided below:</w:t>
      </w:r>
    </w:p>
    <w:p>
      <w:pPr>
        <w:spacing w:after="0" w:line="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ind w:left="60"/>
              <w:spacing w:after="0"/>
              <w:rPr>
                <w:sz w:val="20"/>
                <w:szCs w:val="20"/>
                <w:color w:val="auto"/>
              </w:rPr>
            </w:pPr>
            <w:r>
              <w:rPr>
                <w:rFonts w:ascii="Arial" w:cs="Arial" w:eastAsia="Arial" w:hAnsi="Arial"/>
                <w:sz w:val="18"/>
                <w:szCs w:val="18"/>
                <w:b w:val="1"/>
                <w:bCs w:val="1"/>
                <w:color w:val="auto"/>
              </w:rPr>
              <w:t>September 30, 2019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2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218"/>
        </w:trPr>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Balance 90 days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Balance 90 days</w:t>
            </w:r>
          </w:p>
        </w:tc>
      </w:tr>
      <w:tr>
        <w:trPr>
          <w:trHeight w:val="216"/>
        </w:trPr>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past due at any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past due at any</w:t>
            </w:r>
          </w:p>
        </w:tc>
      </w:tr>
      <w:tr>
        <w:trPr>
          <w:trHeight w:val="216"/>
        </w:trPr>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time during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time during</w:t>
            </w:r>
          </w:p>
        </w:tc>
      </w:tr>
      <w:tr>
        <w:trPr>
          <w:trHeight w:val="216"/>
        </w:trPr>
        <w:tc>
          <w:tcPr>
            <w:tcW w:w="29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Outstanding</w:t>
            </w: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previous 12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Outstanding</w:t>
            </w:r>
          </w:p>
        </w:tc>
        <w:tc>
          <w:tcPr>
            <w:tcW w:w="20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previous 12</w:t>
            </w:r>
          </w:p>
        </w:tc>
      </w:tr>
      <w:tr>
        <w:trPr>
          <w:trHeight w:val="261"/>
        </w:trPr>
        <w:tc>
          <w:tcPr>
            <w:tcW w:w="2940" w:type="dxa"/>
            <w:vAlign w:val="bottom"/>
          </w:tcPr>
          <w:p>
            <w:pPr>
              <w:spacing w:after="0"/>
              <w:rPr>
                <w:sz w:val="22"/>
                <w:szCs w:val="22"/>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of Loans</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Balance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20"/>
              <w:spacing w:after="0" w:line="262" w:lineRule="exact"/>
              <w:rPr>
                <w:sz w:val="20"/>
                <w:szCs w:val="20"/>
                <w:color w:val="auto"/>
              </w:rPr>
            </w:pPr>
            <w:r>
              <w:rPr>
                <w:rFonts w:ascii="Arial" w:cs="Arial" w:eastAsia="Arial" w:hAnsi="Arial"/>
                <w:sz w:val="18"/>
                <w:szCs w:val="18"/>
                <w:b w:val="1"/>
                <w:bCs w:val="1"/>
                <w:color w:val="auto"/>
                <w:w w:val="84"/>
              </w:rPr>
              <w:t>months</w:t>
            </w:r>
            <w:r>
              <w:rPr>
                <w:rFonts w:ascii="Arial" w:cs="Arial" w:eastAsia="Arial" w:hAnsi="Arial"/>
                <w:sz w:val="25"/>
                <w:szCs w:val="25"/>
                <w:b w:val="1"/>
                <w:bCs w:val="1"/>
                <w:color w:val="auto"/>
                <w:w w:val="84"/>
                <w:vertAlign w:val="superscript"/>
              </w:rPr>
              <w:t>(1)</w:t>
            </w: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8"/>
              </w:rPr>
              <w:t>of Loans</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Balance</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4"/>
              </w:rPr>
              <w:t>months</w:t>
            </w:r>
            <w:r>
              <w:rPr>
                <w:rFonts w:ascii="Arial" w:cs="Arial" w:eastAsia="Arial" w:hAnsi="Arial"/>
                <w:sz w:val="25"/>
                <w:szCs w:val="25"/>
                <w:b w:val="1"/>
                <w:bCs w:val="1"/>
                <w:color w:val="auto"/>
                <w:w w:val="84"/>
                <w:vertAlign w:val="superscript"/>
              </w:rPr>
              <w:t>(1)</w:t>
            </w:r>
          </w:p>
        </w:tc>
      </w:tr>
      <w:tr>
        <w:trPr>
          <w:trHeight w:val="237"/>
        </w:trPr>
        <w:tc>
          <w:tcPr>
            <w:tcW w:w="2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4"/>
          </w:tcPr>
          <w:p>
            <w:pPr>
              <w:jc w:val="right"/>
              <w:ind w:right="2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36,865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2,969</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3,631</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4,947</w:t>
            </w:r>
          </w:p>
        </w:tc>
        <w:tc>
          <w:tcPr>
            <w:tcW w:w="200" w:type="dxa"/>
            <w:vAlign w:val="bottom"/>
          </w:tcPr>
          <w:p>
            <w:pPr>
              <w:spacing w:after="0"/>
              <w:rPr>
                <w:sz w:val="21"/>
                <w:szCs w:val="21"/>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8"/>
              </w:rPr>
              <w:t>Construction and land development</w:t>
            </w:r>
          </w:p>
        </w:tc>
        <w:tc>
          <w:tcPr>
            <w:tcW w:w="10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140"/>
              <w:spacing w:after="0"/>
              <w:rPr>
                <w:sz w:val="20"/>
                <w:szCs w:val="20"/>
                <w:color w:val="auto"/>
              </w:rPr>
            </w:pPr>
            <w:r>
              <w:rPr>
                <w:rFonts w:ascii="Arial" w:cs="Arial" w:eastAsia="Arial" w:hAnsi="Arial"/>
                <w:sz w:val="18"/>
                <w:szCs w:val="18"/>
                <w:color w:val="auto"/>
              </w:rPr>
              <w:t>Residential real estate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lines of credit</w:t>
            </w:r>
          </w:p>
        </w:tc>
        <w:tc>
          <w:tcPr>
            <w:tcW w:w="10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140"/>
              <w:spacing w:after="0"/>
              <w:rPr>
                <w:sz w:val="20"/>
                <w:szCs w:val="20"/>
                <w:color w:val="auto"/>
              </w:rPr>
            </w:pPr>
            <w:r>
              <w:rPr>
                <w:rFonts w:ascii="Arial" w:cs="Arial" w:eastAsia="Arial" w:hAnsi="Arial"/>
                <w:sz w:val="18"/>
                <w:szCs w:val="18"/>
                <w:color w:val="auto"/>
              </w:rPr>
              <w:t>Consumer installment</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restructured loans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44,781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0"/>
        </w:trPr>
        <w:tc>
          <w:tcPr>
            <w:tcW w:w="29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ind w:left="420" w:hanging="189"/>
        <w:spacing w:after="0" w:line="220" w:lineRule="auto"/>
        <w:tabs>
          <w:tab w:leader="none" w:pos="42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Default is considered to mean 90 days or more past due as to interest or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-144780</wp:posOffset>
            </wp:positionV>
            <wp:extent cx="5057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5:</w:t>
      </w:r>
      <w:r>
        <w:rPr>
          <w:sz w:val="20"/>
          <w:szCs w:val="20"/>
          <w:color w:val="auto"/>
        </w:rPr>
        <w:tab/>
      </w:r>
      <w:r>
        <w:rPr>
          <w:rFonts w:ascii="Arial" w:cs="Arial" w:eastAsia="Arial" w:hAnsi="Arial"/>
          <w:sz w:val="19"/>
          <w:szCs w:val="19"/>
          <w:b w:val="1"/>
          <w:bCs w:val="1"/>
          <w:color w:val="auto"/>
        </w:rPr>
        <w:t>Derivatives and Hedging</w:t>
      </w:r>
    </w:p>
    <w:p>
      <w:pPr>
        <w:spacing w:after="0" w:line="217" w:lineRule="exact"/>
        <w:rPr>
          <w:sz w:val="20"/>
          <w:szCs w:val="20"/>
          <w:color w:val="auto"/>
        </w:rPr>
      </w:pPr>
    </w:p>
    <w:p>
      <w:pPr>
        <w:ind w:left="140" w:firstLine="486"/>
        <w:spacing w:after="0" w:line="246" w:lineRule="auto"/>
        <w:rPr>
          <w:sz w:val="20"/>
          <w:szCs w:val="20"/>
          <w:color w:val="auto"/>
        </w:rPr>
      </w:pPr>
      <w:r>
        <w:rPr>
          <w:rFonts w:ascii="Arial" w:cs="Arial" w:eastAsia="Arial" w:hAnsi="Arial"/>
          <w:sz w:val="20"/>
          <w:szCs w:val="20"/>
          <w:color w:val="auto"/>
        </w:rPr>
        <w:t>Derivatives not designated as hedges are not speculative and result from a service the Company provides to clients. The Company executes interest rate swaps with customers to facilitate their respective risk management strategies. Those interest rate swaps are simultaneously hedged by offsetting derivatives that the Company executes with a third party, such that the Company minimizes its net risk exposure resulting from such transactions. As the interest rate derivatives</w:t>
      </w:r>
    </w:p>
    <w:p>
      <w:pPr>
        <w:sectPr>
          <w:pgSz w:w="11900" w:h="16838" w:orient="portrait"/>
          <w:cols w:equalWidth="0" w:num="1">
            <w:col w:w="11180"/>
          </w:cols>
          <w:pgMar w:left="360" w:top="287"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80"/>
          </w:cols>
          <w:pgMar w:left="360" w:top="287" w:right="359" w:bottom="1440" w:gutter="0" w:footer="0" w:header="0"/>
          <w:type w:val="continuous"/>
        </w:sectPr>
      </w:pPr>
    </w:p>
    <w:bookmarkStart w:id="29" w:name="page30"/>
    <w:bookmarkEnd w:id="29"/>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140" w:right="820"/>
        <w:spacing w:after="0" w:line="260" w:lineRule="auto"/>
        <w:rPr>
          <w:sz w:val="20"/>
          <w:szCs w:val="20"/>
          <w:color w:val="auto"/>
        </w:rPr>
      </w:pPr>
      <w:r>
        <w:rPr>
          <w:rFonts w:ascii="Arial" w:cs="Arial" w:eastAsia="Arial" w:hAnsi="Arial"/>
          <w:sz w:val="20"/>
          <w:szCs w:val="20"/>
          <w:color w:val="auto"/>
        </w:rPr>
        <w:t>associated with this program do not meet the strict hedge accounting requirements, changes in the fair value of both the customer derivatives and the offsetting derivatives are recognized directly in earnings.</w:t>
      </w:r>
    </w:p>
    <w:p>
      <w:pPr>
        <w:spacing w:after="0" w:line="231" w:lineRule="exact"/>
        <w:rPr>
          <w:sz w:val="20"/>
          <w:szCs w:val="20"/>
          <w:color w:val="auto"/>
        </w:rPr>
      </w:pPr>
    </w:p>
    <w:p>
      <w:pPr>
        <w:ind w:left="140" w:right="240" w:firstLine="486"/>
        <w:spacing w:after="0" w:line="282" w:lineRule="auto"/>
        <w:rPr>
          <w:sz w:val="20"/>
          <w:szCs w:val="20"/>
          <w:color w:val="auto"/>
        </w:rPr>
      </w:pPr>
      <w:r>
        <w:rPr>
          <w:rFonts w:ascii="Arial" w:cs="Arial" w:eastAsia="Arial" w:hAnsi="Arial"/>
          <w:sz w:val="18"/>
          <w:szCs w:val="18"/>
          <w:color w:val="auto"/>
        </w:rPr>
        <w:t>During the quarter ended September 30, 2019, the Company changed an input associated with the fair market value related to derivatives not designated as hedges. The model utilized to calculate the non-performance risk, also known as the credit valuation adjustment, or CVA, was adjusted from a more conservative default methodology to a review of the historical defaults recognized by the Company. Management believes this change better aligns with the Company’s credit methodology and underwriting standards.</w:t>
      </w:r>
    </w:p>
    <w:p>
      <w:pPr>
        <w:spacing w:after="0" w:line="215" w:lineRule="exact"/>
        <w:rPr>
          <w:sz w:val="20"/>
          <w:szCs w:val="20"/>
          <w:color w:val="auto"/>
        </w:rPr>
      </w:pPr>
    </w:p>
    <w:p>
      <w:pPr>
        <w:ind w:left="140" w:right="160" w:firstLine="486"/>
        <w:spacing w:after="0" w:line="250" w:lineRule="auto"/>
        <w:rPr>
          <w:sz w:val="20"/>
          <w:szCs w:val="20"/>
          <w:color w:val="auto"/>
        </w:rPr>
      </w:pPr>
      <w:r>
        <w:rPr>
          <w:rFonts w:ascii="Arial" w:cs="Arial" w:eastAsia="Arial" w:hAnsi="Arial"/>
          <w:sz w:val="20"/>
          <w:szCs w:val="20"/>
          <w:color w:val="auto"/>
        </w:rPr>
        <w:t>As a result of the change in methodology, the Company increased swap fee income, net by approximately $800 thousand, related to swaps closed on or before June 30, 2019. If no defaults occur for derivatives not designated as hedges, the change in methodology will lower future swap fee income, net by the same amount.</w:t>
      </w:r>
    </w:p>
    <w:p>
      <w:pPr>
        <w:spacing w:after="0" w:line="132" w:lineRule="exact"/>
        <w:rPr>
          <w:sz w:val="20"/>
          <w:szCs w:val="20"/>
          <w:color w:val="auto"/>
        </w:rPr>
      </w:pPr>
    </w:p>
    <w:p>
      <w:pPr>
        <w:ind w:left="140" w:right="80" w:firstLine="486"/>
        <w:spacing w:after="0" w:line="260" w:lineRule="auto"/>
        <w:rPr>
          <w:sz w:val="20"/>
          <w:szCs w:val="20"/>
          <w:color w:val="auto"/>
        </w:rPr>
      </w:pPr>
      <w:r>
        <w:rPr>
          <w:rFonts w:ascii="Arial" w:cs="Arial" w:eastAsia="Arial" w:hAnsi="Arial"/>
          <w:sz w:val="20"/>
          <w:szCs w:val="20"/>
          <w:color w:val="auto"/>
        </w:rPr>
        <w:t>As of September 30, 2019 and December 31, 2018, the Company had the following outstanding derivatives that were not designated as hedges in qualifying hedging relationships: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4320" w:type="dxa"/>
            <w:vAlign w:val="bottom"/>
            <w:gridSpan w:val="4"/>
          </w:tcPr>
          <w:p>
            <w:pPr>
              <w:ind w:left="1360"/>
              <w:spacing w:after="0"/>
              <w:rPr>
                <w:sz w:val="20"/>
                <w:szCs w:val="20"/>
                <w:color w:val="auto"/>
              </w:rPr>
            </w:pPr>
            <w:r>
              <w:rPr>
                <w:rFonts w:ascii="Arial" w:cs="Arial" w:eastAsia="Arial" w:hAnsi="Arial"/>
                <w:sz w:val="18"/>
                <w:szCs w:val="18"/>
                <w:b w:val="1"/>
                <w:bCs w:val="1"/>
                <w:color w:val="auto"/>
              </w:rPr>
              <w:t>September 30, 2019</w:t>
            </w:r>
          </w:p>
        </w:tc>
        <w:tc>
          <w:tcPr>
            <w:tcW w:w="4200" w:type="dxa"/>
            <w:vAlign w:val="bottom"/>
            <w:gridSpan w:val="3"/>
          </w:tcPr>
          <w:p>
            <w:pPr>
              <w:jc w:val="right"/>
              <w:ind w:right="129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20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Product</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Instruments</w:t>
            </w:r>
          </w:p>
        </w:tc>
        <w:tc>
          <w:tcPr>
            <w:tcW w:w="34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 Amount</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Instruments</w:t>
            </w:r>
          </w:p>
        </w:tc>
        <w:tc>
          <w:tcPr>
            <w:tcW w:w="320" w:type="dxa"/>
            <w:vAlign w:val="bottom"/>
          </w:tcPr>
          <w:p>
            <w:pPr>
              <w:spacing w:after="0"/>
              <w:rPr>
                <w:sz w:val="20"/>
                <w:szCs w:val="20"/>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Notional Amount</w:t>
            </w:r>
          </w:p>
        </w:tc>
      </w:tr>
      <w:tr>
        <w:trPr>
          <w:trHeight w:val="27"/>
        </w:trPr>
        <w:tc>
          <w:tcPr>
            <w:tcW w:w="20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2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3"/>
          </w:tcPr>
          <w:p>
            <w:pPr>
              <w:ind w:left="100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2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2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Back-to-back swaps</w:t>
            </w:r>
          </w:p>
        </w:tc>
        <w:tc>
          <w:tcPr>
            <w:tcW w:w="21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308,960</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77,709</w:t>
            </w:r>
          </w:p>
        </w:tc>
      </w:tr>
      <w:tr>
        <w:trPr>
          <w:trHeight w:val="27"/>
        </w:trPr>
        <w:tc>
          <w:tcPr>
            <w:tcW w:w="20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ind w:left="140" w:right="420" w:firstLine="486"/>
        <w:spacing w:after="0" w:line="260" w:lineRule="auto"/>
        <w:rPr>
          <w:sz w:val="20"/>
          <w:szCs w:val="20"/>
          <w:color w:val="auto"/>
        </w:rPr>
      </w:pPr>
      <w:r>
        <w:rPr>
          <w:rFonts w:ascii="Arial" w:cs="Arial" w:eastAsia="Arial" w:hAnsi="Arial"/>
          <w:sz w:val="20"/>
          <w:szCs w:val="20"/>
          <w:color w:val="auto"/>
        </w:rPr>
        <w:t>The table below presents the fair value of the Company’s derivative financial instruments and their classification on the Balance Sheet as of September 30, 2019 and December 31, 2018:</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Asset Derivatives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Liability Derivatives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2080" w:type="dxa"/>
            <w:vAlign w:val="bottom"/>
          </w:tcPr>
          <w:p>
            <w:pPr>
              <w:spacing w:after="0"/>
              <w:rPr>
                <w:sz w:val="20"/>
                <w:szCs w:val="20"/>
                <w:color w:val="auto"/>
              </w:rPr>
            </w:pPr>
          </w:p>
        </w:tc>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Balance Sheet</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Balance Sheet</w:t>
            </w:r>
          </w:p>
        </w:tc>
        <w:tc>
          <w:tcPr>
            <w:tcW w:w="16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2080" w:type="dxa"/>
            <w:vAlign w:val="bottom"/>
          </w:tcPr>
          <w:p>
            <w:pPr>
              <w:spacing w:after="0"/>
              <w:rPr>
                <w:sz w:val="23"/>
                <w:szCs w:val="23"/>
                <w:color w:val="auto"/>
              </w:rPr>
            </w:pPr>
          </w:p>
        </w:tc>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Location</w:t>
            </w:r>
          </w:p>
        </w:tc>
        <w:tc>
          <w:tcPr>
            <w:tcW w:w="560" w:type="dxa"/>
            <w:vAlign w:val="bottom"/>
          </w:tcPr>
          <w:p>
            <w:pPr>
              <w:spacing w:after="0"/>
              <w:rPr>
                <w:sz w:val="23"/>
                <w:szCs w:val="23"/>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Location</w:t>
            </w:r>
          </w:p>
        </w:tc>
        <w:tc>
          <w:tcPr>
            <w:tcW w:w="580" w:type="dxa"/>
            <w:vAlign w:val="bottom"/>
          </w:tcPr>
          <w:p>
            <w:pPr>
              <w:spacing w:after="0"/>
              <w:rPr>
                <w:sz w:val="23"/>
                <w:szCs w:val="23"/>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3"/>
                <w:szCs w:val="23"/>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20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3"/>
          </w:tcPr>
          <w:p>
            <w:pPr>
              <w:ind w:left="5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404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80" w:type="dxa"/>
            <w:vAlign w:val="bottom"/>
          </w:tcPr>
          <w:p>
            <w:pPr>
              <w:ind w:left="160"/>
              <w:spacing w:after="0"/>
              <w:rPr>
                <w:sz w:val="20"/>
                <w:szCs w:val="20"/>
                <w:color w:val="auto"/>
              </w:rPr>
            </w:pPr>
            <w:r>
              <w:rPr>
                <w:rFonts w:ascii="Arial" w:cs="Arial" w:eastAsia="Arial" w:hAnsi="Arial"/>
                <w:sz w:val="18"/>
                <w:szCs w:val="18"/>
                <w:color w:val="auto"/>
              </w:rPr>
              <w:t>Interest rate products</w:t>
            </w:r>
          </w:p>
        </w:tc>
        <w:tc>
          <w:tcPr>
            <w:tcW w:w="1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13,735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13,782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1,136</w:t>
            </w:r>
          </w:p>
        </w:tc>
      </w:tr>
    </w:tbl>
    <w:p>
      <w:pPr>
        <w:spacing w:after="0" w:line="200" w:lineRule="exact"/>
        <w:rPr>
          <w:sz w:val="20"/>
          <w:szCs w:val="20"/>
          <w:color w:val="auto"/>
        </w:rPr>
      </w:pPr>
    </w:p>
    <w:p>
      <w:pPr>
        <w:spacing w:after="0" w:line="202" w:lineRule="exact"/>
        <w:rPr>
          <w:sz w:val="20"/>
          <w:szCs w:val="20"/>
          <w:color w:val="auto"/>
        </w:rPr>
      </w:pPr>
    </w:p>
    <w:p>
      <w:pPr>
        <w:ind w:left="140" w:right="140" w:firstLine="486"/>
        <w:spacing w:after="0" w:line="250" w:lineRule="auto"/>
        <w:rPr>
          <w:sz w:val="20"/>
          <w:szCs w:val="20"/>
          <w:color w:val="auto"/>
        </w:rPr>
      </w:pPr>
      <w:r>
        <w:rPr>
          <w:rFonts w:ascii="Arial" w:cs="Arial" w:eastAsia="Arial" w:hAnsi="Arial"/>
          <w:sz w:val="20"/>
          <w:szCs w:val="20"/>
          <w:color w:val="auto"/>
        </w:rPr>
        <w:t>The effect of the Company’s derivative financial instruments that are not designated as hedging instruments are reported on the Statements of Income as swap fee income, net. The effect of the Company’s derivative financial instruments gain and loss are reported on the Statements of Cash Flows within other assets and other liabilities.</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tables below show a gross presentation, the effects of offsetting, and a net presentation of the Company’s derivatives as of</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September 30, 2019 and December 31, 2018:</w:t>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 2019</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6"/>
          </w:tcPr>
          <w:p>
            <w:pPr>
              <w:jc w:val="center"/>
              <w:ind w:left="670"/>
              <w:spacing w:after="0"/>
              <w:rPr>
                <w:sz w:val="20"/>
                <w:szCs w:val="20"/>
                <w:color w:val="auto"/>
              </w:rPr>
            </w:pPr>
            <w:r>
              <w:rPr>
                <w:rFonts w:ascii="Arial" w:cs="Arial" w:eastAsia="Arial" w:hAnsi="Arial"/>
                <w:sz w:val="18"/>
                <w:szCs w:val="18"/>
                <w:i w:val="1"/>
                <w:iCs w:val="1"/>
                <w:color w:val="auto"/>
                <w:w w:val="92"/>
              </w:rPr>
              <w:t>(Dollars in thousands)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89"/>
              </w:rPr>
              <w:t>Gross Amounts Not Offset in the Statement of</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Financial Position</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Gross Amounts</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Net Amounts of</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Gross Amounts of</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Offset in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Assets presented in</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Recognized Assets</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Statement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Statement of</w:t>
            </w:r>
          </w:p>
        </w:tc>
        <w:tc>
          <w:tcPr>
            <w:tcW w:w="16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Financial</w:t>
            </w:r>
          </w:p>
        </w:tc>
        <w:tc>
          <w:tcPr>
            <w:tcW w:w="10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Cash Collateral</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Liabilities</w:t>
            </w:r>
          </w:p>
        </w:tc>
        <w:tc>
          <w:tcPr>
            <w:tcW w:w="17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Financial Position</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Financial Position</w:t>
            </w:r>
          </w:p>
        </w:tc>
        <w:tc>
          <w:tcPr>
            <w:tcW w:w="1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Received</w:t>
            </w:r>
          </w:p>
        </w:tc>
        <w:tc>
          <w:tcPr>
            <w:tcW w:w="1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Offsetting of derivative assets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ind w:left="280"/>
              <w:spacing w:after="0"/>
              <w:rPr>
                <w:sz w:val="20"/>
                <w:szCs w:val="20"/>
                <w:color w:val="auto"/>
              </w:rPr>
            </w:pPr>
            <w:r>
              <w:rPr>
                <w:rFonts w:ascii="Arial" w:cs="Arial" w:eastAsia="Arial" w:hAnsi="Arial"/>
                <w:sz w:val="18"/>
                <w:szCs w:val="18"/>
                <w:color w:val="auto"/>
              </w:rPr>
              <w:t>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13,735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7"/>
        </w:trPr>
        <w:tc>
          <w:tcPr>
            <w:tcW w:w="31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Offsetting of derivative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ind w:left="280"/>
              <w:spacing w:after="0"/>
              <w:rPr>
                <w:sz w:val="20"/>
                <w:szCs w:val="20"/>
                <w:color w:val="auto"/>
              </w:rPr>
            </w:pPr>
            <w:r>
              <w:rPr>
                <w:rFonts w:ascii="Arial" w:cs="Arial" w:eastAsia="Arial" w:hAnsi="Arial"/>
                <w:sz w:val="18"/>
                <w:szCs w:val="18"/>
                <w:color w:val="auto"/>
              </w:rPr>
              <w:t>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60" w:top="287"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9"/>
          </w:tcPr>
          <w:p>
            <w:pPr>
              <w:jc w:val="right"/>
              <w:ind w:right="690"/>
              <w:spacing w:after="0"/>
              <w:rPr>
                <w:sz w:val="20"/>
                <w:szCs w:val="20"/>
                <w:color w:val="auto"/>
              </w:rPr>
            </w:pPr>
            <w:r>
              <w:rPr>
                <w:rFonts w:ascii="Arial" w:cs="Arial" w:eastAsia="Arial" w:hAnsi="Arial"/>
                <w:sz w:val="18"/>
                <w:szCs w:val="18"/>
                <w:color w:val="auto"/>
                <w:w w:val="91"/>
              </w:rPr>
              <w:t>Notes to Unaudited Consolidated Financial Statements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2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December 31, 2018</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6"/>
          </w:tcPr>
          <w:p>
            <w:pPr>
              <w:jc w:val="center"/>
              <w:ind w:left="670"/>
              <w:spacing w:after="0"/>
              <w:rPr>
                <w:sz w:val="20"/>
                <w:szCs w:val="20"/>
                <w:color w:val="auto"/>
              </w:rPr>
            </w:pPr>
            <w:r>
              <w:rPr>
                <w:rFonts w:ascii="Arial" w:cs="Arial" w:eastAsia="Arial" w:hAnsi="Arial"/>
                <w:sz w:val="18"/>
                <w:szCs w:val="18"/>
                <w:i w:val="1"/>
                <w:iCs w:val="1"/>
                <w:color w:val="auto"/>
                <w:w w:val="92"/>
              </w:rPr>
              <w:t>(Dollars in thousands)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89"/>
              </w:rPr>
              <w:t>Gross Amounts Not Offset in the Statement of</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Financial Position</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Gross Amounts</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Net Amounts of</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Gross Amounts of</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Offset in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Assets presented in</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Recognized Assets</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Statement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Statement of</w:t>
            </w:r>
          </w:p>
        </w:tc>
        <w:tc>
          <w:tcPr>
            <w:tcW w:w="16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Cash Collateral</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and Liabilities</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Financial Position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Financial Position</w:t>
            </w:r>
          </w:p>
        </w:tc>
        <w:tc>
          <w:tcPr>
            <w:tcW w:w="16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Received</w:t>
            </w:r>
          </w:p>
        </w:tc>
        <w:tc>
          <w:tcPr>
            <w:tcW w:w="1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8"/>
              </w:rPr>
              <w:t>Offsetting of derivative assets</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620" w:type="dxa"/>
            <w:vAlign w:val="bottom"/>
          </w:tcPr>
          <w:p>
            <w:pPr>
              <w:ind w:left="280"/>
              <w:spacing w:after="0"/>
              <w:rPr>
                <w:sz w:val="20"/>
                <w:szCs w:val="20"/>
                <w:color w:val="auto"/>
              </w:rPr>
            </w:pPr>
            <w:r>
              <w:rPr>
                <w:rFonts w:ascii="Arial" w:cs="Arial" w:eastAsia="Arial" w:hAnsi="Arial"/>
                <w:sz w:val="18"/>
                <w:szCs w:val="18"/>
                <w:color w:val="auto"/>
              </w:rPr>
              <w:t>Derivatives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1"/>
              </w:rPr>
              <w:t>Offsetting of derivative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620" w:type="dxa"/>
            <w:vAlign w:val="bottom"/>
          </w:tcPr>
          <w:p>
            <w:pPr>
              <w:ind w:left="280"/>
              <w:spacing w:after="0"/>
              <w:rPr>
                <w:sz w:val="20"/>
                <w:szCs w:val="20"/>
                <w:color w:val="auto"/>
              </w:rPr>
            </w:pPr>
            <w:r>
              <w:rPr>
                <w:rFonts w:ascii="Arial" w:cs="Arial" w:eastAsia="Arial" w:hAnsi="Arial"/>
                <w:sz w:val="18"/>
                <w:szCs w:val="18"/>
                <w:color w:val="auto"/>
              </w:rPr>
              <w:t>Derivatives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net presentation above can be reconciled to the tabular disclosure of fair value.</w:t>
      </w:r>
    </w:p>
    <w:p>
      <w:pPr>
        <w:spacing w:after="0" w:line="162" w:lineRule="exact"/>
        <w:rPr>
          <w:sz w:val="20"/>
          <w:szCs w:val="20"/>
          <w:color w:val="auto"/>
        </w:rPr>
      </w:pPr>
    </w:p>
    <w:p>
      <w:pPr>
        <w:jc w:val="both"/>
        <w:ind w:left="140" w:firstLine="486"/>
        <w:spacing w:after="0" w:line="269" w:lineRule="auto"/>
        <w:rPr>
          <w:sz w:val="20"/>
          <w:szCs w:val="20"/>
          <w:color w:val="auto"/>
        </w:rPr>
      </w:pPr>
      <w:r>
        <w:rPr>
          <w:rFonts w:ascii="Arial" w:cs="Arial" w:eastAsia="Arial" w:hAnsi="Arial"/>
          <w:sz w:val="19"/>
          <w:szCs w:val="19"/>
          <w:color w:val="auto"/>
        </w:rPr>
        <w:t>As of September 30, 2019, the Company had minimum collateral posting thresholds with certain of its derivative counter-parties and had posted collateral of $18.2 million. If the Company had breached any of these provisions at September 30, 2019, it could have been required to settle its obligations under the agreements at their termination value of $13.8 million.</w:t>
      </w:r>
    </w:p>
    <w:p>
      <w:pPr>
        <w:spacing w:after="0" w:line="11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6:</w:t>
      </w:r>
      <w:r>
        <w:rPr>
          <w:sz w:val="20"/>
          <w:szCs w:val="20"/>
          <w:color w:val="auto"/>
        </w:rPr>
        <w:tab/>
      </w:r>
      <w:r>
        <w:rPr>
          <w:rFonts w:ascii="Arial" w:cs="Arial" w:eastAsia="Arial" w:hAnsi="Arial"/>
          <w:sz w:val="19"/>
          <w:szCs w:val="19"/>
          <w:b w:val="1"/>
          <w:bCs w:val="1"/>
          <w:color w:val="auto"/>
        </w:rPr>
        <w:t>Interest-Bearing Deposits and Borrowings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scheduled maturities, excluding interest, of the Company’s borrowings at September 30, 2019 were as follows:</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September 30, 2019</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Within One</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One to Two</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Two to Three</w:t>
            </w:r>
          </w:p>
        </w:tc>
        <w:tc>
          <w:tcPr>
            <w:tcW w:w="1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Three to Four</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Four to Five</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Five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Years</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1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105,559</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1,221,754</w:t>
            </w:r>
          </w:p>
        </w:tc>
      </w:tr>
      <w:tr>
        <w:trPr>
          <w:trHeight w:val="229"/>
        </w:trPr>
        <w:tc>
          <w:tcPr>
            <w:tcW w:w="1820" w:type="dxa"/>
            <w:vAlign w:val="bottom"/>
          </w:tcPr>
          <w:p>
            <w:pPr>
              <w:ind w:left="40"/>
              <w:spacing w:after="0"/>
              <w:rPr>
                <w:sz w:val="20"/>
                <w:szCs w:val="20"/>
                <w:color w:val="auto"/>
              </w:rPr>
            </w:pPr>
            <w:r>
              <w:rPr>
                <w:rFonts w:ascii="Arial" w:cs="Arial" w:eastAsia="Arial" w:hAnsi="Arial"/>
                <w:sz w:val="18"/>
                <w:szCs w:val="18"/>
                <w:color w:val="auto"/>
                <w:w w:val="94"/>
              </w:rPr>
              <w:t>Fed funds purchased &amp;</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1820" w:type="dxa"/>
            <w:vAlign w:val="bottom"/>
          </w:tcPr>
          <w:p>
            <w:pPr>
              <w:ind w:left="200"/>
              <w:spacing w:after="0"/>
              <w:rPr>
                <w:sz w:val="20"/>
                <w:szCs w:val="20"/>
                <w:color w:val="auto"/>
              </w:rPr>
            </w:pPr>
            <w:r>
              <w:rPr>
                <w:rFonts w:ascii="Arial" w:cs="Arial" w:eastAsia="Arial" w:hAnsi="Arial"/>
                <w:sz w:val="18"/>
                <w:szCs w:val="18"/>
                <w:color w:val="auto"/>
              </w:rPr>
              <w:t>repurchase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82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49,810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49,810</w:t>
            </w:r>
          </w:p>
        </w:tc>
      </w:tr>
      <w:tr>
        <w:trPr>
          <w:trHeight w:val="27"/>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FHLB borrowings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307,804</w:t>
            </w:r>
          </w:p>
        </w:tc>
      </w:tr>
      <w:tr>
        <w:trPr>
          <w:trHeight w:val="229"/>
        </w:trPr>
        <w:tc>
          <w:tcPr>
            <w:tcW w:w="1820" w:type="dxa"/>
            <w:vAlign w:val="bottom"/>
          </w:tcPr>
          <w:p>
            <w:pPr>
              <w:ind w:left="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18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securities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912</w:t>
            </w: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122,059</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1,580,280</w:t>
            </w:r>
          </w:p>
        </w:tc>
      </w:tr>
      <w:tr>
        <w:trPr>
          <w:trHeight w:val="20"/>
        </w:trPr>
        <w:tc>
          <w:tcPr>
            <w:tcW w:w="18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8255</wp:posOffset>
            </wp:positionV>
            <wp:extent cx="57518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ind w:left="300" w:hanging="170"/>
        <w:spacing w:after="0"/>
        <w:tabs>
          <w:tab w:leader="none" w:pos="30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The contract value of the trust preferred securities is $2.5 million and is currently being accreted to the maturity date of 2035.</w:t>
      </w:r>
    </w:p>
    <w:p>
      <w:pPr>
        <w:spacing w:after="0" w:line="16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7:</w:t>
      </w:r>
      <w:r>
        <w:rPr>
          <w:sz w:val="20"/>
          <w:szCs w:val="20"/>
          <w:color w:val="auto"/>
        </w:rPr>
        <w:tab/>
      </w:r>
      <w:r>
        <w:rPr>
          <w:rFonts w:ascii="Arial" w:cs="Arial" w:eastAsia="Arial" w:hAnsi="Arial"/>
          <w:sz w:val="19"/>
          <w:szCs w:val="19"/>
          <w:b w:val="1"/>
          <w:bCs w:val="1"/>
          <w:color w:val="auto"/>
        </w:rPr>
        <w:t>Change in Accumulated Other Comprehensive Income (AOCI)</w:t>
      </w:r>
    </w:p>
    <w:p>
      <w:pPr>
        <w:spacing w:after="0" w:line="163" w:lineRule="exact"/>
        <w:rPr>
          <w:sz w:val="20"/>
          <w:szCs w:val="20"/>
          <w:color w:val="auto"/>
        </w:rPr>
      </w:pPr>
    </w:p>
    <w:p>
      <w:pPr>
        <w:ind w:left="140" w:right="460" w:firstLine="486"/>
        <w:spacing w:after="0" w:line="260" w:lineRule="auto"/>
        <w:rPr>
          <w:sz w:val="20"/>
          <w:szCs w:val="20"/>
          <w:color w:val="auto"/>
        </w:rPr>
      </w:pPr>
      <w:r>
        <w:rPr>
          <w:rFonts w:ascii="Arial" w:cs="Arial" w:eastAsia="Arial" w:hAnsi="Arial"/>
          <w:sz w:val="20"/>
          <w:szCs w:val="20"/>
          <w:color w:val="auto"/>
        </w:rPr>
        <w:t>Amounts reclassified from AOCI and the affected line items in the consolidated Statements of Income during the three and nine months ended September 30, 2019 and 2018, were as follows:</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3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2940" w:type="dxa"/>
            <w:vAlign w:val="bottom"/>
          </w:tcPr>
          <w:p>
            <w:pPr>
              <w:spacing w:after="0"/>
              <w:rPr>
                <w:sz w:val="23"/>
                <w:szCs w:val="23"/>
                <w:color w:val="auto"/>
              </w:rPr>
            </w:pPr>
          </w:p>
        </w:tc>
        <w:tc>
          <w:tcPr>
            <w:tcW w:w="23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ind w:left="180"/>
              <w:spacing w:after="0"/>
              <w:rPr>
                <w:sz w:val="20"/>
                <w:szCs w:val="20"/>
                <w:color w:val="auto"/>
              </w:rPr>
            </w:pPr>
            <w:r>
              <w:rPr>
                <w:rFonts w:ascii="Arial" w:cs="Arial" w:eastAsia="Arial" w:hAnsi="Arial"/>
                <w:sz w:val="18"/>
                <w:szCs w:val="18"/>
                <w:b w:val="1"/>
                <w:bCs w:val="1"/>
                <w:color w:val="auto"/>
                <w:w w:val="99"/>
              </w:rPr>
              <w:t>Affected Line Item in the</w:t>
            </w:r>
          </w:p>
        </w:tc>
      </w:tr>
      <w:tr>
        <w:trPr>
          <w:trHeight w:val="27"/>
        </w:trPr>
        <w:tc>
          <w:tcPr>
            <w:tcW w:w="2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6"/>
        </w:trPr>
        <w:tc>
          <w:tcPr>
            <w:tcW w:w="29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ind w:left="320"/>
              <w:spacing w:after="0"/>
              <w:rPr>
                <w:sz w:val="20"/>
                <w:szCs w:val="20"/>
                <w:color w:val="auto"/>
              </w:rPr>
            </w:pPr>
            <w:r>
              <w:rPr>
                <w:rFonts w:ascii="Arial" w:cs="Arial" w:eastAsia="Arial" w:hAnsi="Arial"/>
                <w:sz w:val="18"/>
                <w:szCs w:val="18"/>
                <w:b w:val="1"/>
                <w:bCs w:val="1"/>
                <w:color w:val="auto"/>
              </w:rPr>
              <w:t>Statements of Income</w:t>
            </w:r>
          </w:p>
        </w:tc>
      </w:tr>
      <w:tr>
        <w:trPr>
          <w:trHeight w:val="27"/>
        </w:trPr>
        <w:tc>
          <w:tcPr>
            <w:tcW w:w="2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6"/>
        </w:trPr>
        <w:tc>
          <w:tcPr>
            <w:tcW w:w="2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4"/>
          </w:tcPr>
          <w:p>
            <w:pPr>
              <w:jc w:val="right"/>
              <w:ind w:right="30"/>
              <w:spacing w:after="0"/>
              <w:rPr>
                <w:sz w:val="20"/>
                <w:szCs w:val="20"/>
                <w:color w:val="auto"/>
              </w:rPr>
            </w:pPr>
            <w:r>
              <w:rPr>
                <w:rFonts w:ascii="Arial" w:cs="Arial" w:eastAsia="Arial" w:hAnsi="Arial"/>
                <w:sz w:val="18"/>
                <w:szCs w:val="18"/>
                <w:i w:val="1"/>
                <w:iCs w:val="1"/>
                <w:color w:val="auto"/>
              </w:rPr>
              <w:t>(Dollars in thousands)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56"/>
        </w:trPr>
        <w:tc>
          <w:tcPr>
            <w:tcW w:w="2940" w:type="dxa"/>
            <w:vAlign w:val="bottom"/>
          </w:tcPr>
          <w:p>
            <w:pPr>
              <w:ind w:left="40"/>
              <w:spacing w:after="0"/>
              <w:rPr>
                <w:sz w:val="20"/>
                <w:szCs w:val="20"/>
                <w:color w:val="auto"/>
              </w:rPr>
            </w:pPr>
            <w:r>
              <w:rPr>
                <w:rFonts w:ascii="Arial" w:cs="Arial" w:eastAsia="Arial" w:hAnsi="Arial"/>
                <w:sz w:val="18"/>
                <w:szCs w:val="18"/>
                <w:color w:val="auto"/>
                <w:w w:val="95"/>
              </w:rPr>
              <w:t>Unrealized gains on available-for-sale</w:t>
            </w: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ind w:left="40"/>
              <w:spacing w:after="0"/>
              <w:rPr>
                <w:sz w:val="20"/>
                <w:szCs w:val="20"/>
                <w:color w:val="auto"/>
              </w:rPr>
            </w:pPr>
            <w:r>
              <w:rPr>
                <w:rFonts w:ascii="Arial" w:cs="Arial" w:eastAsia="Arial" w:hAnsi="Arial"/>
                <w:sz w:val="18"/>
                <w:szCs w:val="18"/>
                <w:color w:val="auto"/>
                <w:w w:val="99"/>
              </w:rPr>
              <w:t>Gain on sale of available for</w:t>
            </w: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195</w:t>
            </w:r>
          </w:p>
        </w:tc>
        <w:tc>
          <w:tcPr>
            <w:tcW w:w="100" w:type="dxa"/>
            <w:vAlign w:val="bottom"/>
          </w:tcPr>
          <w:p>
            <w:pPr>
              <w:spacing w:after="0"/>
              <w:rPr>
                <w:sz w:val="20"/>
                <w:szCs w:val="20"/>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467</w:t>
            </w:r>
          </w:p>
        </w:tc>
        <w:tc>
          <w:tcPr>
            <w:tcW w:w="100" w:type="dxa"/>
            <w:vAlign w:val="bottom"/>
          </w:tcPr>
          <w:p>
            <w:pPr>
              <w:spacing w:after="0"/>
              <w:rPr>
                <w:sz w:val="20"/>
                <w:szCs w:val="20"/>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608</w:t>
            </w:r>
          </w:p>
        </w:tc>
        <w:tc>
          <w:tcPr>
            <w:tcW w:w="10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sale securities</w:t>
            </w:r>
          </w:p>
        </w:tc>
      </w:tr>
      <w:tr>
        <w:trPr>
          <w:trHeight w:val="27"/>
        </w:trPr>
        <w:tc>
          <w:tcPr>
            <w:tcW w:w="2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reclassified before tax</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2940" w:type="dxa"/>
            <w:vAlign w:val="bottom"/>
          </w:tcPr>
          <w:p>
            <w:pPr>
              <w:ind w:left="160"/>
              <w:spacing w:after="0"/>
              <w:rPr>
                <w:sz w:val="20"/>
                <w:szCs w:val="20"/>
                <w:color w:val="auto"/>
              </w:rPr>
            </w:pPr>
            <w:r>
              <w:rPr>
                <w:rFonts w:ascii="Arial" w:cs="Arial" w:eastAsia="Arial" w:hAnsi="Arial"/>
                <w:sz w:val="18"/>
                <w:szCs w:val="18"/>
                <w:color w:val="auto"/>
              </w:rPr>
              <w:t>Less: tax effect</w:t>
            </w:r>
          </w:p>
        </w:tc>
        <w:tc>
          <w:tcPr>
            <w:tcW w:w="9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115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149</w:t>
            </w:r>
          </w:p>
        </w:tc>
        <w:tc>
          <w:tcPr>
            <w:tcW w:w="100" w:type="dxa"/>
            <w:vAlign w:val="bottom"/>
          </w:tcPr>
          <w:p>
            <w:pPr>
              <w:spacing w:after="0"/>
              <w:rPr>
                <w:sz w:val="21"/>
                <w:szCs w:val="21"/>
                <w:color w:val="auto"/>
              </w:rPr>
            </w:pPr>
          </w:p>
        </w:tc>
        <w:tc>
          <w:tcPr>
            <w:tcW w:w="2280" w:type="dxa"/>
            <w:vAlign w:val="bottom"/>
          </w:tcPr>
          <w:p>
            <w:pPr>
              <w:ind w:left="40"/>
              <w:spacing w:after="0"/>
              <w:rPr>
                <w:sz w:val="20"/>
                <w:szCs w:val="20"/>
                <w:color w:val="auto"/>
              </w:rPr>
            </w:pPr>
            <w:r>
              <w:rPr>
                <w:rFonts w:ascii="Arial" w:cs="Arial" w:eastAsia="Arial" w:hAnsi="Arial"/>
                <w:sz w:val="18"/>
                <w:szCs w:val="18"/>
                <w:color w:val="auto"/>
              </w:rPr>
              <w:t>Income tax expense</w:t>
            </w:r>
          </w:p>
        </w:tc>
      </w:tr>
      <w:tr>
        <w:trPr>
          <w:trHeight w:val="27"/>
        </w:trPr>
        <w:tc>
          <w:tcPr>
            <w:tcW w:w="2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reclassified amount</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r>
      <w:tr>
        <w:trPr>
          <w:trHeight w:val="20"/>
        </w:trPr>
        <w:tc>
          <w:tcPr>
            <w:tcW w:w="2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287"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00"/>
          </w:cols>
          <w:pgMar w:left="360" w:top="287" w:right="339" w:bottom="1440" w:gutter="0" w:footer="0" w:header="0"/>
          <w:type w:val="continuous"/>
        </w:sectPr>
      </w:pPr>
    </w:p>
    <w:bookmarkStart w:id="31" w:name="page32"/>
    <w:bookmarkEnd w:id="31"/>
    <w:p>
      <w:pPr>
        <w:ind w:left="40"/>
        <w:spacing w:after="0"/>
        <w:tabs>
          <w:tab w:leader="none" w:pos="358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9"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2"/>
          <w:szCs w:val="22"/>
          <w:b w:val="1"/>
          <w:bCs w:val="1"/>
          <w:color w:val="auto"/>
        </w:rPr>
        <w:t>Note 8:</w:t>
      </w:r>
      <w:r>
        <w:rPr>
          <w:sz w:val="20"/>
          <w:szCs w:val="20"/>
          <w:color w:val="auto"/>
        </w:rPr>
        <w:tab/>
      </w:r>
      <w:r>
        <w:rPr>
          <w:rFonts w:ascii="Arial" w:cs="Arial" w:eastAsia="Arial" w:hAnsi="Arial"/>
          <w:sz w:val="19"/>
          <w:szCs w:val="19"/>
          <w:b w:val="1"/>
          <w:bCs w:val="1"/>
          <w:color w:val="auto"/>
        </w:rPr>
        <w:t>Regulatory Matters</w:t>
      </w:r>
    </w:p>
    <w:p>
      <w:pPr>
        <w:spacing w:after="0" w:line="217" w:lineRule="exact"/>
        <w:rPr>
          <w:sz w:val="20"/>
          <w:szCs w:val="20"/>
          <w:color w:val="auto"/>
        </w:rPr>
      </w:pPr>
    </w:p>
    <w:p>
      <w:pPr>
        <w:ind w:left="180" w:right="20" w:firstLine="486"/>
        <w:spacing w:after="0" w:line="282"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September 30, 2019, the Company and the Bank meet all capital adequacy requirements to which they are subject.</w:t>
      </w:r>
    </w:p>
    <w:p>
      <w:pPr>
        <w:spacing w:after="0" w:line="107" w:lineRule="exact"/>
        <w:rPr>
          <w:sz w:val="20"/>
          <w:szCs w:val="20"/>
          <w:color w:val="auto"/>
        </w:rPr>
      </w:pPr>
    </w:p>
    <w:p>
      <w:pPr>
        <w:ind w:left="180" w:right="160" w:firstLine="486"/>
        <w:spacing w:after="0" w:line="260" w:lineRule="auto"/>
        <w:rPr>
          <w:sz w:val="20"/>
          <w:szCs w:val="20"/>
          <w:color w:val="auto"/>
        </w:rPr>
      </w:pPr>
      <w:r>
        <w:rPr>
          <w:rFonts w:ascii="Arial" w:cs="Arial" w:eastAsia="Arial" w:hAnsi="Arial"/>
          <w:sz w:val="20"/>
          <w:szCs w:val="20"/>
          <w:color w:val="auto"/>
        </w:rPr>
        <w:t>The Company’s and the Bank’s actual capital amounts and ratios as of September 30, 2019 and December 31, 2018 are presented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Minimum Capital</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Required - Basel III Phase-</w:t>
            </w:r>
          </w:p>
        </w:tc>
        <w:tc>
          <w:tcPr>
            <w:tcW w:w="228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Minimum Capital Required</w:t>
            </w: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Required to be Considered</w:t>
            </w:r>
          </w:p>
        </w:tc>
      </w:tr>
      <w:tr>
        <w:trPr>
          <w:trHeight w:val="234"/>
        </w:trPr>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In Schedule</w:t>
            </w: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rPr>
              <w:t>- Basel III Fully Phase-In</w:t>
            </w:r>
          </w:p>
        </w:tc>
        <w:tc>
          <w:tcPr>
            <w:tcW w:w="160" w:type="dxa"/>
            <w:vAlign w:val="bottom"/>
          </w:tcPr>
          <w:p>
            <w:pPr>
              <w:spacing w:after="0"/>
              <w:rPr>
                <w:sz w:val="20"/>
                <w:szCs w:val="20"/>
                <w:color w:val="auto"/>
              </w:rPr>
            </w:pPr>
          </w:p>
        </w:tc>
        <w:tc>
          <w:tcPr>
            <w:tcW w:w="20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Well Capitalized</w:t>
            </w:r>
          </w:p>
        </w:tc>
      </w:tr>
      <w:tr>
        <w:trPr>
          <w:trHeight w:val="27"/>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Amount</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Ratio</w:t>
            </w:r>
          </w:p>
        </w:tc>
        <w:tc>
          <w:tcPr>
            <w:tcW w:w="1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Amount</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Ratio</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Amount</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Amount</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Ratio</w:t>
            </w:r>
          </w:p>
        </w:tc>
      </w:tr>
      <w:tr>
        <w:trPr>
          <w:trHeight w:val="27"/>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i w:val="1"/>
                <w:iCs w:val="1"/>
                <w:color w:val="auto"/>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3"/>
          </w:tcPr>
          <w:p>
            <w:pPr>
              <w:ind w:left="40"/>
              <w:spacing w:after="0"/>
              <w:rPr>
                <w:sz w:val="20"/>
                <w:szCs w:val="20"/>
                <w:color w:val="auto"/>
              </w:rPr>
            </w:pPr>
            <w:r>
              <w:rPr>
                <w:rFonts w:ascii="Arial" w:cs="Arial" w:eastAsia="Arial" w:hAnsi="Arial"/>
                <w:sz w:val="18"/>
                <w:szCs w:val="18"/>
                <w:color w:val="auto"/>
              </w:rPr>
              <w:t>Total Capital to Risk-Weighted Assets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618,407</w:t>
            </w: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3"/>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467,160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467,160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2260" w:type="dxa"/>
            <w:vAlign w:val="bottom"/>
          </w:tcPr>
          <w:p>
            <w:pPr>
              <w:ind w:left="28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567,667</w:t>
            </w:r>
          </w:p>
        </w:tc>
        <w:tc>
          <w:tcPr>
            <w:tcW w:w="760" w:type="dxa"/>
            <w:vAlign w:val="bottom"/>
          </w:tcPr>
          <w:p>
            <w:pPr>
              <w:ind w:left="26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467,085</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467,085</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444,843</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64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Tier I Capital to Risk-Weighted Assets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280"/>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575,412</w:t>
            </w:r>
          </w:p>
        </w:tc>
        <w:tc>
          <w:tcPr>
            <w:tcW w:w="760" w:type="dxa"/>
            <w:vAlign w:val="bottom"/>
          </w:tcPr>
          <w:p>
            <w:pPr>
              <w:ind w:left="26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378,177</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378,177</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Bank</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524,672</w:t>
            </w:r>
          </w:p>
        </w:tc>
        <w:tc>
          <w:tcPr>
            <w:tcW w:w="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378,117</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378,117</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355,875</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r>
      <w:tr>
        <w:trPr>
          <w:trHeight w:val="243"/>
        </w:trPr>
        <w:tc>
          <w:tcPr>
            <w:tcW w:w="3640" w:type="dxa"/>
            <w:vAlign w:val="bottom"/>
            <w:gridSpan w:val="3"/>
          </w:tcPr>
          <w:p>
            <w:pPr>
              <w:ind w:left="40"/>
              <w:spacing w:after="0"/>
              <w:rPr>
                <w:sz w:val="20"/>
                <w:szCs w:val="20"/>
                <w:color w:val="auto"/>
              </w:rPr>
            </w:pPr>
            <w:r>
              <w:rPr>
                <w:rFonts w:ascii="Arial" w:cs="Arial" w:eastAsia="Arial" w:hAnsi="Arial"/>
                <w:sz w:val="18"/>
                <w:szCs w:val="18"/>
                <w:color w:val="auto"/>
                <w:w w:val="94"/>
              </w:rPr>
              <w:t>Common Equity Tier 1 to Risk-Weighted Assets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574,500</w:t>
            </w: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311,440</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311,440</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2260" w:type="dxa"/>
            <w:vAlign w:val="bottom"/>
          </w:tcPr>
          <w:p>
            <w:pPr>
              <w:ind w:left="28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524,672</w:t>
            </w:r>
          </w:p>
        </w:tc>
        <w:tc>
          <w:tcPr>
            <w:tcW w:w="760" w:type="dxa"/>
            <w:vAlign w:val="bottom"/>
          </w:tcPr>
          <w:p>
            <w:pPr>
              <w:ind w:left="28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311,390</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311,390</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289,148</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24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Tier I Capital to Average Assets</w:t>
            </w:r>
          </w:p>
        </w:tc>
        <w:tc>
          <w:tcPr>
            <w:tcW w:w="1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280"/>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575,412</w:t>
            </w:r>
          </w:p>
        </w:tc>
        <w:tc>
          <w:tcPr>
            <w:tcW w:w="760" w:type="dxa"/>
            <w:vAlign w:val="bottom"/>
          </w:tcPr>
          <w:p>
            <w:pPr>
              <w:ind w:left="26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183,152</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183,152</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Bank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524,672</w:t>
            </w:r>
          </w:p>
        </w:tc>
        <w:tc>
          <w:tcPr>
            <w:tcW w:w="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183,109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183,109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228,886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64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 to Risk-Weighted Assets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28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521,111</w:t>
            </w:r>
          </w:p>
        </w:tc>
        <w:tc>
          <w:tcPr>
            <w:tcW w:w="760" w:type="dxa"/>
            <w:vAlign w:val="bottom"/>
          </w:tcPr>
          <w:p>
            <w:pPr>
              <w:ind w:left="260"/>
              <w:spacing w:after="0"/>
              <w:rPr>
                <w:sz w:val="20"/>
                <w:szCs w:val="20"/>
                <w:color w:val="auto"/>
              </w:rPr>
            </w:pPr>
            <w:r>
              <w:rPr>
                <w:rFonts w:ascii="Arial" w:cs="Arial" w:eastAsia="Arial" w:hAnsi="Arial"/>
                <w:sz w:val="18"/>
                <w:szCs w:val="18"/>
                <w:color w:val="auto"/>
                <w:w w:val="93"/>
              </w:rPr>
              <w:t>13.5%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380,873</w:t>
            </w: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404,979</w:t>
            </w: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Bank</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481,287</w:t>
            </w: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380,369</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404,443</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385,184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640" w:type="dxa"/>
            <w:vAlign w:val="bottom"/>
            <w:gridSpan w:val="3"/>
          </w:tcPr>
          <w:p>
            <w:pPr>
              <w:ind w:left="40"/>
              <w:spacing w:after="0"/>
              <w:rPr>
                <w:sz w:val="20"/>
                <w:szCs w:val="20"/>
                <w:color w:val="auto"/>
              </w:rPr>
            </w:pPr>
            <w:r>
              <w:rPr>
                <w:rFonts w:ascii="Arial" w:cs="Arial" w:eastAsia="Arial" w:hAnsi="Arial"/>
                <w:sz w:val="18"/>
                <w:szCs w:val="18"/>
                <w:color w:val="auto"/>
              </w:rPr>
              <w:t>Tier I Capital to Risk-Weighted Assets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483,285</w:t>
            </w: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303,734</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327,840</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2260" w:type="dxa"/>
            <w:vAlign w:val="bottom"/>
          </w:tcPr>
          <w:p>
            <w:pPr>
              <w:ind w:left="280"/>
              <w:spacing w:after="0"/>
              <w:rPr>
                <w:sz w:val="20"/>
                <w:szCs w:val="20"/>
                <w:color w:val="auto"/>
              </w:rPr>
            </w:pPr>
            <w:r>
              <w:rPr>
                <w:rFonts w:ascii="Arial" w:cs="Arial" w:eastAsia="Arial" w:hAnsi="Arial"/>
                <w:sz w:val="18"/>
                <w:szCs w:val="18"/>
                <w:color w:val="auto"/>
              </w:rPr>
              <w:t>Bank</w:t>
            </w: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443,461</w:t>
            </w:r>
          </w:p>
        </w:tc>
        <w:tc>
          <w:tcPr>
            <w:tcW w:w="760" w:type="dxa"/>
            <w:vAlign w:val="bottom"/>
          </w:tcPr>
          <w:p>
            <w:pPr>
              <w:ind w:left="28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303,332</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327,406</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308,147</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364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4"/>
              </w:rPr>
              <w:t>Common Equity Tier 1 to Risk-Weighted Assets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280"/>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453,049</w:t>
            </w:r>
          </w:p>
        </w:tc>
        <w:tc>
          <w:tcPr>
            <w:tcW w:w="760" w:type="dxa"/>
            <w:vAlign w:val="bottom"/>
          </w:tcPr>
          <w:p>
            <w:pPr>
              <w:ind w:left="28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245,880</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269,986</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Bank</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443,461</w:t>
            </w:r>
          </w:p>
        </w:tc>
        <w:tc>
          <w:tcPr>
            <w:tcW w:w="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245,555</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269,629</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250,369</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w w:val="93"/>
              </w:rPr>
              <w:t>Tier I Capital to Average Assets</w:t>
            </w: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483,285</w:t>
            </w: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155,538</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155,538</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2260" w:type="dxa"/>
            <w:vAlign w:val="bottom"/>
          </w:tcPr>
          <w:p>
            <w:pPr>
              <w:ind w:left="280"/>
              <w:spacing w:after="0"/>
              <w:rPr>
                <w:sz w:val="20"/>
                <w:szCs w:val="20"/>
                <w:color w:val="auto"/>
              </w:rPr>
            </w:pPr>
            <w:r>
              <w:rPr>
                <w:rFonts w:ascii="Arial" w:cs="Arial" w:eastAsia="Arial" w:hAnsi="Arial"/>
                <w:sz w:val="18"/>
                <w:szCs w:val="18"/>
                <w:color w:val="auto"/>
              </w:rPr>
              <w:t>Bank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443,461</w:t>
            </w:r>
          </w:p>
        </w:tc>
        <w:tc>
          <w:tcPr>
            <w:tcW w:w="760" w:type="dxa"/>
            <w:vAlign w:val="bottom"/>
          </w:tcPr>
          <w:p>
            <w:pPr>
              <w:ind w:left="280"/>
              <w:spacing w:after="0"/>
              <w:rPr>
                <w:sz w:val="20"/>
                <w:szCs w:val="20"/>
                <w:color w:val="auto"/>
              </w:rPr>
            </w:pPr>
            <w:r>
              <w:rPr>
                <w:rFonts w:ascii="Arial" w:cs="Arial" w:eastAsia="Arial" w:hAnsi="Arial"/>
                <w:sz w:val="18"/>
                <w:szCs w:val="18"/>
                <w:color w:val="auto"/>
                <w:w w:val="90"/>
              </w:rPr>
              <w:t>11.4%</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155,420</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155,420</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194,275</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287" w:right="339" w:bottom="1440" w:gutter="0" w:footer="0" w:header="0"/>
        </w:sectPr>
      </w:pPr>
    </w:p>
    <w:bookmarkStart w:id="32" w:name="page33"/>
    <w:bookmarkEnd w:id="32"/>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9:</w:t>
      </w:r>
      <w:r>
        <w:rPr>
          <w:sz w:val="20"/>
          <w:szCs w:val="20"/>
          <w:color w:val="auto"/>
        </w:rPr>
        <w:tab/>
      </w:r>
      <w:r>
        <w:rPr>
          <w:rFonts w:ascii="Arial" w:cs="Arial" w:eastAsia="Arial" w:hAnsi="Arial"/>
          <w:sz w:val="19"/>
          <w:szCs w:val="19"/>
          <w:b w:val="1"/>
          <w:bCs w:val="1"/>
          <w:color w:val="auto"/>
        </w:rPr>
        <w:t>Revenue from Contracts with Customers</w:t>
      </w:r>
    </w:p>
    <w:p>
      <w:pPr>
        <w:spacing w:after="0" w:line="217" w:lineRule="exact"/>
        <w:rPr>
          <w:sz w:val="20"/>
          <w:szCs w:val="20"/>
          <w:color w:val="auto"/>
        </w:rPr>
      </w:pPr>
    </w:p>
    <w:p>
      <w:pPr>
        <w:ind w:left="140" w:right="40" w:firstLine="486"/>
        <w:spacing w:after="0" w:line="250" w:lineRule="auto"/>
        <w:rPr>
          <w:sz w:val="20"/>
          <w:szCs w:val="20"/>
          <w:color w:val="auto"/>
        </w:rPr>
      </w:pPr>
      <w:r>
        <w:rPr>
          <w:rFonts w:ascii="Arial" w:cs="Arial" w:eastAsia="Arial" w:hAnsi="Arial"/>
          <w:sz w:val="20"/>
          <w:szCs w:val="20"/>
          <w:color w:val="auto"/>
        </w:rPr>
        <w:t>The Company adopted ASU 2014-09, ‘‘</w:t>
      </w:r>
      <w:r>
        <w:rPr>
          <w:rFonts w:ascii="Arial" w:cs="Arial" w:eastAsia="Arial" w:hAnsi="Arial"/>
          <w:sz w:val="20"/>
          <w:szCs w:val="20"/>
          <w:i w:val="1"/>
          <w:iCs w:val="1"/>
          <w:color w:val="auto"/>
        </w:rPr>
        <w:t>Revenue from Contracts with Customers (Topic 606)’’</w:t>
      </w:r>
      <w:r>
        <w:rPr>
          <w:rFonts w:ascii="Arial" w:cs="Arial" w:eastAsia="Arial" w:hAnsi="Arial"/>
          <w:sz w:val="20"/>
          <w:szCs w:val="20"/>
          <w:color w:val="auto"/>
        </w:rPr>
        <w:t xml:space="preserve"> and its related amendments as of January 1, 2019 using the modified retrospective approach. The implementation had no material impact on the measurement or recognition of revenue of either current or prior periods.</w:t>
      </w:r>
    </w:p>
    <w:p>
      <w:pPr>
        <w:spacing w:after="0" w:line="132" w:lineRule="exact"/>
        <w:rPr>
          <w:sz w:val="20"/>
          <w:szCs w:val="20"/>
          <w:color w:val="auto"/>
        </w:rPr>
      </w:pPr>
    </w:p>
    <w:p>
      <w:pPr>
        <w:ind w:left="140" w:right="180" w:firstLine="486"/>
        <w:spacing w:after="0" w:line="260" w:lineRule="auto"/>
        <w:rPr>
          <w:sz w:val="20"/>
          <w:szCs w:val="20"/>
          <w:color w:val="auto"/>
        </w:rPr>
      </w:pPr>
      <w:r>
        <w:rPr>
          <w:rFonts w:ascii="Arial" w:cs="Arial" w:eastAsia="Arial" w:hAnsi="Arial"/>
          <w:sz w:val="20"/>
          <w:szCs w:val="20"/>
          <w:color w:val="auto"/>
        </w:rPr>
        <w:t>The categories are selected based on the nature, amount, timing, and uncertainty of revenue and cash flows. The following presents descriptions of revenue categories within the scope of ASU 2014-09 (ASC 606):</w:t>
      </w:r>
    </w:p>
    <w:p>
      <w:pPr>
        <w:spacing w:after="0" w:line="117" w:lineRule="exact"/>
        <w:rPr>
          <w:sz w:val="20"/>
          <w:szCs w:val="20"/>
          <w:color w:val="auto"/>
        </w:rPr>
      </w:pPr>
    </w:p>
    <w:p>
      <w:pPr>
        <w:ind w:left="140" w:right="180" w:firstLine="486"/>
        <w:spacing w:after="0" w:line="246" w:lineRule="auto"/>
        <w:rPr>
          <w:sz w:val="20"/>
          <w:szCs w:val="20"/>
          <w:color w:val="auto"/>
        </w:rPr>
      </w:pPr>
      <w:r>
        <w:rPr>
          <w:rFonts w:ascii="Arial" w:cs="Arial" w:eastAsia="Arial" w:hAnsi="Arial"/>
          <w:sz w:val="20"/>
          <w:szCs w:val="20"/>
          <w:b w:val="1"/>
          <w:bCs w:val="1"/>
          <w:color w:val="auto"/>
        </w:rPr>
        <w:t xml:space="preserve">Service charges and fees (rebates) on customer accounts - </w:t>
      </w:r>
      <w:r>
        <w:rPr>
          <w:rFonts w:ascii="Arial" w:cs="Arial" w:eastAsia="Arial" w:hAnsi="Arial"/>
          <w:sz w:val="20"/>
          <w:szCs w:val="20"/>
          <w:color w:val="auto"/>
        </w:rPr>
        <w:t>This segment consists of monthly fees for the services rendered on</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 deposit accounts, including maintenance charges, overdraft fees, and processing fees. The monthly fee structures are typically based on type of account, volume, and activity. The customer is typically billed monthly and pays the bill from their deposit account. The Company satisfies the performance obligation related to providing depository accounts monthly as transactions are processed and deposit service charge revenue is recorded.</w:t>
      </w:r>
    </w:p>
    <w:p>
      <w:pPr>
        <w:spacing w:after="0" w:line="131" w:lineRule="exact"/>
        <w:rPr>
          <w:sz w:val="20"/>
          <w:szCs w:val="20"/>
          <w:color w:val="auto"/>
        </w:rPr>
      </w:pPr>
    </w:p>
    <w:p>
      <w:pPr>
        <w:ind w:left="140" w:right="20" w:firstLine="486"/>
        <w:spacing w:after="0" w:line="265" w:lineRule="auto"/>
        <w:rPr>
          <w:sz w:val="20"/>
          <w:szCs w:val="20"/>
          <w:color w:val="auto"/>
        </w:rPr>
      </w:pPr>
      <w:r>
        <w:rPr>
          <w:rFonts w:ascii="Arial" w:cs="Arial" w:eastAsia="Arial" w:hAnsi="Arial"/>
          <w:sz w:val="19"/>
          <w:szCs w:val="19"/>
          <w:b w:val="1"/>
          <w:bCs w:val="1"/>
          <w:color w:val="auto"/>
        </w:rPr>
        <w:t xml:space="preserve">ATM and credit card interchange income - </w:t>
      </w:r>
      <w:r>
        <w:rPr>
          <w:rFonts w:ascii="Arial" w:cs="Arial" w:eastAsia="Arial" w:hAnsi="Arial"/>
          <w:sz w:val="19"/>
          <w:szCs w:val="19"/>
          <w:color w:val="auto"/>
        </w:rPr>
        <w:t>This segment consists of fees charged for use of the Company’s ATMs, as well as, an</w:t>
      </w:r>
      <w:r>
        <w:rPr>
          <w:rFonts w:ascii="Arial" w:cs="Arial" w:eastAsia="Arial" w:hAnsi="Arial"/>
          <w:sz w:val="19"/>
          <w:szCs w:val="19"/>
          <w:b w:val="1"/>
          <w:bCs w:val="1"/>
          <w:color w:val="auto"/>
        </w:rPr>
        <w:t xml:space="preserve"> </w:t>
      </w:r>
      <w:r>
        <w:rPr>
          <w:rFonts w:ascii="Arial" w:cs="Arial" w:eastAsia="Arial" w:hAnsi="Arial"/>
          <w:sz w:val="19"/>
          <w:szCs w:val="19"/>
          <w:color w:val="auto"/>
        </w:rPr>
        <w:t>interchange fee with credit card and debit card service providers. ATM fees and interchange fees are based on the number of transactions, as well as, the underlying agreements. Customers are typically billed monthly. The Company satisfies the performance obligation related to ATM and interchange fees monthly as transactions are processed and revenue is recorded.</w:t>
      </w:r>
    </w:p>
    <w:p>
      <w:pPr>
        <w:spacing w:after="0" w:line="115" w:lineRule="exact"/>
        <w:rPr>
          <w:sz w:val="20"/>
          <w:szCs w:val="20"/>
          <w:color w:val="auto"/>
        </w:rPr>
      </w:pPr>
    </w:p>
    <w:p>
      <w:pPr>
        <w:ind w:left="140" w:right="20" w:firstLine="486"/>
        <w:spacing w:after="0" w:line="285" w:lineRule="auto"/>
        <w:rPr>
          <w:sz w:val="20"/>
          <w:szCs w:val="20"/>
          <w:color w:val="auto"/>
        </w:rPr>
      </w:pPr>
      <w:r>
        <w:rPr>
          <w:rFonts w:ascii="Arial" w:cs="Arial" w:eastAsia="Arial" w:hAnsi="Arial"/>
          <w:sz w:val="18"/>
          <w:szCs w:val="18"/>
          <w:b w:val="1"/>
          <w:bCs w:val="1"/>
          <w:color w:val="auto"/>
        </w:rPr>
        <w:t xml:space="preserve">International fees - </w:t>
      </w:r>
      <w:r>
        <w:rPr>
          <w:rFonts w:ascii="Arial" w:cs="Arial" w:eastAsia="Arial" w:hAnsi="Arial"/>
          <w:sz w:val="18"/>
          <w:szCs w:val="18"/>
          <w:color w:val="auto"/>
        </w:rPr>
        <w:t>This segment consists of fees earned from foreign exchange transactions and preparation of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International fees are based on underlying agreements that describe the Company’s performance obligation and the related fee. Customers are typically billed and cash is received once the service or transaction is complete. The Company satisfies the performance obligation related to international fees monthly as transactions are processed and revenue is recorded.</w:t>
      </w:r>
    </w:p>
    <w:p>
      <w:pPr>
        <w:spacing w:after="0" w:line="97" w:lineRule="exact"/>
        <w:rPr>
          <w:sz w:val="20"/>
          <w:szCs w:val="20"/>
          <w:color w:val="auto"/>
        </w:rPr>
      </w:pPr>
    </w:p>
    <w:p>
      <w:pPr>
        <w:ind w:left="140" w:right="80" w:firstLine="486"/>
        <w:spacing w:after="0" w:line="253" w:lineRule="auto"/>
        <w:rPr>
          <w:sz w:val="20"/>
          <w:szCs w:val="20"/>
          <w:color w:val="auto"/>
        </w:rPr>
      </w:pPr>
      <w:r>
        <w:rPr>
          <w:rFonts w:ascii="Arial" w:cs="Arial" w:eastAsia="Arial" w:hAnsi="Arial"/>
          <w:sz w:val="20"/>
          <w:szCs w:val="20"/>
          <w:b w:val="1"/>
          <w:bCs w:val="1"/>
          <w:color w:val="auto"/>
        </w:rPr>
        <w:t xml:space="preserve">Other fees - </w:t>
      </w:r>
      <w:r>
        <w:rPr>
          <w:rFonts w:ascii="Arial" w:cs="Arial" w:eastAsia="Arial" w:hAnsi="Arial"/>
          <w:sz w:val="20"/>
          <w:szCs w:val="20"/>
          <w:color w:val="auto"/>
        </w:rPr>
        <w:t>This segment consists of numerous, smaller fees such as wire transfer fees, check cashing fees, and check printing fees.</w:t>
      </w:r>
      <w:r>
        <w:rPr>
          <w:rFonts w:ascii="Arial" w:cs="Arial" w:eastAsia="Arial" w:hAnsi="Arial"/>
          <w:sz w:val="20"/>
          <w:szCs w:val="20"/>
          <w:b w:val="1"/>
          <w:bCs w:val="1"/>
          <w:color w:val="auto"/>
        </w:rPr>
        <w:t xml:space="preserve"> </w:t>
      </w:r>
      <w:r>
        <w:rPr>
          <w:rFonts w:ascii="Arial" w:cs="Arial" w:eastAsia="Arial" w:hAnsi="Arial"/>
          <w:sz w:val="20"/>
          <w:szCs w:val="20"/>
          <w:color w:val="auto"/>
        </w:rPr>
        <w:t>Other fees are typically billed to customers on a monthly basis. Performance obligations for other fees are satisfied at the time that the service is rendered.</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following table disaggregates the non-interest income subject to ASU 2014-09 by category:</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40" w:type="dxa"/>
            <w:vAlign w:val="bottom"/>
            <w:gridSpan w:val="6"/>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3"/>
                <w:szCs w:val="23"/>
                <w:color w:val="auto"/>
              </w:rPr>
            </w:pPr>
          </w:p>
        </w:tc>
      </w:tr>
      <w:tr>
        <w:trPr>
          <w:trHeight w:val="27"/>
        </w:trPr>
        <w:tc>
          <w:tcPr>
            <w:tcW w:w="4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51"/>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40" w:type="dxa"/>
            <w:vAlign w:val="bottom"/>
            <w:gridSpan w:val="5"/>
          </w:tcPr>
          <w:p>
            <w:pPr>
              <w:ind w:left="220"/>
              <w:spacing w:after="0"/>
              <w:rPr>
                <w:sz w:val="20"/>
                <w:szCs w:val="20"/>
                <w:color w:val="auto"/>
              </w:rPr>
            </w:pPr>
            <w:r>
              <w:rPr>
                <w:rFonts w:ascii="Arial" w:cs="Arial" w:eastAsia="Arial" w:hAnsi="Arial"/>
                <w:sz w:val="16"/>
                <w:szCs w:val="16"/>
                <w:i w:val="1"/>
                <w:iCs w:val="1"/>
                <w:color w:val="auto"/>
              </w:rPr>
              <w:t>(Dollars in thousands)</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 subject to ASU 2014-09</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40"/>
              <w:spacing w:after="0"/>
              <w:rPr>
                <w:sz w:val="20"/>
                <w:szCs w:val="20"/>
                <w:color w:val="auto"/>
              </w:rPr>
            </w:pPr>
            <w:r>
              <w:rPr>
                <w:rFonts w:ascii="Arial" w:cs="Arial" w:eastAsia="Arial" w:hAnsi="Arial"/>
                <w:sz w:val="18"/>
                <w:szCs w:val="18"/>
                <w:color w:val="auto"/>
              </w:rPr>
              <w:t>Service charges and fees (rebates) on customer accounts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506</w:t>
            </w:r>
          </w:p>
        </w:tc>
      </w:tr>
      <w:tr>
        <w:trPr>
          <w:trHeight w:val="27"/>
        </w:trPr>
        <w:tc>
          <w:tcPr>
            <w:tcW w:w="4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ATM and credit card interchange income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r>
      <w:tr>
        <w:trPr>
          <w:trHeight w:val="243"/>
        </w:trPr>
        <w:tc>
          <w:tcPr>
            <w:tcW w:w="4920" w:type="dxa"/>
            <w:vAlign w:val="bottom"/>
          </w:tcPr>
          <w:p>
            <w:pPr>
              <w:ind w:left="140"/>
              <w:spacing w:after="0"/>
              <w:rPr>
                <w:sz w:val="20"/>
                <w:szCs w:val="20"/>
                <w:color w:val="auto"/>
              </w:rPr>
            </w:pPr>
            <w:r>
              <w:rPr>
                <w:rFonts w:ascii="Arial" w:cs="Arial" w:eastAsia="Arial" w:hAnsi="Arial"/>
                <w:sz w:val="18"/>
                <w:szCs w:val="18"/>
                <w:color w:val="auto"/>
              </w:rPr>
              <w:t>International fees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579</w:t>
            </w:r>
          </w:p>
        </w:tc>
      </w:tr>
      <w:tr>
        <w:trPr>
          <w:trHeight w:val="27"/>
        </w:trPr>
        <w:tc>
          <w:tcPr>
            <w:tcW w:w="4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fees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37"/>
        </w:trPr>
        <w:tc>
          <w:tcPr>
            <w:tcW w:w="4920" w:type="dxa"/>
            <w:vAlign w:val="bottom"/>
          </w:tcPr>
          <w:p>
            <w:pPr>
              <w:ind w:left="260"/>
              <w:spacing w:after="0"/>
              <w:rPr>
                <w:sz w:val="20"/>
                <w:szCs w:val="20"/>
                <w:color w:val="auto"/>
              </w:rPr>
            </w:pPr>
            <w:r>
              <w:rPr>
                <w:rFonts w:ascii="Arial" w:cs="Arial" w:eastAsia="Arial" w:hAnsi="Arial"/>
                <w:sz w:val="18"/>
                <w:szCs w:val="18"/>
                <w:color w:val="auto"/>
              </w:rPr>
              <w:t>Total non-interest income from contracts with customers</w:t>
            </w:r>
          </w:p>
        </w:tc>
        <w:tc>
          <w:tcPr>
            <w:tcW w:w="8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1,942</w:t>
            </w:r>
          </w:p>
        </w:tc>
      </w:tr>
      <w:tr>
        <w:trPr>
          <w:trHeight w:val="27"/>
        </w:trPr>
        <w:tc>
          <w:tcPr>
            <w:tcW w:w="4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 not subject to ASU 2014-09</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Other non-interest income</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2,453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4,166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2,946</w:t>
            </w:r>
          </w:p>
        </w:tc>
      </w:tr>
      <w:tr>
        <w:trPr>
          <w:trHeight w:val="27"/>
        </w:trPr>
        <w:tc>
          <w:tcPr>
            <w:tcW w:w="49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3,212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4,888</w:t>
            </w:r>
          </w:p>
        </w:tc>
      </w:tr>
      <w:tr>
        <w:trPr>
          <w:trHeight w:val="20"/>
        </w:trPr>
        <w:tc>
          <w:tcPr>
            <w:tcW w:w="4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60" w:top="287" w:right="359" w:bottom="1440" w:gutter="0" w:footer="0" w:header="0"/>
        </w:sectPr>
      </w:pPr>
    </w:p>
    <w:bookmarkStart w:id="33" w:name="page34"/>
    <w:bookmarkEnd w:id="33"/>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10:</w:t>
      </w:r>
      <w:r>
        <w:rPr>
          <w:sz w:val="20"/>
          <w:szCs w:val="20"/>
          <w:color w:val="auto"/>
        </w:rPr>
        <w:tab/>
      </w:r>
      <w:r>
        <w:rPr>
          <w:rFonts w:ascii="Arial" w:cs="Arial" w:eastAsia="Arial" w:hAnsi="Arial"/>
          <w:sz w:val="19"/>
          <w:szCs w:val="19"/>
          <w:b w:val="1"/>
          <w:bCs w:val="1"/>
          <w:color w:val="auto"/>
        </w:rPr>
        <w:t>Equity-Based Compensation</w:t>
      </w:r>
    </w:p>
    <w:p>
      <w:pPr>
        <w:spacing w:after="0" w:line="217" w:lineRule="exact"/>
        <w:rPr>
          <w:sz w:val="20"/>
          <w:szCs w:val="20"/>
          <w:color w:val="auto"/>
        </w:rPr>
      </w:pPr>
    </w:p>
    <w:p>
      <w:pPr>
        <w:jc w:val="both"/>
        <w:ind w:left="140" w:right="240" w:firstLine="486"/>
        <w:spacing w:after="0" w:line="246" w:lineRule="auto"/>
        <w:rPr>
          <w:sz w:val="20"/>
          <w:szCs w:val="20"/>
          <w:color w:val="auto"/>
        </w:rPr>
      </w:pPr>
      <w:r>
        <w:rPr>
          <w:rFonts w:ascii="Arial" w:cs="Arial" w:eastAsia="Arial" w:hAnsi="Arial"/>
          <w:sz w:val="20"/>
          <w:szCs w:val="20"/>
          <w:color w:val="auto"/>
        </w:rPr>
        <w:t>The Company issues stock-based compensation in the form of nonvested restricted stock and stock appreciation rights under the 2018 Omnibus Equity Incentive Plan. In addition, the Company has an Employee Stock Purchase Plan that was indefinitely suspended effective April 1, 2019. The aggregate number of shares authorized for future issuance under the Omnibus Plan is 2,275,721 shares as of September 30, 2019.</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below summarizes the stock-based compensation for the three and nine-months ended September 30, 2019 and 2018:</w:t>
      </w:r>
    </w:p>
    <w:p>
      <w:pPr>
        <w:spacing w:after="0" w:line="18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68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tcPr>
          <w:p>
            <w:pPr>
              <w:spacing w:after="0"/>
              <w:rPr>
                <w:sz w:val="20"/>
                <w:szCs w:val="20"/>
                <w:color w:val="auto"/>
              </w:rPr>
            </w:pPr>
          </w:p>
        </w:tc>
      </w:tr>
      <w:tr>
        <w:trPr>
          <w:trHeight w:val="270"/>
        </w:trPr>
        <w:tc>
          <w:tcPr>
            <w:tcW w:w="4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70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w w:val="92"/>
              </w:rPr>
              <w:t>September 30,</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2"/>
              </w:rPr>
              <w:t>September 30,</w:t>
            </w:r>
          </w:p>
        </w:tc>
        <w:tc>
          <w:tcPr>
            <w:tcW w:w="540" w:type="dxa"/>
            <w:vAlign w:val="bottom"/>
          </w:tcPr>
          <w:p>
            <w:pPr>
              <w:spacing w:after="0"/>
              <w:rPr>
                <w:sz w:val="23"/>
                <w:szCs w:val="23"/>
                <w:color w:val="auto"/>
              </w:rPr>
            </w:pPr>
          </w:p>
        </w:tc>
      </w:tr>
      <w:tr>
        <w:trPr>
          <w:trHeight w:val="27"/>
        </w:trPr>
        <w:tc>
          <w:tcPr>
            <w:tcW w:w="4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7"/>
        </w:trPr>
        <w:tc>
          <w:tcPr>
            <w:tcW w:w="4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19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appreciation rights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1,905</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Performance based restricted units and stock</w:t>
            </w:r>
          </w:p>
        </w:tc>
        <w:tc>
          <w:tcPr>
            <w:tcW w:w="9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1,957</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9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57"/>
        </w:trPr>
        <w:tc>
          <w:tcPr>
            <w:tcW w:w="4440" w:type="dxa"/>
            <w:vAlign w:val="bottom"/>
          </w:tcPr>
          <w:p>
            <w:pPr>
              <w:ind w:left="160"/>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1,324</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3,606</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4,513</w:t>
            </w:r>
          </w:p>
        </w:tc>
      </w:tr>
      <w:tr>
        <w:trPr>
          <w:trHeight w:val="20"/>
        </w:trPr>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11:</w:t>
      </w:r>
      <w:r>
        <w:rPr>
          <w:sz w:val="20"/>
          <w:szCs w:val="20"/>
          <w:color w:val="auto"/>
        </w:rPr>
        <w:tab/>
      </w:r>
      <w:r>
        <w:rPr>
          <w:rFonts w:ascii="Arial" w:cs="Arial" w:eastAsia="Arial" w:hAnsi="Arial"/>
          <w:sz w:val="19"/>
          <w:szCs w:val="19"/>
          <w:b w:val="1"/>
          <w:bCs w:val="1"/>
          <w:color w:val="auto"/>
        </w:rPr>
        <w:t>Income Tax</w:t>
      </w:r>
    </w:p>
    <w:p>
      <w:pPr>
        <w:spacing w:after="0" w:line="284" w:lineRule="exact"/>
        <w:rPr>
          <w:sz w:val="20"/>
          <w:szCs w:val="20"/>
          <w:color w:val="auto"/>
        </w:rPr>
      </w:pPr>
    </w:p>
    <w:p>
      <w:pPr>
        <w:ind w:left="140" w:right="380" w:firstLine="486"/>
        <w:spacing w:after="0" w:line="260" w:lineRule="auto"/>
        <w:rPr>
          <w:sz w:val="20"/>
          <w:szCs w:val="20"/>
          <w:color w:val="auto"/>
        </w:rPr>
      </w:pPr>
      <w:r>
        <w:rPr>
          <w:rFonts w:ascii="Arial" w:cs="Arial" w:eastAsia="Arial" w:hAnsi="Arial"/>
          <w:sz w:val="20"/>
          <w:szCs w:val="20"/>
          <w:color w:val="auto"/>
        </w:rPr>
        <w:t>A reconciliation of the income tax expense (benefit) at the statutory rate to the Company’s actual income tax expense (benefit) is shown below:</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60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20" w:type="dxa"/>
            <w:vAlign w:val="bottom"/>
            <w:gridSpan w:val="3"/>
          </w:tcPr>
          <w:p>
            <w:pPr>
              <w:jc w:val="right"/>
              <w:ind w:right="372"/>
              <w:spacing w:after="0"/>
              <w:rPr>
                <w:sz w:val="20"/>
                <w:szCs w:val="20"/>
                <w:color w:val="auto"/>
              </w:rPr>
            </w:pPr>
            <w:r>
              <w:rPr>
                <w:rFonts w:ascii="Arial" w:cs="Arial" w:eastAsia="Arial" w:hAnsi="Arial"/>
                <w:sz w:val="18"/>
                <w:szCs w:val="18"/>
                <w:b w:val="1"/>
                <w:bCs w:val="1"/>
                <w:color w:val="auto"/>
                <w:w w:val="92"/>
              </w:rPr>
              <w:t>September 30,</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23"/>
                <w:szCs w:val="23"/>
                <w:color w:val="auto"/>
              </w:rPr>
            </w:pPr>
          </w:p>
        </w:tc>
      </w:tr>
      <w:tr>
        <w:trPr>
          <w:trHeight w:val="27"/>
        </w:trPr>
        <w:tc>
          <w:tcPr>
            <w:tcW w:w="4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4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4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6"/>
          </w:tcPr>
          <w:p>
            <w:pPr>
              <w:ind w:left="840"/>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Computed at the statutory rate (21%)</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2,725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Tax-exempt income</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Nondeductible expenses</w:t>
            </w:r>
          </w:p>
        </w:tc>
        <w:tc>
          <w:tcPr>
            <w:tcW w:w="9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 tax credit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State income taxes</w:t>
            </w:r>
          </w:p>
        </w:tc>
        <w:tc>
          <w:tcPr>
            <w:tcW w:w="9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Other adjustments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tax expense (benefit)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2,592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0"/>
        </w:trPr>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60" w:top="287" w:right="359" w:bottom="1440" w:gutter="0" w:footer="0" w:header="0"/>
        </w:sectPr>
      </w:pPr>
    </w:p>
    <w:bookmarkStart w:id="34" w:name="page35"/>
    <w:bookmarkEnd w:id="34"/>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tax effects of temporary differences related to deferred taxes shown on the consolidated Balance Sheets are presented below:</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5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40" w:type="dxa"/>
            <w:vAlign w:val="bottom"/>
            <w:gridSpan w:val="2"/>
          </w:tcPr>
          <w:p>
            <w:pPr>
              <w:ind w:left="180"/>
              <w:spacing w:after="0"/>
              <w:rPr>
                <w:sz w:val="20"/>
                <w:szCs w:val="20"/>
                <w:color w:val="auto"/>
              </w:rPr>
            </w:pPr>
            <w:r>
              <w:rPr>
                <w:rFonts w:ascii="Arial" w:cs="Arial" w:eastAsia="Arial" w:hAnsi="Arial"/>
                <w:sz w:val="20"/>
                <w:szCs w:val="20"/>
                <w:b w:val="1"/>
                <w:bCs w:val="1"/>
                <w:color w:val="auto"/>
              </w:rPr>
              <w:t>September 30, 2019</w:t>
            </w:r>
          </w:p>
        </w:tc>
        <w:tc>
          <w:tcPr>
            <w:tcW w:w="320" w:type="dxa"/>
            <w:vAlign w:val="bottom"/>
          </w:tcPr>
          <w:p>
            <w:pPr>
              <w:spacing w:after="0"/>
              <w:rPr>
                <w:sz w:val="22"/>
                <w:szCs w:val="22"/>
                <w:color w:val="auto"/>
              </w:rPr>
            </w:pPr>
          </w:p>
        </w:tc>
        <w:tc>
          <w:tcPr>
            <w:tcW w:w="2300" w:type="dxa"/>
            <w:vAlign w:val="bottom"/>
          </w:tcPr>
          <w:p>
            <w:pPr>
              <w:jc w:val="right"/>
              <w:ind w:right="421"/>
              <w:spacing w:after="0"/>
              <w:rPr>
                <w:sz w:val="20"/>
                <w:szCs w:val="20"/>
                <w:color w:val="auto"/>
              </w:rPr>
            </w:pPr>
            <w:r>
              <w:rPr>
                <w:rFonts w:ascii="Arial" w:cs="Arial" w:eastAsia="Arial" w:hAnsi="Arial"/>
                <w:sz w:val="20"/>
                <w:szCs w:val="20"/>
                <w:b w:val="1"/>
                <w:bCs w:val="1"/>
                <w:color w:val="auto"/>
                <w:w w:val="97"/>
              </w:rPr>
              <w:t>December 31, 2018</w:t>
            </w:r>
          </w:p>
        </w:tc>
      </w:tr>
      <w:tr>
        <w:trPr>
          <w:trHeight w:val="23"/>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4"/>
          </w:tcPr>
          <w:p>
            <w:pPr>
              <w:spacing w:after="0"/>
              <w:rPr>
                <w:sz w:val="2"/>
                <w:szCs w:val="2"/>
                <w:color w:val="auto"/>
              </w:rPr>
            </w:pPr>
          </w:p>
        </w:tc>
      </w:tr>
      <w:tr>
        <w:trPr>
          <w:trHeight w:val="237"/>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gridSpan w:val="4"/>
          </w:tcPr>
          <w:p>
            <w:pPr>
              <w:jc w:val="right"/>
              <w:ind w:right="1761"/>
              <w:spacing w:after="0"/>
              <w:rPr>
                <w:sz w:val="20"/>
                <w:szCs w:val="20"/>
                <w:color w:val="auto"/>
              </w:rPr>
            </w:pPr>
            <w:r>
              <w:rPr>
                <w:rFonts w:ascii="Arial" w:cs="Arial" w:eastAsia="Arial" w:hAnsi="Arial"/>
                <w:sz w:val="18"/>
                <w:szCs w:val="18"/>
                <w:i w:val="1"/>
                <w:iCs w:val="1"/>
                <w:color w:val="auto"/>
              </w:rPr>
              <w:t>(Dollars in thousands)</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r>
      <w:tr>
        <w:trPr>
          <w:trHeight w:val="261"/>
        </w:trPr>
        <w:tc>
          <w:tcPr>
            <w:tcW w:w="5520" w:type="dxa"/>
            <w:vAlign w:val="bottom"/>
          </w:tcPr>
          <w:p>
            <w:pPr>
              <w:ind w:left="280"/>
              <w:spacing w:after="0"/>
              <w:rPr>
                <w:sz w:val="20"/>
                <w:szCs w:val="20"/>
                <w:color w:val="auto"/>
              </w:rPr>
            </w:pPr>
            <w:r>
              <w:rPr>
                <w:rFonts w:ascii="Arial" w:cs="Arial" w:eastAsia="Arial" w:hAnsi="Arial"/>
                <w:sz w:val="20"/>
                <w:szCs w:val="20"/>
                <w:color w:val="auto"/>
              </w:rPr>
              <w:t>Net unrealized loss on securities available-for-sale</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2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986</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Allowance for loan losses</w:t>
            </w: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10,637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9,358</w:t>
            </w:r>
          </w:p>
        </w:tc>
      </w:tr>
      <w:tr>
        <w:trPr>
          <w:trHeight w:val="261"/>
        </w:trPr>
        <w:tc>
          <w:tcPr>
            <w:tcW w:w="5520" w:type="dxa"/>
            <w:vAlign w:val="bottom"/>
          </w:tcPr>
          <w:p>
            <w:pPr>
              <w:ind w:left="280"/>
              <w:spacing w:after="0"/>
              <w:rPr>
                <w:sz w:val="20"/>
                <w:szCs w:val="20"/>
                <w:color w:val="auto"/>
              </w:rPr>
            </w:pPr>
            <w:r>
              <w:rPr>
                <w:rFonts w:ascii="Arial" w:cs="Arial" w:eastAsia="Arial" w:hAnsi="Arial"/>
                <w:sz w:val="20"/>
                <w:szCs w:val="20"/>
                <w:color w:val="auto"/>
              </w:rPr>
              <w:t>Lease incentive</w:t>
            </w:r>
          </w:p>
        </w:tc>
        <w:tc>
          <w:tcPr>
            <w:tcW w:w="300" w:type="dxa"/>
            <w:vAlign w:val="bottom"/>
          </w:tcPr>
          <w:p>
            <w:pPr>
              <w:spacing w:after="0"/>
              <w:rPr>
                <w:sz w:val="22"/>
                <w:szCs w:val="22"/>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306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329</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Impairment of available for sale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498</w:t>
            </w:r>
          </w:p>
        </w:tc>
      </w:tr>
      <w:tr>
        <w:trPr>
          <w:trHeight w:val="261"/>
        </w:trPr>
        <w:tc>
          <w:tcPr>
            <w:tcW w:w="5520" w:type="dxa"/>
            <w:vAlign w:val="bottom"/>
          </w:tcPr>
          <w:p>
            <w:pPr>
              <w:ind w:left="280"/>
              <w:spacing w:after="0"/>
              <w:rPr>
                <w:sz w:val="20"/>
                <w:szCs w:val="20"/>
                <w:color w:val="auto"/>
              </w:rPr>
            </w:pPr>
            <w:r>
              <w:rPr>
                <w:rFonts w:ascii="Arial" w:cs="Arial" w:eastAsia="Arial" w:hAnsi="Arial"/>
                <w:sz w:val="20"/>
                <w:szCs w:val="20"/>
                <w:color w:val="auto"/>
              </w:rPr>
              <w:t>Valuation allowance on real estate</w:t>
            </w:r>
          </w:p>
        </w:tc>
        <w:tc>
          <w:tcPr>
            <w:tcW w:w="300" w:type="dxa"/>
            <w:vAlign w:val="bottom"/>
          </w:tcPr>
          <w:p>
            <w:pPr>
              <w:spacing w:after="0"/>
              <w:rPr>
                <w:sz w:val="22"/>
                <w:szCs w:val="22"/>
                <w:color w:val="auto"/>
              </w:rPr>
            </w:pPr>
          </w:p>
        </w:tc>
        <w:tc>
          <w:tcPr>
            <w:tcW w:w="2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396</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Loan fees</w:t>
            </w: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2,202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2,135</w:t>
            </w:r>
          </w:p>
        </w:tc>
      </w:tr>
      <w:tr>
        <w:trPr>
          <w:trHeight w:val="261"/>
        </w:trPr>
        <w:tc>
          <w:tcPr>
            <w:tcW w:w="5520" w:type="dxa"/>
            <w:vAlign w:val="bottom"/>
          </w:tcPr>
          <w:p>
            <w:pPr>
              <w:ind w:left="280"/>
              <w:spacing w:after="0"/>
              <w:rPr>
                <w:sz w:val="20"/>
                <w:szCs w:val="20"/>
                <w:color w:val="auto"/>
              </w:rPr>
            </w:pPr>
            <w:r>
              <w:rPr>
                <w:rFonts w:ascii="Arial" w:cs="Arial" w:eastAsia="Arial" w:hAnsi="Arial"/>
                <w:sz w:val="20"/>
                <w:szCs w:val="20"/>
                <w:color w:val="auto"/>
              </w:rPr>
              <w:t>Net operating loss carryover</w:t>
            </w:r>
          </w:p>
        </w:tc>
        <w:tc>
          <w:tcPr>
            <w:tcW w:w="300" w:type="dxa"/>
            <w:vAlign w:val="bottom"/>
          </w:tcPr>
          <w:p>
            <w:pPr>
              <w:spacing w:after="0"/>
              <w:rPr>
                <w:sz w:val="22"/>
                <w:szCs w:val="22"/>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370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398</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Accrued expenses</w:t>
            </w: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1,927</w:t>
            </w:r>
          </w:p>
        </w:tc>
      </w:tr>
      <w:tr>
        <w:trPr>
          <w:trHeight w:val="261"/>
        </w:trPr>
        <w:tc>
          <w:tcPr>
            <w:tcW w:w="5520" w:type="dxa"/>
            <w:vAlign w:val="bottom"/>
          </w:tcPr>
          <w:p>
            <w:pPr>
              <w:ind w:left="280"/>
              <w:spacing w:after="0"/>
              <w:rPr>
                <w:sz w:val="20"/>
                <w:szCs w:val="20"/>
                <w:color w:val="auto"/>
              </w:rPr>
            </w:pPr>
            <w:r>
              <w:rPr>
                <w:rFonts w:ascii="Arial" w:cs="Arial" w:eastAsia="Arial" w:hAnsi="Arial"/>
                <w:sz w:val="20"/>
                <w:szCs w:val="20"/>
                <w:color w:val="auto"/>
              </w:rPr>
              <w:t>Deferred compensation</w:t>
            </w:r>
          </w:p>
        </w:tc>
        <w:tc>
          <w:tcPr>
            <w:tcW w:w="300" w:type="dxa"/>
            <w:vAlign w:val="bottom"/>
          </w:tcPr>
          <w:p>
            <w:pPr>
              <w:spacing w:after="0"/>
              <w:rPr>
                <w:sz w:val="22"/>
                <w:szCs w:val="22"/>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2,317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1,838</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Alternative minimum tax credits</w:t>
            </w:r>
          </w:p>
        </w:tc>
        <w:tc>
          <w:tcPr>
            <w:tcW w:w="3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2,365</w:t>
            </w:r>
          </w:p>
        </w:tc>
      </w:tr>
      <w:tr>
        <w:trPr>
          <w:trHeight w:val="261"/>
        </w:trPr>
        <w:tc>
          <w:tcPr>
            <w:tcW w:w="5520" w:type="dxa"/>
            <w:vAlign w:val="bottom"/>
          </w:tcPr>
          <w:p>
            <w:pPr>
              <w:ind w:left="280"/>
              <w:spacing w:after="0"/>
              <w:rPr>
                <w:sz w:val="20"/>
                <w:szCs w:val="20"/>
                <w:color w:val="auto"/>
              </w:rPr>
            </w:pPr>
            <w:r>
              <w:rPr>
                <w:rFonts w:ascii="Arial" w:cs="Arial" w:eastAsia="Arial" w:hAnsi="Arial"/>
                <w:sz w:val="20"/>
                <w:szCs w:val="20"/>
                <w:color w:val="auto"/>
              </w:rPr>
              <w:t>State tax credit</w:t>
            </w:r>
          </w:p>
        </w:tc>
        <w:tc>
          <w:tcPr>
            <w:tcW w:w="300" w:type="dxa"/>
            <w:vAlign w:val="bottom"/>
          </w:tcPr>
          <w:p>
            <w:pPr>
              <w:spacing w:after="0"/>
              <w:rPr>
                <w:sz w:val="22"/>
                <w:szCs w:val="22"/>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3,517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2,506</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8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79</w:t>
            </w:r>
          </w:p>
        </w:tc>
      </w:tr>
      <w:tr>
        <w:trPr>
          <w:trHeight w:val="254"/>
        </w:trPr>
        <w:tc>
          <w:tcPr>
            <w:tcW w:w="55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3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20,015</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22,815</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Deferred tax liability</w:t>
            </w: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r>
      <w:tr>
        <w:trPr>
          <w:trHeight w:val="261"/>
        </w:trPr>
        <w:tc>
          <w:tcPr>
            <w:tcW w:w="5520" w:type="dxa"/>
            <w:vAlign w:val="bottom"/>
          </w:tcPr>
          <w:p>
            <w:pPr>
              <w:ind w:left="280"/>
              <w:spacing w:after="0"/>
              <w:rPr>
                <w:sz w:val="20"/>
                <w:szCs w:val="20"/>
                <w:color w:val="auto"/>
              </w:rPr>
            </w:pPr>
            <w:r>
              <w:rPr>
                <w:rFonts w:ascii="Arial" w:cs="Arial" w:eastAsia="Arial" w:hAnsi="Arial"/>
                <w:sz w:val="20"/>
                <w:szCs w:val="20"/>
                <w:color w:val="auto"/>
              </w:rPr>
              <w:t>Fair market value adjustments - trust preferred securities</w:t>
            </w:r>
          </w:p>
        </w:tc>
        <w:tc>
          <w:tcPr>
            <w:tcW w:w="30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Arial" w:cs="Arial" w:eastAsia="Arial" w:hAnsi="Arial"/>
                <w:sz w:val="20"/>
                <w:szCs w:val="20"/>
                <w:color w:val="auto"/>
              </w:rPr>
              <w:t>(350)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(356)</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Net unrealized gain on securities available-for-sale</w:t>
            </w: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60"/>
        </w:trPr>
        <w:tc>
          <w:tcPr>
            <w:tcW w:w="5520" w:type="dxa"/>
            <w:vAlign w:val="bottom"/>
          </w:tcPr>
          <w:p>
            <w:pPr>
              <w:ind w:left="280"/>
              <w:spacing w:after="0"/>
              <w:rPr>
                <w:sz w:val="20"/>
                <w:szCs w:val="20"/>
                <w:color w:val="auto"/>
              </w:rPr>
            </w:pPr>
            <w:r>
              <w:rPr>
                <w:rFonts w:ascii="Arial" w:cs="Arial" w:eastAsia="Arial" w:hAnsi="Arial"/>
                <w:sz w:val="20"/>
                <w:szCs w:val="20"/>
                <w:color w:val="auto"/>
              </w:rPr>
              <w:t>FHLB stock basis</w:t>
            </w:r>
          </w:p>
        </w:tc>
        <w:tc>
          <w:tcPr>
            <w:tcW w:w="30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Arial" w:cs="Arial" w:eastAsia="Arial" w:hAnsi="Arial"/>
                <w:sz w:val="20"/>
                <w:szCs w:val="20"/>
                <w:color w:val="auto"/>
              </w:rPr>
              <w:t>(936)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(739)</w:t>
            </w:r>
          </w:p>
        </w:tc>
      </w:tr>
      <w:tr>
        <w:trPr>
          <w:trHeight w:val="2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Premises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(5,019)</w:t>
            </w:r>
          </w:p>
        </w:tc>
      </w:tr>
      <w:tr>
        <w:trPr>
          <w:trHeight w:val="260"/>
        </w:trPr>
        <w:tc>
          <w:tcPr>
            <w:tcW w:w="5520" w:type="dxa"/>
            <w:vAlign w:val="bottom"/>
          </w:tcPr>
          <w:p>
            <w:pPr>
              <w:ind w:left="280"/>
              <w:spacing w:after="0"/>
              <w:rPr>
                <w:sz w:val="20"/>
                <w:szCs w:val="20"/>
                <w:color w:val="auto"/>
              </w:rPr>
            </w:pPr>
            <w:r>
              <w:rPr>
                <w:rFonts w:ascii="Arial" w:cs="Arial" w:eastAsia="Arial" w:hAnsi="Arial"/>
                <w:sz w:val="20"/>
                <w:szCs w:val="20"/>
                <w:color w:val="auto"/>
              </w:rPr>
              <w:t>Other</w:t>
            </w:r>
          </w:p>
        </w:tc>
        <w:tc>
          <w:tcPr>
            <w:tcW w:w="30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Arial" w:cs="Arial" w:eastAsia="Arial" w:hAnsi="Arial"/>
                <w:sz w:val="20"/>
                <w:szCs w:val="20"/>
                <w:color w:val="auto"/>
              </w:rPr>
              <w:t>(1,187)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(385)</w:t>
            </w:r>
          </w:p>
        </w:tc>
      </w:tr>
      <w:tr>
        <w:trPr>
          <w:trHeight w:val="23"/>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77"/>
        </w:trPr>
        <w:tc>
          <w:tcPr>
            <w:tcW w:w="55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(12,586)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(6,499)</w:t>
            </w:r>
          </w:p>
        </w:tc>
      </w:tr>
      <w:tr>
        <w:trPr>
          <w:trHeight w:val="272"/>
        </w:trPr>
        <w:tc>
          <w:tcPr>
            <w:tcW w:w="5520" w:type="dxa"/>
            <w:vAlign w:val="bottom"/>
          </w:tcPr>
          <w:p>
            <w:pPr>
              <w:ind w:left="600"/>
              <w:spacing w:after="0"/>
              <w:rPr>
                <w:sz w:val="20"/>
                <w:szCs w:val="20"/>
                <w:color w:val="auto"/>
              </w:rPr>
            </w:pPr>
            <w:r>
              <w:rPr>
                <w:rFonts w:ascii="Arial" w:cs="Arial" w:eastAsia="Arial" w:hAnsi="Arial"/>
                <w:sz w:val="20"/>
                <w:szCs w:val="20"/>
                <w:color w:val="auto"/>
              </w:rPr>
              <w:t>Net deferred tax asset</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2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7,429</w:t>
            </w:r>
          </w:p>
        </w:tc>
        <w:tc>
          <w:tcPr>
            <w:tcW w:w="12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23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16,316</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12:</w:t>
      </w:r>
      <w:r>
        <w:rPr>
          <w:sz w:val="20"/>
          <w:szCs w:val="20"/>
          <w:color w:val="auto"/>
        </w:rPr>
        <w:tab/>
      </w:r>
      <w:r>
        <w:rPr>
          <w:rFonts w:ascii="Arial" w:cs="Arial" w:eastAsia="Arial" w:hAnsi="Arial"/>
          <w:sz w:val="19"/>
          <w:szCs w:val="19"/>
          <w:b w:val="1"/>
          <w:bCs w:val="1"/>
          <w:color w:val="auto"/>
        </w:rPr>
        <w:t>Disclosures about Fair Value of Financial Instruments</w:t>
      </w:r>
    </w:p>
    <w:p>
      <w:pPr>
        <w:spacing w:after="0" w:line="217" w:lineRule="exact"/>
        <w:rPr>
          <w:sz w:val="20"/>
          <w:szCs w:val="20"/>
          <w:color w:val="auto"/>
        </w:rPr>
      </w:pPr>
    </w:p>
    <w:p>
      <w:pPr>
        <w:ind w:left="140" w:firstLine="486"/>
        <w:spacing w:after="0" w:line="269" w:lineRule="auto"/>
        <w:rPr>
          <w:sz w:val="20"/>
          <w:szCs w:val="20"/>
          <w:color w:val="auto"/>
        </w:rPr>
      </w:pPr>
      <w:r>
        <w:rPr>
          <w:rFonts w:ascii="Arial" w:cs="Arial" w:eastAsia="Arial" w:hAnsi="Arial"/>
          <w:sz w:val="19"/>
          <w:szCs w:val="19"/>
          <w:color w:val="auto"/>
        </w:rPr>
        <w:t>Fair value is the price that would be received to sell an asset or paid to transfer a liability in an orderly transaction between market participants at the measurement date. Fair measurements must maximize the use of observable inputs and minimize the use of unobservable inputs. There is a hierarchy of three levels of inputs that may be used to measure fair value:</w:t>
      </w:r>
    </w:p>
    <w:p>
      <w:pPr>
        <w:spacing w:after="0" w:line="110"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20"/>
          <w:szCs w:val="20"/>
          <w:b w:val="1"/>
          <w:bCs w:val="1"/>
          <w:color w:val="auto"/>
        </w:rPr>
        <w:t>Level 1</w:t>
      </w:r>
      <w:r>
        <w:rPr>
          <w:sz w:val="20"/>
          <w:szCs w:val="20"/>
          <w:color w:val="auto"/>
        </w:rPr>
        <w:tab/>
      </w:r>
      <w:r>
        <w:rPr>
          <w:rFonts w:ascii="Arial" w:cs="Arial" w:eastAsia="Arial" w:hAnsi="Arial"/>
          <w:sz w:val="18"/>
          <w:szCs w:val="18"/>
          <w:color w:val="auto"/>
        </w:rPr>
        <w:t>Quoted prices in active markets for identical assets or liabilities</w:t>
      </w:r>
    </w:p>
    <w:p>
      <w:pPr>
        <w:spacing w:after="0" w:line="162" w:lineRule="exact"/>
        <w:rPr>
          <w:sz w:val="20"/>
          <w:szCs w:val="20"/>
          <w:color w:val="auto"/>
        </w:rPr>
      </w:pPr>
    </w:p>
    <w:p>
      <w:pPr>
        <w:ind w:left="1260" w:right="140" w:hanging="890"/>
        <w:spacing w:after="0" w:line="250" w:lineRule="auto"/>
        <w:tabs>
          <w:tab w:leader="none" w:pos="1240" w:val="left"/>
        </w:tabs>
        <w:rPr>
          <w:sz w:val="20"/>
          <w:szCs w:val="20"/>
          <w:color w:val="auto"/>
        </w:rPr>
      </w:pPr>
      <w:r>
        <w:rPr>
          <w:rFonts w:ascii="Arial" w:cs="Arial" w:eastAsia="Arial" w:hAnsi="Arial"/>
          <w:sz w:val="20"/>
          <w:szCs w:val="20"/>
          <w:b w:val="1"/>
          <w:bCs w:val="1"/>
          <w:color w:val="auto"/>
        </w:rPr>
        <w:t>Level 2</w:t>
      </w:r>
      <w:r>
        <w:rPr>
          <w:sz w:val="20"/>
          <w:szCs w:val="20"/>
          <w:color w:val="auto"/>
        </w:rPr>
        <w:tab/>
      </w:r>
      <w:r>
        <w:rPr>
          <w:rFonts w:ascii="Arial" w:cs="Arial" w:eastAsia="Arial" w:hAnsi="Arial"/>
          <w:sz w:val="20"/>
          <w:szCs w:val="20"/>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2"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20"/>
          <w:szCs w:val="20"/>
          <w:b w:val="1"/>
          <w:bCs w:val="1"/>
          <w:color w:val="auto"/>
        </w:rPr>
        <w:t>Level 3</w:t>
      </w:r>
      <w:r>
        <w:rPr>
          <w:sz w:val="20"/>
          <w:szCs w:val="20"/>
          <w:color w:val="auto"/>
        </w:rPr>
        <w:tab/>
      </w:r>
      <w:r>
        <w:rPr>
          <w:rFonts w:ascii="Arial" w:cs="Arial" w:eastAsia="Arial" w:hAnsi="Arial"/>
          <w:sz w:val="18"/>
          <w:szCs w:val="18"/>
          <w:color w:val="auto"/>
        </w:rPr>
        <w:t>Unobservable inputs supported by little or no market activity and significant to the fair value of the assets or liabilities.</w:t>
      </w:r>
    </w:p>
    <w:p>
      <w:pPr>
        <w:spacing w:after="0" w:line="200" w:lineRule="exact"/>
        <w:rPr>
          <w:sz w:val="20"/>
          <w:szCs w:val="20"/>
          <w:color w:val="auto"/>
        </w:rPr>
      </w:pPr>
    </w:p>
    <w:p>
      <w:pPr>
        <w:spacing w:after="0" w:line="375" w:lineRule="exact"/>
        <w:rPr>
          <w:sz w:val="20"/>
          <w:szCs w:val="20"/>
          <w:color w:val="auto"/>
        </w:rPr>
      </w:pPr>
    </w:p>
    <w:p>
      <w:pPr>
        <w:ind w:left="1100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00"/>
          </w:cols>
          <w:pgMar w:left="360" w:top="287" w:right="339" w:bottom="1440" w:gutter="0" w:footer="0" w:header="0"/>
        </w:sectPr>
      </w:pPr>
    </w:p>
    <w:bookmarkStart w:id="35" w:name="page36"/>
    <w:bookmarkEnd w:id="35"/>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Recurring Measurements</w:t>
      </w:r>
    </w:p>
    <w:p>
      <w:pPr>
        <w:spacing w:after="0" w:line="162" w:lineRule="exact"/>
        <w:rPr>
          <w:sz w:val="20"/>
          <w:szCs w:val="20"/>
          <w:color w:val="auto"/>
        </w:rPr>
      </w:pPr>
    </w:p>
    <w:p>
      <w:pPr>
        <w:ind w:left="140" w:right="520" w:firstLine="486"/>
        <w:spacing w:after="0" w:line="250" w:lineRule="auto"/>
        <w:rPr>
          <w:sz w:val="20"/>
          <w:szCs w:val="20"/>
          <w:color w:val="auto"/>
        </w:rPr>
      </w:pPr>
      <w:r>
        <w:rPr>
          <w:rFonts w:ascii="Arial" w:cs="Arial" w:eastAsia="Arial" w:hAnsi="Arial"/>
          <w:sz w:val="20"/>
          <w:szCs w:val="20"/>
          <w:color w:val="auto"/>
        </w:rPr>
        <w:t>The following tables present the fair value measurements of assets and liabilities recognized in the accompanying consolidated Balance Sheets measured at fair value on a recurring basis and the level within the fair value hierarchy in which the fair value measurements fall at September 30, 2019 and December 31, 2018:</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 2019</w:t>
            </w: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80" w:type="dxa"/>
            <w:vAlign w:val="bottom"/>
            <w:gridSpan w:val="4"/>
          </w:tcPr>
          <w:p>
            <w:pPr>
              <w:jc w:val="center"/>
              <w:ind w:left="1151"/>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Active Markets for</w:t>
            </w:r>
          </w:p>
        </w:tc>
        <w:tc>
          <w:tcPr>
            <w:tcW w:w="22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Significant Other</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1"/>
              <w:spacing w:after="0"/>
              <w:rPr>
                <w:sz w:val="20"/>
                <w:szCs w:val="20"/>
                <w:color w:val="auto"/>
              </w:rPr>
            </w:pPr>
            <w:r>
              <w:rPr>
                <w:rFonts w:ascii="Arial" w:cs="Arial" w:eastAsia="Arial" w:hAnsi="Arial"/>
                <w:sz w:val="18"/>
                <w:szCs w:val="18"/>
                <w:b w:val="1"/>
                <w:bCs w:val="1"/>
                <w:color w:val="auto"/>
                <w:w w:val="88"/>
              </w:rPr>
              <w:t>Identical Assets</w:t>
            </w:r>
          </w:p>
        </w:tc>
        <w:tc>
          <w:tcPr>
            <w:tcW w:w="22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Observable Inputs</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Unobservable Inputs</w:t>
            </w:r>
          </w:p>
        </w:tc>
      </w:tr>
      <w:tr>
        <w:trPr>
          <w:trHeight w:val="234"/>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64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(Level 2)</w:t>
            </w:r>
          </w:p>
        </w:tc>
        <w:tc>
          <w:tcPr>
            <w:tcW w:w="500" w:type="dxa"/>
            <w:vAlign w:val="bottom"/>
          </w:tcPr>
          <w:p>
            <w:pPr>
              <w:spacing w:after="0"/>
              <w:rPr>
                <w:sz w:val="20"/>
                <w:szCs w:val="20"/>
                <w:color w:val="auto"/>
              </w:rPr>
            </w:pPr>
          </w:p>
        </w:tc>
        <w:tc>
          <w:tcPr>
            <w:tcW w:w="13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3"/>
          </w:tcPr>
          <w:p>
            <w:pPr>
              <w:ind w:left="960"/>
              <w:spacing w:after="0"/>
              <w:rPr>
                <w:sz w:val="20"/>
                <w:szCs w:val="20"/>
                <w:color w:val="auto"/>
              </w:rPr>
            </w:pPr>
            <w:r>
              <w:rPr>
                <w:rFonts w:ascii="Arial" w:cs="Arial" w:eastAsia="Arial" w:hAnsi="Arial"/>
                <w:sz w:val="16"/>
                <w:szCs w:val="16"/>
                <w:i w:val="1"/>
                <w:iCs w:val="1"/>
                <w:color w:val="auto"/>
              </w:rPr>
              <w:t>(Dollars in thousands)</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160"/>
              <w:spacing w:after="0"/>
              <w:rPr>
                <w:sz w:val="20"/>
                <w:szCs w:val="20"/>
                <w:color w:val="auto"/>
              </w:rPr>
            </w:pPr>
            <w:r>
              <w:rPr>
                <w:rFonts w:ascii="Arial" w:cs="Arial" w:eastAsia="Arial" w:hAnsi="Arial"/>
                <w:sz w:val="18"/>
                <w:szCs w:val="18"/>
                <w:color w:val="auto"/>
              </w:rPr>
              <w:t>Mortgage-backed - GSE residential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160,714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160,714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 - GSE</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3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148,675</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148,675</w:t>
            </w:r>
          </w:p>
        </w:tc>
        <w:tc>
          <w:tcPr>
            <w:tcW w:w="5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16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420,009</w:t>
            </w:r>
          </w:p>
        </w:tc>
        <w:tc>
          <w:tcPr>
            <w:tcW w:w="120" w:type="dxa"/>
            <w:vAlign w:val="bottom"/>
          </w:tcPr>
          <w:p>
            <w:pPr>
              <w:spacing w:after="0"/>
              <w:rPr>
                <w:sz w:val="21"/>
                <w:szCs w:val="21"/>
                <w:color w:val="auto"/>
              </w:rPr>
            </w:pP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420,009</w:t>
            </w:r>
          </w:p>
        </w:tc>
        <w:tc>
          <w:tcPr>
            <w:tcW w:w="50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w:t>
            </w: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2,159</w:t>
            </w:r>
          </w:p>
        </w:tc>
        <w:tc>
          <w:tcPr>
            <w:tcW w:w="50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13,735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13,735</w:t>
            </w: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13,782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13,782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405"/>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 2018</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3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80" w:type="dxa"/>
            <w:vAlign w:val="bottom"/>
            <w:gridSpan w:val="4"/>
          </w:tcPr>
          <w:p>
            <w:pPr>
              <w:jc w:val="center"/>
              <w:ind w:left="1151"/>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Active Markets for</w:t>
            </w:r>
          </w:p>
        </w:tc>
        <w:tc>
          <w:tcPr>
            <w:tcW w:w="22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Significant Other</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1"/>
              <w:spacing w:after="0"/>
              <w:rPr>
                <w:sz w:val="20"/>
                <w:szCs w:val="20"/>
                <w:color w:val="auto"/>
              </w:rPr>
            </w:pPr>
            <w:r>
              <w:rPr>
                <w:rFonts w:ascii="Arial" w:cs="Arial" w:eastAsia="Arial" w:hAnsi="Arial"/>
                <w:sz w:val="18"/>
                <w:szCs w:val="18"/>
                <w:b w:val="1"/>
                <w:bCs w:val="1"/>
                <w:color w:val="auto"/>
                <w:w w:val="88"/>
              </w:rPr>
              <w:t>Identical Assets</w:t>
            </w:r>
          </w:p>
        </w:tc>
        <w:tc>
          <w:tcPr>
            <w:tcW w:w="22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Observable Inputs</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Unobservable Inputs</w:t>
            </w:r>
          </w:p>
        </w:tc>
      </w:tr>
      <w:tr>
        <w:trPr>
          <w:trHeight w:val="234"/>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64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(Level 2)</w:t>
            </w:r>
          </w:p>
        </w:tc>
        <w:tc>
          <w:tcPr>
            <w:tcW w:w="500" w:type="dxa"/>
            <w:vAlign w:val="bottom"/>
          </w:tcPr>
          <w:p>
            <w:pPr>
              <w:spacing w:after="0"/>
              <w:rPr>
                <w:sz w:val="20"/>
                <w:szCs w:val="20"/>
                <w:color w:val="auto"/>
              </w:rPr>
            </w:pPr>
          </w:p>
        </w:tc>
        <w:tc>
          <w:tcPr>
            <w:tcW w:w="13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3"/>
          </w:tcPr>
          <w:p>
            <w:pPr>
              <w:ind w:left="960"/>
              <w:spacing w:after="0"/>
              <w:rPr>
                <w:sz w:val="20"/>
                <w:szCs w:val="20"/>
                <w:color w:val="auto"/>
              </w:rPr>
            </w:pPr>
            <w:r>
              <w:rPr>
                <w:rFonts w:ascii="Arial" w:cs="Arial" w:eastAsia="Arial" w:hAnsi="Arial"/>
                <w:sz w:val="16"/>
                <w:szCs w:val="16"/>
                <w:i w:val="1"/>
                <w:iCs w:val="1"/>
                <w:color w:val="auto"/>
              </w:rPr>
              <w:t>(Dollars in thousands)</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160"/>
              <w:spacing w:after="0"/>
              <w:rPr>
                <w:sz w:val="20"/>
                <w:szCs w:val="20"/>
                <w:color w:val="auto"/>
              </w:rPr>
            </w:pPr>
            <w:r>
              <w:rPr>
                <w:rFonts w:ascii="Arial" w:cs="Arial" w:eastAsia="Arial" w:hAnsi="Arial"/>
                <w:sz w:val="18"/>
                <w:szCs w:val="18"/>
                <w:color w:val="auto"/>
              </w:rPr>
              <w:t>Mortgage-backed - GSE residential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129,287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129,287</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 - GSE</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3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152,626</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152,626</w:t>
            </w:r>
          </w:p>
        </w:tc>
        <w:tc>
          <w:tcPr>
            <w:tcW w:w="5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16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378,058</w:t>
            </w:r>
          </w:p>
        </w:tc>
        <w:tc>
          <w:tcPr>
            <w:tcW w:w="120" w:type="dxa"/>
            <w:vAlign w:val="bottom"/>
          </w:tcPr>
          <w:p>
            <w:pPr>
              <w:spacing w:after="0"/>
              <w:rPr>
                <w:sz w:val="21"/>
                <w:szCs w:val="21"/>
                <w:color w:val="auto"/>
              </w:rPr>
            </w:pP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378,058</w:t>
            </w:r>
          </w:p>
        </w:tc>
        <w:tc>
          <w:tcPr>
            <w:tcW w:w="50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1"/>
                <w:szCs w:val="21"/>
                <w:color w:val="auto"/>
              </w:rPr>
            </w:pP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2,050</w:t>
            </w:r>
          </w:p>
        </w:tc>
        <w:tc>
          <w:tcPr>
            <w:tcW w:w="50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1,136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1,136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9" w:lineRule="exact"/>
        <w:rPr>
          <w:sz w:val="20"/>
          <w:szCs w:val="20"/>
          <w:color w:val="auto"/>
        </w:rPr>
      </w:pPr>
    </w:p>
    <w:p>
      <w:pPr>
        <w:ind w:left="140" w:right="620" w:firstLine="486"/>
        <w:spacing w:after="0" w:line="260" w:lineRule="auto"/>
        <w:rPr>
          <w:sz w:val="20"/>
          <w:szCs w:val="20"/>
          <w:color w:val="auto"/>
        </w:rPr>
      </w:pPr>
      <w:r>
        <w:rPr>
          <w:rFonts w:ascii="Arial" w:cs="Arial" w:eastAsia="Arial" w:hAnsi="Arial"/>
          <w:sz w:val="20"/>
          <w:szCs w:val="20"/>
          <w:color w:val="auto"/>
        </w:rPr>
        <w:t>Following is a description of the valuation methodologies and inputs used for assets and liabilities measured at fair value on a recurring basis and recognized in the Company’s accompanying consolidated balance sheets.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Available-for-Sale Securities</w:t>
      </w:r>
    </w:p>
    <w:p>
      <w:pPr>
        <w:spacing w:after="0" w:line="162" w:lineRule="exact"/>
        <w:rPr>
          <w:sz w:val="20"/>
          <w:szCs w:val="20"/>
          <w:color w:val="auto"/>
        </w:rPr>
      </w:pPr>
    </w:p>
    <w:p>
      <w:pPr>
        <w:ind w:left="140" w:right="140" w:firstLine="486"/>
        <w:spacing w:after="0" w:line="260" w:lineRule="auto"/>
        <w:rPr>
          <w:sz w:val="20"/>
          <w:szCs w:val="20"/>
          <w:color w:val="auto"/>
        </w:rPr>
      </w:pPr>
      <w:r>
        <w:rPr>
          <w:rFonts w:ascii="Arial" w:cs="Arial" w:eastAsia="Arial" w:hAnsi="Arial"/>
          <w:sz w:val="19"/>
          <w:szCs w:val="19"/>
          <w:color w:val="auto"/>
        </w:rPr>
        <w:t>Where quoted market prices are available in an active market, securities are classified within Level 1 of the valuation hierarchy. If quoted market prices are not available, then fair values are estimated by using quoted prices of securities with similar characteristics or independent asset pricing services and pricing models, the inputs of which are market-based or independently sourced market parameters, including, but not limited to, yield curves, interest rates, volatilities, prepayments, defaults, cumulative loss projections and cash flows. Such securities are classified in Level 2 of the valuation hierarchy.</w:t>
      </w:r>
    </w:p>
    <w:p>
      <w:pPr>
        <w:sectPr>
          <w:pgSz w:w="11900" w:h="16838" w:orient="portrait"/>
          <w:cols w:equalWidth="0" w:num="1">
            <w:col w:w="11180"/>
          </w:cols>
          <w:pgMar w:left="360" w:top="287"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80"/>
          </w:cols>
          <w:pgMar w:left="360" w:top="287" w:right="359" w:bottom="1440" w:gutter="0" w:footer="0" w:header="0"/>
          <w:type w:val="continuous"/>
        </w:sectPr>
      </w:pPr>
    </w:p>
    <w:bookmarkStart w:id="36" w:name="page37"/>
    <w:bookmarkEnd w:id="36"/>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Derivatives</w:t>
      </w:r>
    </w:p>
    <w:p>
      <w:pPr>
        <w:spacing w:after="0" w:line="162" w:lineRule="exact"/>
        <w:rPr>
          <w:sz w:val="20"/>
          <w:szCs w:val="20"/>
          <w:color w:val="auto"/>
        </w:rPr>
      </w:pPr>
    </w:p>
    <w:p>
      <w:pPr>
        <w:ind w:left="140" w:right="780" w:firstLine="486"/>
        <w:spacing w:after="0" w:line="260" w:lineRule="auto"/>
        <w:rPr>
          <w:sz w:val="20"/>
          <w:szCs w:val="20"/>
          <w:color w:val="auto"/>
        </w:rPr>
      </w:pPr>
      <w:r>
        <w:rPr>
          <w:rFonts w:ascii="Arial" w:cs="Arial" w:eastAsia="Arial" w:hAnsi="Arial"/>
          <w:sz w:val="20"/>
          <w:szCs w:val="20"/>
          <w:color w:val="auto"/>
        </w:rPr>
        <w:t>Fair value of the interest rate swaps is obtained from independent pricing services based on quoted market prices for similar derivative contracts.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Nonrecurring Measurements</w:t>
      </w:r>
    </w:p>
    <w:p>
      <w:pPr>
        <w:spacing w:after="0" w:line="162" w:lineRule="exact"/>
        <w:rPr>
          <w:sz w:val="20"/>
          <w:szCs w:val="20"/>
          <w:color w:val="auto"/>
        </w:rPr>
      </w:pPr>
    </w:p>
    <w:p>
      <w:pPr>
        <w:ind w:left="140" w:right="400" w:firstLine="486"/>
        <w:spacing w:after="0" w:line="260" w:lineRule="auto"/>
        <w:rPr>
          <w:sz w:val="20"/>
          <w:szCs w:val="20"/>
          <w:color w:val="auto"/>
        </w:rPr>
      </w:pPr>
      <w:r>
        <w:rPr>
          <w:rFonts w:ascii="Arial" w:cs="Arial" w:eastAsia="Arial" w:hAnsi="Arial"/>
          <w:sz w:val="20"/>
          <w:szCs w:val="20"/>
          <w:color w:val="auto"/>
        </w:rPr>
        <w:t>The following tables present assets measured at fair value on a nonrecurring basis and the level within the fair value hierarchy in which the fair value measurements fall at September 30, 2019 and December 31, 2018:</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September 30, 2019</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3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Fair Value Measurements Using</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Active Markets for</w:t>
            </w:r>
          </w:p>
        </w:tc>
        <w:tc>
          <w:tcPr>
            <w:tcW w:w="22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Significant Other</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Identical Assets (Level</w:t>
            </w:r>
          </w:p>
        </w:tc>
        <w:tc>
          <w:tcPr>
            <w:tcW w:w="22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Observable Inputs</w:t>
            </w:r>
          </w:p>
        </w:tc>
        <w:tc>
          <w:tcPr>
            <w:tcW w:w="20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Unobservable Inputs</w:t>
            </w: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720" w:type="dxa"/>
            <w:vAlign w:val="bottom"/>
          </w:tcPr>
          <w:p>
            <w:pPr>
              <w:jc w:val="center"/>
              <w:ind w:right="111"/>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3"/>
          </w:tcPr>
          <w:p>
            <w:pPr>
              <w:ind w:left="10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Collateral-dependent impaired loans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40,220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40,220</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Premises and equipment held-for-sale</w:t>
            </w:r>
          </w:p>
        </w:tc>
        <w:tc>
          <w:tcPr>
            <w:tcW w:w="320" w:type="dxa"/>
            <w:vAlign w:val="bottom"/>
          </w:tcPr>
          <w:p>
            <w:pPr>
              <w:spacing w:after="0"/>
              <w:rPr>
                <w:sz w:val="21"/>
                <w:szCs w:val="21"/>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Foreclosed assets held for sale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r>
      <w:tr>
        <w:trPr>
          <w:trHeight w:val="378"/>
        </w:trPr>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 2018</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3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Fair Value Measurements Using</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Active Markets for</w:t>
            </w:r>
          </w:p>
        </w:tc>
        <w:tc>
          <w:tcPr>
            <w:tcW w:w="22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Significant Other</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Identical Assets (Level</w:t>
            </w:r>
          </w:p>
        </w:tc>
        <w:tc>
          <w:tcPr>
            <w:tcW w:w="22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Observable Inputs</w:t>
            </w:r>
          </w:p>
        </w:tc>
        <w:tc>
          <w:tcPr>
            <w:tcW w:w="20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Unobservable Inputs</w:t>
            </w: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720" w:type="dxa"/>
            <w:vAlign w:val="bottom"/>
          </w:tcPr>
          <w:p>
            <w:pPr>
              <w:jc w:val="center"/>
              <w:ind w:right="111"/>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3"/>
          </w:tcPr>
          <w:p>
            <w:pPr>
              <w:ind w:left="10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Collateral-dependent impaired loans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50,288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50,288</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Premises and equipment held-for-sale</w:t>
            </w:r>
          </w:p>
        </w:tc>
        <w:tc>
          <w:tcPr>
            <w:tcW w:w="320" w:type="dxa"/>
            <w:vAlign w:val="bottom"/>
          </w:tcPr>
          <w:p>
            <w:pPr>
              <w:spacing w:after="0"/>
              <w:rPr>
                <w:sz w:val="21"/>
                <w:szCs w:val="21"/>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3,444</w:t>
            </w:r>
          </w:p>
        </w:tc>
        <w:tc>
          <w:tcPr>
            <w:tcW w:w="160" w:type="dxa"/>
            <w:vAlign w:val="bottom"/>
          </w:tcPr>
          <w:p>
            <w:pPr>
              <w:spacing w:after="0"/>
              <w:rPr>
                <w:sz w:val="21"/>
                <w:szCs w:val="21"/>
                <w:color w:val="auto"/>
              </w:rPr>
            </w:pPr>
          </w:p>
        </w:tc>
        <w:tc>
          <w:tcPr>
            <w:tcW w:w="172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3,444</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Foreclosed assets held for sale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2" w:lineRule="exact"/>
        <w:rPr>
          <w:sz w:val="20"/>
          <w:szCs w:val="20"/>
          <w:color w:val="auto"/>
        </w:rPr>
      </w:pPr>
    </w:p>
    <w:p>
      <w:pPr>
        <w:ind w:left="140" w:right="240" w:firstLine="486"/>
        <w:spacing w:after="0" w:line="260" w:lineRule="auto"/>
        <w:rPr>
          <w:sz w:val="20"/>
          <w:szCs w:val="20"/>
          <w:color w:val="auto"/>
        </w:rPr>
      </w:pPr>
      <w:r>
        <w:rPr>
          <w:rFonts w:ascii="Arial" w:cs="Arial" w:eastAsia="Arial" w:hAnsi="Arial"/>
          <w:sz w:val="20"/>
          <w:szCs w:val="20"/>
          <w:color w:val="auto"/>
        </w:rPr>
        <w:t>Following is a description of the valuation methodologies and inputs used for assets measured at fair value on a nonrecurring basis and recognized in the accompanying consolidated balance sheets.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Collateral-dependent Impaired Loans, Net of ALLL</w:t>
      </w:r>
    </w:p>
    <w:p>
      <w:pPr>
        <w:spacing w:after="0" w:line="162" w:lineRule="exact"/>
        <w:rPr>
          <w:sz w:val="20"/>
          <w:szCs w:val="20"/>
          <w:color w:val="auto"/>
        </w:rPr>
      </w:pPr>
    </w:p>
    <w:p>
      <w:pPr>
        <w:ind w:left="140" w:right="220" w:firstLine="486"/>
        <w:spacing w:after="0" w:line="321" w:lineRule="auto"/>
        <w:rPr>
          <w:sz w:val="20"/>
          <w:szCs w:val="20"/>
          <w:color w:val="auto"/>
        </w:rPr>
      </w:pPr>
      <w:r>
        <w:rPr>
          <w:rFonts w:ascii="Arial" w:cs="Arial" w:eastAsia="Arial" w:hAnsi="Arial"/>
          <w:sz w:val="16"/>
          <w:szCs w:val="16"/>
          <w:color w:val="auto"/>
        </w:rPr>
        <w:t>The estimated fair value of collateral-dependent impaired loans is based on the appraised fair value of the collateral, less estimated cost to sell. Collateral-dependent impaired loans are classified within Level 3 of the fair value hierarchy. The Company considers the appraisal or evaluation as the starting point for determining fair value and then considers other factors and events in the environment that may affect the fair value. The impaired loans had a carrying value of $52.0 million and $59.7 million and were reduced by specific valuation allowance allocations totaling $11.8 million and $9.4 million at September 30, 2019 and December 31, 2018, respectively.</w:t>
      </w:r>
    </w:p>
    <w:p>
      <w:pPr>
        <w:spacing w:after="0" w:line="79" w:lineRule="exact"/>
        <w:rPr>
          <w:sz w:val="20"/>
          <w:szCs w:val="20"/>
          <w:color w:val="auto"/>
        </w:rPr>
      </w:pPr>
    </w:p>
    <w:p>
      <w:pPr>
        <w:ind w:left="140" w:firstLine="486"/>
        <w:spacing w:after="0" w:line="260" w:lineRule="auto"/>
        <w:rPr>
          <w:sz w:val="20"/>
          <w:szCs w:val="20"/>
          <w:color w:val="auto"/>
        </w:rPr>
      </w:pPr>
      <w:r>
        <w:rPr>
          <w:rFonts w:ascii="Arial" w:cs="Arial" w:eastAsia="Arial" w:hAnsi="Arial"/>
          <w:sz w:val="19"/>
          <w:szCs w:val="19"/>
          <w:color w:val="auto"/>
        </w:rPr>
        <w:t>Appraisals of the collateral underlying collateral-dependent loans are obtained when the loan is determined to be collateral-dependent and subsequently as deemed necessary by the Office of the Chief Credit Officer. Appraisals are reviewed for accuracy and consistency by the Office of the Chief Credit Officer. The appraised values are reduced by discounts to consider lack of marketability and estimated cost to sell if repayment or satisfaction of the loan is dependent on the sale of the collateral. These discounts and estimates are developed by the Office of the Chief Credit Officer by comparison to historical results.</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Premises and Equipment Held-for-Sale</w:t>
      </w:r>
    </w:p>
    <w:p>
      <w:pPr>
        <w:spacing w:after="0" w:line="162" w:lineRule="exact"/>
        <w:rPr>
          <w:sz w:val="20"/>
          <w:szCs w:val="20"/>
          <w:color w:val="auto"/>
        </w:rPr>
      </w:pPr>
    </w:p>
    <w:p>
      <w:pPr>
        <w:ind w:left="140" w:right="100" w:firstLine="486"/>
        <w:spacing w:after="0" w:line="260" w:lineRule="auto"/>
        <w:rPr>
          <w:sz w:val="20"/>
          <w:szCs w:val="20"/>
          <w:color w:val="auto"/>
        </w:rPr>
      </w:pPr>
      <w:r>
        <w:rPr>
          <w:rFonts w:ascii="Arial" w:cs="Arial" w:eastAsia="Arial" w:hAnsi="Arial"/>
          <w:sz w:val="20"/>
          <w:szCs w:val="20"/>
          <w:color w:val="auto"/>
        </w:rPr>
        <w:t>The estimated fair value of premises and equipment held-for-sale is based on the appraised fair value of the collateral, less estimated cost to sell.</w:t>
      </w:r>
    </w:p>
    <w:p>
      <w:pPr>
        <w:sectPr>
          <w:pgSz w:w="11900" w:h="16838" w:orient="portrait"/>
          <w:cols w:equalWidth="0" w:num="1">
            <w:col w:w="11200"/>
          </w:cols>
          <w:pgMar w:left="360" w:top="287"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00"/>
          </w:cols>
          <w:pgMar w:left="360" w:top="287" w:right="339" w:bottom="1440" w:gutter="0" w:footer="0" w:header="0"/>
          <w:type w:val="continuous"/>
        </w:sectPr>
      </w:pPr>
    </w:p>
    <w:bookmarkStart w:id="37" w:name="page38"/>
    <w:bookmarkEnd w:id="37"/>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Foreclosed Assets Held-for-Sale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estimated fair value of foreclosed assets held-for-sale is based on the appraised fair value of the collateral, less estimated cost to</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sell.</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Unobservable (Level 3) Inputs</w:t>
      </w:r>
    </w:p>
    <w:p>
      <w:pPr>
        <w:spacing w:after="0" w:line="216" w:lineRule="exact"/>
        <w:rPr>
          <w:sz w:val="20"/>
          <w:szCs w:val="20"/>
          <w:color w:val="auto"/>
        </w:rPr>
      </w:pPr>
    </w:p>
    <w:p>
      <w:pPr>
        <w:ind w:left="140" w:right="1080" w:firstLine="486"/>
        <w:spacing w:after="0" w:line="260" w:lineRule="auto"/>
        <w:rPr>
          <w:sz w:val="20"/>
          <w:szCs w:val="20"/>
          <w:color w:val="auto"/>
        </w:rPr>
      </w:pPr>
      <w:r>
        <w:rPr>
          <w:rFonts w:ascii="Arial" w:cs="Arial" w:eastAsia="Arial" w:hAnsi="Arial"/>
          <w:sz w:val="20"/>
          <w:szCs w:val="20"/>
          <w:color w:val="auto"/>
        </w:rPr>
        <w:t>The following tables present quantitative information about unobservable inputs used in nonrecurring Level 3 fair value measurements at September 30, 2019 and December 31, 2018:</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September 30, 2019</w:t>
            </w:r>
          </w:p>
        </w:tc>
        <w:tc>
          <w:tcPr>
            <w:tcW w:w="154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Range (Weighted</w:t>
            </w:r>
          </w:p>
        </w:tc>
      </w:tr>
      <w:tr>
        <w:trPr>
          <w:trHeight w:val="234"/>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1940" w:type="dxa"/>
            <w:vAlign w:val="bottom"/>
          </w:tcPr>
          <w:p>
            <w:pPr>
              <w:ind w:left="200"/>
              <w:spacing w:after="0"/>
              <w:rPr>
                <w:sz w:val="20"/>
                <w:szCs w:val="20"/>
                <w:color w:val="auto"/>
              </w:rPr>
            </w:pPr>
            <w:r>
              <w:rPr>
                <w:rFonts w:ascii="Arial" w:cs="Arial" w:eastAsia="Arial" w:hAnsi="Arial"/>
                <w:sz w:val="18"/>
                <w:szCs w:val="18"/>
                <w:b w:val="1"/>
                <w:bCs w:val="1"/>
                <w:color w:val="auto"/>
                <w:w w:val="96"/>
              </w:rPr>
              <w:t>Unobservable Inputs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7"/>
        </w:trPr>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80" w:type="dxa"/>
            <w:vAlign w:val="bottom"/>
            <w:gridSpan w:val="2"/>
          </w:tcPr>
          <w:p>
            <w:pPr>
              <w:ind w:left="1220"/>
              <w:spacing w:after="0"/>
              <w:rPr>
                <w:sz w:val="20"/>
                <w:szCs w:val="20"/>
                <w:color w:val="auto"/>
              </w:rPr>
            </w:pPr>
            <w:r>
              <w:rPr>
                <w:rFonts w:ascii="Arial" w:cs="Arial" w:eastAsia="Arial" w:hAnsi="Arial"/>
                <w:sz w:val="16"/>
                <w:szCs w:val="16"/>
                <w:i w:val="1"/>
                <w:iCs w:val="1"/>
                <w:color w:val="auto"/>
              </w:rPr>
              <w:t>(Dollars in thousands)</w:t>
            </w:r>
          </w:p>
        </w:tc>
        <w:tc>
          <w:tcPr>
            <w:tcW w:w="15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3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comparable</w:t>
            </w:r>
          </w:p>
        </w:tc>
        <w:tc>
          <w:tcPr>
            <w:tcW w:w="194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 - 15%</w:t>
            </w: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Collateral-dependent impaired loans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40,220</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properties</w:t>
            </w:r>
          </w:p>
        </w:tc>
        <w:tc>
          <w:tcPr>
            <w:tcW w:w="1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Marketability discount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(12%)</w:t>
            </w:r>
          </w:p>
        </w:tc>
      </w:tr>
      <w:tr>
        <w:trPr>
          <w:trHeight w:val="229"/>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Market comparable</w:t>
            </w: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3720" w:type="dxa"/>
            <w:vAlign w:val="bottom"/>
          </w:tcPr>
          <w:p>
            <w:pPr>
              <w:ind w:left="40"/>
              <w:spacing w:after="0"/>
              <w:rPr>
                <w:sz w:val="20"/>
                <w:szCs w:val="20"/>
                <w:color w:val="auto"/>
              </w:rPr>
            </w:pPr>
            <w:r>
              <w:rPr>
                <w:rFonts w:ascii="Arial" w:cs="Arial" w:eastAsia="Arial" w:hAnsi="Arial"/>
                <w:sz w:val="18"/>
                <w:szCs w:val="18"/>
                <w:color w:val="auto"/>
              </w:rPr>
              <w:t>Foreclosed assets held for sale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2,471</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properties</w:t>
            </w:r>
          </w:p>
        </w:tc>
        <w:tc>
          <w:tcPr>
            <w:tcW w:w="1940" w:type="dxa"/>
            <w:vAlign w:val="bottom"/>
          </w:tcPr>
          <w:p>
            <w:pPr>
              <w:ind w:left="180"/>
              <w:spacing w:after="0"/>
              <w:rPr>
                <w:sz w:val="20"/>
                <w:szCs w:val="20"/>
                <w:color w:val="auto"/>
              </w:rPr>
            </w:pPr>
            <w:r>
              <w:rPr>
                <w:rFonts w:ascii="Arial" w:cs="Arial" w:eastAsia="Arial" w:hAnsi="Arial"/>
                <w:sz w:val="18"/>
                <w:szCs w:val="18"/>
                <w:color w:val="auto"/>
              </w:rPr>
              <w:t>Marketability discount</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25%</w:t>
            </w:r>
          </w:p>
        </w:tc>
      </w:tr>
    </w:tbl>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80" w:type="dxa"/>
            <w:vAlign w:val="bottom"/>
            <w:gridSpan w:val="2"/>
          </w:tcPr>
          <w:p>
            <w:pPr>
              <w:ind w:left="1220"/>
              <w:spacing w:after="0"/>
              <w:rPr>
                <w:sz w:val="20"/>
                <w:szCs w:val="20"/>
                <w:color w:val="auto"/>
              </w:rPr>
            </w:pPr>
            <w:r>
              <w:rPr>
                <w:rFonts w:ascii="Arial" w:cs="Arial" w:eastAsia="Arial" w:hAnsi="Arial"/>
                <w:sz w:val="18"/>
                <w:szCs w:val="18"/>
                <w:b w:val="1"/>
                <w:bCs w:val="1"/>
                <w:color w:val="auto"/>
              </w:rPr>
              <w:t>December 31, 2018</w:t>
            </w:r>
          </w:p>
        </w:tc>
        <w:tc>
          <w:tcPr>
            <w:tcW w:w="154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Range (Weighted</w:t>
            </w:r>
          </w:p>
        </w:tc>
      </w:tr>
      <w:tr>
        <w:trPr>
          <w:trHeight w:val="234"/>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1940" w:type="dxa"/>
            <w:vAlign w:val="bottom"/>
          </w:tcPr>
          <w:p>
            <w:pPr>
              <w:ind w:left="200"/>
              <w:spacing w:after="0"/>
              <w:rPr>
                <w:sz w:val="20"/>
                <w:szCs w:val="20"/>
                <w:color w:val="auto"/>
              </w:rPr>
            </w:pPr>
            <w:r>
              <w:rPr>
                <w:rFonts w:ascii="Arial" w:cs="Arial" w:eastAsia="Arial" w:hAnsi="Arial"/>
                <w:sz w:val="18"/>
                <w:szCs w:val="18"/>
                <w:b w:val="1"/>
                <w:bCs w:val="1"/>
                <w:color w:val="auto"/>
                <w:w w:val="96"/>
              </w:rPr>
              <w:t>Unobservable Inputs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7"/>
        </w:trPr>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80" w:type="dxa"/>
            <w:vAlign w:val="bottom"/>
            <w:gridSpan w:val="2"/>
          </w:tcPr>
          <w:p>
            <w:pPr>
              <w:ind w:left="1220"/>
              <w:spacing w:after="0"/>
              <w:rPr>
                <w:sz w:val="20"/>
                <w:szCs w:val="20"/>
                <w:color w:val="auto"/>
              </w:rPr>
            </w:pPr>
            <w:r>
              <w:rPr>
                <w:rFonts w:ascii="Arial" w:cs="Arial" w:eastAsia="Arial" w:hAnsi="Arial"/>
                <w:sz w:val="16"/>
                <w:szCs w:val="16"/>
                <w:i w:val="1"/>
                <w:iCs w:val="1"/>
                <w:color w:val="auto"/>
              </w:rPr>
              <w:t>(Dollars in thousands)</w:t>
            </w:r>
          </w:p>
        </w:tc>
        <w:tc>
          <w:tcPr>
            <w:tcW w:w="15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3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comparable</w:t>
            </w:r>
          </w:p>
        </w:tc>
        <w:tc>
          <w:tcPr>
            <w:tcW w:w="19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 - 15%</w:t>
            </w: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Collateral-dependent impaired loans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50,288</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properties</w:t>
            </w:r>
          </w:p>
        </w:tc>
        <w:tc>
          <w:tcPr>
            <w:tcW w:w="1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Marketability discount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Foreclosed assets held for sale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following tables present the estimated fair values of the Company’s financial instruments at September 30, 2019 and</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2018:</w:t>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140"/>
              <w:spacing w:after="0"/>
              <w:rPr>
                <w:sz w:val="20"/>
                <w:szCs w:val="20"/>
                <w:color w:val="auto"/>
              </w:rPr>
            </w:pPr>
            <w:r>
              <w:rPr>
                <w:rFonts w:ascii="Arial" w:cs="Arial" w:eastAsia="Arial" w:hAnsi="Arial"/>
                <w:sz w:val="18"/>
                <w:szCs w:val="18"/>
                <w:b w:val="1"/>
                <w:bCs w:val="1"/>
                <w:color w:val="auto"/>
              </w:rPr>
              <w:t>Fair Value Measurements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128,126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128,126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128,126</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733,093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733,093</w:t>
            </w: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Loans, net of allowance for loan losses</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3,586,797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3,607,276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3,607,276</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16,053</w:t>
            </w: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15,909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15,909</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13,735</w:t>
            </w:r>
          </w:p>
        </w:tc>
      </w:tr>
      <w:tr>
        <w:trPr>
          <w:trHeight w:val="237"/>
        </w:trPr>
        <w:tc>
          <w:tcPr>
            <w:tcW w:w="3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4,493,713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128,126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762,737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3,623,329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4,514,192</w:t>
            </w:r>
          </w:p>
        </w:tc>
      </w:tr>
      <w:tr>
        <w:trPr>
          <w:trHeight w:val="67"/>
        </w:trPr>
        <w:tc>
          <w:tcPr>
            <w:tcW w:w="3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3,658,108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513,832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3,162,740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3,676,572</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purchased and repurchase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agreements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49,809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49,809</w:t>
            </w: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307,804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311,583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311,583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4,643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13,782</w:t>
            </w:r>
          </w:p>
        </w:tc>
      </w:tr>
      <w:tr>
        <w:trPr>
          <w:trHeight w:val="236"/>
        </w:trPr>
        <w:tc>
          <w:tcPr>
            <w:tcW w:w="3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4,035,059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513,832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381,871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3,162,740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4,058,443</w:t>
            </w: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287" w:right="359" w:bottom="1440" w:gutter="0" w:footer="0" w:header="0"/>
        </w:sectPr>
      </w:pPr>
    </w:p>
    <w:p>
      <w:pPr>
        <w:spacing w:after="0" w:line="191"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80"/>
          </w:cols>
          <w:pgMar w:left="360" w:top="287" w:right="35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4960" w:type="dxa"/>
            <w:vAlign w:val="bottom"/>
            <w:gridSpan w:val="10"/>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48"/>
        </w:trPr>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ind w:left="140"/>
              <w:spacing w:after="0"/>
              <w:rPr>
                <w:sz w:val="20"/>
                <w:szCs w:val="20"/>
                <w:color w:val="auto"/>
              </w:rPr>
            </w:pPr>
            <w:r>
              <w:rPr>
                <w:rFonts w:ascii="Arial" w:cs="Arial" w:eastAsia="Arial" w:hAnsi="Arial"/>
                <w:sz w:val="18"/>
                <w:szCs w:val="18"/>
                <w:b w:val="1"/>
                <w:bCs w:val="1"/>
                <w:color w:val="auto"/>
              </w:rPr>
              <w:t>Fair Value Measurements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 2</w:t>
            </w: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Financial Assets</w:t>
            </w: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216,541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216,541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216,541</w:t>
            </w: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661,628</w:t>
            </w:r>
          </w:p>
        </w:tc>
      </w:tr>
      <w:tr>
        <w:trPr>
          <w:trHeight w:val="243"/>
        </w:trPr>
        <w:tc>
          <w:tcPr>
            <w:tcW w:w="220" w:type="dxa"/>
            <w:vAlign w:val="bottom"/>
          </w:tcPr>
          <w:p>
            <w:pPr>
              <w:spacing w:after="0"/>
              <w:rPr>
                <w:sz w:val="21"/>
                <w:szCs w:val="21"/>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w w:val="97"/>
              </w:rPr>
              <w:t>Loans, net of allowance for loan losses</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3,022,921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3,027,930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3,027,930</w:t>
            </w: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equity securities</w:t>
            </w: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r>
      <w:tr>
        <w:trPr>
          <w:trHeight w:val="243"/>
        </w:trPr>
        <w:tc>
          <w:tcPr>
            <w:tcW w:w="220" w:type="dxa"/>
            <w:vAlign w:val="bottom"/>
          </w:tcPr>
          <w:p>
            <w:pPr>
              <w:spacing w:after="0"/>
              <w:rPr>
                <w:sz w:val="21"/>
                <w:szCs w:val="21"/>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Interest receivable</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14,092</w:t>
            </w: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37"/>
        </w:trPr>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3,930,758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216,541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676,771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3,042,455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3,935,767</w:t>
            </w:r>
          </w:p>
        </w:tc>
      </w:tr>
      <w:tr>
        <w:trPr>
          <w:trHeight w:val="67"/>
        </w:trPr>
        <w:tc>
          <w:tcPr>
            <w:tcW w:w="22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220" w:type="dxa"/>
            <w:vAlign w:val="bottom"/>
          </w:tcPr>
          <w:p>
            <w:pPr>
              <w:spacing w:after="0"/>
              <w:rPr>
                <w:sz w:val="20"/>
                <w:szCs w:val="20"/>
                <w:color w:val="auto"/>
              </w:rPr>
            </w:pPr>
          </w:p>
        </w:tc>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220" w:type="dxa"/>
            <w:vAlign w:val="bottom"/>
          </w:tcPr>
          <w:p>
            <w:pPr>
              <w:spacing w:after="0"/>
              <w:rPr>
                <w:sz w:val="21"/>
                <w:szCs w:val="21"/>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3,208,097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484,284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2,696,212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3,180,496</w:t>
            </w: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Federal funds purchased and repurchase</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20" w:type="dxa"/>
            <w:vAlign w:val="bottom"/>
          </w:tcPr>
          <w:p>
            <w:pPr>
              <w:spacing w:after="0"/>
              <w:rPr>
                <w:sz w:val="20"/>
                <w:szCs w:val="20"/>
                <w:color w:val="auto"/>
              </w:rPr>
            </w:pPr>
          </w:p>
        </w:tc>
        <w:tc>
          <w:tcPr>
            <w:tcW w:w="3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agreements</w:t>
            </w: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75,404</w:t>
            </w:r>
          </w:p>
        </w:tc>
      </w:tr>
      <w:tr>
        <w:trPr>
          <w:trHeight w:val="243"/>
        </w:trPr>
        <w:tc>
          <w:tcPr>
            <w:tcW w:w="220" w:type="dxa"/>
            <w:vAlign w:val="bottom"/>
          </w:tcPr>
          <w:p>
            <w:pPr>
              <w:spacing w:after="0"/>
              <w:rPr>
                <w:sz w:val="21"/>
                <w:szCs w:val="21"/>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312,985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298,017</w:t>
            </w: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w:t>
            </w:r>
          </w:p>
        </w:tc>
      </w:tr>
      <w:tr>
        <w:trPr>
          <w:trHeight w:val="243"/>
        </w:trPr>
        <w:tc>
          <w:tcPr>
            <w:tcW w:w="220" w:type="dxa"/>
            <w:vAlign w:val="bottom"/>
          </w:tcPr>
          <w:p>
            <w:pPr>
              <w:spacing w:after="0"/>
              <w:rPr>
                <w:sz w:val="21"/>
                <w:szCs w:val="21"/>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r>
      <w:tr>
        <w:trPr>
          <w:trHeight w:val="237"/>
        </w:trPr>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3,601,376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484,284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379,447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2,696,212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3,559,943</w:t>
            </w:r>
          </w:p>
        </w:tc>
      </w:tr>
      <w:tr>
        <w:trPr>
          <w:trHeight w:val="27"/>
        </w:trPr>
        <w:tc>
          <w:tcPr>
            <w:tcW w:w="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40" w:right="40" w:firstLine="486"/>
        <w:spacing w:after="0" w:line="260" w:lineRule="auto"/>
        <w:rPr>
          <w:sz w:val="20"/>
          <w:szCs w:val="20"/>
          <w:color w:val="auto"/>
        </w:rPr>
      </w:pPr>
      <w:r>
        <w:rPr>
          <w:rFonts w:ascii="Arial" w:cs="Arial" w:eastAsia="Arial" w:hAnsi="Arial"/>
          <w:sz w:val="20"/>
          <w:szCs w:val="20"/>
          <w:color w:val="auto"/>
        </w:rPr>
        <w:t>Following is a description of the valuation methodologies and inputs used for assets and liabilities measured at fair value categorized within level 2 or level 3 above and not yet disclosed:</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Loans</w:t>
      </w:r>
    </w:p>
    <w:p>
      <w:pPr>
        <w:spacing w:after="0" w:line="162" w:lineRule="exact"/>
        <w:rPr>
          <w:sz w:val="20"/>
          <w:szCs w:val="20"/>
          <w:color w:val="auto"/>
        </w:rPr>
      </w:pPr>
    </w:p>
    <w:p>
      <w:pPr>
        <w:ind w:left="140" w:right="20" w:firstLine="486"/>
        <w:spacing w:after="0" w:line="270" w:lineRule="auto"/>
        <w:rPr>
          <w:sz w:val="20"/>
          <w:szCs w:val="20"/>
          <w:color w:val="auto"/>
        </w:rPr>
      </w:pPr>
      <w:r>
        <w:rPr>
          <w:rFonts w:ascii="Arial" w:cs="Arial" w:eastAsia="Arial" w:hAnsi="Arial"/>
          <w:sz w:val="18"/>
          <w:szCs w:val="18"/>
          <w:color w:val="auto"/>
        </w:rPr>
        <w:t>The Company adopted ASU 2016-01 on January 1, 2019. In accordance with its requirements, the fair value of loans as of September 30, 2019 was measured using an exit price notion. Methodologies utilized for this financial statement period are as follows: (i) Income Approach: Fair value is determined based on a discounted cash flow analysis. The discounted cash flow analysis was based on the contractual maturity of the loan and market indications of rates, prepayment speeds, defaults and credit risk; and (ii) Asset Approach: Fair value is determined based on the estimated values of the underlying collateral or individual analysis of receipts. This provides a better indication of value than the contractual income streams as these loans are not performing or exhibit strong signs indicative of non-performance. Fair value has been established in accordance with ASC 820, Fair Value Measurements and Disclosures, and is intended to represent the price that would be received in an orderly transaction between market participants as of the measurement date. In general, fair value is based upon quoted market prices, where available. If such quoted market prices are not available, at least one significant assumption not observable in the market was utilized. These unobservable assumptions reflect estimates that market participants would use in pricing the asset or liability. Inputs to these valuation techniques are subjective in nature, involve uncertainties and require significant judgment and therefore cannot be determined with precision. Accordingly, the fair value estimates presented are not necessarily indicative of the amounts to be realized in a current market exchange.</w:t>
      </w:r>
    </w:p>
    <w:p>
      <w:pPr>
        <w:spacing w:after="0" w:line="118" w:lineRule="exact"/>
        <w:rPr>
          <w:sz w:val="20"/>
          <w:szCs w:val="20"/>
          <w:color w:val="auto"/>
        </w:rPr>
      </w:pPr>
    </w:p>
    <w:p>
      <w:pPr>
        <w:ind w:left="140" w:right="20" w:firstLine="486"/>
        <w:spacing w:after="0" w:line="282" w:lineRule="auto"/>
        <w:rPr>
          <w:sz w:val="20"/>
          <w:szCs w:val="20"/>
          <w:color w:val="auto"/>
        </w:rPr>
      </w:pPr>
      <w:r>
        <w:rPr>
          <w:rFonts w:ascii="Arial" w:cs="Arial" w:eastAsia="Arial" w:hAnsi="Arial"/>
          <w:sz w:val="18"/>
          <w:szCs w:val="18"/>
          <w:color w:val="auto"/>
        </w:rPr>
        <w:t>For December 31, 2018, fair value was estimated by discounting the future cash flows using the market rates at which similar notes would be made to borrowers with similar credit ratings and for the same remaining maturities. The market rates used were based on current rates the Company would impose for similar loans and reflect a market participant assumption about risks associated with nonperformance, illiquidity, and the structure and term of the loans along with local economic and market conditions.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Restricted Equity Securities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Fair value is estimated at book value due to restrictions that limit the sale or transfer of such securities.</w:t>
      </w:r>
    </w:p>
    <w:p>
      <w:pPr>
        <w:sectPr>
          <w:pgSz w:w="11900" w:h="16838" w:orient="portrait"/>
          <w:cols w:equalWidth="0" w:num="1">
            <w:col w:w="11180"/>
          </w:cols>
          <w:pgMar w:left="360" w:top="287" w:right="3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80"/>
          </w:cols>
          <w:pgMar w:left="360" w:top="287" w:right="359" w:bottom="1440" w:gutter="0" w:footer="0" w:header="0"/>
          <w:type w:val="continuous"/>
        </w:sectPr>
      </w:pPr>
    </w:p>
    <w:bookmarkStart w:id="39" w:name="page40"/>
    <w:bookmarkEnd w:id="39"/>
    <w:p>
      <w:pPr>
        <w:spacing w:after="0"/>
        <w:tabs>
          <w:tab w:leader="none" w:pos="354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Interest Receivable and Payable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carrying amount approximates fair value. The carrying amount is determined using the interest rate, balance and last payment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date.</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Deposits</w:t>
      </w:r>
    </w:p>
    <w:p>
      <w:pPr>
        <w:spacing w:after="0" w:line="162" w:lineRule="exact"/>
        <w:rPr>
          <w:sz w:val="20"/>
          <w:szCs w:val="20"/>
          <w:color w:val="auto"/>
        </w:rPr>
      </w:pPr>
    </w:p>
    <w:p>
      <w:pPr>
        <w:ind w:left="140" w:right="120" w:firstLine="486"/>
        <w:spacing w:after="0" w:line="250" w:lineRule="auto"/>
        <w:rPr>
          <w:sz w:val="20"/>
          <w:szCs w:val="20"/>
          <w:color w:val="auto"/>
        </w:rPr>
      </w:pPr>
      <w:r>
        <w:rPr>
          <w:rFonts w:ascii="Arial" w:cs="Arial" w:eastAsia="Arial" w:hAnsi="Arial"/>
          <w:sz w:val="20"/>
          <w:szCs w:val="20"/>
          <w:color w:val="auto"/>
        </w:rPr>
        <w:t>Fair value of term deposits is estimated by discounting the future cash flows using rates of similar deposits with similar maturities. The estimated fair value of demand, transaction, savings and money market deposits is the book value since rates are regularly adjusted to market rates and amounts are payable on demand at the reporting date.</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Federal Home Loan Bank Advances</w:t>
      </w:r>
    </w:p>
    <w:p>
      <w:pPr>
        <w:spacing w:after="0" w:line="162" w:lineRule="exact"/>
        <w:rPr>
          <w:sz w:val="20"/>
          <w:szCs w:val="20"/>
          <w:color w:val="auto"/>
        </w:rPr>
      </w:pPr>
    </w:p>
    <w:p>
      <w:pPr>
        <w:ind w:left="140" w:right="100" w:firstLine="486"/>
        <w:spacing w:after="0" w:line="260" w:lineRule="auto"/>
        <w:rPr>
          <w:sz w:val="20"/>
          <w:szCs w:val="20"/>
          <w:color w:val="auto"/>
        </w:rPr>
      </w:pPr>
      <w:r>
        <w:rPr>
          <w:rFonts w:ascii="Arial" w:cs="Arial" w:eastAsia="Arial" w:hAnsi="Arial"/>
          <w:sz w:val="20"/>
          <w:szCs w:val="20"/>
          <w:color w:val="auto"/>
        </w:rPr>
        <w:t>Fair value is estimated by discounting the future cash flows using rates of similar advances with similar maturities. These rates were obtained from current rates offered by FHLB.</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Fed Funds Purchased and Repurchase Agreements</w:t>
      </w:r>
    </w:p>
    <w:p>
      <w:pPr>
        <w:spacing w:after="0" w:line="162" w:lineRule="exact"/>
        <w:rPr>
          <w:sz w:val="20"/>
          <w:szCs w:val="20"/>
          <w:color w:val="auto"/>
        </w:rPr>
      </w:pPr>
    </w:p>
    <w:p>
      <w:pPr>
        <w:ind w:left="140" w:right="40" w:firstLine="486"/>
        <w:spacing w:after="0" w:line="260" w:lineRule="auto"/>
        <w:rPr>
          <w:sz w:val="20"/>
          <w:szCs w:val="20"/>
          <w:color w:val="auto"/>
        </w:rPr>
      </w:pPr>
      <w:r>
        <w:rPr>
          <w:rFonts w:ascii="Arial" w:cs="Arial" w:eastAsia="Arial" w:hAnsi="Arial"/>
          <w:sz w:val="20"/>
          <w:szCs w:val="20"/>
          <w:color w:val="auto"/>
        </w:rPr>
        <w:t>Fair value for fed funds purchased is book value. Fair value of repurchase agreements estimated by discounting the future cash flows using rates of similar maturities.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0"/>
          <w:szCs w:val="20"/>
          <w:i w:val="1"/>
          <w:iCs w:val="1"/>
          <w:u w:val="single" w:color="auto"/>
          <w:color w:val="auto"/>
        </w:rPr>
        <w:t>Other Borrowings</w:t>
      </w:r>
    </w:p>
    <w:p>
      <w:pPr>
        <w:spacing w:after="0" w:line="162" w:lineRule="exact"/>
        <w:rPr>
          <w:sz w:val="20"/>
          <w:szCs w:val="20"/>
          <w:color w:val="auto"/>
        </w:rPr>
      </w:pPr>
    </w:p>
    <w:p>
      <w:pPr>
        <w:ind w:left="140" w:right="260" w:firstLine="486"/>
        <w:spacing w:after="0" w:line="250" w:lineRule="auto"/>
        <w:rPr>
          <w:sz w:val="20"/>
          <w:szCs w:val="20"/>
          <w:color w:val="auto"/>
        </w:rPr>
      </w:pPr>
      <w:r>
        <w:rPr>
          <w:rFonts w:ascii="Arial" w:cs="Arial" w:eastAsia="Arial" w:hAnsi="Arial"/>
          <w:sz w:val="20"/>
          <w:szCs w:val="20"/>
          <w:color w:val="auto"/>
        </w:rPr>
        <w:t>Fair value of the Company’s line of credit with another financial institution is estimated at book value due to its short-term nature. The estimated fair value for the Trust Preferred Securities is based on current borrowing rates currently available to the Company, considering the size and quality of the credit and liquidity of the debt as a security.</w:t>
      </w:r>
    </w:p>
    <w:p>
      <w:pPr>
        <w:spacing w:after="0" w:line="13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13:</w:t>
      </w:r>
      <w:r>
        <w:rPr>
          <w:sz w:val="20"/>
          <w:szCs w:val="20"/>
          <w:color w:val="auto"/>
        </w:rPr>
        <w:tab/>
      </w:r>
      <w:r>
        <w:rPr>
          <w:rFonts w:ascii="Arial" w:cs="Arial" w:eastAsia="Arial" w:hAnsi="Arial"/>
          <w:sz w:val="19"/>
          <w:szCs w:val="19"/>
          <w:b w:val="1"/>
          <w:bCs w:val="1"/>
          <w:color w:val="auto"/>
        </w:rPr>
        <w:t>Commitments and Credit Risk</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Company had the following commitments at September 30, 2019 and December 31, 2018:</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 2019</w:t>
            </w:r>
          </w:p>
        </w:tc>
        <w:tc>
          <w:tcPr>
            <w:tcW w:w="300" w:type="dxa"/>
            <w:vAlign w:val="bottom"/>
          </w:tcPr>
          <w:p>
            <w:pPr>
              <w:spacing w:after="0"/>
              <w:rPr>
                <w:sz w:val="20"/>
                <w:szCs w:val="20"/>
                <w:color w:val="auto"/>
              </w:rPr>
            </w:pPr>
          </w:p>
        </w:tc>
        <w:tc>
          <w:tcPr>
            <w:tcW w:w="2100" w:type="dxa"/>
            <w:vAlign w:val="bottom"/>
          </w:tcPr>
          <w:p>
            <w:pPr>
              <w:jc w:val="right"/>
              <w:ind w:right="390"/>
              <w:spacing w:after="0"/>
              <w:rPr>
                <w:sz w:val="20"/>
                <w:szCs w:val="20"/>
                <w:color w:val="auto"/>
              </w:rPr>
            </w:pPr>
            <w:r>
              <w:rPr>
                <w:rFonts w:ascii="Arial" w:cs="Arial" w:eastAsia="Arial" w:hAnsi="Arial"/>
                <w:sz w:val="18"/>
                <w:szCs w:val="18"/>
                <w:b w:val="1"/>
                <w:bCs w:val="1"/>
                <w:color w:val="auto"/>
                <w:w w:val="98"/>
              </w:rPr>
              <w:t>December 31, 2018</w:t>
            </w:r>
          </w:p>
        </w:tc>
      </w:tr>
      <w:tr>
        <w:trPr>
          <w:trHeight w:val="27"/>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gridSpan w:val="4"/>
          </w:tcPr>
          <w:p>
            <w:pPr>
              <w:spacing w:after="0"/>
              <w:rPr>
                <w:sz w:val="2"/>
                <w:szCs w:val="2"/>
                <w:color w:val="auto"/>
              </w:rPr>
            </w:pPr>
          </w:p>
        </w:tc>
      </w:tr>
      <w:tr>
        <w:trPr>
          <w:trHeight w:val="217"/>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40" w:type="dxa"/>
            <w:vAlign w:val="bottom"/>
            <w:gridSpan w:val="4"/>
          </w:tcPr>
          <w:p>
            <w:pPr>
              <w:jc w:val="right"/>
              <w:ind w:right="1630"/>
              <w:spacing w:after="0"/>
              <w:rPr>
                <w:sz w:val="20"/>
                <w:szCs w:val="20"/>
                <w:color w:val="auto"/>
              </w:rPr>
            </w:pPr>
            <w:r>
              <w:rPr>
                <w:rFonts w:ascii="Arial" w:cs="Arial" w:eastAsia="Arial" w:hAnsi="Arial"/>
                <w:sz w:val="16"/>
                <w:szCs w:val="16"/>
                <w:i w:val="1"/>
                <w:iCs w:val="1"/>
                <w:color w:val="auto"/>
              </w:rPr>
              <w:t>(Dollars in thousands)</w:t>
            </w:r>
          </w:p>
        </w:tc>
      </w:tr>
      <w:tr>
        <w:trPr>
          <w:trHeight w:val="33"/>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to originate loans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190,997</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Standby letters of credit</w:t>
            </w:r>
          </w:p>
        </w:tc>
        <w:tc>
          <w:tcPr>
            <w:tcW w:w="28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35,699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32,439</w:t>
            </w:r>
          </w:p>
        </w:tc>
      </w:tr>
      <w:tr>
        <w:trPr>
          <w:trHeight w:val="27"/>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Lines of credit</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1,255,764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1,174,166</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Future lease commitment</w:t>
            </w:r>
          </w:p>
        </w:tc>
        <w:tc>
          <w:tcPr>
            <w:tcW w:w="28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19,054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19,054</w:t>
            </w:r>
          </w:p>
        </w:tc>
      </w:tr>
      <w:tr>
        <w:trPr>
          <w:trHeight w:val="27"/>
        </w:trPr>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1,487,115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1,416,656</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b w:val="1"/>
          <w:bCs w:val="1"/>
          <w:color w:val="auto"/>
        </w:rPr>
        <w:t>Note 14:</w:t>
      </w:r>
      <w:r>
        <w:rPr>
          <w:sz w:val="20"/>
          <w:szCs w:val="20"/>
          <w:color w:val="auto"/>
        </w:rPr>
        <w:tab/>
      </w:r>
      <w:r>
        <w:rPr>
          <w:rFonts w:ascii="Arial" w:cs="Arial" w:eastAsia="Arial" w:hAnsi="Arial"/>
          <w:sz w:val="19"/>
          <w:szCs w:val="19"/>
          <w:b w:val="1"/>
          <w:bCs w:val="1"/>
          <w:color w:val="auto"/>
        </w:rPr>
        <w:t>Legal and Regulatory Proceedings</w:t>
      </w:r>
    </w:p>
    <w:p>
      <w:pPr>
        <w:spacing w:after="0" w:line="325"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color w:val="auto"/>
        </w:rPr>
        <w:t>General Litigation</w:t>
      </w:r>
    </w:p>
    <w:p>
      <w:pPr>
        <w:spacing w:after="0" w:line="216" w:lineRule="exact"/>
        <w:rPr>
          <w:sz w:val="20"/>
          <w:szCs w:val="20"/>
          <w:color w:val="auto"/>
        </w:rPr>
      </w:pPr>
    </w:p>
    <w:p>
      <w:pPr>
        <w:ind w:left="140" w:right="200" w:firstLine="486"/>
        <w:spacing w:after="0" w:line="250" w:lineRule="auto"/>
        <w:rPr>
          <w:sz w:val="20"/>
          <w:szCs w:val="20"/>
          <w:color w:val="auto"/>
        </w:rPr>
      </w:pPr>
      <w:r>
        <w:rPr>
          <w:rFonts w:ascii="Arial" w:cs="Arial" w:eastAsia="Arial" w:hAnsi="Arial"/>
          <w:sz w:val="20"/>
          <w:szCs w:val="20"/>
          <w:color w:val="auto"/>
        </w:rPr>
        <w:t>The Company is subject to claims and lawsuits that arise primarily in the ordinary course of business. It is the opinion of management the disposition or ultimate resolution of such claims and lawsuits will not have a material adverse effect on the consolidated financial position, result of operations and cash flows of the Company.</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360" w:top="287" w:right="359" w:bottom="1440" w:gutter="0" w:footer="0" w:header="0"/>
        </w:sectPr>
      </w:pPr>
    </w:p>
    <w:bookmarkStart w:id="40" w:name="page41"/>
    <w:bookmarkEnd w:id="4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229" w:lineRule="exact"/>
        <w:rPr>
          <w:sz w:val="20"/>
          <w:szCs w:val="20"/>
          <w:color w:val="auto"/>
        </w:rPr>
      </w:pPr>
    </w:p>
    <w:p>
      <w:pPr>
        <w:ind w:left="180" w:right="60" w:firstLine="486"/>
        <w:spacing w:after="0" w:line="278"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and with the statistical information and financial data appearing in this report as well as in The Company’s prospectus (File No. 333-232704) filed with the Securities &amp; Exchange Commission (‘‘SEC’’) pursuant to Rule 424(b) of the Securities Act of 1933, as amended, on August 15, 2019, related to The Company’s initial public offering (the ‘‘IPO Prospectus’’). Results of operations for the three- and nine-month periods ended September 30, 2019 are not necessarily indicative of results to be attained for any other period.</w:t>
      </w:r>
    </w:p>
    <w:p>
      <w:pPr>
        <w:spacing w:after="0" w:line="111" w:lineRule="exact"/>
        <w:rPr>
          <w:sz w:val="20"/>
          <w:szCs w:val="20"/>
          <w:color w:val="auto"/>
        </w:rPr>
      </w:pPr>
    </w:p>
    <w:p>
      <w:pPr>
        <w:ind w:left="180" w:right="220" w:firstLine="486"/>
        <w:spacing w:after="0" w:line="246" w:lineRule="auto"/>
        <w:rPr>
          <w:sz w:val="20"/>
          <w:szCs w:val="20"/>
          <w:color w:val="auto"/>
        </w:rPr>
      </w:pPr>
      <w:r>
        <w:rPr>
          <w:rFonts w:ascii="Arial" w:cs="Arial" w:eastAsia="Arial" w:hAnsi="Arial"/>
          <w:sz w:val="20"/>
          <w:szCs w:val="20"/>
          <w:color w:val="auto"/>
        </w:rPr>
        <w:t>Unless we state otherwise or the context otherwise requires, references in the below section to ‘‘we,’’ ‘‘our,’’ ‘‘us,’’ ‘‘ourselves,’’ ‘‘our company,’’ and the ‘‘Company’’ refer to CrossFirst Bankshares, Inc., a Kansas corporation, its predecessors and its consolidated subsidiaries. References to ‘‘CrossFirst Bank’’ and the ‘‘Bank’’ refer to CrossFirst Bank, a Kansas chartered bank and our wholly-owned consolidated subsidiary.</w:t>
      </w:r>
    </w:p>
    <w:p>
      <w:pPr>
        <w:spacing w:after="0" w:line="137" w:lineRule="exact"/>
        <w:rPr>
          <w:sz w:val="20"/>
          <w:szCs w:val="20"/>
          <w:color w:val="auto"/>
        </w:rPr>
      </w:pPr>
    </w:p>
    <w:p>
      <w:pPr>
        <w:ind w:left="180" w:firstLine="486"/>
        <w:spacing w:after="0" w:line="246" w:lineRule="auto"/>
        <w:rPr>
          <w:sz w:val="20"/>
          <w:szCs w:val="20"/>
          <w:color w:val="auto"/>
        </w:rPr>
      </w:pPr>
      <w:r>
        <w:rPr>
          <w:rFonts w:ascii="Arial" w:cs="Arial" w:eastAsia="Arial" w:hAnsi="Arial"/>
          <w:sz w:val="20"/>
          <w:szCs w:val="20"/>
          <w:color w:val="auto"/>
        </w:rPr>
        <w:t>On December 21, 2018, we effected a two-for-one split of our common stock in the form of a stock dividend, whereby each holder of our common stock received one additional share of common stock for each share owned as of the record date of December 19, 2018. The effect of the stock dividend on outstanding shares and per share figures has been retroactively applied to all periods presented in this Form 10-Q.</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w:t>
      </w:r>
    </w:p>
    <w:p>
      <w:pPr>
        <w:spacing w:after="0" w:line="195" w:lineRule="exact"/>
        <w:rPr>
          <w:sz w:val="20"/>
          <w:szCs w:val="20"/>
          <w:color w:val="auto"/>
        </w:rPr>
      </w:pPr>
    </w:p>
    <w:p>
      <w:pPr>
        <w:ind w:left="180" w:firstLine="486"/>
        <w:spacing w:after="0" w:line="282" w:lineRule="auto"/>
        <w:rPr>
          <w:sz w:val="20"/>
          <w:szCs w:val="20"/>
          <w:color w:val="auto"/>
        </w:rPr>
      </w:pPr>
      <w:r>
        <w:rPr>
          <w:rFonts w:ascii="Arial" w:cs="Arial" w:eastAsia="Arial" w:hAnsi="Arial"/>
          <w:sz w:val="18"/>
          <w:szCs w:val="18"/>
          <w:color w:val="auto"/>
        </w:rPr>
        <w:t>We completed our initial public offering on August 19, 2019 in which we issued and sold 6,594,362 common shares including 844,362 shares pursuant to the underwriters’ partial exercise of their overallotment option. The common shares were sold at an initial public offering price of $14.50 per share. After deducting the underwriting discounts and offering expenses, the Company received total net proceeds of $87.0 million. The shares began trading on the Nasdaq Global Select Market under the symbol ‘‘CFB.’’</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During the third quarter ended September 30, 2019, we accomplished the following:</w:t>
      </w:r>
    </w:p>
    <w:p>
      <w:pPr>
        <w:spacing w:after="0" w:line="162" w:lineRule="exact"/>
        <w:rPr>
          <w:sz w:val="20"/>
          <w:szCs w:val="20"/>
          <w:color w:val="auto"/>
        </w:rPr>
      </w:pPr>
    </w:p>
    <w:p>
      <w:pPr>
        <w:ind w:left="1300" w:right="140" w:hanging="644"/>
        <w:spacing w:after="0" w:line="26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Increased total assets $178.1 million or 4.0% during the quarter to $4.7 billion, driven by a $162.4 million or 4.7% increase in our loan portfolio.</w:t>
      </w:r>
    </w:p>
    <w:p>
      <w:pPr>
        <w:spacing w:after="0" w:line="68"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Increased quarterly net income $945.0 thousand or 10.0% on a linked quarter basis, resulting in a quarterly return on average assets of 0.89% and return on average equity of 7.58%.</w:t>
      </w:r>
    </w:p>
    <w:p>
      <w:pPr>
        <w:spacing w:after="0" w:line="68"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Achieved an efficiency ratio of 54.3% during the quarter.</w:t>
      </w:r>
    </w:p>
    <w:p>
      <w:pPr>
        <w:spacing w:after="0" w:line="107"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Increased diluted earnings per share (‘‘EPS’’) 40% to $0.21 for the quarter from the same period in 2018.</w:t>
      </w:r>
    </w:p>
    <w:p>
      <w:pPr>
        <w:spacing w:after="0" w:line="107"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Increased year-to-date 2019 diluted EPS to $0.61, an increase of 177% from the same period in 2018.</w:t>
      </w:r>
    </w:p>
    <w:p>
      <w:pPr>
        <w:spacing w:after="0" w:line="200" w:lineRule="exact"/>
        <w:rPr>
          <w:sz w:val="20"/>
          <w:szCs w:val="20"/>
          <w:color w:val="auto"/>
        </w:rPr>
      </w:pPr>
    </w:p>
    <w:p>
      <w:pPr>
        <w:spacing w:after="0" w:line="315"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Financial Data (unaudited)</w:t>
      </w:r>
    </w:p>
    <w:p>
      <w:pPr>
        <w:spacing w:after="0" w:line="190" w:lineRule="exact"/>
        <w:rPr>
          <w:sz w:val="20"/>
          <w:szCs w:val="20"/>
          <w:color w:val="auto"/>
        </w:rPr>
      </w:pPr>
    </w:p>
    <w:p>
      <w:pPr>
        <w:ind w:right="180" w:firstLine="486"/>
        <w:spacing w:after="0" w:line="260" w:lineRule="auto"/>
        <w:rPr>
          <w:sz w:val="20"/>
          <w:szCs w:val="20"/>
          <w:color w:val="auto"/>
        </w:rPr>
      </w:pPr>
      <w:r>
        <w:rPr>
          <w:rFonts w:ascii="Arial" w:cs="Arial" w:eastAsia="Arial" w:hAnsi="Arial"/>
          <w:sz w:val="20"/>
          <w:szCs w:val="20"/>
          <w:color w:val="auto"/>
        </w:rPr>
        <w:t>Selected financial data for and as of our previous five quarters and for and as of the nine-months ended September 30, 2019 and 2018 is presented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Third</w:t>
            </w:r>
          </w:p>
        </w:tc>
        <w:tc>
          <w:tcPr>
            <w:tcW w:w="1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First</w:t>
            </w:r>
          </w:p>
        </w:tc>
        <w:tc>
          <w:tcPr>
            <w:tcW w:w="16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Fourth</w:t>
            </w:r>
          </w:p>
        </w:tc>
        <w:tc>
          <w:tcPr>
            <w:tcW w:w="16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Third</w:t>
            </w:r>
          </w:p>
        </w:tc>
        <w:tc>
          <w:tcPr>
            <w:tcW w:w="240" w:type="dxa"/>
            <w:vAlign w:val="bottom"/>
          </w:tcPr>
          <w:p>
            <w:pPr>
              <w:spacing w:after="0"/>
              <w:rPr>
                <w:sz w:val="20"/>
                <w:szCs w:val="20"/>
                <w:color w:val="auto"/>
              </w:rPr>
            </w:pPr>
          </w:p>
        </w:tc>
        <w:tc>
          <w:tcPr>
            <w:tcW w:w="198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3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Pr>
          <w:p>
            <w:pPr>
              <w:spacing w:after="0"/>
              <w:rPr>
                <w:sz w:val="23"/>
                <w:szCs w:val="2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3"/>
                <w:szCs w:val="2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3"/>
                <w:szCs w:val="2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3"/>
                <w:szCs w:val="2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23"/>
                <w:szCs w:val="23"/>
                <w:color w:val="auto"/>
              </w:rPr>
            </w:pPr>
          </w:p>
        </w:tc>
        <w:tc>
          <w:tcPr>
            <w:tcW w:w="19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Common Share Data</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0.23</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0.22</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Book value per share</w:t>
            </w: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9.43</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1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Tangible book value per share</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Selected Operating Ratios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1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Yield on securities - tax equivalent</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Yield on loans</w:t>
            </w: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5.25</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1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Yield on interest-earning assets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4.65</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Cost of interest-bearing deposits</w:t>
            </w: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1.59</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total deposits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Cost of funds</w:t>
            </w: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1.40</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1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3.34</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Return on average assets</w:t>
            </w: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0.37</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core operating return 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18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average assets</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0.53</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Return on average equity</w:t>
            </w: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3.51</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core operating return 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18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average equity</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5.38</w:t>
            </w:r>
          </w:p>
        </w:tc>
      </w:tr>
      <w:tr>
        <w:trPr>
          <w:trHeight w:val="243"/>
        </w:trPr>
        <w:tc>
          <w:tcPr>
            <w:tcW w:w="3180" w:type="dxa"/>
            <w:vAlign w:val="bottom"/>
          </w:tcPr>
          <w:p>
            <w:pPr>
              <w:ind w:left="340"/>
              <w:spacing w:after="0"/>
              <w:rPr>
                <w:sz w:val="20"/>
                <w:szCs w:val="20"/>
                <w:color w:val="auto"/>
              </w:rPr>
            </w:pPr>
            <w:r>
              <w:rPr>
                <w:rFonts w:ascii="Arial" w:cs="Arial" w:eastAsia="Arial" w:hAnsi="Arial"/>
                <w:sz w:val="18"/>
                <w:szCs w:val="18"/>
                <w:color w:val="auto"/>
                <w:w w:val="88"/>
              </w:rPr>
              <w:t>Non-interest expense to average assets</w:t>
            </w: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2.61</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1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Efficiency ratio</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79.08</w:t>
            </w:r>
          </w:p>
        </w:tc>
      </w:tr>
      <w:tr>
        <w:trPr>
          <w:trHeight w:val="229"/>
        </w:trPr>
        <w:tc>
          <w:tcPr>
            <w:tcW w:w="3180" w:type="dxa"/>
            <w:vAlign w:val="bottom"/>
          </w:tcPr>
          <w:p>
            <w:pPr>
              <w:ind w:left="180"/>
              <w:spacing w:after="0"/>
              <w:rPr>
                <w:sz w:val="20"/>
                <w:szCs w:val="20"/>
                <w:color w:val="auto"/>
              </w:rPr>
            </w:pPr>
            <w:r>
              <w:rPr>
                <w:rFonts w:ascii="Arial" w:cs="Arial" w:eastAsia="Arial" w:hAnsi="Arial"/>
                <w:sz w:val="18"/>
                <w:szCs w:val="18"/>
                <w:color w:val="auto"/>
              </w:rPr>
              <w:t>Non-GAAP core operating efficiency</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7"/>
        </w:trPr>
        <w:tc>
          <w:tcPr>
            <w:tcW w:w="3180" w:type="dxa"/>
            <w:vAlign w:val="bottom"/>
          </w:tcPr>
          <w:p>
            <w:pPr>
              <w:ind w:left="340"/>
              <w:spacing w:after="0" w:line="257" w:lineRule="exact"/>
              <w:rPr>
                <w:sz w:val="20"/>
                <w:szCs w:val="20"/>
                <w:color w:val="auto"/>
              </w:rPr>
            </w:pPr>
            <w:r>
              <w:rPr>
                <w:rFonts w:ascii="Arial" w:cs="Arial" w:eastAsia="Arial" w:hAnsi="Arial"/>
                <w:sz w:val="18"/>
                <w:szCs w:val="18"/>
                <w:color w:val="auto"/>
              </w:rPr>
              <w:t>ratio</w:t>
            </w:r>
            <w:r>
              <w:rPr>
                <w:rFonts w:ascii="Arial" w:cs="Arial" w:eastAsia="Arial" w:hAnsi="Arial"/>
                <w:sz w:val="25"/>
                <w:szCs w:val="25"/>
                <w:color w:val="auto"/>
                <w:vertAlign w:val="superscript"/>
              </w:rPr>
              <w:t>(6)</w:t>
            </w:r>
          </w:p>
        </w:tc>
        <w:tc>
          <w:tcPr>
            <w:tcW w:w="160" w:type="dxa"/>
            <w:vAlign w:val="bottom"/>
          </w:tcPr>
          <w:p>
            <w:pPr>
              <w:spacing w:after="0"/>
              <w:rPr>
                <w:sz w:val="22"/>
                <w:szCs w:val="22"/>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62.61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65.54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72.24</w:t>
            </w:r>
          </w:p>
        </w:tc>
      </w:tr>
      <w:tr>
        <w:trPr>
          <w:trHeight w:val="229"/>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tax equivalent efficiency</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18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ratio</w:t>
            </w:r>
            <w:r>
              <w:rPr>
                <w:rFonts w:ascii="Arial" w:cs="Arial" w:eastAsia="Arial" w:hAnsi="Arial"/>
                <w:sz w:val="25"/>
                <w:szCs w:val="25"/>
                <w:color w:val="auto"/>
                <w:vertAlign w:val="superscript"/>
              </w:rPr>
              <w:t>(7)</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76.82</w:t>
            </w:r>
          </w:p>
        </w:tc>
      </w:tr>
      <w:tr>
        <w:trPr>
          <w:trHeight w:val="229"/>
        </w:trPr>
        <w:tc>
          <w:tcPr>
            <w:tcW w:w="3180" w:type="dxa"/>
            <w:vAlign w:val="bottom"/>
          </w:tcPr>
          <w:p>
            <w:pPr>
              <w:ind w:left="180"/>
              <w:spacing w:after="0"/>
              <w:rPr>
                <w:sz w:val="20"/>
                <w:szCs w:val="20"/>
                <w:color w:val="auto"/>
              </w:rPr>
            </w:pPr>
            <w:r>
              <w:rPr>
                <w:rFonts w:ascii="Arial" w:cs="Arial" w:eastAsia="Arial" w:hAnsi="Arial"/>
                <w:sz w:val="18"/>
                <w:szCs w:val="18"/>
                <w:color w:val="auto"/>
              </w:rPr>
              <w:t>Non-interest-bearing deposits to total</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18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17.99</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deposits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96.74 %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Credit Quality Ratios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Allowance for loan losses to 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Nonperforming assets to total assets</w:t>
            </w: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0.35</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Nonperforming loans to 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0.48</w:t>
            </w:r>
          </w:p>
        </w:tc>
      </w:tr>
      <w:tr>
        <w:trPr>
          <w:trHeight w:val="229"/>
        </w:trPr>
        <w:tc>
          <w:tcPr>
            <w:tcW w:w="3180" w:type="dxa"/>
            <w:vAlign w:val="bottom"/>
          </w:tcPr>
          <w:p>
            <w:pPr>
              <w:ind w:left="180"/>
              <w:spacing w:after="0"/>
              <w:rPr>
                <w:sz w:val="20"/>
                <w:szCs w:val="20"/>
                <w:color w:val="auto"/>
              </w:rPr>
            </w:pPr>
            <w:r>
              <w:rPr>
                <w:rFonts w:ascii="Arial" w:cs="Arial" w:eastAsia="Arial" w:hAnsi="Arial"/>
                <w:sz w:val="18"/>
                <w:szCs w:val="18"/>
                <w:color w:val="auto"/>
              </w:rPr>
              <w:t>Allowance for loan losses to</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180" w:type="dxa"/>
            <w:vAlign w:val="bottom"/>
          </w:tcPr>
          <w:p>
            <w:pPr>
              <w:ind w:left="340"/>
              <w:spacing w:after="0"/>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85.20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307.27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212.30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256.65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256.65</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Net charge-offs (recoveries) to average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18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loans</w:t>
            </w:r>
            <w:r>
              <w:rPr>
                <w:rFonts w:ascii="Arial" w:cs="Arial" w:eastAsia="Arial" w:hAnsi="Arial"/>
                <w:sz w:val="25"/>
                <w:szCs w:val="25"/>
                <w:color w:val="auto"/>
                <w:vertAlign w:val="superscript"/>
              </w:rPr>
              <w:t>(8)</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621"/>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Third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Second</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First</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Fourth</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Third</w:t>
            </w: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Quarter</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2180" w:type="dxa"/>
            <w:vAlign w:val="bottom"/>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Capital Ratios</w:t>
            </w: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16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Total stockholders’ equity to total assets</w:t>
            </w:r>
          </w:p>
        </w:tc>
        <w:tc>
          <w:tcPr>
            <w:tcW w:w="1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4"/>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0"/>
              </w:rPr>
              <w:t>11.16 %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1"/>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1"/>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0"/>
              </w:rPr>
              <w:t>11.03 %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4"/>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1"/>
              </w:rPr>
              <w:t>11.03%</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Tier 1 leverage ratio</w:t>
            </w:r>
          </w:p>
        </w:tc>
        <w:tc>
          <w:tcPr>
            <w:tcW w:w="1060" w:type="dxa"/>
            <w:vAlign w:val="bottom"/>
          </w:tcPr>
          <w:p>
            <w:pPr>
              <w:ind w:left="46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1060" w:type="dxa"/>
            <w:vAlign w:val="bottom"/>
          </w:tcPr>
          <w:p>
            <w:pPr>
              <w:ind w:left="480"/>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1040" w:type="dxa"/>
            <w:vAlign w:val="bottom"/>
          </w:tcPr>
          <w:p>
            <w:pPr>
              <w:ind w:left="4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equity tier 1 capital ratio</w:t>
            </w:r>
          </w:p>
        </w:tc>
        <w:tc>
          <w:tcPr>
            <w:tcW w:w="1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Tier 1 risk-based capital ratio</w:t>
            </w:r>
          </w:p>
        </w:tc>
        <w:tc>
          <w:tcPr>
            <w:tcW w:w="1060" w:type="dxa"/>
            <w:vAlign w:val="bottom"/>
          </w:tcPr>
          <w:p>
            <w:pPr>
              <w:ind w:left="46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100" w:type="dxa"/>
            <w:vAlign w:val="bottom"/>
          </w:tcPr>
          <w:p>
            <w:pPr>
              <w:ind w:left="48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1060" w:type="dxa"/>
            <w:vAlign w:val="bottom"/>
          </w:tcPr>
          <w:p>
            <w:pPr>
              <w:ind w:left="48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040" w:type="dxa"/>
            <w:vAlign w:val="bottom"/>
          </w:tcPr>
          <w:p>
            <w:pPr>
              <w:ind w:left="46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risk-based capital ratio</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13.90%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12.04 %</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12.20%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13.51%</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12.32 %</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13.90%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12.32%</w:t>
            </w: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200" w:right="80" w:hanging="165"/>
        <w:spacing w:after="0" w:line="269" w:lineRule="auto"/>
        <w:tabs>
          <w:tab w:leader="none" w:pos="191"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Tangible common stockholders’ equity and tangible book value per share are non-GAAP financial measures. The most directly comparable GAAP measure is stockholders’ equity and book value per share. See ’’GAAP Reconciliation and Management Explanation of Non-GAAP Financial Measures’’ for a reconciliation of this measure.</w:t>
      </w:r>
    </w:p>
    <w:p>
      <w:pPr>
        <w:spacing w:after="0" w:line="17" w:lineRule="exact"/>
        <w:rPr>
          <w:rFonts w:ascii="Arial" w:cs="Arial" w:eastAsia="Arial" w:hAnsi="Arial"/>
          <w:sz w:val="19"/>
          <w:szCs w:val="19"/>
          <w:color w:val="auto"/>
          <w:vertAlign w:val="superscript"/>
        </w:rPr>
      </w:pPr>
    </w:p>
    <w:p>
      <w:pPr>
        <w:ind w:left="200" w:hanging="165"/>
        <w:spacing w:after="0"/>
        <w:tabs>
          <w:tab w:leader="none" w:pos="20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Tax exempt income (tax-free municipal securities) is calculated on a tax equivalent basis. The incremental tax rate used is 21.0%.</w:t>
      </w:r>
    </w:p>
    <w:p>
      <w:pPr>
        <w:spacing w:after="0" w:line="64" w:lineRule="exact"/>
        <w:rPr>
          <w:rFonts w:ascii="Arial" w:cs="Arial" w:eastAsia="Arial" w:hAnsi="Arial"/>
          <w:sz w:val="19"/>
          <w:szCs w:val="19"/>
          <w:color w:val="auto"/>
          <w:vertAlign w:val="superscript"/>
        </w:rPr>
      </w:pPr>
    </w:p>
    <w:p>
      <w:pPr>
        <w:ind w:left="200" w:right="80" w:hanging="165"/>
        <w:spacing w:after="0" w:line="260" w:lineRule="auto"/>
        <w:tabs>
          <w:tab w:leader="none" w:pos="204"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Non-GAAP core operating income and non-GAAP core operating return on average assets are non-GAAP financial measures. The most directly comparable measure under GAAP is net income and return on average assets, respectively. See ‘‘GAAP Reconciliation and Management Explanation of Non-GAAP Financial Measures’’ for a reconciliation of this measure.</w:t>
      </w:r>
    </w:p>
    <w:p>
      <w:pPr>
        <w:spacing w:after="0" w:line="37" w:lineRule="exact"/>
        <w:rPr>
          <w:rFonts w:ascii="Arial" w:cs="Arial" w:eastAsia="Arial" w:hAnsi="Arial"/>
          <w:sz w:val="19"/>
          <w:szCs w:val="19"/>
          <w:color w:val="auto"/>
          <w:vertAlign w:val="superscript"/>
        </w:rPr>
      </w:pPr>
    </w:p>
    <w:p>
      <w:pPr>
        <w:ind w:left="200" w:right="440" w:hanging="165"/>
        <w:spacing w:after="0" w:line="264" w:lineRule="auto"/>
        <w:tabs>
          <w:tab w:leader="none" w:pos="204"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Non-GAAP core operating return on average equity is a non-GAAP financial measure. The most directly comparable GAAP financial measure is return on average equity. See ‘‘GAAP Reconciliation and Management Explanation of Non-GAAP Financial Measures’’ for a reconciliation of this measure.</w:t>
      </w:r>
    </w:p>
    <w:p>
      <w:pPr>
        <w:spacing w:after="0" w:line="28" w:lineRule="exact"/>
        <w:rPr>
          <w:rFonts w:ascii="Arial" w:cs="Arial" w:eastAsia="Arial" w:hAnsi="Arial"/>
          <w:sz w:val="19"/>
          <w:szCs w:val="19"/>
          <w:color w:val="auto"/>
          <w:vertAlign w:val="superscript"/>
        </w:rPr>
      </w:pPr>
    </w:p>
    <w:p>
      <w:pPr>
        <w:ind w:left="180" w:hanging="145"/>
        <w:spacing w:after="0"/>
        <w:tabs>
          <w:tab w:leader="none" w:pos="180"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We calculate efficiency ratio as non-interest expense divided by the sum of net interest income and non-interest income.</w:t>
      </w:r>
    </w:p>
    <w:p>
      <w:pPr>
        <w:spacing w:after="0" w:line="75" w:lineRule="exact"/>
        <w:rPr>
          <w:rFonts w:ascii="Arial" w:cs="Arial" w:eastAsia="Arial" w:hAnsi="Arial"/>
          <w:sz w:val="17"/>
          <w:szCs w:val="17"/>
          <w:color w:val="auto"/>
          <w:vertAlign w:val="superscript"/>
        </w:rPr>
      </w:pPr>
    </w:p>
    <w:p>
      <w:pPr>
        <w:ind w:left="200" w:right="60" w:hanging="165"/>
        <w:spacing w:after="0" w:line="245" w:lineRule="auto"/>
        <w:tabs>
          <w:tab w:leader="none" w:pos="204"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Non-GAAP core operating efficiency ratio is a non-GAAP financial measure. The most directly comparable GAAP financial measure is the efficiency ratio. See ‘‘GAAP Reconciliation and Management Explanation of Non-GAAP Financial Measures’’ for a reconciliation of this measure.</w:t>
      </w:r>
    </w:p>
    <w:p>
      <w:pPr>
        <w:spacing w:after="0" w:line="45" w:lineRule="exact"/>
        <w:rPr>
          <w:rFonts w:ascii="Arial" w:cs="Arial" w:eastAsia="Arial" w:hAnsi="Arial"/>
          <w:sz w:val="19"/>
          <w:szCs w:val="19"/>
          <w:color w:val="auto"/>
          <w:vertAlign w:val="superscript"/>
        </w:rPr>
      </w:pPr>
    </w:p>
    <w:p>
      <w:pPr>
        <w:ind w:left="200" w:right="180" w:hanging="165"/>
        <w:spacing w:after="0" w:line="264" w:lineRule="auto"/>
        <w:tabs>
          <w:tab w:leader="none" w:pos="204"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Non-GAAP tax equivalent efficiency ratio is a non-GAAP financial measure. The most directly comparable measure is the efficiency ratio. See ‘‘GAAP Reconciliation and Management Explanation of Non-GAAP Financial Measures’’ for a reconciliation of this measure.</w:t>
      </w:r>
    </w:p>
    <w:p>
      <w:pPr>
        <w:spacing w:after="0" w:line="28" w:lineRule="exact"/>
        <w:rPr>
          <w:rFonts w:ascii="Arial" w:cs="Arial" w:eastAsia="Arial" w:hAnsi="Arial"/>
          <w:sz w:val="19"/>
          <w:szCs w:val="19"/>
          <w:color w:val="auto"/>
          <w:vertAlign w:val="superscript"/>
        </w:rPr>
      </w:pPr>
    </w:p>
    <w:p>
      <w:pPr>
        <w:ind w:left="180" w:hanging="145"/>
        <w:spacing w:after="0"/>
        <w:tabs>
          <w:tab w:leader="none" w:pos="180"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Interim periods are annualized</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GAAP Reconciliation and Management Explanation of Non-GAAP Financial Measures</w:t>
      </w:r>
    </w:p>
    <w:p>
      <w:pPr>
        <w:spacing w:after="0" w:line="230" w:lineRule="exact"/>
        <w:rPr>
          <w:sz w:val="20"/>
          <w:szCs w:val="20"/>
          <w:color w:val="auto"/>
        </w:rPr>
      </w:pPr>
    </w:p>
    <w:p>
      <w:pPr>
        <w:ind w:left="180" w:right="20" w:firstLine="486"/>
        <w:spacing w:after="0" w:line="246" w:lineRule="auto"/>
        <w:rPr>
          <w:sz w:val="20"/>
          <w:szCs w:val="20"/>
          <w:color w:val="auto"/>
        </w:rPr>
      </w:pPr>
      <w:r>
        <w:rPr>
          <w:rFonts w:ascii="Arial" w:cs="Arial" w:eastAsia="Arial" w:hAnsi="Arial"/>
          <w:sz w:val="20"/>
          <w:szCs w:val="20"/>
          <w:color w:val="auto"/>
        </w:rPr>
        <w:t>Non-GAAP financial measures are used by management to evaluate our performance. The non-GAAP financial measures that we discuss should not be considered in isolation or as a substitute for the most directly comparable financial measures calculated in accordance with GAAP. Moreover, the way we calculate these non-GAAP financial measures may differ from that of other companies reporting measures with similar names.</w:t>
      </w:r>
    </w:p>
    <w:p>
      <w:pPr>
        <w:spacing w:after="0" w:line="137" w:lineRule="exact"/>
        <w:rPr>
          <w:sz w:val="20"/>
          <w:szCs w:val="20"/>
          <w:color w:val="auto"/>
        </w:rPr>
      </w:pPr>
    </w:p>
    <w:p>
      <w:pPr>
        <w:ind w:left="180" w:right="120" w:firstLine="486"/>
        <w:spacing w:after="0" w:line="260" w:lineRule="auto"/>
        <w:rPr>
          <w:sz w:val="20"/>
          <w:szCs w:val="20"/>
          <w:color w:val="auto"/>
        </w:rPr>
      </w:pPr>
      <w:r>
        <w:rPr>
          <w:rFonts w:ascii="Arial" w:cs="Arial" w:eastAsia="Arial" w:hAnsi="Arial"/>
          <w:sz w:val="20"/>
          <w:szCs w:val="20"/>
          <w:color w:val="auto"/>
        </w:rPr>
        <w:t>We calculate ‘‘non-GAAP core operating income’’ as net income adjusted to remove non-recurring or non-core income and expense items related to:</w:t>
      </w:r>
    </w:p>
    <w:p>
      <w:pPr>
        <w:spacing w:after="0" w:line="123" w:lineRule="exact"/>
        <w:rPr>
          <w:sz w:val="20"/>
          <w:szCs w:val="20"/>
          <w:color w:val="auto"/>
        </w:rPr>
      </w:pPr>
    </w:p>
    <w:p>
      <w:pPr>
        <w:ind w:left="820" w:right="200" w:hanging="326"/>
        <w:spacing w:after="0" w:line="250" w:lineRule="auto"/>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Restructuring charges associated with the transition of our former CEO - In connection with the departure of our former CEO in the second quarter of 2018, we incurred restructuring charges related to the acceleration of certain stock-based compensation and employee costs, some of which were adjusted in the fourth quarter of 2018.</w:t>
      </w:r>
    </w:p>
    <w:p>
      <w:pPr>
        <w:spacing w:after="0" w:line="131" w:lineRule="exact"/>
        <w:rPr>
          <w:rFonts w:ascii="Arial" w:cs="Arial" w:eastAsia="Arial" w:hAnsi="Arial"/>
          <w:sz w:val="20"/>
          <w:szCs w:val="20"/>
          <w:color w:val="auto"/>
        </w:rPr>
      </w:pPr>
    </w:p>
    <w:p>
      <w:pPr>
        <w:ind w:left="820" w:hanging="326"/>
        <w:spacing w:after="0" w:line="263" w:lineRule="auto"/>
        <w:tabs>
          <w:tab w:leader="none" w:pos="8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Impairment charges associated with two buildings that were held-for-sale - We acquired a larger corporate headquarters to accommodate our business needs that eliminated the need for two smaller support buildings. The two smaller support buildings had been acquired recently and were extensively remodeled, which resulted in a difference between book and market value for those assets. We sold one of the buildings in 2018 and the other in the second quarter of 2019.</w:t>
      </w:r>
    </w:p>
    <w:p>
      <w:pPr>
        <w:spacing w:after="0" w:line="122" w:lineRule="exact"/>
        <w:rPr>
          <w:rFonts w:ascii="Arial" w:cs="Arial" w:eastAsia="Arial" w:hAnsi="Arial"/>
          <w:sz w:val="19"/>
          <w:szCs w:val="19"/>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tax credits - As a result of the purchase and improvement of our new corporate headquarters we received state tax credits.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most directly comparable GAAP financial measure for non-GAAP core operating income is net income.</w:t>
      </w:r>
    </w:p>
    <w:p>
      <w:pPr>
        <w:spacing w:after="0" w:line="162" w:lineRule="exact"/>
        <w:rPr>
          <w:sz w:val="20"/>
          <w:szCs w:val="20"/>
          <w:color w:val="auto"/>
        </w:rPr>
      </w:pPr>
    </w:p>
    <w:p>
      <w:pPr>
        <w:ind w:left="180" w:right="120" w:firstLine="486"/>
        <w:spacing w:after="0" w:line="250" w:lineRule="auto"/>
        <w:rPr>
          <w:sz w:val="20"/>
          <w:szCs w:val="20"/>
          <w:color w:val="auto"/>
        </w:rPr>
      </w:pPr>
      <w:r>
        <w:rPr>
          <w:rFonts w:ascii="Arial" w:cs="Arial" w:eastAsia="Arial" w:hAnsi="Arial"/>
          <w:sz w:val="20"/>
          <w:szCs w:val="20"/>
          <w:color w:val="auto"/>
        </w:rPr>
        <w:t>We calculate ‘‘non-GAAP core operating return on average assets’’ as non-GAAP core operating income (as defined above) divided by average assets. The most directly comparable GAAP financial measure is return on average assets, which is calculated as net income divided by average assets.</w:t>
      </w:r>
    </w:p>
    <w:p>
      <w:pPr>
        <w:spacing w:after="0" w:line="200" w:lineRule="exact"/>
        <w:rPr>
          <w:sz w:val="20"/>
          <w:szCs w:val="20"/>
          <w:color w:val="auto"/>
        </w:rPr>
      </w:pPr>
    </w:p>
    <w:p>
      <w:pPr>
        <w:spacing w:after="0" w:line="33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jc w:val="both"/>
        <w:ind w:left="180" w:right="580" w:firstLine="486"/>
        <w:spacing w:after="0" w:line="269" w:lineRule="auto"/>
        <w:rPr>
          <w:sz w:val="20"/>
          <w:szCs w:val="20"/>
          <w:color w:val="auto"/>
        </w:rPr>
      </w:pPr>
      <w:r>
        <w:rPr>
          <w:rFonts w:ascii="Arial" w:cs="Arial" w:eastAsia="Arial" w:hAnsi="Arial"/>
          <w:sz w:val="19"/>
          <w:szCs w:val="19"/>
          <w:color w:val="auto"/>
        </w:rPr>
        <w:t>We calculate ‘‘non-GAAP core operating return on average equity’’ as non-GAAP core operating income (defined above) less preferred dividends divided by average common equity. The most directly comparable GAAP financial measure is return on average equity, which is calculated as net income less preferred dividends divided by average common equity.</w:t>
      </w:r>
    </w:p>
    <w:p>
      <w:pPr>
        <w:spacing w:after="0" w:line="116" w:lineRule="exact"/>
        <w:rPr>
          <w:sz w:val="20"/>
          <w:szCs w:val="20"/>
          <w:color w:val="auto"/>
        </w:rPr>
      </w:pPr>
    </w:p>
    <w:p>
      <w:pPr>
        <w:ind w:left="180" w:right="20" w:firstLine="486"/>
        <w:spacing w:after="0" w:line="246" w:lineRule="auto"/>
        <w:rPr>
          <w:sz w:val="20"/>
          <w:szCs w:val="20"/>
          <w:color w:val="auto"/>
        </w:rPr>
      </w:pPr>
      <w:r>
        <w:rPr>
          <w:rFonts w:ascii="Arial" w:cs="Arial" w:eastAsia="Arial" w:hAnsi="Arial"/>
          <w:sz w:val="20"/>
          <w:szCs w:val="20"/>
          <w:color w:val="auto"/>
        </w:rPr>
        <w:t>We calculate ‘‘non-GAAP core operating efficiency ratio’’ as non-interest expense adjusted to remove non-recurring non-interest expenses as defined under non-GAAP core operating income divided by the sum of net interest income and non-interest income adjusted to remove non-recurring non-interest income as defined under non-GAAP core operating income. The most directly comparable GAAP financial measure is the efficiency ratio.</w:t>
      </w:r>
    </w:p>
    <w:p>
      <w:pPr>
        <w:spacing w:after="0" w:line="137" w:lineRule="exact"/>
        <w:rPr>
          <w:sz w:val="20"/>
          <w:szCs w:val="20"/>
          <w:color w:val="auto"/>
        </w:rPr>
      </w:pPr>
    </w:p>
    <w:p>
      <w:pPr>
        <w:ind w:left="180" w:right="120" w:firstLine="486"/>
        <w:spacing w:after="0" w:line="246" w:lineRule="auto"/>
        <w:rPr>
          <w:sz w:val="20"/>
          <w:szCs w:val="20"/>
          <w:color w:val="auto"/>
        </w:rPr>
      </w:pPr>
      <w:r>
        <w:rPr>
          <w:rFonts w:ascii="Arial" w:cs="Arial" w:eastAsia="Arial" w:hAnsi="Arial"/>
          <w:sz w:val="20"/>
          <w:szCs w:val="20"/>
          <w:color w:val="auto"/>
        </w:rPr>
        <w:t>Management believes that non-GAAP core operating income, non-GAAP core operating return on average assets, non-GAAP core operating return on average equity and non-GAAP core operating efficiency ratio remove events that are not recurring and not part of core business activities and are useful analytical tools for investors to compare periods excluding these non-recurring or non-core income and charges.</w:t>
      </w:r>
    </w:p>
    <w:p>
      <w:pPr>
        <w:spacing w:after="0" w:line="137" w:lineRule="exact"/>
        <w:rPr>
          <w:sz w:val="20"/>
          <w:szCs w:val="20"/>
          <w:color w:val="auto"/>
        </w:rPr>
      </w:pPr>
    </w:p>
    <w:p>
      <w:pPr>
        <w:jc w:val="both"/>
        <w:ind w:left="180" w:right="380" w:firstLine="486"/>
        <w:spacing w:after="0" w:line="316" w:lineRule="auto"/>
        <w:rPr>
          <w:sz w:val="20"/>
          <w:szCs w:val="20"/>
          <w:color w:val="auto"/>
        </w:rPr>
      </w:pPr>
      <w:r>
        <w:rPr>
          <w:rFonts w:ascii="Arial" w:cs="Arial" w:eastAsia="Arial" w:hAnsi="Arial"/>
          <w:sz w:val="18"/>
          <w:szCs w:val="18"/>
          <w:color w:val="auto"/>
        </w:rPr>
        <w:t>The following table reconciles, as of the dates set forth below, net income to non-GAAP core operating income, non-GAAP core operating return on average assets, non-GAAP core operating return on average equity and non-GAAP core operating efficiency ratio:</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w:t>
            </w:r>
          </w:p>
        </w:tc>
        <w:tc>
          <w:tcPr>
            <w:tcW w:w="22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December</w:t>
            </w:r>
          </w:p>
        </w:tc>
        <w:tc>
          <w:tcPr>
            <w:tcW w:w="14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September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6"/>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Non-GAAP core 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10,384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9,350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29,173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restructuring charges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70"/>
        </w:trPr>
        <w:tc>
          <w:tcPr>
            <w:tcW w:w="2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Less: tax effect</w:t>
            </w:r>
            <w:r>
              <w:rPr>
                <w:rFonts w:ascii="Arial" w:cs="Arial" w:eastAsia="Arial" w:hAnsi="Arial"/>
                <w:sz w:val="25"/>
                <w:szCs w:val="25"/>
                <w:color w:val="auto"/>
                <w:vertAlign w:val="superscript"/>
              </w:rPr>
              <w:t>(1)</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Restructuring charges,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43"/>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Add: fixed asset impairments</w:t>
            </w: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Less: tax effect</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700" w:type="dxa"/>
            <w:vAlign w:val="bottom"/>
          </w:tcPr>
          <w:p>
            <w:pPr>
              <w:ind w:left="600"/>
              <w:spacing w:after="0"/>
              <w:rPr>
                <w:sz w:val="20"/>
                <w:szCs w:val="20"/>
                <w:color w:val="auto"/>
              </w:rPr>
            </w:pPr>
            <w:r>
              <w:rPr>
                <w:rFonts w:ascii="Arial" w:cs="Arial" w:eastAsia="Arial" w:hAnsi="Arial"/>
                <w:sz w:val="18"/>
                <w:szCs w:val="18"/>
                <w:color w:val="auto"/>
                <w:w w:val="90"/>
              </w:rPr>
              <w:t>Fixed asset impairments, net</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540"/>
              <w:spacing w:after="0"/>
              <w:rPr>
                <w:sz w:val="20"/>
                <w:szCs w:val="20"/>
                <w:color w:val="auto"/>
              </w:rPr>
            </w:pPr>
            <w:r>
              <w:rPr>
                <w:rFonts w:ascii="Arial" w:cs="Arial" w:eastAsia="Arial" w:hAnsi="Arial"/>
                <w:sz w:val="18"/>
                <w:szCs w:val="18"/>
                <w:color w:val="auto"/>
              </w:rPr>
              <w:t>of tax</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Add: state tax credit</w:t>
            </w:r>
            <w:r>
              <w:rPr>
                <w:rFonts w:ascii="Arial" w:cs="Arial" w:eastAsia="Arial" w:hAnsi="Arial"/>
                <w:sz w:val="25"/>
                <w:szCs w:val="25"/>
                <w:color w:val="auto"/>
                <w:vertAlign w:val="superscript"/>
              </w:rPr>
              <w:t>(3)</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7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Non-GAAP core operating</w:t>
            </w:r>
          </w:p>
        </w:tc>
        <w:tc>
          <w:tcPr>
            <w:tcW w:w="4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10,384</w:t>
            </w:r>
          </w:p>
        </w:tc>
        <w:tc>
          <w:tcPr>
            <w:tcW w:w="12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9,754</w:t>
            </w:r>
          </w:p>
        </w:tc>
        <w:tc>
          <w:tcPr>
            <w:tcW w:w="10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7,989</w:t>
            </w:r>
          </w:p>
        </w:tc>
        <w:tc>
          <w:tcPr>
            <w:tcW w:w="36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6,600</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6,481</w:t>
            </w:r>
          </w:p>
        </w:tc>
        <w:tc>
          <w:tcPr>
            <w:tcW w:w="120" w:type="dxa"/>
            <w:vAlign w:val="bottom"/>
          </w:tcPr>
          <w:p>
            <w:pPr>
              <w:spacing w:after="0"/>
              <w:rPr>
                <w:sz w:val="17"/>
                <w:szCs w:val="17"/>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28,127</w:t>
            </w:r>
          </w:p>
        </w:tc>
        <w:tc>
          <w:tcPr>
            <w:tcW w:w="1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13,340</w:t>
            </w:r>
          </w:p>
        </w:tc>
        <w:tc>
          <w:tcPr>
            <w:tcW w:w="0" w:type="dxa"/>
            <w:vAlign w:val="bottom"/>
          </w:tcPr>
          <w:p>
            <w:pPr>
              <w:spacing w:after="0"/>
              <w:rPr>
                <w:sz w:val="1"/>
                <w:szCs w:val="1"/>
                <w:color w:val="auto"/>
              </w:rPr>
            </w:pPr>
          </w:p>
        </w:tc>
      </w:tr>
      <w:tr>
        <w:trPr>
          <w:trHeight w:val="234"/>
        </w:trPr>
        <w:tc>
          <w:tcPr>
            <w:tcW w:w="2740" w:type="dxa"/>
            <w:vAlign w:val="bottom"/>
            <w:gridSpan w:val="2"/>
          </w:tcPr>
          <w:p>
            <w:pPr>
              <w:ind w:left="340"/>
              <w:spacing w:after="0"/>
              <w:rPr>
                <w:sz w:val="20"/>
                <w:szCs w:val="20"/>
                <w:color w:val="auto"/>
              </w:rPr>
            </w:pPr>
            <w:r>
              <w:rPr>
                <w:rFonts w:ascii="Arial" w:cs="Arial" w:eastAsia="Arial" w:hAnsi="Arial"/>
                <w:sz w:val="18"/>
                <w:szCs w:val="18"/>
                <w:b w:val="1"/>
                <w:bCs w:val="1"/>
                <w:color w:val="auto"/>
              </w:rPr>
              <w:t>income</w:t>
            </w:r>
          </w:p>
        </w:tc>
        <w:tc>
          <w:tcPr>
            <w:tcW w:w="1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60" w:type="dxa"/>
            <w:vAlign w:val="bottom"/>
            <w:gridSpan w:val="3"/>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8255</wp:posOffset>
            </wp:positionV>
            <wp:extent cx="54178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7820" cy="25400"/>
                    </a:xfrm>
                    <a:prstGeom prst="rect">
                      <a:avLst/>
                    </a:prstGeom>
                    <a:noFill/>
                  </pic:spPr>
                </pic:pic>
              </a:graphicData>
            </a:graphic>
          </wp:anchor>
        </w:drawing>
      </w:r>
    </w:p>
    <w:p>
      <w:pPr>
        <w:spacing w:after="0" w:line="24" w:lineRule="exact"/>
        <w:rPr>
          <w:sz w:val="20"/>
          <w:szCs w:val="20"/>
          <w:color w:val="auto"/>
        </w:rPr>
      </w:pPr>
    </w:p>
    <w:p>
      <w:pPr>
        <w:ind w:left="340" w:right="60" w:firstLine="19"/>
        <w:spacing w:after="0" w:line="264" w:lineRule="auto"/>
        <w:tabs>
          <w:tab w:leader="none" w:pos="5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Represents the tax impact of the adjustments above at a tax rate of 25.73%, plus a permanent tax benefit associated with stock-based grants that were exercised prior to our former CEO’s departure.</w:t>
      </w:r>
    </w:p>
    <w:p>
      <w:pPr>
        <w:spacing w:after="0" w:line="16" w:lineRule="exact"/>
        <w:rPr>
          <w:rFonts w:ascii="Arial" w:cs="Arial" w:eastAsia="Arial" w:hAnsi="Arial"/>
          <w:sz w:val="19"/>
          <w:szCs w:val="19"/>
          <w:color w:val="auto"/>
          <w:vertAlign w:val="superscript"/>
        </w:rPr>
      </w:pPr>
    </w:p>
    <w:p>
      <w:pPr>
        <w:ind w:left="520" w:hanging="161"/>
        <w:spacing w:after="0"/>
        <w:tabs>
          <w:tab w:leader="none" w:pos="5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Represents the tax impact of the adjustments above at a tax rate of 25.73%.</w:t>
      </w:r>
    </w:p>
    <w:p>
      <w:pPr>
        <w:spacing w:after="0" w:line="58" w:lineRule="exact"/>
        <w:rPr>
          <w:rFonts w:ascii="Arial" w:cs="Arial" w:eastAsia="Arial" w:hAnsi="Arial"/>
          <w:sz w:val="19"/>
          <w:szCs w:val="19"/>
          <w:color w:val="auto"/>
          <w:vertAlign w:val="superscript"/>
        </w:rPr>
      </w:pPr>
    </w:p>
    <w:p>
      <w:pPr>
        <w:ind w:left="520" w:hanging="161"/>
        <w:spacing w:after="0" w:line="217" w:lineRule="auto"/>
        <w:tabs>
          <w:tab w:leader="none" w:pos="52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No tax effect.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238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
        </w:trPr>
        <w:tc>
          <w:tcPr>
            <w:tcW w:w="1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September</w:t>
            </w:r>
          </w:p>
        </w:tc>
        <w:tc>
          <w:tcPr>
            <w:tcW w:w="860" w:type="dxa"/>
            <w:vAlign w:val="bottom"/>
          </w:tcPr>
          <w:p>
            <w:pPr>
              <w:ind w:left="340"/>
              <w:spacing w:after="0"/>
              <w:rPr>
                <w:sz w:val="20"/>
                <w:szCs w:val="20"/>
                <w:color w:val="auto"/>
              </w:rPr>
            </w:pPr>
            <w:r>
              <w:rPr>
                <w:rFonts w:ascii="Arial" w:cs="Arial" w:eastAsia="Arial" w:hAnsi="Arial"/>
                <w:sz w:val="18"/>
                <w:szCs w:val="18"/>
                <w:b w:val="1"/>
                <w:bCs w:val="1"/>
                <w:color w:val="auto"/>
              </w:rPr>
              <w:t>June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8"/>
              </w:rPr>
              <w:t>March</w:t>
            </w: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December</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w:t>
            </w: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30,</w:t>
            </w:r>
          </w:p>
        </w:tc>
        <w:tc>
          <w:tcPr>
            <w:tcW w:w="1800" w:type="dxa"/>
            <w:vAlign w:val="bottom"/>
          </w:tcPr>
          <w:p>
            <w:pPr>
              <w:jc w:val="right"/>
              <w:ind w:right="650"/>
              <w:spacing w:after="0"/>
              <w:rPr>
                <w:sz w:val="20"/>
                <w:szCs w:val="20"/>
                <w:color w:val="auto"/>
              </w:rPr>
            </w:pPr>
            <w:r>
              <w:rPr>
                <w:rFonts w:ascii="Arial" w:cs="Arial" w:eastAsia="Arial" w:hAnsi="Arial"/>
                <w:sz w:val="18"/>
                <w:szCs w:val="18"/>
                <w:b w:val="1"/>
                <w:bCs w:val="1"/>
                <w:color w:val="auto"/>
              </w:rPr>
              <w:t>31,</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31,</w:t>
            </w: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2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8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56318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core operating return on average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ind w:left="380"/>
              <w:spacing w:after="0"/>
              <w:rPr>
                <w:sz w:val="20"/>
                <w:szCs w:val="20"/>
                <w:color w:val="auto"/>
              </w:rPr>
            </w:pPr>
            <w:r>
              <w:rPr>
                <w:rFonts w:ascii="Arial" w:cs="Arial" w:eastAsia="Arial" w:hAnsi="Arial"/>
                <w:sz w:val="18"/>
                <w:szCs w:val="18"/>
                <w:color w:val="auto"/>
                <w:w w:val="94"/>
              </w:rPr>
              <w:t>Non-GAAP core operating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340"/>
              <w:spacing w:after="0"/>
              <w:rPr>
                <w:sz w:val="20"/>
                <w:szCs w:val="20"/>
                <w:color w:val="auto"/>
              </w:rPr>
            </w:pPr>
            <w:r>
              <w:rPr>
                <w:rFonts w:ascii="Arial" w:cs="Arial" w:eastAsia="Arial" w:hAnsi="Arial"/>
                <w:sz w:val="18"/>
                <w:szCs w:val="18"/>
                <w:color w:val="auto"/>
              </w:rPr>
              <w:t>income</w:t>
            </w:r>
          </w:p>
        </w:tc>
        <w:tc>
          <w:tcPr>
            <w:tcW w:w="1160" w:type="dxa"/>
            <w:vAlign w:val="bottom"/>
          </w:tcPr>
          <w:p>
            <w:pPr>
              <w:jc w:val="right"/>
              <w:ind w:right="145"/>
              <w:spacing w:after="0"/>
              <w:rPr>
                <w:sz w:val="20"/>
                <w:szCs w:val="20"/>
                <w:color w:val="auto"/>
              </w:rPr>
            </w:pPr>
            <w:r>
              <w:rPr>
                <w:rFonts w:ascii="Arial" w:cs="Arial" w:eastAsia="Arial" w:hAnsi="Arial"/>
                <w:sz w:val="18"/>
                <w:szCs w:val="18"/>
                <w:color w:val="auto"/>
                <w:w w:val="87"/>
              </w:rPr>
              <w:t>$10,384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9,754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7,989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20"/>
                <w:szCs w:val="20"/>
                <w:color w:val="auto"/>
              </w:rPr>
            </w:pPr>
          </w:p>
        </w:tc>
        <w:tc>
          <w:tcPr>
            <w:tcW w:w="1180" w:type="dxa"/>
            <w:vAlign w:val="bottom"/>
          </w:tcPr>
          <w:p>
            <w:pPr>
              <w:jc w:val="right"/>
              <w:ind w:right="145"/>
              <w:spacing w:after="0"/>
              <w:rPr>
                <w:sz w:val="20"/>
                <w:szCs w:val="20"/>
                <w:color w:val="auto"/>
              </w:rPr>
            </w:pPr>
            <w:r>
              <w:rPr>
                <w:rFonts w:ascii="Arial" w:cs="Arial" w:eastAsia="Arial" w:hAnsi="Arial"/>
                <w:sz w:val="18"/>
                <w:szCs w:val="18"/>
                <w:color w:val="auto"/>
                <w:w w:val="90"/>
              </w:rPr>
              <w:t>$28,127</w:t>
            </w:r>
          </w:p>
        </w:tc>
        <w:tc>
          <w:tcPr>
            <w:tcW w:w="100" w:type="dxa"/>
            <w:vAlign w:val="bottom"/>
          </w:tcPr>
          <w:p>
            <w:pPr>
              <w:spacing w:after="0"/>
              <w:rPr>
                <w:sz w:val="20"/>
                <w:szCs w:val="20"/>
                <w:color w:val="auto"/>
              </w:rPr>
            </w:pPr>
          </w:p>
        </w:tc>
        <w:tc>
          <w:tcPr>
            <w:tcW w:w="1180" w:type="dxa"/>
            <w:vAlign w:val="bottom"/>
          </w:tcPr>
          <w:p>
            <w:pPr>
              <w:jc w:val="right"/>
              <w:ind w:right="145"/>
              <w:spacing w:after="0"/>
              <w:rPr>
                <w:sz w:val="20"/>
                <w:szCs w:val="20"/>
                <w:color w:val="auto"/>
              </w:rPr>
            </w:pPr>
            <w:r>
              <w:rPr>
                <w:rFonts w:ascii="Arial" w:cs="Arial" w:eastAsia="Arial" w:hAnsi="Arial"/>
                <w:sz w:val="18"/>
                <w:szCs w:val="18"/>
                <w:color w:val="auto"/>
                <w:w w:val="90"/>
              </w:rPr>
              <w:t>$13,340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assets</w:t>
            </w:r>
          </w:p>
        </w:tc>
        <w:tc>
          <w:tcPr>
            <w:tcW w:w="11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8"/>
                <w:szCs w:val="18"/>
                <w:color w:val="auto"/>
              </w:rPr>
              <w:t>4,610,958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4,402,002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4,168,243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3,884,642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3,588,876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8"/>
                <w:szCs w:val="18"/>
                <w:color w:val="auto"/>
              </w:rPr>
              <w:t>4,395,356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8"/>
                <w:szCs w:val="18"/>
                <w:color w:val="auto"/>
              </w:rPr>
              <w:t>3,363,230</w:t>
            </w:r>
          </w:p>
        </w:tc>
        <w:tc>
          <w:tcPr>
            <w:tcW w:w="0" w:type="dxa"/>
            <w:vAlign w:val="bottom"/>
          </w:tcPr>
          <w:p>
            <w:pPr>
              <w:spacing w:after="0"/>
              <w:rPr>
                <w:sz w:val="1"/>
                <w:szCs w:val="1"/>
                <w:color w:val="auto"/>
              </w:rPr>
            </w:pPr>
          </w:p>
        </w:tc>
      </w:tr>
      <w:tr>
        <w:trPr>
          <w:trHeight w:val="297"/>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Return on average assets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0.37%</w:t>
            </w: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380"/>
              <w:spacing w:after="0" w:line="185" w:lineRule="exact"/>
              <w:rPr>
                <w:sz w:val="20"/>
                <w:szCs w:val="20"/>
                <w:color w:val="auto"/>
              </w:rPr>
            </w:pPr>
            <w:r>
              <w:rPr>
                <w:rFonts w:ascii="Arial" w:cs="Arial" w:eastAsia="Arial" w:hAnsi="Arial"/>
                <w:sz w:val="18"/>
                <w:szCs w:val="18"/>
                <w:b w:val="1"/>
                <w:bCs w:val="1"/>
                <w:color w:val="auto"/>
              </w:rPr>
              <w:t>Non-GAAP core</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return on</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0.86%</w:t>
            </w: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average assets</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core operating return on average equity: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Non-GAAP core operating</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28,127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13,340</w:t>
            </w:r>
          </w:p>
        </w:tc>
      </w:tr>
      <w:tr>
        <w:trPr>
          <w:trHeight w:val="243"/>
        </w:trPr>
        <w:tc>
          <w:tcPr>
            <w:tcW w:w="2380" w:type="dxa"/>
            <w:vAlign w:val="bottom"/>
          </w:tcPr>
          <w:p>
            <w:pPr>
              <w:ind w:left="180"/>
              <w:spacing w:after="0"/>
              <w:rPr>
                <w:sz w:val="20"/>
                <w:szCs w:val="20"/>
                <w:color w:val="auto"/>
              </w:rPr>
            </w:pPr>
            <w:r>
              <w:rPr>
                <w:rFonts w:ascii="Arial" w:cs="Arial" w:eastAsia="Arial" w:hAnsi="Arial"/>
                <w:sz w:val="18"/>
                <w:szCs w:val="18"/>
                <w:color w:val="auto"/>
              </w:rPr>
              <w:t>Less: preferred dividends</w:t>
            </w:r>
          </w:p>
        </w:tc>
        <w:tc>
          <w:tcPr>
            <w:tcW w:w="24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1,575</w:t>
            </w:r>
          </w:p>
        </w:tc>
      </w:tr>
      <w:tr>
        <w:trPr>
          <w:trHeight w:val="27"/>
        </w:trPr>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2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Non-GAAP core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 to common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2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27,952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11,765</w:t>
            </w:r>
          </w:p>
        </w:tc>
      </w:tr>
      <w:tr>
        <w:trPr>
          <w:trHeight w:val="243"/>
        </w:trPr>
        <w:tc>
          <w:tcPr>
            <w:tcW w:w="2380" w:type="dxa"/>
            <w:vAlign w:val="bottom"/>
          </w:tcPr>
          <w:p>
            <w:pPr>
              <w:ind w:left="180"/>
              <w:spacing w:after="0"/>
              <w:rPr>
                <w:sz w:val="20"/>
                <w:szCs w:val="20"/>
                <w:color w:val="auto"/>
              </w:rPr>
            </w:pPr>
            <w:r>
              <w:rPr>
                <w:rFonts w:ascii="Arial" w:cs="Arial" w:eastAsia="Arial" w:hAnsi="Arial"/>
                <w:sz w:val="18"/>
                <w:szCs w:val="18"/>
                <w:color w:val="auto"/>
              </w:rPr>
              <w:t>Average common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543,827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486,880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466,506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430,881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346,025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499,354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292,589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63"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auto"/>
        </w:rPr>
        <w:t>Return on average equity</w:t>
      </w:r>
    </w:p>
    <w:p>
      <w:pPr>
        <w:spacing w:after="0" w:line="86" w:lineRule="exact"/>
        <w:rPr>
          <w:sz w:val="20"/>
          <w:szCs w:val="20"/>
          <w:color w:val="auto"/>
        </w:rPr>
      </w:pPr>
    </w:p>
    <w:p>
      <w:pPr>
        <w:ind w:left="340" w:right="140" w:firstLine="45"/>
        <w:spacing w:after="0" w:line="289" w:lineRule="auto"/>
        <w:rPr>
          <w:sz w:val="20"/>
          <w:szCs w:val="20"/>
          <w:color w:val="auto"/>
        </w:rPr>
      </w:pPr>
      <w:r>
        <w:rPr>
          <w:rFonts w:ascii="Arial" w:cs="Arial" w:eastAsia="Arial" w:hAnsi="Arial"/>
          <w:sz w:val="17"/>
          <w:szCs w:val="17"/>
          <w:b w:val="1"/>
          <w:bCs w:val="1"/>
          <w:color w:val="auto"/>
        </w:rPr>
        <w:t>Non-GAAP core operating return on average equity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7.58%</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7.78%</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7.98%</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9.03%</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7.76%</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3.51%</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15"/>
        </w:trPr>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7.58%</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8.04%</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6.79%</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5.59%</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6.83%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7.48%</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5.38%</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85725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980" w:space="400"/>
            <w:col w:w="8860"/>
          </w:cols>
          <w:pgMar w:left="320" w:top="122" w:right="3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Non-GAAP core operating efficiency ratio</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Non-interest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21,172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21,960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22,631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20,166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19,875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65,763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65,589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Less: restructuring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09"/>
        </w:trPr>
        <w:tc>
          <w:tcPr>
            <w:tcW w:w="2460" w:type="dxa"/>
            <w:vAlign w:val="bottom"/>
          </w:tcPr>
          <w:p>
            <w:pPr>
              <w:ind w:left="480"/>
              <w:spacing w:after="0"/>
              <w:rPr>
                <w:sz w:val="20"/>
                <w:szCs w:val="20"/>
                <w:color w:val="auto"/>
              </w:rPr>
            </w:pPr>
            <w:r>
              <w:rPr>
                <w:rFonts w:ascii="Arial" w:cs="Arial" w:eastAsia="Arial" w:hAnsi="Arial"/>
                <w:sz w:val="18"/>
                <w:szCs w:val="18"/>
                <w:color w:val="auto"/>
              </w:rPr>
              <w:t>Non-GAAP non-interest</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440"/>
              <w:spacing w:after="0"/>
              <w:rPr>
                <w:sz w:val="20"/>
                <w:szCs w:val="20"/>
                <w:color w:val="auto"/>
              </w:rPr>
            </w:pPr>
            <w:r>
              <w:rPr>
                <w:rFonts w:ascii="Arial" w:cs="Arial" w:eastAsia="Arial" w:hAnsi="Arial"/>
                <w:sz w:val="18"/>
                <w:szCs w:val="18"/>
                <w:color w:val="auto"/>
              </w:rPr>
              <w:t>expense (numerator)</w:t>
            </w:r>
          </w:p>
        </w:tc>
        <w:tc>
          <w:tcPr>
            <w:tcW w:w="28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21,172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21,960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22,631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20,981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19,875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65,763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60,041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33,605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78,053</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Non-interest income</w:t>
            </w:r>
          </w:p>
        </w:tc>
        <w:tc>
          <w:tcPr>
            <w:tcW w:w="28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Add: fixed asset impairments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9"/>
        </w:trPr>
        <w:tc>
          <w:tcPr>
            <w:tcW w:w="2460" w:type="dxa"/>
            <w:vAlign w:val="bottom"/>
          </w:tcPr>
          <w:p>
            <w:pPr>
              <w:ind w:left="480"/>
              <w:spacing w:after="0"/>
              <w:rPr>
                <w:sz w:val="20"/>
                <w:szCs w:val="20"/>
                <w:color w:val="auto"/>
              </w:rPr>
            </w:pPr>
            <w:r>
              <w:rPr>
                <w:rFonts w:ascii="Arial" w:cs="Arial" w:eastAsia="Arial" w:hAnsi="Arial"/>
                <w:sz w:val="18"/>
                <w:szCs w:val="18"/>
                <w:color w:val="auto"/>
              </w:rPr>
              <w:t>Non-GAAP operating</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440"/>
              <w:spacing w:after="0"/>
              <w:rPr>
                <w:sz w:val="20"/>
                <w:szCs w:val="20"/>
                <w:color w:val="auto"/>
              </w:rPr>
            </w:pPr>
            <w:r>
              <w:rPr>
                <w:rFonts w:ascii="Arial" w:cs="Arial" w:eastAsia="Arial" w:hAnsi="Arial"/>
                <w:sz w:val="18"/>
                <w:szCs w:val="18"/>
                <w:color w:val="auto"/>
              </w:rPr>
              <w:t>revenue (denominator)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38,998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36,970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35,250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33,510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30,324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111,218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83,112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Efficiency ratio</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79.08%</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92"/>
              </w:rPr>
              <w:t>Non-GAAP core operating</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72.24%</w:t>
            </w:r>
          </w:p>
        </w:tc>
        <w:tc>
          <w:tcPr>
            <w:tcW w:w="0" w:type="dxa"/>
            <w:vAlign w:val="bottom"/>
          </w:tcPr>
          <w:p>
            <w:pPr>
              <w:spacing w:after="0"/>
              <w:rPr>
                <w:sz w:val="1"/>
                <w:szCs w:val="1"/>
                <w:color w:val="auto"/>
              </w:rPr>
            </w:pPr>
          </w:p>
        </w:tc>
      </w:tr>
      <w:tr>
        <w:trPr>
          <w:trHeight w:val="241"/>
        </w:trPr>
        <w:tc>
          <w:tcPr>
            <w:tcW w:w="2460" w:type="dxa"/>
            <w:vAlign w:val="bottom"/>
          </w:tcPr>
          <w:p>
            <w:pPr>
              <w:ind w:left="340"/>
              <w:spacing w:after="0"/>
              <w:rPr>
                <w:sz w:val="20"/>
                <w:szCs w:val="20"/>
                <w:color w:val="auto"/>
              </w:rPr>
            </w:pPr>
            <w:r>
              <w:rPr>
                <w:rFonts w:ascii="Arial" w:cs="Arial" w:eastAsia="Arial" w:hAnsi="Arial"/>
                <w:sz w:val="18"/>
                <w:szCs w:val="18"/>
                <w:b w:val="1"/>
                <w:bCs w:val="1"/>
                <w:color w:val="auto"/>
              </w:rPr>
              <w:t>efficiency ratio</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80" w:right="400" w:firstLine="486"/>
        <w:spacing w:after="0" w:line="287" w:lineRule="auto"/>
        <w:rPr>
          <w:sz w:val="20"/>
          <w:szCs w:val="20"/>
          <w:color w:val="auto"/>
        </w:rPr>
      </w:pPr>
      <w:r>
        <w:rPr>
          <w:rFonts w:ascii="Arial" w:cs="Arial" w:eastAsia="Arial" w:hAnsi="Arial"/>
          <w:sz w:val="19"/>
          <w:szCs w:val="19"/>
          <w:color w:val="auto"/>
        </w:rPr>
        <w:t>We calculate ‘‘tangible common stockholders’ equity’’ as total stockholders’ equity less goodwill and other intangible assets and preferred stock. The most directly comparable GAAP financial measure is total stockholders’ equity.</w:t>
      </w:r>
    </w:p>
    <w:p>
      <w:pPr>
        <w:spacing w:after="0" w:line="98" w:lineRule="exact"/>
        <w:rPr>
          <w:sz w:val="20"/>
          <w:szCs w:val="20"/>
          <w:color w:val="auto"/>
        </w:rPr>
      </w:pPr>
    </w:p>
    <w:p>
      <w:pPr>
        <w:jc w:val="both"/>
        <w:ind w:left="180" w:right="100" w:firstLine="486"/>
        <w:spacing w:after="0" w:line="250" w:lineRule="auto"/>
        <w:rPr>
          <w:sz w:val="20"/>
          <w:szCs w:val="20"/>
          <w:color w:val="auto"/>
        </w:rPr>
      </w:pPr>
      <w:r>
        <w:rPr>
          <w:rFonts w:ascii="Arial" w:cs="Arial" w:eastAsia="Arial" w:hAnsi="Arial"/>
          <w:sz w:val="20"/>
          <w:szCs w:val="20"/>
          <w:color w:val="auto"/>
        </w:rPr>
        <w:t>We calculate ‘‘tangible book value per share’’ as tangible common stockholders’ equity (as defined above) divided by the number of shares of our common stock outstanding at the end of the relevant period. The most directly comparable GAAP financial measure is book value per share.</w:t>
      </w:r>
    </w:p>
    <w:p>
      <w:pPr>
        <w:spacing w:after="0" w:line="132" w:lineRule="exact"/>
        <w:rPr>
          <w:sz w:val="20"/>
          <w:szCs w:val="20"/>
          <w:color w:val="auto"/>
        </w:rPr>
      </w:pPr>
    </w:p>
    <w:p>
      <w:pPr>
        <w:ind w:left="180" w:right="100" w:firstLine="486"/>
        <w:spacing w:after="0" w:line="246" w:lineRule="auto"/>
        <w:rPr>
          <w:sz w:val="20"/>
          <w:szCs w:val="20"/>
          <w:color w:val="auto"/>
        </w:rPr>
      </w:pPr>
      <w:r>
        <w:rPr>
          <w:rFonts w:ascii="Arial" w:cs="Arial" w:eastAsia="Arial" w:hAnsi="Arial"/>
          <w:sz w:val="20"/>
          <w:szCs w:val="20"/>
          <w:color w:val="auto"/>
        </w:rPr>
        <w:t>Management believes that tangible stockholders’ equity and tangible book value per share are important to many investors in the marketplace who are interested in changes from period to period in our stockholders’ equity, exclusive of changes in intangible assets. The following table reconciles, as of the dates set forth below, total stockholders’ equity to tangible stockholders’ equity and presents tangible book value per share compared to book value per share:</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Period Ended</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w:t>
            </w: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March</w:t>
            </w:r>
          </w:p>
        </w:tc>
        <w:tc>
          <w:tcPr>
            <w:tcW w:w="2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September</w:t>
            </w:r>
          </w:p>
        </w:tc>
      </w:tr>
      <w:tr>
        <w:trPr>
          <w:trHeight w:val="270"/>
        </w:trPr>
        <w:tc>
          <w:tcPr>
            <w:tcW w:w="3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511"/>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30,</w:t>
            </w:r>
          </w:p>
        </w:tc>
      </w:tr>
      <w:tr>
        <w:trPr>
          <w:trHeight w:val="270"/>
        </w:trPr>
        <w:tc>
          <w:tcPr>
            <w:tcW w:w="3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8"/>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60" w:type="dxa"/>
            <w:vAlign w:val="bottom"/>
            <w:gridSpan w:val="8"/>
          </w:tcPr>
          <w:p>
            <w:pPr>
              <w:jc w:val="center"/>
              <w:ind w:right="400"/>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w w:val="97"/>
              </w:rPr>
              <w:t>Tangible common stockholders’ equity:</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602,435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409,780</w:t>
            </w:r>
          </w:p>
        </w:tc>
      </w:tr>
      <w:tr>
        <w:trPr>
          <w:trHeight w:val="229"/>
        </w:trPr>
        <w:tc>
          <w:tcPr>
            <w:tcW w:w="3340" w:type="dxa"/>
            <w:vAlign w:val="bottom"/>
          </w:tcPr>
          <w:p>
            <w:pPr>
              <w:ind w:left="580"/>
              <w:spacing w:after="0"/>
              <w:rPr>
                <w:sz w:val="20"/>
                <w:szCs w:val="20"/>
                <w:color w:val="auto"/>
              </w:rPr>
            </w:pPr>
            <w:r>
              <w:rPr>
                <w:rFonts w:ascii="Arial" w:cs="Arial" w:eastAsia="Arial" w:hAnsi="Arial"/>
                <w:sz w:val="18"/>
                <w:szCs w:val="18"/>
                <w:color w:val="auto"/>
                <w:w w:val="99"/>
              </w:rPr>
              <w:t>Less: goodwill and other intangible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340" w:type="dxa"/>
            <w:vAlign w:val="bottom"/>
          </w:tcPr>
          <w:p>
            <w:pPr>
              <w:ind w:left="5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7,796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7,821</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97"/>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8"/>
              </w:rPr>
              <w:t>Tangible common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594,715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491,450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472,744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452,540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371,959</w:t>
            </w:r>
          </w:p>
        </w:tc>
      </w:tr>
      <w:tr>
        <w:trPr>
          <w:trHeight w:val="23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Tangible book value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Tangible common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594,715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491,450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472,744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452,540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371,959</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Shares outstanding at end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51,969,203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45,367,641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45,202,370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45,074,322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40,261,480</w:t>
            </w:r>
          </w:p>
        </w:tc>
      </w:tr>
      <w:tr>
        <w:trPr>
          <w:trHeight w:val="297"/>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Book value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11.59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9.43</w:t>
            </w: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Tangible book value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9.24</w:t>
            </w:r>
          </w:p>
        </w:tc>
      </w:tr>
    </w:tbl>
    <w:p>
      <w:pPr>
        <w:spacing w:after="0" w:line="10" w:lineRule="exact"/>
        <w:rPr>
          <w:sz w:val="20"/>
          <w:szCs w:val="20"/>
          <w:color w:val="auto"/>
        </w:rPr>
      </w:pPr>
    </w:p>
    <w:p>
      <w:pPr>
        <w:ind w:left="180" w:firstLine="486"/>
        <w:spacing w:after="0" w:line="250" w:lineRule="auto"/>
        <w:rPr>
          <w:sz w:val="20"/>
          <w:szCs w:val="20"/>
          <w:color w:val="auto"/>
        </w:rPr>
      </w:pPr>
      <w:r>
        <w:rPr>
          <w:rFonts w:ascii="Arial" w:cs="Arial" w:eastAsia="Arial" w:hAnsi="Arial"/>
          <w:sz w:val="20"/>
          <w:szCs w:val="20"/>
          <w:color w:val="auto"/>
        </w:rPr>
        <w:t>We calculate ‘‘Non-GAAP tax equivalent efficiency ratio’’ as non-interest expense divided by the sum of net interest income on a tax equivalent basis and non-interest income. Management believes the tax equivalent efficiency ratio provides a better understanding of our efficiency ratio because it gives effect for our tax-exempt security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-453390</wp:posOffset>
            </wp:positionV>
            <wp:extent cx="47745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as of the dates set forth below, the efficiency ratio compared to the tax-equivalent efficiency ratio:</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8"/>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w:t>
            </w: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w:t>
            </w:r>
          </w:p>
        </w:tc>
        <w:tc>
          <w:tcPr>
            <w:tcW w:w="16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8"/>
          </w:tcPr>
          <w:p>
            <w:pPr>
              <w:ind w:left="800"/>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8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Non-GAAP Tax Equivalent Efficiency Ratio:</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Non-interest expense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22,631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20,166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19,875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65,763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65,589</w:t>
            </w:r>
          </w:p>
        </w:tc>
        <w:tc>
          <w:tcPr>
            <w:tcW w:w="0" w:type="dxa"/>
            <w:vAlign w:val="bottom"/>
          </w:tcPr>
          <w:p>
            <w:pPr>
              <w:spacing w:after="0"/>
              <w:rPr>
                <w:sz w:val="1"/>
                <w:szCs w:val="1"/>
                <w:color w:val="auto"/>
              </w:rPr>
            </w:pPr>
          </w:p>
        </w:tc>
      </w:tr>
      <w:tr>
        <w:trPr>
          <w:trHeight w:val="237"/>
        </w:trPr>
        <w:tc>
          <w:tcPr>
            <w:tcW w:w="2300" w:type="dxa"/>
            <w:vAlign w:val="bottom"/>
          </w:tcPr>
          <w:p>
            <w:pPr>
              <w:ind w:left="180"/>
              <w:spacing w:after="0"/>
              <w:rPr>
                <w:sz w:val="20"/>
                <w:szCs w:val="20"/>
                <w:color w:val="auto"/>
              </w:rPr>
            </w:pPr>
            <w:r>
              <w:rPr>
                <w:rFonts w:ascii="Arial" w:cs="Arial" w:eastAsia="Arial" w:hAnsi="Arial"/>
                <w:sz w:val="18"/>
                <w:szCs w:val="18"/>
                <w:color w:val="auto"/>
              </w:rPr>
              <w:t>Net interest income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35,786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34,874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33,605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32,315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28,968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104,265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78,053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equivalent interest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9"/>
        </w:trPr>
        <w:tc>
          <w:tcPr>
            <w:tcW w:w="2300" w:type="dxa"/>
            <w:vAlign w:val="bottom"/>
          </w:tcPr>
          <w:p>
            <w:pPr>
              <w:ind w:left="480"/>
              <w:spacing w:after="0"/>
              <w:rPr>
                <w:sz w:val="20"/>
                <w:szCs w:val="20"/>
                <w:color w:val="auto"/>
              </w:rPr>
            </w:pPr>
            <w:r>
              <w:rPr>
                <w:rFonts w:ascii="Arial" w:cs="Arial" w:eastAsia="Arial" w:hAnsi="Arial"/>
                <w:sz w:val="18"/>
                <w:szCs w:val="18"/>
                <w:color w:val="auto"/>
                <w:w w:val="92"/>
              </w:rPr>
              <w:t>Net interest income - tax</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40"/>
              <w:spacing w:after="0"/>
              <w:rPr>
                <w:sz w:val="20"/>
                <w:szCs w:val="20"/>
                <w:color w:val="auto"/>
              </w:rPr>
            </w:pPr>
            <w:r>
              <w:rPr>
                <w:rFonts w:ascii="Arial" w:cs="Arial" w:eastAsia="Arial" w:hAnsi="Arial"/>
                <w:sz w:val="18"/>
                <w:szCs w:val="18"/>
                <w:color w:val="auto"/>
              </w:rPr>
              <w:t>equivalent</w:t>
            </w: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35,486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34,221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32,973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29,721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106,117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80,493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Non-interest income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09"/>
        </w:trPr>
        <w:tc>
          <w:tcPr>
            <w:tcW w:w="2300" w:type="dxa"/>
            <w:vAlign w:val="bottom"/>
          </w:tcPr>
          <w:p>
            <w:pPr>
              <w:ind w:left="380"/>
              <w:spacing w:after="0"/>
              <w:rPr>
                <w:sz w:val="20"/>
                <w:szCs w:val="20"/>
                <w:color w:val="auto"/>
              </w:rPr>
            </w:pPr>
            <w:r>
              <w:rPr>
                <w:rFonts w:ascii="Arial" w:cs="Arial" w:eastAsia="Arial" w:hAnsi="Arial"/>
                <w:sz w:val="18"/>
                <w:szCs w:val="18"/>
                <w:color w:val="auto"/>
              </w:rPr>
              <w:t>Total tax-equivalent</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income (Denominator)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39,622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37,158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35,866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34,168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30,906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112,646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85,381</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Efficiency Ratio</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79.08%</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Non-GAAP Tax</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40"/>
              <w:spacing w:after="0"/>
              <w:rPr>
                <w:sz w:val="20"/>
                <w:szCs w:val="20"/>
                <w:color w:val="auto"/>
              </w:rPr>
            </w:pPr>
            <w:r>
              <w:rPr>
                <w:rFonts w:ascii="Arial" w:cs="Arial" w:eastAsia="Arial" w:hAnsi="Arial"/>
                <w:sz w:val="18"/>
                <w:szCs w:val="18"/>
                <w:b w:val="1"/>
                <w:bCs w:val="1"/>
                <w:color w:val="auto"/>
              </w:rPr>
              <w:t>Equivalent Efficiency</w:t>
            </w: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76.82%</w:t>
            </w:r>
          </w:p>
        </w:tc>
        <w:tc>
          <w:tcPr>
            <w:tcW w:w="0" w:type="dxa"/>
            <w:vAlign w:val="bottom"/>
          </w:tcPr>
          <w:p>
            <w:pPr>
              <w:spacing w:after="0"/>
              <w:rPr>
                <w:sz w:val="1"/>
                <w:szCs w:val="1"/>
                <w:color w:val="auto"/>
              </w:rPr>
            </w:pPr>
          </w:p>
        </w:tc>
      </w:tr>
      <w:tr>
        <w:trPr>
          <w:trHeight w:val="241"/>
        </w:trPr>
        <w:tc>
          <w:tcPr>
            <w:tcW w:w="2300" w:type="dxa"/>
            <w:vAlign w:val="bottom"/>
          </w:tcPr>
          <w:p>
            <w:pPr>
              <w:ind w:left="340"/>
              <w:spacing w:after="0"/>
              <w:rPr>
                <w:sz w:val="20"/>
                <w:szCs w:val="20"/>
                <w:color w:val="auto"/>
              </w:rPr>
            </w:pPr>
            <w:r>
              <w:rPr>
                <w:rFonts w:ascii="Arial" w:cs="Arial" w:eastAsia="Arial" w:hAnsi="Arial"/>
                <w:sz w:val="18"/>
                <w:szCs w:val="18"/>
                <w:b w:val="1"/>
                <w:bCs w:val="1"/>
                <w:color w:val="auto"/>
              </w:rPr>
              <w:t>Ratio</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w:t>
      </w:r>
    </w:p>
    <w:p>
      <w:pPr>
        <w:spacing w:after="0" w:line="257" w:lineRule="exact"/>
        <w:rPr>
          <w:sz w:val="20"/>
          <w:szCs w:val="20"/>
          <w:color w:val="auto"/>
        </w:rPr>
      </w:pPr>
    </w:p>
    <w:p>
      <w:pPr>
        <w:ind w:left="180" w:right="60" w:firstLine="486"/>
        <w:spacing w:after="0" w:line="246" w:lineRule="auto"/>
        <w:rPr>
          <w:sz w:val="20"/>
          <w:szCs w:val="20"/>
          <w:color w:val="auto"/>
        </w:rPr>
      </w:pPr>
      <w:r>
        <w:rPr>
          <w:rFonts w:ascii="Arial" w:cs="Arial" w:eastAsia="Arial" w:hAnsi="Arial"/>
          <w:sz w:val="20"/>
          <w:szCs w:val="20"/>
          <w:color w:val="auto"/>
        </w:rPr>
        <w:t>The Company’s results of operations depend substantially on net interest income and non-interest income. Other factors contributing to the Company’s results of operations include its non-interest expense, such as salaries and employee benefits, occupancy and equipment and other miscellaneous operating expenses. The components of the Company’s results of operations were as follows for the periods shown:</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350"/>
              <w:spacing w:after="0"/>
              <w:rPr>
                <w:sz w:val="20"/>
                <w:szCs w:val="20"/>
                <w:color w:val="auto"/>
              </w:rPr>
            </w:pPr>
            <w:r>
              <w:rPr>
                <w:rFonts w:ascii="Arial" w:cs="Arial" w:eastAsia="Arial" w:hAnsi="Arial"/>
                <w:sz w:val="16"/>
                <w:szCs w:val="16"/>
                <w:i w:val="1"/>
                <w:iCs w:val="1"/>
                <w:color w:val="auto"/>
              </w:rPr>
              <w:t>(Dollars in thousands)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35,786</w:t>
            </w: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104,265</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10,550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Non-interest expense</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65,763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65,589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97"/>
        </w:trPr>
        <w:tc>
          <w:tcPr>
            <w:tcW w:w="3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6,354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63.4 %</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29,173</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215.2 %</w:t>
            </w: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9"/>
        </w:trPr>
        <w:tc>
          <w:tcPr>
            <w:tcW w:w="3020" w:type="dxa"/>
            <w:vAlign w:val="bottom"/>
          </w:tcPr>
          <w:p>
            <w:pPr>
              <w:ind w:left="40"/>
              <w:spacing w:after="0"/>
              <w:rPr>
                <w:sz w:val="20"/>
                <w:szCs w:val="20"/>
                <w:color w:val="auto"/>
              </w:rPr>
            </w:pPr>
            <w:r>
              <w:rPr>
                <w:rFonts w:ascii="Arial" w:cs="Arial" w:eastAsia="Arial" w:hAnsi="Arial"/>
                <w:sz w:val="18"/>
                <w:szCs w:val="18"/>
                <w:color w:val="auto"/>
              </w:rPr>
              <w:t>Net income available to common</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10,384</w:t>
            </w:r>
          </w:p>
        </w:tc>
        <w:tc>
          <w:tcPr>
            <w:tcW w:w="8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78.1 %</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28,998</w:t>
            </w:r>
          </w:p>
        </w:tc>
        <w:tc>
          <w:tcPr>
            <w:tcW w:w="4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277.5 %</w:t>
            </w:r>
          </w:p>
        </w:tc>
        <w:tc>
          <w:tcPr>
            <w:tcW w:w="0" w:type="dxa"/>
            <w:vAlign w:val="bottom"/>
          </w:tcPr>
          <w:p>
            <w:pPr>
              <w:spacing w:after="0"/>
              <w:rPr>
                <w:sz w:val="1"/>
                <w:szCs w:val="1"/>
                <w:color w:val="auto"/>
              </w:rPr>
            </w:pPr>
          </w:p>
        </w:tc>
      </w:tr>
      <w:tr>
        <w:trPr>
          <w:trHeight w:val="277"/>
        </w:trPr>
        <w:tc>
          <w:tcPr>
            <w:tcW w:w="3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Non-GAAP core operating income</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60.2 %</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28,127</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60" w:right="980" w:hanging="169"/>
        <w:spacing w:after="0" w:line="237" w:lineRule="auto"/>
        <w:tabs>
          <w:tab w:leader="none" w:pos="465"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Non-GAAP core operating income is a non-GAAP financial measure. The most directly comparable measure under GAAP is net income. See ‘‘GAAP Reconciliation and Management Explanation of Non-GAAP Financial Measures’’ for a reconciliation of this measure.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2" w:right="359" w:bottom="1440" w:gutter="0" w:footer="0" w:header="0"/>
        </w:sectPr>
      </w:pPr>
    </w:p>
    <w:bookmarkStart w:id="47" w:name="page48"/>
    <w:bookmarkEnd w:id="47"/>
    <w:p>
      <w:pPr>
        <w:spacing w:after="0" w:line="80" w:lineRule="exact"/>
        <w:rPr>
          <w:sz w:val="20"/>
          <w:szCs w:val="20"/>
          <w:color w:val="auto"/>
        </w:rPr>
      </w:pPr>
    </w:p>
    <w:p>
      <w:pPr>
        <w:ind w:left="40"/>
        <w:spacing w:after="0"/>
        <w:tabs>
          <w:tab w:leader="none" w:pos="358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Interest Income</w:t>
      </w:r>
    </w:p>
    <w:p>
      <w:pPr>
        <w:spacing w:after="0" w:line="122" w:lineRule="exact"/>
        <w:rPr>
          <w:sz w:val="20"/>
          <w:szCs w:val="20"/>
          <w:color w:val="auto"/>
        </w:rPr>
      </w:pPr>
    </w:p>
    <w:p>
      <w:pPr>
        <w:ind w:left="180" w:firstLine="486"/>
        <w:spacing w:after="0" w:line="244" w:lineRule="auto"/>
        <w:rPr>
          <w:sz w:val="20"/>
          <w:szCs w:val="20"/>
          <w:color w:val="auto"/>
        </w:rPr>
      </w:pPr>
      <w:r>
        <w:rPr>
          <w:rFonts w:ascii="Arial" w:cs="Arial" w:eastAsia="Arial" w:hAnsi="Arial"/>
          <w:sz w:val="20"/>
          <w:szCs w:val="20"/>
          <w:color w:val="auto"/>
        </w:rPr>
        <w:t>We present and discuss net interest income on a tax-equivalent basis below. A tax-equivalent basis makes all income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 The following table presents, for the period indicated, average balance sheet information, interest income, interest expense and the corresponding average yield and rates paid:</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Income /</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Yield /</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Income /</w:t>
            </w:r>
          </w:p>
        </w:tc>
        <w:tc>
          <w:tcPr>
            <w:tcW w:w="1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Yield /</w:t>
            </w:r>
          </w:p>
        </w:tc>
        <w:tc>
          <w:tcPr>
            <w:tcW w:w="0" w:type="dxa"/>
            <w:vAlign w:val="bottom"/>
          </w:tcPr>
          <w:p>
            <w:pPr>
              <w:spacing w:after="0"/>
              <w:rPr>
                <w:sz w:val="1"/>
                <w:szCs w:val="1"/>
                <w:color w:val="auto"/>
              </w:rPr>
            </w:pPr>
          </w:p>
        </w:tc>
      </w:tr>
      <w:tr>
        <w:trPr>
          <w:trHeight w:val="261"/>
        </w:trPr>
        <w:tc>
          <w:tcPr>
            <w:tcW w:w="3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Expense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7"/>
              </w:rPr>
              <w:t>Rate</w:t>
            </w:r>
            <w:r>
              <w:rPr>
                <w:rFonts w:ascii="Arial" w:cs="Arial" w:eastAsia="Arial" w:hAnsi="Arial"/>
                <w:sz w:val="25"/>
                <w:szCs w:val="25"/>
                <w:b w:val="1"/>
                <w:bCs w:val="1"/>
                <w:color w:val="auto"/>
                <w:w w:val="87"/>
                <w:vertAlign w:val="superscript"/>
              </w:rPr>
              <w:t>(4)</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Expense</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0"/>
              <w:spacing w:after="0" w:line="262" w:lineRule="exact"/>
              <w:rPr>
                <w:sz w:val="20"/>
                <w:szCs w:val="20"/>
                <w:color w:val="auto"/>
              </w:rPr>
            </w:pPr>
            <w:r>
              <w:rPr>
                <w:rFonts w:ascii="Arial" w:cs="Arial" w:eastAsia="Arial" w:hAnsi="Arial"/>
                <w:sz w:val="18"/>
                <w:szCs w:val="18"/>
                <w:b w:val="1"/>
                <w:bCs w:val="1"/>
                <w:color w:val="auto"/>
              </w:rPr>
              <w:t>Rate</w:t>
            </w:r>
            <w:r>
              <w:rPr>
                <w:rFonts w:ascii="Arial" w:cs="Arial" w:eastAsia="Arial" w:hAnsi="Arial"/>
                <w:sz w:val="25"/>
                <w:szCs w:val="25"/>
                <w:b w:val="1"/>
                <w:bCs w:val="1"/>
                <w:color w:val="auto"/>
                <w:vertAlign w:val="superscript"/>
              </w:rPr>
              <w:t>(4)</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6"/>
                <w:szCs w:val="16"/>
                <w:i w:val="1"/>
                <w:iCs w:val="1"/>
                <w:color w:val="auto"/>
                <w:w w:val="93"/>
              </w:rPr>
              <w:t>(Dollars in thousands)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Interest-earning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Securities - taxable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335,045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304,937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Securities - tax-exempt</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392,644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3,592</w:t>
            </w:r>
          </w:p>
        </w:tc>
        <w:tc>
          <w:tcPr>
            <w:tcW w:w="1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447,333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4,338</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Federal funds sold</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160" w:type="dxa"/>
            <w:vAlign w:val="bottom"/>
            <w:gridSpan w:val="2"/>
          </w:tcPr>
          <w:p>
            <w:pPr>
              <w:jc w:val="right"/>
              <w:ind w:right="9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20,674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Interest-bearing deposits in other banks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116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0"/>
        </w:trPr>
        <w:tc>
          <w:tcPr>
            <w:tcW w:w="368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Gross loans, net of unearned income</w:t>
            </w:r>
            <w:r>
              <w:rPr>
                <w:rFonts w:ascii="Arial" w:cs="Arial" w:eastAsia="Arial" w:hAnsi="Arial"/>
                <w:sz w:val="25"/>
                <w:szCs w:val="25"/>
                <w:color w:val="auto"/>
                <w:vertAlign w:val="superscript"/>
              </w:rPr>
              <w:t>(2)(3)</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3,540,707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49,327</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2,523,107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34,012</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63"/>
        </w:trPr>
        <w:tc>
          <w:tcPr>
            <w:tcW w:w="3680" w:type="dxa"/>
            <w:vAlign w:val="bottom"/>
            <w:shd w:val="clear" w:color="auto" w:fill="CCEEFF"/>
          </w:tcPr>
          <w:p>
            <w:pPr>
              <w:ind w:left="280"/>
              <w:spacing w:after="0" w:line="263"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4,456,624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3,428,636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non-interest-earning assets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197,661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191,956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4,610,958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3,588,876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Interest-bearing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Transaction deposits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134,987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56,072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Savings and money market deposits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9,553</w:t>
            </w:r>
          </w:p>
        </w:tc>
        <w:tc>
          <w:tcPr>
            <w:tcW w:w="116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6,139</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1,276,571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8,064</w:t>
            </w:r>
          </w:p>
        </w:tc>
        <w:tc>
          <w:tcPr>
            <w:tcW w:w="1160" w:type="dxa"/>
            <w:vAlign w:val="bottom"/>
            <w:gridSpan w:val="2"/>
          </w:tcPr>
          <w:p>
            <w:pPr>
              <w:jc w:val="right"/>
              <w:ind w:right="9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801,416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3,827</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3,155,133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18,003</w:t>
            </w:r>
          </w:p>
        </w:tc>
        <w:tc>
          <w:tcPr>
            <w:tcW w:w="116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9,999</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FHLB and short-term borrowings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345,794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1160" w:type="dxa"/>
            <w:vAlign w:val="bottom"/>
            <w:gridSpan w:val="2"/>
          </w:tcPr>
          <w:p>
            <w:pPr>
              <w:jc w:val="right"/>
              <w:ind w:right="9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397,252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1,772</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preferred securities, net of fair value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16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Non-interest-bearing deposits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535,467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491,942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funds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4,037,298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3,197,947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543,827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376,025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4,610,958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3,588,876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line="244" w:lineRule="exact"/>
              <w:rPr>
                <w:sz w:val="20"/>
                <w:szCs w:val="20"/>
                <w:color w:val="auto"/>
              </w:rPr>
            </w:pPr>
            <w:r>
              <w:rPr>
                <w:rFonts w:ascii="Arial" w:cs="Arial" w:eastAsia="Arial" w:hAnsi="Arial"/>
                <w:sz w:val="18"/>
                <w:szCs w:val="18"/>
                <w:color w:val="auto"/>
              </w:rPr>
              <w:t>Net interest income</w:t>
            </w:r>
            <w:r>
              <w:rPr>
                <w:rFonts w:ascii="Arial" w:cs="Arial" w:eastAsia="Arial" w:hAnsi="Arial"/>
                <w:sz w:val="25"/>
                <w:szCs w:val="25"/>
                <w:color w:val="auto"/>
                <w:vertAlign w:val="superscript"/>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36,409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40"/>
              <w:spacing w:after="0"/>
              <w:rPr>
                <w:sz w:val="20"/>
                <w:szCs w:val="20"/>
                <w:color w:val="auto"/>
              </w:rPr>
            </w:pPr>
            <w:r>
              <w:rPr>
                <w:rFonts w:ascii="Arial" w:cs="Arial" w:eastAsia="Arial" w:hAnsi="Arial"/>
                <w:sz w:val="18"/>
                <w:szCs w:val="18"/>
                <w:color w:val="auto"/>
              </w:rPr>
              <w:t>Net interest spread</w:t>
            </w:r>
            <w:r>
              <w:rPr>
                <w:rFonts w:ascii="Arial" w:cs="Arial" w:eastAsia="Arial" w:hAnsi="Arial"/>
                <w:sz w:val="25"/>
                <w:szCs w:val="25"/>
                <w:color w:val="auto"/>
                <w:vertAlign w:val="superscript"/>
              </w:rPr>
              <w:t>(1)</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line="20" w:lineRule="exact"/>
              <w:rPr>
                <w:sz w:val="1"/>
                <w:szCs w:val="1"/>
                <w:color w:val="auto"/>
              </w:rPr>
            </w:pPr>
          </w:p>
        </w:tc>
      </w:tr>
      <w:tr>
        <w:trPr>
          <w:trHeight w:val="250"/>
        </w:trPr>
        <w:tc>
          <w:tcPr>
            <w:tcW w:w="36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60" w:hanging="169"/>
        <w:spacing w:after="0"/>
        <w:tabs>
          <w:tab w:leader="none" w:pos="46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Tax exempt income is calculated on a tax equivalent basis. Tax-free municipal securities are exempt from Federal taxes. The incremental tax rate used is 21.0%.</w:t>
      </w:r>
    </w:p>
    <w:p>
      <w:pPr>
        <w:spacing w:after="0" w:line="64" w:lineRule="exact"/>
        <w:rPr>
          <w:rFonts w:ascii="Arial" w:cs="Arial" w:eastAsia="Arial" w:hAnsi="Arial"/>
          <w:sz w:val="19"/>
          <w:szCs w:val="19"/>
          <w:color w:val="auto"/>
          <w:vertAlign w:val="superscript"/>
        </w:rPr>
      </w:pPr>
    </w:p>
    <w:p>
      <w:pPr>
        <w:ind w:left="460" w:hanging="169"/>
        <w:spacing w:after="0" w:line="211" w:lineRule="auto"/>
        <w:tabs>
          <w:tab w:leader="none" w:pos="46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Loans, net of unearned income includes non-accrual loans of $43.6 million and $12.5 million as of September 30, 2019 and 2018, respectively.</w:t>
      </w:r>
    </w:p>
    <w:p>
      <w:pPr>
        <w:spacing w:after="0" w:line="64" w:lineRule="exact"/>
        <w:rPr>
          <w:rFonts w:ascii="Arial" w:cs="Arial" w:eastAsia="Arial" w:hAnsi="Arial"/>
          <w:sz w:val="19"/>
          <w:szCs w:val="19"/>
          <w:color w:val="auto"/>
          <w:vertAlign w:val="superscript"/>
        </w:rPr>
      </w:pPr>
    </w:p>
    <w:p>
      <w:pPr>
        <w:ind w:left="460" w:hanging="169"/>
        <w:spacing w:after="0" w:line="211" w:lineRule="auto"/>
        <w:tabs>
          <w:tab w:leader="none" w:pos="46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Loan interest income includes loan fees of $2.4 million and $1.8 million for the three months ended September 30, 2019 and 2018, respectively.</w:t>
      </w:r>
    </w:p>
    <w:p>
      <w:pPr>
        <w:spacing w:after="0" w:line="64" w:lineRule="exact"/>
        <w:rPr>
          <w:rFonts w:ascii="Arial" w:cs="Arial" w:eastAsia="Arial" w:hAnsi="Arial"/>
          <w:sz w:val="19"/>
          <w:szCs w:val="19"/>
          <w:color w:val="auto"/>
          <w:vertAlign w:val="superscript"/>
        </w:rPr>
      </w:pPr>
    </w:p>
    <w:p>
      <w:pPr>
        <w:ind w:left="460" w:right="320" w:hanging="169"/>
        <w:spacing w:after="0" w:line="245" w:lineRule="auto"/>
        <w:tabs>
          <w:tab w:leader="none" w:pos="451"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Actual unrounded values are used to calculate the reported yield or rate disclosed. Accordingly, recalculations using the amounts in thousands as disclosed in this report may not produce the same amounts.</w:t>
      </w:r>
    </w:p>
    <w:p>
      <w:pPr>
        <w:spacing w:after="0" w:line="17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3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380" w:type="dxa"/>
            <w:vAlign w:val="bottom"/>
            <w:gridSpan w:val="3"/>
          </w:tcPr>
          <w:p>
            <w:pPr>
              <w:ind w:left="200"/>
              <w:spacing w:after="0"/>
              <w:rPr>
                <w:sz w:val="20"/>
                <w:szCs w:val="20"/>
                <w:color w:val="auto"/>
              </w:rPr>
            </w:pPr>
            <w:r>
              <w:rPr>
                <w:rFonts w:ascii="Arial" w:cs="Arial" w:eastAsia="Arial" w:hAnsi="Arial"/>
                <w:sz w:val="18"/>
                <w:szCs w:val="18"/>
                <w:b w:val="1"/>
                <w:bCs w:val="1"/>
                <w:color w:val="auto"/>
              </w:rPr>
              <w:t>Average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w:t>
            </w:r>
          </w:p>
        </w:tc>
        <w:tc>
          <w:tcPr>
            <w:tcW w:w="1380" w:type="dxa"/>
            <w:vAlign w:val="bottom"/>
            <w:gridSpan w:val="3"/>
          </w:tcPr>
          <w:p>
            <w:pPr>
              <w:ind w:left="280"/>
              <w:spacing w:after="0"/>
              <w:rPr>
                <w:sz w:val="20"/>
                <w:szCs w:val="20"/>
                <w:color w:val="auto"/>
              </w:rPr>
            </w:pPr>
            <w:r>
              <w:rPr>
                <w:rFonts w:ascii="Arial" w:cs="Arial" w:eastAsia="Arial" w:hAnsi="Arial"/>
                <w:sz w:val="18"/>
                <w:szCs w:val="18"/>
                <w:b w:val="1"/>
                <w:bCs w:val="1"/>
                <w:color w:val="auto"/>
              </w:rPr>
              <w:t>Yield /</w:t>
            </w: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w:t>
            </w:r>
          </w:p>
        </w:tc>
        <w:tc>
          <w:tcPr>
            <w:tcW w:w="1040" w:type="dxa"/>
            <w:vAlign w:val="bottom"/>
          </w:tcPr>
          <w:p>
            <w:pPr>
              <w:ind w:left="260"/>
              <w:spacing w:after="0"/>
              <w:rPr>
                <w:sz w:val="20"/>
                <w:szCs w:val="20"/>
                <w:color w:val="auto"/>
              </w:rPr>
            </w:pPr>
            <w:r>
              <w:rPr>
                <w:rFonts w:ascii="Arial" w:cs="Arial" w:eastAsia="Arial" w:hAnsi="Arial"/>
                <w:sz w:val="18"/>
                <w:szCs w:val="18"/>
                <w:b w:val="1"/>
                <w:bCs w:val="1"/>
                <w:color w:val="auto"/>
              </w:rPr>
              <w:t>Yield /</w:t>
            </w:r>
          </w:p>
        </w:tc>
      </w:tr>
      <w:tr>
        <w:trPr>
          <w:trHeight w:val="261"/>
        </w:trPr>
        <w:tc>
          <w:tcPr>
            <w:tcW w:w="36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1380" w:type="dxa"/>
            <w:vAlign w:val="bottom"/>
            <w:tcBorders>
              <w:bottom w:val="single" w:sz="8" w:color="auto"/>
            </w:tcBorders>
            <w:gridSpan w:val="3"/>
          </w:tcPr>
          <w:p>
            <w:pPr>
              <w:ind w:left="260"/>
              <w:spacing w:after="0" w:line="262" w:lineRule="exact"/>
              <w:rPr>
                <w:sz w:val="20"/>
                <w:szCs w:val="20"/>
                <w:color w:val="auto"/>
              </w:rPr>
            </w:pPr>
            <w:r>
              <w:rPr>
                <w:rFonts w:ascii="Arial" w:cs="Arial" w:eastAsia="Arial" w:hAnsi="Arial"/>
                <w:sz w:val="18"/>
                <w:szCs w:val="18"/>
                <w:b w:val="1"/>
                <w:bCs w:val="1"/>
                <w:color w:val="auto"/>
              </w:rPr>
              <w:t>Rate</w:t>
            </w:r>
            <w:r>
              <w:rPr>
                <w:rFonts w:ascii="Arial" w:cs="Arial" w:eastAsia="Arial" w:hAnsi="Arial"/>
                <w:sz w:val="25"/>
                <w:szCs w:val="25"/>
                <w:b w:val="1"/>
                <w:bCs w:val="1"/>
                <w:color w:val="auto"/>
                <w:vertAlign w:val="superscript"/>
              </w:rPr>
              <w:t>(4)</w:t>
            </w: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1040" w:type="dxa"/>
            <w:vAlign w:val="bottom"/>
            <w:tcBorders>
              <w:bottom w:val="single" w:sz="8" w:color="auto"/>
            </w:tcBorders>
          </w:tcPr>
          <w:p>
            <w:pPr>
              <w:ind w:left="260"/>
              <w:spacing w:after="0" w:line="262" w:lineRule="exact"/>
              <w:rPr>
                <w:sz w:val="20"/>
                <w:szCs w:val="20"/>
                <w:color w:val="auto"/>
              </w:rPr>
            </w:pPr>
            <w:r>
              <w:rPr>
                <w:rFonts w:ascii="Arial" w:cs="Arial" w:eastAsia="Arial" w:hAnsi="Arial"/>
                <w:sz w:val="18"/>
                <w:szCs w:val="18"/>
                <w:b w:val="1"/>
                <w:bCs w:val="1"/>
                <w:color w:val="auto"/>
              </w:rPr>
              <w:t>Rate</w:t>
            </w:r>
            <w:r>
              <w:rPr>
                <w:rFonts w:ascii="Arial" w:cs="Arial" w:eastAsia="Arial" w:hAnsi="Arial"/>
                <w:sz w:val="25"/>
                <w:szCs w:val="25"/>
                <w:b w:val="1"/>
                <w:bCs w:val="1"/>
                <w:color w:val="auto"/>
                <w:vertAlign w:val="superscript"/>
              </w:rPr>
              <w:t>(4)</w:t>
            </w:r>
          </w:p>
        </w:tc>
      </w:tr>
      <w:tr>
        <w:trPr>
          <w:trHeight w:val="217"/>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6"/>
                <w:szCs w:val="16"/>
                <w:i w:val="1"/>
                <w:iCs w:val="1"/>
                <w:color w:val="auto"/>
                <w:w w:val="93"/>
              </w:rPr>
              <w:t>(Dollars in thousands)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Interest-earning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Securities - taxable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334,272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7,447</w:t>
            </w:r>
          </w:p>
        </w:tc>
        <w:tc>
          <w:tcPr>
            <w:tcW w:w="120" w:type="dxa"/>
            <w:vAlign w:val="bottom"/>
          </w:tcPr>
          <w:p>
            <w:pPr>
              <w:spacing w:after="0"/>
              <w:rPr>
                <w:sz w:val="21"/>
                <w:szCs w:val="21"/>
                <w:color w:val="auto"/>
              </w:rPr>
            </w:pPr>
          </w:p>
        </w:tc>
        <w:tc>
          <w:tcPr>
            <w:tcW w:w="1380" w:type="dxa"/>
            <w:vAlign w:val="bottom"/>
            <w:gridSpan w:val="3"/>
          </w:tcPr>
          <w:p>
            <w:pPr>
              <w:ind w:left="540"/>
              <w:spacing w:after="0"/>
              <w:rPr>
                <w:sz w:val="20"/>
                <w:szCs w:val="20"/>
                <w:color w:val="auto"/>
              </w:rPr>
            </w:pPr>
            <w:r>
              <w:rPr>
                <w:rFonts w:ascii="Arial" w:cs="Arial" w:eastAsia="Arial" w:hAnsi="Arial"/>
                <w:sz w:val="18"/>
                <w:szCs w:val="18"/>
                <w:color w:val="auto"/>
              </w:rPr>
              <w:t>2.98%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273,525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6,447</w:t>
            </w:r>
          </w:p>
        </w:tc>
        <w:tc>
          <w:tcPr>
            <w:tcW w:w="12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w w:val="93"/>
              </w:rPr>
              <w:t>3.15%</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6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Securities - tax-exempt</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378,651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10,672</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484,090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14,062</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3.88</w:t>
            </w: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Federal funds sold</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rPr>
              <w:t>2.00</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Interest-bearing deposits in other banks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1.68</w:t>
            </w:r>
          </w:p>
        </w:tc>
      </w:tr>
      <w:tr>
        <w:trPr>
          <w:trHeight w:val="270"/>
        </w:trPr>
        <w:tc>
          <w:tcPr>
            <w:tcW w:w="368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Gross loans, net of unearned income</w:t>
            </w:r>
            <w:r>
              <w:rPr>
                <w:rFonts w:ascii="Arial" w:cs="Arial" w:eastAsia="Arial" w:hAnsi="Arial"/>
                <w:sz w:val="25"/>
                <w:szCs w:val="25"/>
                <w:color w:val="auto"/>
                <w:vertAlign w:val="superscript"/>
              </w:rPr>
              <w:t>(2)(3)</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3,373,118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142,319</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2,275,039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89,262</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5.25</w:t>
            </w:r>
          </w:p>
        </w:tc>
      </w:tr>
      <w:tr>
        <w:trPr>
          <w:trHeight w:val="263"/>
        </w:trPr>
        <w:tc>
          <w:tcPr>
            <w:tcW w:w="3680" w:type="dxa"/>
            <w:vAlign w:val="bottom"/>
            <w:shd w:val="clear" w:color="auto" w:fill="CCEEFF"/>
          </w:tcPr>
          <w:p>
            <w:pPr>
              <w:ind w:left="280"/>
              <w:spacing w:after="0" w:line="263"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4,239,785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162,890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5.14%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3,226,176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112,252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4.65%</w:t>
            </w: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ectPr>
          <w:pgSz w:w="11900" w:h="16918" w:orient="portrait"/>
          <w:cols w:equalWidth="0" w:num="1">
            <w:col w:w="11220"/>
          </w:cols>
          <w:pgMar w:left="320" w:top="287" w:right="35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non-interest-earning assets</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196,900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166,661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4,395,356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3,363,230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Interest-bearing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Transaction deposits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127,785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1,139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53,995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Savings and money market deposits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27,326</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1,381,291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15,658</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1,249,219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22,956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809,550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10,880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interest-bearing deposits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51,421</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26,639</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FHLB and short-term borrowings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366,708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5,240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381,166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5,020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preferred securities, net of fair value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Non-interest-bearing deposits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508,888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402,850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funds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3,870,053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56,773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3,029,712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36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322,589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4,395,356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3,363,230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line="244" w:lineRule="exact"/>
              <w:rPr>
                <w:sz w:val="20"/>
                <w:szCs w:val="20"/>
                <w:color w:val="auto"/>
              </w:rPr>
            </w:pPr>
            <w:r>
              <w:rPr>
                <w:rFonts w:ascii="Arial" w:cs="Arial" w:eastAsia="Arial" w:hAnsi="Arial"/>
                <w:sz w:val="18"/>
                <w:szCs w:val="18"/>
                <w:color w:val="auto"/>
              </w:rPr>
              <w:t>Net interest income</w:t>
            </w:r>
            <w:r>
              <w:rPr>
                <w:rFonts w:ascii="Arial" w:cs="Arial" w:eastAsia="Arial" w:hAnsi="Arial"/>
                <w:sz w:val="25"/>
                <w:szCs w:val="25"/>
                <w:color w:val="auto"/>
                <w:vertAlign w:val="superscript"/>
              </w:rPr>
              <w:t>(1)</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80,493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40"/>
              <w:spacing w:after="0"/>
              <w:rPr>
                <w:sz w:val="20"/>
                <w:szCs w:val="20"/>
                <w:color w:val="auto"/>
              </w:rPr>
            </w:pPr>
            <w:r>
              <w:rPr>
                <w:rFonts w:ascii="Arial" w:cs="Arial" w:eastAsia="Arial" w:hAnsi="Arial"/>
                <w:sz w:val="18"/>
                <w:szCs w:val="18"/>
                <w:color w:val="auto"/>
              </w:rPr>
              <w:t>Net interest spread</w:t>
            </w:r>
            <w:r>
              <w:rPr>
                <w:rFonts w:ascii="Arial" w:cs="Arial" w:eastAsia="Arial" w:hAnsi="Arial"/>
                <w:sz w:val="25"/>
                <w:szCs w:val="25"/>
                <w:color w:val="auto"/>
                <w:vertAlign w:val="superscript"/>
              </w:rPr>
              <w:t>(1)</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line="20" w:lineRule="exact"/>
              <w:rPr>
                <w:sz w:val="1"/>
                <w:szCs w:val="1"/>
                <w:color w:val="auto"/>
              </w:rPr>
            </w:pPr>
          </w:p>
        </w:tc>
      </w:tr>
      <w:tr>
        <w:trPr>
          <w:trHeight w:val="250"/>
        </w:trPr>
        <w:tc>
          <w:tcPr>
            <w:tcW w:w="36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0" w:hanging="169"/>
        <w:spacing w:after="0"/>
        <w:tabs>
          <w:tab w:leader="none" w:pos="20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Tax exempt income is calculated on a tax equivalent basis. Tax-free municipal securities are exempt from Federal taxes. The incremental tax rate used is 21.0%.</w:t>
      </w:r>
    </w:p>
    <w:p>
      <w:pPr>
        <w:spacing w:after="0" w:line="64" w:lineRule="exact"/>
        <w:rPr>
          <w:rFonts w:ascii="Arial" w:cs="Arial" w:eastAsia="Arial" w:hAnsi="Arial"/>
          <w:sz w:val="19"/>
          <w:szCs w:val="19"/>
          <w:color w:val="auto"/>
          <w:vertAlign w:val="superscript"/>
        </w:rPr>
      </w:pPr>
    </w:p>
    <w:p>
      <w:pPr>
        <w:ind w:left="180" w:hanging="149"/>
        <w:spacing w:after="0" w:line="223" w:lineRule="auto"/>
        <w:tabs>
          <w:tab w:leader="none" w:pos="18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Loans, net of unearned income includes non-accrual loans of $43.6 million and $12.5 million as of September 30, 2019 and 2018, respectively.</w:t>
      </w:r>
    </w:p>
    <w:p>
      <w:pPr>
        <w:spacing w:after="0" w:line="64" w:lineRule="exact"/>
        <w:rPr>
          <w:rFonts w:ascii="Arial" w:cs="Arial" w:eastAsia="Arial" w:hAnsi="Arial"/>
          <w:sz w:val="18"/>
          <w:szCs w:val="18"/>
          <w:color w:val="auto"/>
          <w:vertAlign w:val="superscript"/>
        </w:rPr>
      </w:pPr>
    </w:p>
    <w:p>
      <w:pPr>
        <w:ind w:left="200" w:hanging="169"/>
        <w:spacing w:after="0" w:line="211" w:lineRule="auto"/>
        <w:tabs>
          <w:tab w:leader="none" w:pos="20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Loan interest income includes loan fees of $6.6 million and $5.1 million for the nine months ended September 30, 2019 and 2018, respectively.</w:t>
      </w:r>
    </w:p>
    <w:p>
      <w:pPr>
        <w:spacing w:after="0" w:line="64" w:lineRule="exact"/>
        <w:rPr>
          <w:rFonts w:ascii="Arial" w:cs="Arial" w:eastAsia="Arial" w:hAnsi="Arial"/>
          <w:sz w:val="19"/>
          <w:szCs w:val="19"/>
          <w:color w:val="auto"/>
          <w:vertAlign w:val="superscript"/>
        </w:rPr>
      </w:pPr>
    </w:p>
    <w:p>
      <w:pPr>
        <w:ind w:left="200" w:right="320" w:hanging="169"/>
        <w:spacing w:after="0" w:line="245" w:lineRule="auto"/>
        <w:tabs>
          <w:tab w:leader="none" w:pos="191"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Actual unrounded values are used to calculate the reported yield or rate disclosed. Accordingly, recalculations using the amounts in thousands as disclosed in this report may not produce the same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580" w:top="167" w:right="359" w:bottom="1440" w:gutter="0" w:footer="0" w:header="0"/>
        </w:sectPr>
      </w:pPr>
    </w:p>
    <w:bookmarkStart w:id="49" w:name="page50"/>
    <w:bookmarkEnd w:id="4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ind w:left="180" w:right="300" w:firstLine="486"/>
        <w:spacing w:after="0" w:line="244" w:lineRule="auto"/>
        <w:rPr>
          <w:sz w:val="20"/>
          <w:szCs w:val="20"/>
          <w:color w:val="auto"/>
        </w:rPr>
      </w:pPr>
      <w:r>
        <w:rPr>
          <w:rFonts w:ascii="Arial" w:cs="Arial" w:eastAsia="Arial" w:hAnsi="Arial"/>
          <w:sz w:val="20"/>
          <w:szCs w:val="20"/>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 shown. Information is provided with respect to: (i) changes in volume (change in volume times old rate); (ii) changes in rates (change in rate times old volume); and (iii) changes in rate/volume (change in rate times the change in volume).</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0"/>
              </w:rPr>
              <w:t>Three Months Ended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1"/>
              </w:rPr>
              <w:t>Nine Months Ended</w:t>
            </w:r>
          </w:p>
        </w:tc>
        <w:tc>
          <w:tcPr>
            <w:tcW w:w="940" w:type="dxa"/>
            <w:vAlign w:val="bottom"/>
          </w:tcPr>
          <w:p>
            <w:pPr>
              <w:spacing w:after="0"/>
              <w:rPr>
                <w:sz w:val="20"/>
                <w:szCs w:val="20"/>
                <w:color w:val="auto"/>
              </w:rPr>
            </w:pPr>
          </w:p>
        </w:tc>
      </w:tr>
      <w:tr>
        <w:trPr>
          <w:trHeight w:val="270"/>
        </w:trPr>
        <w:tc>
          <w:tcPr>
            <w:tcW w:w="3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September 30, 2019 over 2018</w:t>
            </w:r>
          </w:p>
        </w:tc>
        <w:tc>
          <w:tcPr>
            <w:tcW w:w="160" w:type="dxa"/>
            <w:vAlign w:val="bottom"/>
          </w:tcPr>
          <w:p>
            <w:pPr>
              <w:spacing w:after="0"/>
              <w:rPr>
                <w:sz w:val="23"/>
                <w:szCs w:val="23"/>
                <w:color w:val="auto"/>
              </w:rPr>
            </w:pPr>
          </w:p>
        </w:tc>
        <w:tc>
          <w:tcPr>
            <w:tcW w:w="334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89"/>
              </w:rPr>
              <w:t>September 30, 2019 over 2018</w:t>
            </w:r>
          </w:p>
        </w:tc>
      </w:tr>
      <w:tr>
        <w:trPr>
          <w:trHeight w:val="27"/>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r>
      <w:tr>
        <w:trPr>
          <w:trHeight w:val="261"/>
        </w:trPr>
        <w:tc>
          <w:tcPr>
            <w:tcW w:w="3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spacing w:after="0" w:line="262" w:lineRule="exact"/>
              <w:rPr>
                <w:sz w:val="20"/>
                <w:szCs w:val="20"/>
                <w:color w:val="auto"/>
              </w:rPr>
            </w:pPr>
            <w:r>
              <w:rPr>
                <w:rFonts w:ascii="Arial" w:cs="Arial" w:eastAsia="Arial" w:hAnsi="Arial"/>
                <w:sz w:val="18"/>
                <w:szCs w:val="18"/>
                <w:b w:val="1"/>
                <w:bCs w:val="1"/>
                <w:color w:val="auto"/>
              </w:rPr>
              <w:t>Change</w:t>
            </w:r>
            <w:r>
              <w:rPr>
                <w:rFonts w:ascii="Arial" w:cs="Arial" w:eastAsia="Arial" w:hAnsi="Arial"/>
                <w:sz w:val="25"/>
                <w:szCs w:val="25"/>
                <w:b w:val="1"/>
                <w:bCs w:val="1"/>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Yield/Rate</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5"/>
              </w:rPr>
              <w:t>Change</w:t>
            </w:r>
            <w:r>
              <w:rPr>
                <w:rFonts w:ascii="Arial" w:cs="Arial" w:eastAsia="Arial" w:hAnsi="Arial"/>
                <w:sz w:val="25"/>
                <w:szCs w:val="25"/>
                <w:b w:val="1"/>
                <w:bCs w:val="1"/>
                <w:color w:val="auto"/>
                <w:w w:val="85"/>
                <w:vertAlign w:val="superscript"/>
              </w:rPr>
              <w:t>(2)</w:t>
            </w:r>
          </w:p>
        </w:tc>
      </w:tr>
      <w:tr>
        <w:trPr>
          <w:trHeight w:val="217"/>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ind w:left="24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Securities - taxable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1,000</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Securities - tax-exempt</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Federal funds sold</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Interest-bearing deposits in other banks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Gross loans, net of unearned income</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45,980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53,057</w:t>
            </w: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3740" w:type="dxa"/>
            <w:vAlign w:val="bottom"/>
            <w:shd w:val="clear" w:color="auto" w:fill="CCEEFF"/>
          </w:tcPr>
          <w:p>
            <w:pPr>
              <w:ind w:left="280"/>
              <w:spacing w:after="0" w:line="263" w:lineRule="exact"/>
              <w:rPr>
                <w:sz w:val="20"/>
                <w:szCs w:val="20"/>
                <w:color w:val="auto"/>
              </w:rPr>
            </w:pPr>
            <w:r>
              <w:rPr>
                <w:rFonts w:ascii="Arial" w:cs="Arial" w:eastAsia="Arial" w:hAnsi="Arial"/>
                <w:sz w:val="18"/>
                <w:szCs w:val="18"/>
                <w:color w:val="auto"/>
              </w:rPr>
              <w:t>Total interest income</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14,029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50,638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deposits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Savings and money market deposits</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11,668</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12,076</w:t>
            </w:r>
          </w:p>
        </w:tc>
      </w:tr>
      <w:tr>
        <w:trPr>
          <w:trHeight w:val="236"/>
        </w:trPr>
        <w:tc>
          <w:tcPr>
            <w:tcW w:w="3740" w:type="dxa"/>
            <w:vAlign w:val="bottom"/>
          </w:tcPr>
          <w:p>
            <w:pPr>
              <w:ind w:left="18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24,782</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FHLB and 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color w:val="auto"/>
              </w:rPr>
              <w:t>Trust preferred securities, net of fair value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74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25,014</w:t>
            </w:r>
          </w:p>
        </w:tc>
      </w:tr>
      <w:tr>
        <w:trPr>
          <w:trHeight w:val="263"/>
        </w:trPr>
        <w:tc>
          <w:tcPr>
            <w:tcW w:w="3740" w:type="dxa"/>
            <w:vAlign w:val="bottom"/>
          </w:tcPr>
          <w:p>
            <w:pPr>
              <w:ind w:left="380"/>
              <w:spacing w:after="0" w:line="263" w:lineRule="exact"/>
              <w:rPr>
                <w:sz w:val="20"/>
                <w:szCs w:val="20"/>
                <w:color w:val="auto"/>
              </w:rPr>
            </w:pPr>
            <w:r>
              <w:rPr>
                <w:rFonts w:ascii="Arial" w:cs="Arial" w:eastAsia="Arial" w:hAnsi="Arial"/>
                <w:sz w:val="18"/>
                <w:szCs w:val="18"/>
                <w:color w:val="auto"/>
              </w:rPr>
              <w:t>Net interest income</w:t>
            </w:r>
            <w:r>
              <w:rPr>
                <w:rFonts w:ascii="Arial" w:cs="Arial" w:eastAsia="Arial" w:hAnsi="Arial"/>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10,047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6,689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33,462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25,624</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360" w:hanging="163"/>
        <w:spacing w:after="0"/>
        <w:tabs>
          <w:tab w:leader="none" w:pos="36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Tax exempt income is calculated on a tax equivalent basis. Tax-free municipal securities are exempt from Federal taxes. The incremental tax rate used is 21.0%.</w:t>
      </w:r>
    </w:p>
    <w:p>
      <w:pPr>
        <w:spacing w:after="0" w:line="64" w:lineRule="exact"/>
        <w:rPr>
          <w:rFonts w:ascii="Arial" w:cs="Arial" w:eastAsia="Arial" w:hAnsi="Arial"/>
          <w:sz w:val="19"/>
          <w:szCs w:val="19"/>
          <w:color w:val="auto"/>
          <w:vertAlign w:val="superscript"/>
        </w:rPr>
      </w:pPr>
    </w:p>
    <w:p>
      <w:pPr>
        <w:ind w:left="360" w:hanging="163"/>
        <w:spacing w:after="0" w:line="211" w:lineRule="auto"/>
        <w:tabs>
          <w:tab w:leader="none" w:pos="36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The change in interest not due solely to volume or rate has been allocated in proportion to the respective absolute dollar amounts of the change in volume or rate.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Three months ended September 30, 2019 over 2018</w:t>
      </w:r>
    </w:p>
    <w:p>
      <w:pPr>
        <w:spacing w:after="0" w:line="108" w:lineRule="exact"/>
        <w:rPr>
          <w:sz w:val="20"/>
          <w:szCs w:val="20"/>
          <w:color w:val="auto"/>
        </w:rPr>
      </w:pPr>
    </w:p>
    <w:p>
      <w:pPr>
        <w:jc w:val="both"/>
        <w:ind w:left="180" w:right="360" w:firstLine="486"/>
        <w:spacing w:after="0" w:line="250" w:lineRule="auto"/>
        <w:rPr>
          <w:sz w:val="20"/>
          <w:szCs w:val="20"/>
          <w:color w:val="auto"/>
        </w:rPr>
      </w:pPr>
      <w:r>
        <w:rPr>
          <w:rFonts w:ascii="Arial" w:cs="Arial" w:eastAsia="Arial" w:hAnsi="Arial"/>
          <w:sz w:val="20"/>
          <w:szCs w:val="20"/>
          <w:color w:val="auto"/>
        </w:rPr>
        <w:t>For the three months ended September 30, 2019, net interest income increased $6.7 million or 22.5% from the same period in the prior year. Net interest income improved as a result of a $1.0 billion or 30.0% increase in average interest-earning assets offset by a 20 basis point decline in our net interest margin (‘‘NIM’’).</w:t>
      </w:r>
    </w:p>
    <w:p>
      <w:pPr>
        <w:spacing w:after="0" w:line="132" w:lineRule="exact"/>
        <w:rPr>
          <w:sz w:val="20"/>
          <w:szCs w:val="20"/>
          <w:color w:val="auto"/>
        </w:rPr>
      </w:pPr>
    </w:p>
    <w:p>
      <w:pPr>
        <w:ind w:left="180" w:firstLine="486"/>
        <w:spacing w:after="0" w:line="259" w:lineRule="auto"/>
        <w:rPr>
          <w:sz w:val="20"/>
          <w:szCs w:val="20"/>
          <w:color w:val="auto"/>
        </w:rPr>
      </w:pPr>
      <w:r>
        <w:rPr>
          <w:rFonts w:ascii="Arial" w:cs="Arial" w:eastAsia="Arial" w:hAnsi="Arial"/>
          <w:sz w:val="19"/>
          <w:szCs w:val="19"/>
          <w:color w:val="auto"/>
        </w:rPr>
        <w:t>For the three months ended September 30, 2019, NIM was 3.24% compared to 3.44% in 2018. The declining margin was attributable to a rising interest rate environment in the third quarter of 2018 compared to two rate cuts by the Federal Open Market Committee (‘‘FOMC’’) in the third quarter of 2019. As a result, we experienced higher cost of funds as interest-bearing deposits repriced slower than our loan portfolio. The margin on gross loans, net of unearned income increased 18 basis points from 5.35% to 5.53% while the Company’s cost of funds increased 48 basis points from 1.46% to 1.94%. Changes in the yield and rate of interest-earning assets and interest-bearing liabilities decreased net interest income by $3.4 million.</w:t>
      </w:r>
    </w:p>
    <w:p>
      <w:pPr>
        <w:spacing w:after="0" w:line="124" w:lineRule="exact"/>
        <w:rPr>
          <w:sz w:val="20"/>
          <w:szCs w:val="20"/>
          <w:color w:val="auto"/>
        </w:rPr>
      </w:pPr>
    </w:p>
    <w:p>
      <w:pPr>
        <w:ind w:left="180" w:right="200" w:firstLine="486"/>
        <w:spacing w:after="0" w:line="246" w:lineRule="auto"/>
        <w:rPr>
          <w:sz w:val="20"/>
          <w:szCs w:val="20"/>
          <w:color w:val="auto"/>
        </w:rPr>
      </w:pPr>
      <w:r>
        <w:rPr>
          <w:rFonts w:ascii="Arial" w:cs="Arial" w:eastAsia="Arial" w:hAnsi="Arial"/>
          <w:sz w:val="20"/>
          <w:szCs w:val="20"/>
          <w:color w:val="auto"/>
        </w:rPr>
        <w:t>Average volume for the three months ended September 30, 2019 compared to 2018 improved net interest income by $10.0 million. Average interest-earning assets were driven by a $1.0 billion or 40.3% increase in average loans. The growth in loans was primarily supported by a $847.2 million or 36.7% increase in interest-bearing deposits and a $43.5 million or 8.8% increase in non-interest-bearing deposits.</w:t>
      </w:r>
    </w:p>
    <w:p>
      <w:pPr>
        <w:spacing w:after="0" w:line="200" w:lineRule="exact"/>
        <w:rPr>
          <w:sz w:val="20"/>
          <w:szCs w:val="20"/>
          <w:color w:val="auto"/>
        </w:rPr>
      </w:pPr>
    </w:p>
    <w:p>
      <w:pPr>
        <w:spacing w:after="0" w:line="34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Nine months ended September 30, 2019 over 2018</w:t>
      </w:r>
    </w:p>
    <w:p>
      <w:pPr>
        <w:spacing w:after="0" w:line="108" w:lineRule="exact"/>
        <w:rPr>
          <w:sz w:val="20"/>
          <w:szCs w:val="20"/>
          <w:color w:val="auto"/>
        </w:rPr>
      </w:pPr>
    </w:p>
    <w:p>
      <w:pPr>
        <w:ind w:left="180" w:right="80" w:firstLine="486"/>
        <w:spacing w:after="0" w:line="246" w:lineRule="auto"/>
        <w:rPr>
          <w:sz w:val="20"/>
          <w:szCs w:val="20"/>
          <w:color w:val="auto"/>
        </w:rPr>
      </w:pPr>
      <w:r>
        <w:rPr>
          <w:rFonts w:ascii="Arial" w:cs="Arial" w:eastAsia="Arial" w:hAnsi="Arial"/>
          <w:sz w:val="20"/>
          <w:szCs w:val="20"/>
          <w:color w:val="auto"/>
        </w:rPr>
        <w:t>For the nine-months ended September 30, 2019, net interest income increased $25.6 million or 31.8% from the same period in the prior year. Net interest income was driven by a $1.0 billion or 31.4% increase in average interest-earning assets. NIM increased 1 basis point as a result of four rate increases by the FOMC from March 2018 to December 2018, offset by two rate declines by the FOMC in July and September of 2019.</w:t>
      </w:r>
    </w:p>
    <w:p>
      <w:pPr>
        <w:spacing w:after="0" w:line="137" w:lineRule="exact"/>
        <w:rPr>
          <w:sz w:val="20"/>
          <w:szCs w:val="20"/>
          <w:color w:val="auto"/>
        </w:rPr>
      </w:pPr>
    </w:p>
    <w:p>
      <w:pPr>
        <w:ind w:left="180" w:firstLine="486"/>
        <w:spacing w:after="0" w:line="276" w:lineRule="auto"/>
        <w:rPr>
          <w:sz w:val="20"/>
          <w:szCs w:val="20"/>
          <w:color w:val="auto"/>
        </w:rPr>
      </w:pPr>
      <w:r>
        <w:rPr>
          <w:rFonts w:ascii="Arial" w:cs="Arial" w:eastAsia="Arial" w:hAnsi="Arial"/>
          <w:sz w:val="18"/>
          <w:szCs w:val="18"/>
          <w:color w:val="auto"/>
        </w:rPr>
        <w:t>For the nine-months ended September 30, 2019, NIM was 3.35% compared to 3.34% in 2018. The yield on loans, net of unearned income increased 39 basis points to 5.64%, increasing interest income by $7.1 million offset by an increase in the cost of interest-bearing deposits of 71 basis points resulting in a $14.3 million increase in interest expense. While our margin improved, the overall impact of interest rates decreased net interest income by $7.8 million. Average volume for the nine-months ended September 30, 2019 compared to 2018 improved net interest income by $33.5 million. Average loans increased $1.1 billion or 48.3%, while average interest-bearing deposits increased $748.7 million or 33.4%. Net interest income reflects the Company’s strong balance sheet growth and maintenance of NIM.</w:t>
      </w:r>
    </w:p>
    <w:p>
      <w:pPr>
        <w:spacing w:after="0" w:line="111" w:lineRule="exact"/>
        <w:rPr>
          <w:sz w:val="20"/>
          <w:szCs w:val="20"/>
          <w:color w:val="auto"/>
        </w:rPr>
      </w:pPr>
    </w:p>
    <w:p>
      <w:pPr>
        <w:ind w:left="180" w:right="220" w:firstLine="486"/>
        <w:spacing w:after="0" w:line="316" w:lineRule="auto"/>
        <w:rPr>
          <w:sz w:val="20"/>
          <w:szCs w:val="20"/>
          <w:color w:val="auto"/>
        </w:rPr>
      </w:pPr>
      <w:r>
        <w:rPr>
          <w:rFonts w:ascii="Arial" w:cs="Arial" w:eastAsia="Arial" w:hAnsi="Arial"/>
          <w:sz w:val="18"/>
          <w:szCs w:val="18"/>
          <w:color w:val="auto"/>
        </w:rPr>
        <w:t>As of September 30, 2019, approximately $223.8 million of time deposits mature in the fourth quarter at an average interest rate of 2.51%. An additional $331.2 million of time deposits mature during the first quarter of 2020 at an average interest of 2.67%.</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Impact of Transition Away from LIBOR</w:t>
      </w:r>
    </w:p>
    <w:p>
      <w:pPr>
        <w:spacing w:after="0" w:line="108" w:lineRule="exact"/>
        <w:rPr>
          <w:sz w:val="20"/>
          <w:szCs w:val="20"/>
          <w:color w:val="auto"/>
        </w:rPr>
      </w:pPr>
    </w:p>
    <w:p>
      <w:pPr>
        <w:ind w:left="180" w:right="160" w:firstLine="486"/>
        <w:spacing w:after="0" w:line="321" w:lineRule="auto"/>
        <w:rPr>
          <w:sz w:val="20"/>
          <w:szCs w:val="20"/>
          <w:color w:val="auto"/>
        </w:rPr>
      </w:pPr>
      <w:r>
        <w:rPr>
          <w:rFonts w:ascii="Arial" w:cs="Arial" w:eastAsia="Arial" w:hAnsi="Arial"/>
          <w:sz w:val="16"/>
          <w:szCs w:val="16"/>
          <w:color w:val="auto"/>
        </w:rPr>
        <w:t>The Company has loans, derivative contracts, and other financial instruments that directly or indirectly depend on LIBOR to establish an interest rate and/or value. This included $1.1 billion in loans tied to LIBOR as of September 30, 2019. LIBOR is expected to cease on December 31, 2021. The impact of alternatives to LIBOR on the valuations, pricing and operation of our financial instruments is not yet known; however, loans, securities, and derivatives indexed to LIBOR that mature after December 31, 2021 may be impacted. As a result, the Company established an internal committee to evaluate potential substitutions and the related financial impact to the Company.</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Provision for Loan Losses</w:t>
      </w:r>
    </w:p>
    <w:p>
      <w:pPr>
        <w:spacing w:after="0" w:line="257" w:lineRule="exact"/>
        <w:rPr>
          <w:sz w:val="20"/>
          <w:szCs w:val="20"/>
          <w:color w:val="auto"/>
        </w:rPr>
      </w:pPr>
    </w:p>
    <w:p>
      <w:pPr>
        <w:ind w:left="180" w:right="80" w:firstLine="486"/>
        <w:spacing w:after="0" w:line="291" w:lineRule="auto"/>
        <w:rPr>
          <w:sz w:val="20"/>
          <w:szCs w:val="20"/>
          <w:color w:val="auto"/>
        </w:rPr>
      </w:pPr>
      <w:r>
        <w:rPr>
          <w:rFonts w:ascii="Arial" w:cs="Arial" w:eastAsia="Arial" w:hAnsi="Arial"/>
          <w:sz w:val="18"/>
          <w:szCs w:val="18"/>
          <w:color w:val="auto"/>
        </w:rPr>
        <w:t>The provision for loan losses is a charge to earnings to maintain the allowance for loan losses at a level that reflects management’s assessment of the collectability of the loan portfolio. Net charge-offs (recoveries) represent a reduction (addition) to the allowance for loan losses for loans we believe are no longer collectible. The provision for loan losses was as follows for the periods shown:</w:t>
      </w:r>
    </w:p>
    <w:p>
      <w:pPr>
        <w:spacing w:after="0" w:line="96"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Nine Months Ended</w:t>
            </w:r>
          </w:p>
        </w:tc>
        <w:tc>
          <w:tcPr>
            <w:tcW w:w="1180" w:type="dxa"/>
            <w:vAlign w:val="bottom"/>
          </w:tcPr>
          <w:p>
            <w:pPr>
              <w:spacing w:after="0"/>
              <w:rPr>
                <w:sz w:val="20"/>
                <w:szCs w:val="20"/>
                <w:color w:val="auto"/>
              </w:rPr>
            </w:pPr>
          </w:p>
        </w:tc>
      </w:tr>
      <w:tr>
        <w:trPr>
          <w:trHeight w:val="270"/>
        </w:trPr>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1180" w:type="dxa"/>
            <w:vAlign w:val="bottom"/>
          </w:tcPr>
          <w:p>
            <w:pPr>
              <w:spacing w:after="0"/>
              <w:rPr>
                <w:sz w:val="23"/>
                <w:szCs w:val="23"/>
                <w:color w:val="auto"/>
              </w:rPr>
            </w:pPr>
          </w:p>
        </w:tc>
      </w:tr>
      <w:tr>
        <w:trPr>
          <w:trHeight w:val="27"/>
        </w:trPr>
        <w:tc>
          <w:tcPr>
            <w:tcW w:w="1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 Change</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 Change</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gridSpan w:val="4"/>
          </w:tcPr>
          <w:p>
            <w:pPr>
              <w:jc w:val="right"/>
              <w:ind w:right="21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1,850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  $</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10,550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1,550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1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2" w:lineRule="exact"/>
        <w:rPr>
          <w:sz w:val="20"/>
          <w:szCs w:val="20"/>
          <w:color w:val="auto"/>
        </w:rPr>
      </w:pPr>
    </w:p>
    <w:p>
      <w:pPr>
        <w:ind w:left="180" w:right="80" w:firstLine="486"/>
        <w:spacing w:after="0" w:line="246" w:lineRule="auto"/>
        <w:rPr>
          <w:sz w:val="20"/>
          <w:szCs w:val="20"/>
          <w:color w:val="auto"/>
        </w:rPr>
      </w:pPr>
      <w:r>
        <w:rPr>
          <w:rFonts w:ascii="Arial" w:cs="Arial" w:eastAsia="Arial" w:hAnsi="Arial"/>
          <w:sz w:val="20"/>
          <w:szCs w:val="20"/>
          <w:color w:val="auto"/>
        </w:rPr>
        <w:t>The allowance for loan losses as of September 30, 2019 was $43.0 million compared to $33.5 million as of September 30, 2018. The increase of $9.5 million or 28.2% was primarily due to an increase in our loan portfolio as well as an increase in non-performing loans, partially offset by a reduction in the energy portfolio’s qualitative factors. The allowance as a percentage of loans was 1.18% at September 30, 2019 compared to 1.22% at September 30, 2018.</w:t>
      </w:r>
    </w:p>
    <w:p>
      <w:pPr>
        <w:spacing w:after="0" w:line="200" w:lineRule="exact"/>
        <w:rPr>
          <w:sz w:val="20"/>
          <w:szCs w:val="20"/>
          <w:color w:val="auto"/>
        </w:rPr>
      </w:pPr>
    </w:p>
    <w:p>
      <w:pPr>
        <w:spacing w:after="0" w:line="34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Non-Interest Income</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components of non-interest income were as follows for the periods shown:</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1010"/>
              <w:spacing w:after="0"/>
              <w:rPr>
                <w:sz w:val="20"/>
                <w:szCs w:val="20"/>
                <w:color w:val="auto"/>
              </w:rPr>
            </w:pPr>
            <w:r>
              <w:rPr>
                <w:rFonts w:ascii="Arial" w:cs="Arial" w:eastAsia="Arial" w:hAnsi="Arial"/>
                <w:sz w:val="18"/>
                <w:szCs w:val="18"/>
                <w:b w:val="1"/>
                <w:bCs w:val="1"/>
                <w:color w:val="auto"/>
                <w:w w:val="92"/>
              </w:rPr>
              <w:t>Nine Months Ended</w:t>
            </w:r>
          </w:p>
        </w:tc>
      </w:tr>
      <w:tr>
        <w:trPr>
          <w:trHeight w:val="270"/>
        </w:trPr>
        <w:tc>
          <w:tcPr>
            <w:tcW w:w="3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87"/>
              </w:rPr>
              <w:t>Change</w:t>
            </w:r>
          </w:p>
        </w:tc>
      </w:tr>
      <w:tr>
        <w:trPr>
          <w:trHeight w:val="270"/>
        </w:trPr>
        <w:tc>
          <w:tcPr>
            <w:tcW w:w="3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37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ind w:left="4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charges and fees (rebates) on</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customer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172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(65)</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w w:val="91"/>
              </w:rPr>
              <w:t>Gain on sale of available for sale securities</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1220" w:type="dxa"/>
            <w:vAlign w:val="bottom"/>
            <w:gridSpan w:val="3"/>
          </w:tcPr>
          <w:p>
            <w:pPr>
              <w:jc w:val="right"/>
              <w:ind w:right="90"/>
              <w:spacing w:after="0"/>
              <w:rPr>
                <w:sz w:val="20"/>
                <w:szCs w:val="20"/>
                <w:color w:val="auto"/>
              </w:rPr>
            </w:pPr>
            <w:r>
              <w:rPr>
                <w:rFonts w:ascii="Arial" w:cs="Arial" w:eastAsia="Arial" w:hAnsi="Arial"/>
                <w:sz w:val="18"/>
                <w:szCs w:val="18"/>
                <w:color w:val="auto"/>
              </w:rPr>
              <w:t>(23.2)</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Impairment of premises and equipment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for sale</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20" w:type="dxa"/>
            <w:vAlign w:val="bottom"/>
            <w:tcBorders>
              <w:bottom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Gain on sale of loans</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220" w:type="dxa"/>
            <w:vAlign w:val="bottom"/>
            <w:gridSpan w:val="3"/>
          </w:tcPr>
          <w:p>
            <w:pPr>
              <w:jc w:val="right"/>
              <w:ind w:right="155"/>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w:t>
            </w:r>
          </w:p>
        </w:tc>
        <w:tc>
          <w:tcPr>
            <w:tcW w:w="1220" w:type="dxa"/>
            <w:vAlign w:val="bottom"/>
            <w:gridSpan w:val="3"/>
          </w:tcPr>
          <w:p>
            <w:pPr>
              <w:jc w:val="right"/>
              <w:ind w:right="90"/>
              <w:spacing w:after="0"/>
              <w:rPr>
                <w:sz w:val="20"/>
                <w:szCs w:val="20"/>
                <w:color w:val="auto"/>
              </w:rPr>
            </w:pPr>
            <w:r>
              <w:rPr>
                <w:rFonts w:ascii="Arial" w:cs="Arial" w:eastAsia="Arial" w:hAnsi="Arial"/>
                <w:sz w:val="18"/>
                <w:szCs w:val="18"/>
                <w:color w:val="auto"/>
              </w:rPr>
              <w:t>(66.5)</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from bank-owned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20" w:type="dxa"/>
            <w:vAlign w:val="bottom"/>
            <w:tcBorders>
              <w:bottom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Swap fee income, net</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1,626</w:t>
            </w:r>
          </w:p>
        </w:tc>
        <w:tc>
          <w:tcPr>
            <w:tcW w:w="1220" w:type="dxa"/>
            <w:vAlign w:val="bottom"/>
            <w:gridSpan w:val="3"/>
          </w:tcPr>
          <w:p>
            <w:pPr>
              <w:jc w:val="right"/>
              <w:ind w:right="155"/>
              <w:spacing w:after="0"/>
              <w:rPr>
                <w:sz w:val="20"/>
                <w:szCs w:val="20"/>
                <w:color w:val="auto"/>
              </w:rPr>
            </w:pPr>
            <w:r>
              <w:rPr>
                <w:rFonts w:ascii="Arial" w:cs="Arial" w:eastAsia="Arial" w:hAnsi="Arial"/>
                <w:sz w:val="18"/>
                <w:szCs w:val="18"/>
                <w:color w:val="auto"/>
              </w:rPr>
              <w:t>642.7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2,116</w:t>
            </w:r>
          </w:p>
        </w:tc>
        <w:tc>
          <w:tcPr>
            <w:tcW w:w="1220" w:type="dxa"/>
            <w:vAlign w:val="bottom"/>
            <w:gridSpan w:val="3"/>
          </w:tcPr>
          <w:p>
            <w:pPr>
              <w:jc w:val="right"/>
              <w:ind w:right="150"/>
              <w:spacing w:after="0"/>
              <w:rPr>
                <w:sz w:val="20"/>
                <w:szCs w:val="20"/>
                <w:color w:val="auto"/>
              </w:rPr>
            </w:pPr>
            <w:r>
              <w:rPr>
                <w:rFonts w:ascii="Arial" w:cs="Arial" w:eastAsia="Arial" w:hAnsi="Arial"/>
                <w:sz w:val="18"/>
                <w:szCs w:val="18"/>
                <w:color w:val="auto"/>
              </w:rPr>
              <w:t>707.7</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ATM and credit card interchange income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20" w:type="dxa"/>
            <w:vAlign w:val="bottom"/>
            <w:tcBorders>
              <w:bottom w:val="single" w:sz="8" w:color="CCEEFF"/>
            </w:tcBorders>
            <w:gridSpan w:val="3"/>
            <w:shd w:val="clear" w:color="auto" w:fill="CCEEFF"/>
          </w:tcPr>
          <w:p>
            <w:pPr>
              <w:jc w:val="right"/>
              <w:ind w:right="155"/>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58.6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non-interest income</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220" w:type="dxa"/>
            <w:vAlign w:val="bottom"/>
            <w:gridSpan w:val="3"/>
          </w:tcPr>
          <w:p>
            <w:pPr>
              <w:jc w:val="right"/>
              <w:ind w:right="155"/>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20" w:type="dxa"/>
            <w:vAlign w:val="bottom"/>
            <w:gridSpan w:val="3"/>
          </w:tcPr>
          <w:p>
            <w:pPr>
              <w:jc w:val="right"/>
              <w:ind w:right="150"/>
              <w:spacing w:after="0"/>
              <w:rPr>
                <w:sz w:val="20"/>
                <w:szCs w:val="20"/>
                <w:color w:val="auto"/>
              </w:rPr>
            </w:pPr>
            <w:r>
              <w:rPr>
                <w:rFonts w:ascii="Arial" w:cs="Arial" w:eastAsia="Arial" w:hAnsi="Arial"/>
                <w:sz w:val="18"/>
                <w:szCs w:val="18"/>
                <w:color w:val="auto"/>
              </w:rPr>
              <w:t>0.7</w:t>
            </w:r>
          </w:p>
        </w:tc>
      </w:tr>
      <w:tr>
        <w:trPr>
          <w:trHeight w:val="27"/>
        </w:trPr>
        <w:tc>
          <w:tcPr>
            <w:tcW w:w="3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$ 2,027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171.1 %</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4,888</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$ 1,641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changes in non-interest income were driven by the following:</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Swap Fee Income, Net</w:t>
      </w:r>
    </w:p>
    <w:p>
      <w:pPr>
        <w:spacing w:after="0" w:line="162" w:lineRule="exact"/>
        <w:rPr>
          <w:sz w:val="20"/>
          <w:szCs w:val="20"/>
          <w:color w:val="auto"/>
        </w:rPr>
      </w:pPr>
    </w:p>
    <w:p>
      <w:pPr>
        <w:ind w:left="180" w:firstLine="486"/>
        <w:spacing w:after="0" w:line="282" w:lineRule="auto"/>
        <w:rPr>
          <w:sz w:val="20"/>
          <w:szCs w:val="20"/>
          <w:color w:val="auto"/>
        </w:rPr>
      </w:pPr>
      <w:r>
        <w:rPr>
          <w:rFonts w:ascii="Arial" w:cs="Arial" w:eastAsia="Arial" w:hAnsi="Arial"/>
          <w:sz w:val="18"/>
          <w:szCs w:val="18"/>
          <w:color w:val="auto"/>
        </w:rPr>
        <w:t>Swap fee income, net includes both swap fees from the execution of new swaps and the credit valuation adjustment (‘‘CVA’’). During the quarter, the Company added several large swaps, resulting in $1.1 million of swap fees compared to $272.7 thousand of fees from several, smaller swaps in the third quarter of 2018. Year-to-date 2019 swap fee activity totaled $2.4 million compared to $335.9 thousand in the prior year. The back-to-back swap program increased in activity during 2019 as a result of attractive market conditions.</w:t>
      </w:r>
    </w:p>
    <w:p>
      <w:pPr>
        <w:spacing w:after="0" w:line="107" w:lineRule="exact"/>
        <w:rPr>
          <w:sz w:val="20"/>
          <w:szCs w:val="20"/>
          <w:color w:val="auto"/>
        </w:rPr>
      </w:pPr>
    </w:p>
    <w:p>
      <w:pPr>
        <w:ind w:left="180" w:right="180" w:firstLine="486"/>
        <w:spacing w:after="0" w:line="246" w:lineRule="auto"/>
        <w:rPr>
          <w:sz w:val="20"/>
          <w:szCs w:val="20"/>
          <w:color w:val="auto"/>
        </w:rPr>
      </w:pPr>
      <w:r>
        <w:rPr>
          <w:rFonts w:ascii="Arial" w:cs="Arial" w:eastAsia="Arial" w:hAnsi="Arial"/>
          <w:sz w:val="20"/>
          <w:szCs w:val="20"/>
          <w:color w:val="auto"/>
        </w:rPr>
        <w:t>In addition, the increase included a change in the CVA methodology during the third quarter of 2019. Prior to the third quarter, a more conservative default methodology was used to account for non-performance risk. The Company moved to a review of historical defaults and internal credit analysis performed by the Company. The result was an increase to non-interest income of approximately $800 thousand related to swaps entered in previous quarters.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ATM and Credit Card Interchange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Increased income was driven by the expansion of our credit card program to our new and existing customers.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Service Charges and Fees on Customer Accounts</w:t>
      </w:r>
    </w:p>
    <w:p>
      <w:pPr>
        <w:spacing w:after="0" w:line="162" w:lineRule="exact"/>
        <w:rPr>
          <w:sz w:val="20"/>
          <w:szCs w:val="20"/>
          <w:color w:val="auto"/>
        </w:rPr>
      </w:pPr>
    </w:p>
    <w:p>
      <w:pPr>
        <w:ind w:left="180" w:firstLine="486"/>
        <w:spacing w:after="0" w:line="260" w:lineRule="auto"/>
        <w:rPr>
          <w:sz w:val="20"/>
          <w:szCs w:val="20"/>
          <w:color w:val="auto"/>
        </w:rPr>
      </w:pPr>
      <w:r>
        <w:rPr>
          <w:rFonts w:ascii="Arial" w:cs="Arial" w:eastAsia="Arial" w:hAnsi="Arial"/>
          <w:sz w:val="20"/>
          <w:szCs w:val="20"/>
          <w:color w:val="auto"/>
        </w:rPr>
        <w:t>This category includes a rebate program implemented in the second quarter of 2018 that attracted additional funding for the Bank and account analysis fees that continue to grow with our customer base.</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Gain on Sale of Available for Sale Securities</w:t>
      </w:r>
    </w:p>
    <w:p>
      <w:pPr>
        <w:spacing w:after="0" w:line="162" w:lineRule="exact"/>
        <w:rPr>
          <w:sz w:val="20"/>
          <w:szCs w:val="20"/>
          <w:color w:val="auto"/>
        </w:rPr>
      </w:pPr>
    </w:p>
    <w:p>
      <w:pPr>
        <w:ind w:left="180" w:right="180" w:firstLine="486"/>
        <w:spacing w:after="0" w:line="250" w:lineRule="auto"/>
        <w:rPr>
          <w:sz w:val="20"/>
          <w:szCs w:val="20"/>
          <w:color w:val="auto"/>
        </w:rPr>
      </w:pPr>
      <w:r>
        <w:rPr>
          <w:rFonts w:ascii="Arial" w:cs="Arial" w:eastAsia="Arial" w:hAnsi="Arial"/>
          <w:sz w:val="20"/>
          <w:szCs w:val="20"/>
          <w:color w:val="auto"/>
        </w:rPr>
        <w:t>The Company sold $63.5 million and $149.3 million of securities for the nine months ended 2019 and 2018, respectively. The sales were a strategic decision by management to capitalize on attractive market conditions, balance taxable and tax-free municipal securities, and redeploy the proceeds into higher yielding loans.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Impairment of Premises and Equipment Held for Sale</w:t>
      </w:r>
    </w:p>
    <w:p>
      <w:pPr>
        <w:spacing w:after="0" w:line="162" w:lineRule="exact"/>
        <w:rPr>
          <w:sz w:val="20"/>
          <w:szCs w:val="20"/>
          <w:color w:val="auto"/>
        </w:rPr>
      </w:pPr>
    </w:p>
    <w:p>
      <w:pPr>
        <w:ind w:left="180" w:right="500" w:firstLine="486"/>
        <w:spacing w:after="0" w:line="260" w:lineRule="auto"/>
        <w:rPr>
          <w:sz w:val="20"/>
          <w:szCs w:val="20"/>
          <w:color w:val="auto"/>
        </w:rPr>
      </w:pPr>
      <w:r>
        <w:rPr>
          <w:rFonts w:ascii="Arial" w:cs="Arial" w:eastAsia="Arial" w:hAnsi="Arial"/>
          <w:sz w:val="20"/>
          <w:szCs w:val="20"/>
          <w:color w:val="auto"/>
        </w:rPr>
        <w:t>During the second quarter of 2019, the Company sold its remaining assets held-for-sale. The assets sold for approximately $2.9 million resulting in an additional impairment of $424.4 thousand.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Non-Interest Expense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components of non-interest expense were as follows for the periods indicated:</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1"/>
              </w:rPr>
              <w:t>Nine Months Ended</w:t>
            </w:r>
          </w:p>
        </w:tc>
        <w:tc>
          <w:tcPr>
            <w:tcW w:w="64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640" w:type="dxa"/>
            <w:vAlign w:val="bottom"/>
          </w:tcPr>
          <w:p>
            <w:pPr>
              <w:spacing w:after="0"/>
              <w:rPr>
                <w:sz w:val="23"/>
                <w:szCs w:val="23"/>
                <w:color w:val="auto"/>
              </w:rPr>
            </w:pPr>
          </w:p>
        </w:tc>
      </w:tr>
      <w:tr>
        <w:trPr>
          <w:trHeight w:val="27"/>
        </w:trPr>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ind w:left="440"/>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ind w:left="44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29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7"/>
        </w:trPr>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5"/>
          </w:tcPr>
          <w:p>
            <w:pPr>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Salary and employee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Occupancy</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(20.6)</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Deposit insurance premiums</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w w:val="97"/>
              </w:rPr>
              <w:t>(63.3)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3"/>
              </w:rPr>
              <w:t>(16.2)</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 processing</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27.1</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3"/>
              </w:rPr>
              <w:t>(10.7)</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communication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22.9</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w w:val="97"/>
              </w:rPr>
              <w:t>(20.0)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r>
      <w:tr>
        <w:trPr>
          <w:trHeight w:val="257"/>
        </w:trPr>
        <w:tc>
          <w:tcPr>
            <w:tcW w:w="2960" w:type="dxa"/>
            <w:vAlign w:val="bottom"/>
          </w:tcPr>
          <w:p>
            <w:pPr>
              <w:ind w:left="160"/>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21,172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19,875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65,763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65,589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changes in non-interest income were driven by the following:</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Salary and Employee Benefits</w:t>
      </w:r>
    </w:p>
    <w:p>
      <w:pPr>
        <w:spacing w:after="0" w:line="162" w:lineRule="exact"/>
        <w:rPr>
          <w:sz w:val="20"/>
          <w:szCs w:val="20"/>
          <w:color w:val="auto"/>
        </w:rPr>
      </w:pPr>
    </w:p>
    <w:p>
      <w:pPr>
        <w:ind w:left="180" w:right="40" w:firstLine="486"/>
        <w:spacing w:after="0" w:line="246" w:lineRule="auto"/>
        <w:rPr>
          <w:sz w:val="20"/>
          <w:szCs w:val="20"/>
          <w:color w:val="auto"/>
        </w:rPr>
      </w:pPr>
      <w:r>
        <w:rPr>
          <w:rFonts w:ascii="Arial" w:cs="Arial" w:eastAsia="Arial" w:hAnsi="Arial"/>
          <w:sz w:val="20"/>
          <w:szCs w:val="20"/>
          <w:color w:val="auto"/>
        </w:rPr>
        <w:t>Quarterly salary and employee benefit costs increased as a result of a rise in headcount in 2019 and a $758.2 thousand increase in equity-based compensation expense. Year-to-Date salary and employee benefit costs decline was driven by a $5.5 million management restructuring charge due to the transition of our former CEO in 2018, partially offset by a net increase of 15 employees between September 30, 2018 and 2019 to support our growth strategy.</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Deposit Insurance Premiums</w:t>
      </w:r>
    </w:p>
    <w:p>
      <w:pPr>
        <w:spacing w:after="0" w:line="162" w:lineRule="exact"/>
        <w:rPr>
          <w:sz w:val="20"/>
          <w:szCs w:val="20"/>
          <w:color w:val="auto"/>
        </w:rPr>
      </w:pPr>
    </w:p>
    <w:p>
      <w:pPr>
        <w:ind w:left="180" w:right="120" w:firstLine="486"/>
        <w:spacing w:after="0" w:line="243" w:lineRule="auto"/>
        <w:rPr>
          <w:sz w:val="20"/>
          <w:szCs w:val="20"/>
          <w:color w:val="auto"/>
        </w:rPr>
      </w:pPr>
      <w:r>
        <w:rPr>
          <w:rFonts w:ascii="Arial" w:cs="Arial" w:eastAsia="Arial" w:hAnsi="Arial"/>
          <w:sz w:val="20"/>
          <w:szCs w:val="20"/>
          <w:color w:val="auto"/>
        </w:rPr>
        <w:t>During 2018, the Deposit Insurance Fund Reserve Ratio exceeded the statutorily required minimum reserve ratio. As a result, the Company received a $664.1 thousand assessment credit. The credit resulted in lower costs on both a quarter-to-date and year-to-date basis from the prior year. Credits will be applied until the excess is exhausted. Excluding the credit, the deposit insurance premium increased approximately $143.0 thousand during the third quarter of 2019 compared to the same period in 2018. The FDIC uses a risk-based premium system to calculate the quarterly fee. Between 2018 and 2019 our rate was impacted by our strong asset growth and changes to our loan mix.</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Professional Fees</w:t>
      </w:r>
    </w:p>
    <w:p>
      <w:pPr>
        <w:spacing w:after="0" w:line="162" w:lineRule="exact"/>
        <w:rPr>
          <w:sz w:val="20"/>
          <w:szCs w:val="20"/>
          <w:color w:val="auto"/>
        </w:rPr>
      </w:pPr>
    </w:p>
    <w:p>
      <w:pPr>
        <w:ind w:left="180" w:firstLine="486"/>
        <w:spacing w:after="0" w:line="250" w:lineRule="auto"/>
        <w:rPr>
          <w:sz w:val="20"/>
          <w:szCs w:val="20"/>
          <w:color w:val="auto"/>
        </w:rPr>
      </w:pPr>
      <w:r>
        <w:rPr>
          <w:rFonts w:ascii="Arial" w:cs="Arial" w:eastAsia="Arial" w:hAnsi="Arial"/>
          <w:sz w:val="20"/>
          <w:szCs w:val="20"/>
          <w:color w:val="auto"/>
        </w:rPr>
        <w:t>The professional fees decrease was driven by a reduction in recruitment costs from the prior year as a result of management’s strategic initiative to reduce the use of consultants. In addition, the Company saw a reduction in external consulting fees as we finalized our IPO plans.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Software and Communication</w:t>
      </w:r>
    </w:p>
    <w:p>
      <w:pPr>
        <w:spacing w:after="0" w:line="162" w:lineRule="exact"/>
        <w:rPr>
          <w:sz w:val="20"/>
          <w:szCs w:val="20"/>
          <w:color w:val="auto"/>
        </w:rPr>
      </w:pPr>
    </w:p>
    <w:p>
      <w:pPr>
        <w:ind w:left="180" w:right="500" w:firstLine="486"/>
        <w:spacing w:after="0" w:line="260" w:lineRule="auto"/>
        <w:rPr>
          <w:sz w:val="20"/>
          <w:szCs w:val="20"/>
          <w:color w:val="auto"/>
        </w:rPr>
      </w:pPr>
      <w:r>
        <w:rPr>
          <w:rFonts w:ascii="Arial" w:cs="Arial" w:eastAsia="Arial" w:hAnsi="Arial"/>
          <w:sz w:val="20"/>
          <w:szCs w:val="20"/>
          <w:color w:val="auto"/>
        </w:rPr>
        <w:t>Software and communication costs increased during 2019 as a result of our continued strategy to invest in technologies that are expected to increase operating efficiency in the short and long-term.</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Data Processing</w:t>
      </w:r>
    </w:p>
    <w:p>
      <w:pPr>
        <w:spacing w:after="0" w:line="162" w:lineRule="exact"/>
        <w:rPr>
          <w:sz w:val="20"/>
          <w:szCs w:val="20"/>
          <w:color w:val="auto"/>
        </w:rPr>
      </w:pPr>
    </w:p>
    <w:p>
      <w:pPr>
        <w:ind w:left="180" w:right="560" w:firstLine="486"/>
        <w:spacing w:after="0" w:line="260" w:lineRule="auto"/>
        <w:rPr>
          <w:sz w:val="20"/>
          <w:szCs w:val="20"/>
          <w:color w:val="auto"/>
        </w:rPr>
      </w:pPr>
      <w:r>
        <w:rPr>
          <w:rFonts w:ascii="Arial" w:cs="Arial" w:eastAsia="Arial" w:hAnsi="Arial"/>
          <w:sz w:val="20"/>
          <w:szCs w:val="20"/>
          <w:color w:val="auto"/>
        </w:rPr>
        <w:t>Data processing includes our core system provided by a third-party and other operational support systems. Our customer base, transaction volume and asset size increased, resulting in higher data processing costs.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320" w:top="122" w:right="359" w:bottom="1440" w:gutter="0" w:footer="0" w:header="0"/>
          <w:type w:val="continuous"/>
        </w:sectPr>
      </w:pPr>
    </w:p>
    <w:bookmarkStart w:id="53" w:name="page54"/>
    <w:bookmarkEnd w:id="5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Advertising</w:t>
      </w:r>
    </w:p>
    <w:p>
      <w:pPr>
        <w:spacing w:after="0" w:line="162" w:lineRule="exact"/>
        <w:rPr>
          <w:sz w:val="20"/>
          <w:szCs w:val="20"/>
          <w:color w:val="auto"/>
        </w:rPr>
      </w:pPr>
    </w:p>
    <w:p>
      <w:pPr>
        <w:ind w:left="180" w:right="380" w:firstLine="486"/>
        <w:spacing w:after="0" w:line="250" w:lineRule="auto"/>
        <w:rPr>
          <w:sz w:val="20"/>
          <w:szCs w:val="20"/>
          <w:color w:val="auto"/>
        </w:rPr>
      </w:pPr>
      <w:r>
        <w:rPr>
          <w:rFonts w:ascii="Arial" w:cs="Arial" w:eastAsia="Arial" w:hAnsi="Arial"/>
          <w:sz w:val="20"/>
          <w:szCs w:val="20"/>
          <w:color w:val="auto"/>
        </w:rPr>
        <w:t>Quarterly advertising costs increased from the previous year as the Company continued its rebranding process. Year-to-date advertising costs declined as a result of management’s strategic initiative to improve the efficiency and effectiveness of the Company’s targeted advertising.</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0"/>
          <w:szCs w:val="20"/>
          <w:i w:val="1"/>
          <w:iCs w:val="1"/>
          <w:u w:val="single" w:color="auto"/>
          <w:color w:val="auto"/>
        </w:rPr>
        <w:t>Other non-interest expense</w:t>
      </w:r>
    </w:p>
    <w:p>
      <w:pPr>
        <w:spacing w:after="0" w:line="162" w:lineRule="exact"/>
        <w:rPr>
          <w:sz w:val="20"/>
          <w:szCs w:val="20"/>
          <w:color w:val="auto"/>
        </w:rPr>
      </w:pPr>
    </w:p>
    <w:p>
      <w:pPr>
        <w:ind w:left="180" w:firstLine="486"/>
        <w:spacing w:after="0" w:line="246" w:lineRule="auto"/>
        <w:rPr>
          <w:sz w:val="20"/>
          <w:szCs w:val="20"/>
          <w:color w:val="auto"/>
        </w:rPr>
      </w:pPr>
      <w:r>
        <w:rPr>
          <w:rFonts w:ascii="Arial" w:cs="Arial" w:eastAsia="Arial" w:hAnsi="Arial"/>
          <w:sz w:val="20"/>
          <w:szCs w:val="20"/>
          <w:color w:val="auto"/>
        </w:rPr>
        <w:t>Other non-interest expense included an increase in commercial card costs that continue to increase as we grow our customer base. In addition, the Company had an increase in operational loan costs due to increased loan volume, types of loans originated or renewed and events related to foreclosed assets. Other non-interest expense also saw an increase in insurance costs due to our transition from a private to public company.</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Income tax expense (benefit) was as follows:</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Three Months Ended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1"/>
              </w:rPr>
              <w:t>Nine Months Ended</w:t>
            </w:r>
          </w:p>
        </w:tc>
        <w:tc>
          <w:tcPr>
            <w:tcW w:w="1100" w:type="dxa"/>
            <w:vAlign w:val="bottom"/>
          </w:tcPr>
          <w:p>
            <w:pPr>
              <w:spacing w:after="0"/>
              <w:rPr>
                <w:sz w:val="20"/>
                <w:szCs w:val="20"/>
                <w:color w:val="auto"/>
              </w:rPr>
            </w:pPr>
          </w:p>
        </w:tc>
      </w:tr>
      <w:tr>
        <w:trPr>
          <w:trHeight w:val="270"/>
        </w:trPr>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Pr>
          <w:p>
            <w:pPr>
              <w:spacing w:after="0"/>
              <w:rPr>
                <w:sz w:val="23"/>
                <w:szCs w:val="23"/>
                <w:color w:val="auto"/>
              </w:rPr>
            </w:pPr>
          </w:p>
        </w:tc>
      </w:tr>
      <w:tr>
        <w:trPr>
          <w:trHeight w:val="27"/>
        </w:trPr>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w w:val="86"/>
              </w:rPr>
              <w:t>$ Change</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 Change</w:t>
            </w:r>
          </w:p>
        </w:tc>
        <w:tc>
          <w:tcPr>
            <w:tcW w:w="1100" w:type="dxa"/>
            <w:vAlign w:val="bottom"/>
          </w:tcPr>
          <w:p>
            <w:pPr>
              <w:ind w:left="16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40" w:type="dxa"/>
            <w:vAlign w:val="bottom"/>
            <w:gridSpan w:val="4"/>
          </w:tcPr>
          <w:p>
            <w:pPr>
              <w:jc w:val="right"/>
              <w:ind w:right="31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1,668</w:t>
            </w: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180.5%  $</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5,308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6,212</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NA</w:t>
            </w:r>
          </w:p>
        </w:tc>
      </w:tr>
      <w:tr>
        <w:trPr>
          <w:trHeight w:val="243"/>
        </w:trPr>
        <w:tc>
          <w:tcPr>
            <w:tcW w:w="19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199" w:lineRule="exact"/>
        <w:rPr>
          <w:sz w:val="20"/>
          <w:szCs w:val="20"/>
          <w:color w:val="auto"/>
        </w:rPr>
      </w:pPr>
    </w:p>
    <w:p>
      <w:pPr>
        <w:ind w:left="180" w:firstLine="486"/>
        <w:spacing w:after="0" w:line="250" w:lineRule="auto"/>
        <w:rPr>
          <w:sz w:val="20"/>
          <w:szCs w:val="20"/>
          <w:color w:val="auto"/>
        </w:rPr>
      </w:pPr>
      <w:r>
        <w:rPr>
          <w:rFonts w:ascii="Arial" w:cs="Arial" w:eastAsia="Arial" w:hAnsi="Arial"/>
          <w:sz w:val="20"/>
          <w:szCs w:val="20"/>
          <w:color w:val="auto"/>
        </w:rPr>
        <w:t>Our income tax expense (benefit) differs from the amount that would be calculated using the federal statutory tax rate, primarily from investments in tax advantaged assets, such as bank-owned life insurance and tax-exempt municipal securities, state tax credits, and permanent tax differences from equity-based compensation.</w:t>
      </w:r>
    </w:p>
    <w:p>
      <w:pPr>
        <w:spacing w:after="0" w:line="132" w:lineRule="exact"/>
        <w:rPr>
          <w:sz w:val="20"/>
          <w:szCs w:val="20"/>
          <w:color w:val="auto"/>
        </w:rPr>
      </w:pPr>
    </w:p>
    <w:p>
      <w:pPr>
        <w:ind w:left="180" w:right="440" w:firstLine="486"/>
        <w:spacing w:after="0" w:line="246" w:lineRule="auto"/>
        <w:rPr>
          <w:sz w:val="20"/>
          <w:szCs w:val="20"/>
          <w:color w:val="auto"/>
        </w:rPr>
      </w:pPr>
      <w:r>
        <w:rPr>
          <w:rFonts w:ascii="Arial" w:cs="Arial" w:eastAsia="Arial" w:hAnsi="Arial"/>
          <w:sz w:val="20"/>
          <w:szCs w:val="20"/>
          <w:color w:val="auto"/>
        </w:rPr>
        <w:t>The $6.2 million increase between year-to-date September 30, 2018 and 2019 primarily relates to our $26.1 million increase in income before income taxes and a $334.0 thousand decline in permanent benefits associated with equity-based compensation that was partially offset by a $1.4 million state tax credit recorded in the first quarter of 2019. The state tax credit related to our purchase and improvement of our corporate headquarters.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Summary</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The following table summarizes select components of the Company’s Balance Sheet:</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As of</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 2019</w:t>
            </w:r>
          </w:p>
        </w:tc>
        <w:tc>
          <w:tcPr>
            <w:tcW w:w="28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2018</w:t>
            </w:r>
          </w:p>
        </w:tc>
        <w:tc>
          <w:tcPr>
            <w:tcW w:w="400" w:type="dxa"/>
            <w:vAlign w:val="bottom"/>
          </w:tcPr>
          <w:p>
            <w:pPr>
              <w:spacing w:after="0"/>
              <w:rPr>
                <w:sz w:val="20"/>
                <w:szCs w:val="20"/>
                <w:color w:val="auto"/>
              </w:rPr>
            </w:pPr>
          </w:p>
        </w:tc>
        <w:tc>
          <w:tcPr>
            <w:tcW w:w="1480" w:type="dxa"/>
            <w:vAlign w:val="bottom"/>
          </w:tcPr>
          <w:p>
            <w:pPr>
              <w:jc w:val="right"/>
              <w:ind w:right="10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4,651,313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4,107,215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544,098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128,126</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216,541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(88,415)</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(40.8)</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733,093</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663,678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69,415</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Gross loans, net of unearned income</w:t>
            </w:r>
          </w:p>
        </w:tc>
        <w:tc>
          <w:tcPr>
            <w:tcW w:w="1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3,629,792</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3,060,747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569,045</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18.6</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3,658,108</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3,208,097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450,011</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w w:val="95"/>
              </w:rPr>
              <w:t>Federal funds purchased and repurchase agreements</w:t>
            </w:r>
          </w:p>
        </w:tc>
        <w:tc>
          <w:tcPr>
            <w:tcW w:w="1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49,810</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75,406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(25,596)</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(33.9)</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307,804</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(5,181)</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602,435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490,336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112,099</w:t>
            </w:r>
          </w:p>
        </w:tc>
        <w:tc>
          <w:tcPr>
            <w:tcW w:w="940" w:type="dxa"/>
            <w:vAlign w:val="bottom"/>
          </w:tcPr>
          <w:p>
            <w:pPr>
              <w:jc w:val="right"/>
              <w:spacing w:after="0"/>
              <w:rPr>
                <w:sz w:val="20"/>
                <w:szCs w:val="20"/>
                <w:color w:val="auto"/>
              </w:rPr>
            </w:pPr>
            <w:r>
              <w:rPr>
                <w:rFonts w:ascii="Arial" w:cs="Arial" w:eastAsia="Arial" w:hAnsi="Arial"/>
                <w:sz w:val="18"/>
                <w:szCs w:val="18"/>
                <w:color w:val="auto"/>
              </w:rPr>
              <w:t>22.9 %</w:t>
            </w:r>
          </w:p>
        </w:tc>
      </w:tr>
    </w:tbl>
    <w:p>
      <w:pPr>
        <w:spacing w:after="0" w:line="199" w:lineRule="exact"/>
        <w:rPr>
          <w:sz w:val="20"/>
          <w:szCs w:val="20"/>
          <w:color w:val="auto"/>
        </w:rPr>
      </w:pPr>
    </w:p>
    <w:p>
      <w:pPr>
        <w:jc w:val="both"/>
        <w:ind w:left="180" w:right="60" w:firstLine="486"/>
        <w:spacing w:after="0" w:line="260" w:lineRule="auto"/>
        <w:rPr>
          <w:sz w:val="20"/>
          <w:szCs w:val="20"/>
          <w:color w:val="auto"/>
        </w:rPr>
      </w:pPr>
      <w:r>
        <w:rPr>
          <w:rFonts w:ascii="Arial" w:cs="Arial" w:eastAsia="Arial" w:hAnsi="Arial"/>
          <w:sz w:val="20"/>
          <w:szCs w:val="20"/>
          <w:color w:val="auto"/>
        </w:rPr>
        <w:t>Assets grew primarily from loan growth, as well as, an increase in available-for-sale securities. Loan growth was driven by increases in commercial, commercial real estate, and residential real estate loans. During 2019, the Company</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122" w:right="359" w:bottom="1440" w:gutter="0" w:footer="0" w:header="0"/>
          <w:type w:val="continuous"/>
        </w:sectPr>
      </w:pPr>
    </w:p>
    <w:bookmarkStart w:id="54" w:name="page55"/>
    <w:bookmarkEnd w:id="5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ind w:left="180" w:right="40"/>
        <w:spacing w:after="0" w:line="244" w:lineRule="auto"/>
        <w:rPr>
          <w:sz w:val="20"/>
          <w:szCs w:val="20"/>
          <w:color w:val="auto"/>
        </w:rPr>
      </w:pPr>
      <w:r>
        <w:rPr>
          <w:rFonts w:ascii="Arial" w:cs="Arial" w:eastAsia="Arial" w:hAnsi="Arial"/>
          <w:sz w:val="20"/>
          <w:szCs w:val="20"/>
          <w:color w:val="auto"/>
        </w:rPr>
        <w:t>purchased $157.5 million of securities, primarily made up of mortgage backed securities and tax-exempt municipal securities, which was offset by $112.2 million of sales, maturities, and pay downs. Purchases of available-for-sale securities during the third quarter were hampered by the current interest rate environment. The Company remains committed to identifying and purchasing high-quality securities with an appropriate yield. Increases in assets were offset by a reduction in cash and cash equivalents, which was part of a strategic decision to move assets to higher yielding areas.</w:t>
      </w:r>
    </w:p>
    <w:p>
      <w:pPr>
        <w:spacing w:after="0" w:line="140" w:lineRule="exact"/>
        <w:rPr>
          <w:sz w:val="20"/>
          <w:szCs w:val="20"/>
          <w:color w:val="auto"/>
        </w:rPr>
      </w:pPr>
    </w:p>
    <w:p>
      <w:pPr>
        <w:ind w:left="180" w:firstLine="486"/>
        <w:spacing w:after="0" w:line="260" w:lineRule="auto"/>
        <w:rPr>
          <w:sz w:val="20"/>
          <w:szCs w:val="20"/>
          <w:color w:val="auto"/>
        </w:rPr>
      </w:pPr>
      <w:r>
        <w:rPr>
          <w:rFonts w:ascii="Arial" w:cs="Arial" w:eastAsia="Arial" w:hAnsi="Arial"/>
          <w:sz w:val="19"/>
          <w:szCs w:val="19"/>
          <w:color w:val="auto"/>
        </w:rPr>
        <w:t>Our increase in assets was funded primarily from an increase in total deposits that raised the loan to deposit ratio to 99.2% as of September 30, 2019. The increase in total deposits included a $212.1 million increase in time deposits and a $144.1 million increase in money market and savings deposits. The time deposit increase was driven by short-term, competitive rates that are expected to mature over the next two quarters. In addition to our increase in deposits, the Company successfully completed an initial public offering during the third quarter of 2019 and was the primary reason for the increase in total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Portfolio</w:t>
      </w:r>
    </w:p>
    <w:p>
      <w:pPr>
        <w:spacing w:after="0" w:line="190" w:lineRule="exact"/>
        <w:rPr>
          <w:sz w:val="20"/>
          <w:szCs w:val="20"/>
          <w:color w:val="auto"/>
        </w:rPr>
      </w:pPr>
    </w:p>
    <w:p>
      <w:pPr>
        <w:ind w:left="180" w:right="160" w:firstLine="486"/>
        <w:spacing w:after="0" w:line="259" w:lineRule="auto"/>
        <w:rPr>
          <w:sz w:val="20"/>
          <w:szCs w:val="20"/>
          <w:color w:val="auto"/>
        </w:rPr>
      </w:pPr>
      <w:r>
        <w:rPr>
          <w:rFonts w:ascii="Arial" w:cs="Arial" w:eastAsia="Arial" w:hAnsi="Arial"/>
          <w:sz w:val="19"/>
          <w:szCs w:val="19"/>
          <w:color w:val="auto"/>
        </w:rPr>
        <w:t>The Company’s investment portfolio is governed by the investment policy that sets objectives, limits, and liquidity requirements among other items. The investment strategy is generally updated annually in coordination with an investment advisor. The portfolio is maintained to serve as a contingent, on-balance sheet source of liquidity. The objective of the Company’s investment portfolio is to optimize earnings, manage credit risk, ensure adequate liquidity, manage interest rate risk, meet pledging requirements, and meet regulatory capital requirements. The investment portfolio is generally comprised of government sponsored entity securities and U.S. state and political subdivision securities; limits are set on all types of securities.</w:t>
      </w:r>
    </w:p>
    <w:p>
      <w:pPr>
        <w:spacing w:after="0" w:line="192" w:lineRule="exact"/>
        <w:rPr>
          <w:sz w:val="20"/>
          <w:szCs w:val="20"/>
          <w:color w:val="auto"/>
        </w:rPr>
      </w:pPr>
    </w:p>
    <w:p>
      <w:pPr>
        <w:ind w:left="180" w:right="180" w:firstLine="486"/>
        <w:spacing w:after="0" w:line="244" w:lineRule="auto"/>
        <w:rPr>
          <w:sz w:val="20"/>
          <w:szCs w:val="20"/>
          <w:color w:val="auto"/>
        </w:rPr>
      </w:pPr>
      <w:r>
        <w:rPr>
          <w:rFonts w:ascii="Arial" w:cs="Arial" w:eastAsia="Arial" w:hAnsi="Arial"/>
          <w:sz w:val="20"/>
          <w:szCs w:val="20"/>
          <w:color w:val="auto"/>
        </w:rPr>
        <w:t>As of September 30, 2019, available-for-sale investments totaled $733.1 million, a $69.4 million increase from December 31, 2018 and a $28.3 million or 4.0% increase from June 30, 2019. The increase in investment securities was part of management’s strategy to manage liquidity and optimize income. For additional information, see ‘‘Note 3 - Securities’’ in the notes to unaudited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Portfolio</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Loans consisted of the following as of the dates indicated:</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5"/>
              </w:rPr>
              <w:t>September 30, 2019 vs.</w:t>
            </w:r>
          </w:p>
        </w:tc>
      </w:tr>
      <w:tr>
        <w:trPr>
          <w:trHeight w:val="234"/>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4"/>
          </w:tcPr>
          <w:p>
            <w:pPr>
              <w:ind w:left="220"/>
              <w:spacing w:after="0"/>
              <w:rPr>
                <w:sz w:val="20"/>
                <w:szCs w:val="20"/>
                <w:color w:val="auto"/>
              </w:rPr>
            </w:pPr>
            <w:r>
              <w:rPr>
                <w:rFonts w:ascii="Arial" w:cs="Arial" w:eastAsia="Arial" w:hAnsi="Arial"/>
                <w:sz w:val="18"/>
                <w:szCs w:val="18"/>
                <w:b w:val="1"/>
                <w:bCs w:val="1"/>
                <w:color w:val="auto"/>
              </w:rPr>
              <w:t>September 30, 2019</w:t>
            </w:r>
          </w:p>
        </w:tc>
        <w:tc>
          <w:tcPr>
            <w:tcW w:w="244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0"/>
                <w:szCs w:val="20"/>
                <w:color w:val="auto"/>
              </w:rPr>
            </w:pPr>
          </w:p>
        </w:tc>
        <w:tc>
          <w:tcPr>
            <w:tcW w:w="22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 of Gross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 of Gross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increase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Loans</w:t>
            </w: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Loans</w:t>
            </w: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(decrease)</w:t>
            </w: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ind w:left="48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1,312,647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1,134,414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178,233</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260"/>
        </w:trPr>
        <w:tc>
          <w:tcPr>
            <w:tcW w:w="3620" w:type="dxa"/>
            <w:vAlign w:val="bottom"/>
          </w:tcPr>
          <w:p>
            <w:pPr>
              <w:ind w:left="40"/>
              <w:spacing w:after="0"/>
              <w:rPr>
                <w:sz w:val="20"/>
                <w:szCs w:val="20"/>
                <w:color w:val="auto"/>
              </w:rPr>
            </w:pPr>
            <w:r>
              <w:rPr>
                <w:rFonts w:ascii="Arial" w:cs="Arial" w:eastAsia="Arial" w:hAnsi="Arial"/>
                <w:sz w:val="20"/>
                <w:szCs w:val="20"/>
                <w:color w:val="auto"/>
              </w:rPr>
              <w:t>Energy</w:t>
            </w:r>
          </w:p>
        </w:tc>
        <w:tc>
          <w:tcPr>
            <w:tcW w:w="2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396,132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358,283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37,849</w:t>
            </w:r>
          </w:p>
        </w:tc>
        <w:tc>
          <w:tcPr>
            <w:tcW w:w="12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10.6</w:t>
            </w: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 real estate</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993,153</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846,561</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146,592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r>
      <w:tr>
        <w:trPr>
          <w:trHeight w:val="260"/>
        </w:trPr>
        <w:tc>
          <w:tcPr>
            <w:tcW w:w="3620" w:type="dxa"/>
            <w:vAlign w:val="bottom"/>
          </w:tcPr>
          <w:p>
            <w:pPr>
              <w:ind w:left="40"/>
              <w:spacing w:after="0"/>
              <w:rPr>
                <w:sz w:val="20"/>
                <w:szCs w:val="20"/>
                <w:color w:val="auto"/>
              </w:rPr>
            </w:pPr>
            <w:r>
              <w:rPr>
                <w:rFonts w:ascii="Arial" w:cs="Arial" w:eastAsia="Arial" w:hAnsi="Arial"/>
                <w:sz w:val="20"/>
                <w:szCs w:val="20"/>
                <w:color w:val="auto"/>
              </w:rPr>
              <w:t>Construction and land development</w:t>
            </w:r>
          </w:p>
        </w:tc>
        <w:tc>
          <w:tcPr>
            <w:tcW w:w="2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527,582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440,032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87,550</w:t>
            </w:r>
          </w:p>
        </w:tc>
        <w:tc>
          <w:tcPr>
            <w:tcW w:w="12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19.9</w:t>
            </w: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Residential real estate</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365,435</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246,275</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119,160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48.4</w:t>
            </w:r>
          </w:p>
        </w:tc>
      </w:tr>
      <w:tr>
        <w:trPr>
          <w:trHeight w:val="260"/>
        </w:trPr>
        <w:tc>
          <w:tcPr>
            <w:tcW w:w="3620" w:type="dxa"/>
            <w:vAlign w:val="bottom"/>
          </w:tcPr>
          <w:p>
            <w:pPr>
              <w:ind w:left="40"/>
              <w:spacing w:after="0"/>
              <w:rPr>
                <w:sz w:val="20"/>
                <w:szCs w:val="20"/>
                <w:color w:val="auto"/>
              </w:rPr>
            </w:pPr>
            <w:r>
              <w:rPr>
                <w:rFonts w:ascii="Arial" w:cs="Arial" w:eastAsia="Arial" w:hAnsi="Arial"/>
                <w:sz w:val="20"/>
                <w:szCs w:val="20"/>
                <w:color w:val="auto"/>
              </w:rPr>
              <w:t>Equity lines of credit</w:t>
            </w:r>
          </w:p>
        </w:tc>
        <w:tc>
          <w:tcPr>
            <w:tcW w:w="2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22,192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20,286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9.4</w:t>
            </w: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Consumer installment</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21,552</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23,528</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r>
      <w:tr>
        <w:trPr>
          <w:trHeight w:val="240"/>
        </w:trPr>
        <w:tc>
          <w:tcPr>
            <w:tcW w:w="3620" w:type="dxa"/>
            <w:vAlign w:val="bottom"/>
          </w:tcPr>
          <w:p>
            <w:pPr>
              <w:ind w:left="160"/>
              <w:spacing w:after="0"/>
              <w:rPr>
                <w:sz w:val="20"/>
                <w:szCs w:val="20"/>
                <w:color w:val="auto"/>
              </w:rPr>
            </w:pPr>
            <w:r>
              <w:rPr>
                <w:rFonts w:ascii="Arial" w:cs="Arial" w:eastAsia="Arial" w:hAnsi="Arial"/>
                <w:sz w:val="20"/>
                <w:szCs w:val="20"/>
                <w:color w:val="auto"/>
              </w:rPr>
              <w:t>Gross loans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3,638,693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3,069,379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569,314</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18.5</w:t>
            </w: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Less: Allowance for loan losses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42,995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37,826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13.7</w:t>
            </w:r>
          </w:p>
        </w:tc>
      </w:tr>
      <w:tr>
        <w:trPr>
          <w:trHeight w:val="260"/>
        </w:trPr>
        <w:tc>
          <w:tcPr>
            <w:tcW w:w="3620" w:type="dxa"/>
            <w:vAlign w:val="bottom"/>
          </w:tcPr>
          <w:p>
            <w:pPr>
              <w:ind w:left="160"/>
              <w:spacing w:after="0"/>
              <w:rPr>
                <w:sz w:val="20"/>
                <w:szCs w:val="20"/>
                <w:color w:val="auto"/>
              </w:rPr>
            </w:pPr>
            <w:r>
              <w:rPr>
                <w:rFonts w:ascii="Arial" w:cs="Arial" w:eastAsia="Arial" w:hAnsi="Arial"/>
                <w:sz w:val="20"/>
                <w:szCs w:val="20"/>
                <w:color w:val="auto"/>
              </w:rPr>
              <w:t>Less: Net deferred loan fees and costs</w:t>
            </w:r>
          </w:p>
        </w:tc>
        <w:tc>
          <w:tcPr>
            <w:tcW w:w="2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8,901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8,632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3"/>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9"/>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Net loans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3,586,797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   3,022,921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563,876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180" w:right="120" w:firstLine="486"/>
        <w:spacing w:after="0" w:line="269" w:lineRule="auto"/>
        <w:rPr>
          <w:sz w:val="20"/>
          <w:szCs w:val="20"/>
          <w:color w:val="auto"/>
        </w:rPr>
      </w:pPr>
      <w:r>
        <w:rPr>
          <w:rFonts w:ascii="Arial" w:cs="Arial" w:eastAsia="Arial" w:hAnsi="Arial"/>
          <w:sz w:val="19"/>
          <w:szCs w:val="19"/>
          <w:color w:val="auto"/>
        </w:rPr>
        <w:t>As of September 30, 2019, gross loans increased $569.3 million or 18.5% from December 31, 2018 and increased $162.4 million or 4.7% on a linked quarter basis. The increase from December 31,2018 included $178.2 million in commercial loans. Our commercial portfolio remains well diversified with health care remaining our largest industry category at 12%.</w:t>
      </w:r>
    </w:p>
    <w:p>
      <w:pPr>
        <w:spacing w:after="0" w:line="200" w:lineRule="exact"/>
        <w:rPr>
          <w:sz w:val="20"/>
          <w:szCs w:val="20"/>
          <w:color w:val="auto"/>
        </w:rPr>
      </w:pPr>
    </w:p>
    <w:p>
      <w:pPr>
        <w:spacing w:after="0" w:line="323"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122" w:right="359" w:bottom="1440" w:gutter="0" w:footer="0" w:header="0"/>
        </w:sectPr>
      </w:pPr>
    </w:p>
    <w:bookmarkStart w:id="55" w:name="page56"/>
    <w:bookmarkEnd w:id="55"/>
    <w:p>
      <w:pPr>
        <w:spacing w:after="0" w:line="62" w:lineRule="exact"/>
        <w:rPr>
          <w:sz w:val="20"/>
          <w:szCs w:val="20"/>
          <w:color w:val="auto"/>
        </w:rPr>
      </w:pPr>
    </w:p>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ind w:left="180" w:right="180" w:firstLine="486"/>
        <w:spacing w:after="0" w:line="263" w:lineRule="auto"/>
        <w:rPr>
          <w:sz w:val="20"/>
          <w:szCs w:val="20"/>
          <w:color w:val="auto"/>
        </w:rPr>
      </w:pPr>
      <w:r>
        <w:rPr>
          <w:rFonts w:ascii="Arial" w:cs="Arial" w:eastAsia="Arial" w:hAnsi="Arial"/>
          <w:sz w:val="19"/>
          <w:szCs w:val="19"/>
          <w:color w:val="auto"/>
        </w:rPr>
        <w:t>Commercial real estate was the second largest segment for growth during the first nine-months of 2019. Approximately 73% of the commercial real estate portfolio is located within the states of Kansas, Missouri, Oklahoma, and Texas, with Texas, our largest state concentration, representing 40% of the portfolio as of September 30, 2019. The commercial real estate portfolio remains well diversified. Retail is the largest segment in our real estate loan portfolio, representing 15% of the portfolio.</w:t>
      </w:r>
    </w:p>
    <w:p>
      <w:pPr>
        <w:spacing w:after="0" w:line="122" w:lineRule="exact"/>
        <w:rPr>
          <w:sz w:val="20"/>
          <w:szCs w:val="20"/>
          <w:color w:val="auto"/>
        </w:rPr>
      </w:pPr>
    </w:p>
    <w:p>
      <w:pPr>
        <w:ind w:left="180" w:right="220" w:firstLine="486"/>
        <w:spacing w:after="0" w:line="250" w:lineRule="auto"/>
        <w:rPr>
          <w:sz w:val="20"/>
          <w:szCs w:val="20"/>
          <w:color w:val="auto"/>
        </w:rPr>
      </w:pPr>
      <w:r>
        <w:rPr>
          <w:rFonts w:ascii="Arial" w:cs="Arial" w:eastAsia="Arial" w:hAnsi="Arial"/>
          <w:sz w:val="20"/>
          <w:szCs w:val="20"/>
          <w:color w:val="auto"/>
        </w:rPr>
        <w:t>Our energy portfolio increased from year-end 2018 but declined as a percentage of our total portfolio from 11.7% at December 31, 2018 to 10.9% at September 30, 2019. The Company continues to identify and attract strong energy credits, but currently expects to see less activity in the fourth quarter of 2019.</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Residential real estate growth was driven by developing relationships within our markets.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Allowance for Loan Losses (‘‘ALLL’’)</w:t>
      </w:r>
    </w:p>
    <w:p>
      <w:pPr>
        <w:spacing w:after="0" w:line="190" w:lineRule="exact"/>
        <w:rPr>
          <w:sz w:val="20"/>
          <w:szCs w:val="20"/>
          <w:color w:val="auto"/>
        </w:rPr>
      </w:pPr>
    </w:p>
    <w:p>
      <w:pPr>
        <w:ind w:left="180" w:right="60" w:firstLine="486"/>
        <w:spacing w:after="0" w:line="260" w:lineRule="auto"/>
        <w:rPr>
          <w:sz w:val="20"/>
          <w:szCs w:val="20"/>
          <w:color w:val="auto"/>
        </w:rPr>
      </w:pPr>
      <w:r>
        <w:rPr>
          <w:rFonts w:ascii="Arial" w:cs="Arial" w:eastAsia="Arial" w:hAnsi="Arial"/>
          <w:sz w:val="19"/>
          <w:szCs w:val="19"/>
          <w:color w:val="auto"/>
        </w:rPr>
        <w:t>The ALLL is an amount required to cover net loan charge-offs plus the amount considered necessary by the Bank’s management to maintain the balance in the allowance at a level adequate to absorb expected loan losses in the existing loan portfolio. The ALLL is evaluated on at least a quarterly basis. We use a loan grading system and portfolio segmentation to group the portfolio. Each group is evaluated and adjusted for changes in historical trends that may impact the segment. The ALLL at September 30, 2019, represents our best estimate of the incurred credit losses inherent in the loan portfolio at that date.</w:t>
      </w:r>
    </w:p>
    <w:p>
      <w:pPr>
        <w:spacing w:after="0" w:line="126" w:lineRule="exact"/>
        <w:rPr>
          <w:sz w:val="20"/>
          <w:szCs w:val="20"/>
          <w:color w:val="auto"/>
        </w:rPr>
      </w:pPr>
    </w:p>
    <w:p>
      <w:pPr>
        <w:ind w:left="180" w:firstLine="486"/>
        <w:spacing w:after="0" w:line="260" w:lineRule="auto"/>
        <w:rPr>
          <w:sz w:val="20"/>
          <w:szCs w:val="20"/>
          <w:color w:val="auto"/>
        </w:rPr>
      </w:pPr>
      <w:r>
        <w:rPr>
          <w:rFonts w:ascii="Arial" w:cs="Arial" w:eastAsia="Arial" w:hAnsi="Arial"/>
          <w:sz w:val="20"/>
          <w:szCs w:val="20"/>
          <w:color w:val="auto"/>
        </w:rPr>
        <w:t>The allocation in one portfolio segment does not preclude its availability to absorb losses in other segments. The table below presents the allocation of the allowance for loan losses:</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gridSpan w:val="4"/>
          </w:tcPr>
          <w:p>
            <w:pPr>
              <w:ind w:left="740"/>
              <w:spacing w:after="0"/>
              <w:rPr>
                <w:sz w:val="20"/>
                <w:szCs w:val="20"/>
                <w:color w:val="auto"/>
              </w:rPr>
            </w:pPr>
            <w:r>
              <w:rPr>
                <w:rFonts w:ascii="Arial" w:cs="Arial" w:eastAsia="Arial" w:hAnsi="Arial"/>
                <w:sz w:val="18"/>
                <w:szCs w:val="18"/>
                <w:b w:val="1"/>
                <w:bCs w:val="1"/>
                <w:color w:val="auto"/>
              </w:rPr>
              <w:t>September 30, 2019</w:t>
            </w:r>
          </w:p>
        </w:tc>
        <w:tc>
          <w:tcPr>
            <w:tcW w:w="362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3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8"/>
        </w:trPr>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 Allowance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w w:val="93"/>
              </w:rPr>
              <w:t>Percent of Allowance</w:t>
            </w:r>
          </w:p>
        </w:tc>
      </w:tr>
      <w:tr>
        <w:trPr>
          <w:trHeight w:val="234"/>
        </w:trPr>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 Total Allowance</w:t>
            </w:r>
          </w:p>
        </w:tc>
        <w:tc>
          <w:tcPr>
            <w:tcW w:w="1820" w:type="dxa"/>
            <w:vAlign w:val="bottom"/>
            <w:gridSpan w:val="2"/>
          </w:tcPr>
          <w:p>
            <w:pPr>
              <w:ind w:left="540"/>
              <w:spacing w:after="0"/>
              <w:rPr>
                <w:sz w:val="20"/>
                <w:szCs w:val="20"/>
                <w:color w:val="auto"/>
              </w:rPr>
            </w:pPr>
            <w:r>
              <w:rPr>
                <w:rFonts w:ascii="Arial" w:cs="Arial" w:eastAsia="Arial" w:hAnsi="Arial"/>
                <w:sz w:val="18"/>
                <w:szCs w:val="18"/>
                <w:b w:val="1"/>
                <w:bCs w:val="1"/>
                <w:color w:val="auto"/>
              </w:rPr>
              <w:t>Amount</w:t>
            </w:r>
          </w:p>
        </w:tc>
        <w:tc>
          <w:tcPr>
            <w:tcW w:w="1800" w:type="dxa"/>
            <w:vAlign w:val="bottom"/>
          </w:tcPr>
          <w:p>
            <w:pPr>
              <w:jc w:val="right"/>
              <w:ind w:right="90"/>
              <w:spacing w:after="0"/>
              <w:rPr>
                <w:sz w:val="20"/>
                <w:szCs w:val="20"/>
                <w:color w:val="auto"/>
              </w:rPr>
            </w:pPr>
            <w:r>
              <w:rPr>
                <w:rFonts w:ascii="Arial" w:cs="Arial" w:eastAsia="Arial" w:hAnsi="Arial"/>
                <w:sz w:val="18"/>
                <w:szCs w:val="18"/>
                <w:b w:val="1"/>
                <w:bCs w:val="1"/>
                <w:color w:val="auto"/>
              </w:rPr>
              <w:t>to Total Allowance</w:t>
            </w:r>
          </w:p>
        </w:tc>
      </w:tr>
      <w:tr>
        <w:trPr>
          <w:trHeight w:val="27"/>
        </w:trPr>
        <w:tc>
          <w:tcPr>
            <w:tcW w:w="3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4"/>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4"/>
          </w:tcPr>
          <w:p>
            <w:pPr>
              <w:ind w:left="1120"/>
              <w:spacing w:after="0"/>
              <w:rPr>
                <w:sz w:val="20"/>
                <w:szCs w:val="20"/>
                <w:color w:val="auto"/>
              </w:rPr>
            </w:pPr>
            <w:r>
              <w:rPr>
                <w:rFonts w:ascii="Arial" w:cs="Arial" w:eastAsia="Arial" w:hAnsi="Arial"/>
                <w:sz w:val="16"/>
                <w:szCs w:val="16"/>
                <w:i w:val="1"/>
                <w:iCs w:val="1"/>
                <w:color w:val="auto"/>
              </w:rPr>
              <w:t>(Dollars in thousands)</w:t>
            </w:r>
          </w:p>
        </w:tc>
        <w:tc>
          <w:tcPr>
            <w:tcW w:w="1800" w:type="dxa"/>
            <w:vAlign w:val="bottom"/>
          </w:tcPr>
          <w:p>
            <w:pPr>
              <w:spacing w:after="0"/>
              <w:rPr>
                <w:sz w:val="18"/>
                <w:szCs w:val="18"/>
                <w:color w:val="auto"/>
              </w:rPr>
            </w:pPr>
          </w:p>
        </w:tc>
      </w:tr>
      <w:tr>
        <w:trPr>
          <w:trHeight w:val="33"/>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63"/>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16,584</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60"/>
        </w:trPr>
        <w:tc>
          <w:tcPr>
            <w:tcW w:w="3520" w:type="dxa"/>
            <w:vAlign w:val="bottom"/>
          </w:tcPr>
          <w:p>
            <w:pPr>
              <w:ind w:left="40"/>
              <w:spacing w:after="0"/>
              <w:rPr>
                <w:sz w:val="20"/>
                <w:szCs w:val="20"/>
                <w:color w:val="auto"/>
              </w:rPr>
            </w:pPr>
            <w:r>
              <w:rPr>
                <w:rFonts w:ascii="Arial" w:cs="Arial" w:eastAsia="Arial" w:hAnsi="Arial"/>
                <w:sz w:val="20"/>
                <w:szCs w:val="20"/>
                <w:color w:val="auto"/>
              </w:rPr>
              <w:t>Energy</w:t>
            </w:r>
          </w:p>
        </w:tc>
        <w:tc>
          <w:tcPr>
            <w:tcW w:w="34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5,377</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63"/>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 real estate</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7,284</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6,755</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60"/>
        </w:trPr>
        <w:tc>
          <w:tcPr>
            <w:tcW w:w="3520" w:type="dxa"/>
            <w:vAlign w:val="bottom"/>
          </w:tcPr>
          <w:p>
            <w:pPr>
              <w:ind w:left="40"/>
              <w:spacing w:after="0"/>
              <w:rPr>
                <w:sz w:val="20"/>
                <w:szCs w:val="20"/>
                <w:color w:val="auto"/>
              </w:rPr>
            </w:pPr>
            <w:r>
              <w:rPr>
                <w:rFonts w:ascii="Arial" w:cs="Arial" w:eastAsia="Arial" w:hAnsi="Arial"/>
                <w:sz w:val="20"/>
                <w:szCs w:val="20"/>
                <w:color w:val="auto"/>
              </w:rPr>
              <w:t>Construction and land development</w:t>
            </w:r>
          </w:p>
        </w:tc>
        <w:tc>
          <w:tcPr>
            <w:tcW w:w="34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63"/>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Residential real estate</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0"/>
        </w:trPr>
        <w:tc>
          <w:tcPr>
            <w:tcW w:w="3520" w:type="dxa"/>
            <w:vAlign w:val="bottom"/>
          </w:tcPr>
          <w:p>
            <w:pPr>
              <w:ind w:left="40"/>
              <w:spacing w:after="0"/>
              <w:rPr>
                <w:sz w:val="20"/>
                <w:szCs w:val="20"/>
                <w:color w:val="auto"/>
              </w:rPr>
            </w:pPr>
            <w:r>
              <w:rPr>
                <w:rFonts w:ascii="Arial" w:cs="Arial" w:eastAsia="Arial" w:hAnsi="Arial"/>
                <w:sz w:val="20"/>
                <w:szCs w:val="20"/>
                <w:color w:val="auto"/>
              </w:rPr>
              <w:t>Equity lines of credit</w:t>
            </w:r>
          </w:p>
        </w:tc>
        <w:tc>
          <w:tcPr>
            <w:tcW w:w="34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8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Consumer installment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9"/>
        </w:trPr>
        <w:tc>
          <w:tcPr>
            <w:tcW w:w="3520" w:type="dxa"/>
            <w:vAlign w:val="bottom"/>
          </w:tcPr>
          <w:p>
            <w:pPr>
              <w:ind w:left="180"/>
              <w:spacing w:after="0"/>
              <w:rPr>
                <w:sz w:val="20"/>
                <w:szCs w:val="20"/>
                <w:color w:val="auto"/>
              </w:rPr>
            </w:pPr>
            <w:r>
              <w:rPr>
                <w:rFonts w:ascii="Arial" w:cs="Arial" w:eastAsia="Arial" w:hAnsi="Arial"/>
                <w:sz w:val="20"/>
                <w:szCs w:val="20"/>
                <w:color w:val="auto"/>
              </w:rPr>
              <w:t>Gross loans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42,995</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37,826</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Activity in the allowance for loan losses is presented in the following table:</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Allowance for loan losses: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42,852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26,091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9,000</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(681)</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Construction and land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Residential real estate</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lines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Consumer installment</w:t>
            </w: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charge-offs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Construction and land development</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Equity lines of credit</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installment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recoveries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456</w:t>
            </w: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(charge-offs) recoveries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(1,551)</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42,995</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33,540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42,995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33,540</w:t>
            </w:r>
          </w:p>
        </w:tc>
      </w:tr>
      <w:tr>
        <w:trPr>
          <w:trHeight w:val="50"/>
        </w:trPr>
        <w:tc>
          <w:tcPr>
            <w:tcW w:w="4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r>
    </w:tbl>
    <w:p>
      <w:pPr>
        <w:sectPr>
          <w:pgSz w:w="11900" w:h="16900" w:orient="portrait"/>
          <w:cols w:equalWidth="0" w:num="1">
            <w:col w:w="11220"/>
          </w:cols>
          <w:pgMar w:left="320" w:top="122" w:right="359" w:bottom="0" w:gutter="0" w:footer="0" w:header="0"/>
        </w:sectPr>
      </w:pPr>
    </w:p>
    <w:bookmarkStart w:id="56" w:name="page57"/>
    <w:bookmarkEnd w:id="5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for loan losses to total loans</w:t>
            </w:r>
          </w:p>
        </w:tc>
        <w:tc>
          <w:tcPr>
            <w:tcW w:w="18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1.18%</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1.22 %</w:t>
            </w:r>
          </w:p>
        </w:tc>
        <w:tc>
          <w:tcPr>
            <w:tcW w:w="1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Allowance for loan losses to nonperforming loans</w:t>
            </w:r>
          </w:p>
        </w:tc>
        <w:tc>
          <w:tcPr>
            <w:tcW w:w="1880" w:type="dxa"/>
            <w:vAlign w:val="bottom"/>
          </w:tcPr>
          <w:p>
            <w:pPr>
              <w:ind w:left="840"/>
              <w:spacing w:after="0"/>
              <w:rPr>
                <w:sz w:val="20"/>
                <w:szCs w:val="20"/>
                <w:color w:val="auto"/>
              </w:rPr>
            </w:pPr>
            <w:r>
              <w:rPr>
                <w:rFonts w:ascii="Arial" w:cs="Arial" w:eastAsia="Arial" w:hAnsi="Arial"/>
                <w:sz w:val="18"/>
                <w:szCs w:val="18"/>
                <w:color w:val="auto"/>
              </w:rPr>
              <w:t>97.1</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256.7</w:t>
            </w:r>
          </w:p>
        </w:tc>
        <w:tc>
          <w:tcPr>
            <w:tcW w:w="1640" w:type="dxa"/>
            <w:vAlign w:val="bottom"/>
          </w:tcPr>
          <w:p>
            <w:pPr>
              <w:ind w:left="600"/>
              <w:spacing w:after="0"/>
              <w:rPr>
                <w:sz w:val="20"/>
                <w:szCs w:val="20"/>
                <w:color w:val="auto"/>
              </w:rPr>
            </w:pPr>
            <w:r>
              <w:rPr>
                <w:rFonts w:ascii="Arial" w:cs="Arial" w:eastAsia="Arial" w:hAnsi="Arial"/>
                <w:sz w:val="18"/>
                <w:szCs w:val="18"/>
                <w:color w:val="auto"/>
              </w:rPr>
              <w:t>97.1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256.7</w:t>
            </w:r>
          </w:p>
        </w:tc>
      </w:tr>
      <w:tr>
        <w:trPr>
          <w:trHeight w:val="27"/>
        </w:trPr>
        <w:tc>
          <w:tcPr>
            <w:tcW w:w="4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charge-offs (recoveries) to average loans</w:t>
            </w:r>
            <w:r>
              <w:rPr>
                <w:rFonts w:ascii="Arial" w:cs="Arial" w:eastAsia="Arial" w:hAnsi="Arial"/>
                <w:sz w:val="25"/>
                <w:szCs w:val="25"/>
                <w:color w:val="auto"/>
                <w:vertAlign w:val="superscript"/>
              </w:rPr>
              <w:t>(1)</w:t>
            </w:r>
          </w:p>
        </w:tc>
        <w:tc>
          <w:tcPr>
            <w:tcW w:w="18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0.53%</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(0.05)%</w:t>
            </w:r>
          </w:p>
        </w:tc>
        <w:tc>
          <w:tcPr>
            <w:tcW w:w="1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bl>
    <w:p>
      <w:pPr>
        <w:spacing w:after="0" w:line="17" w:lineRule="exact"/>
        <w:rPr>
          <w:sz w:val="20"/>
          <w:szCs w:val="20"/>
          <w:color w:val="auto"/>
        </w:rPr>
      </w:pPr>
    </w:p>
    <w:p>
      <w:pPr>
        <w:ind w:left="260" w:hanging="149"/>
        <w:spacing w:after="0"/>
        <w:tabs>
          <w:tab w:leader="none" w:pos="2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Interim periods annualized</w:t>
      </w:r>
    </w:p>
    <w:p>
      <w:pPr>
        <w:spacing w:after="0" w:line="205" w:lineRule="exact"/>
        <w:rPr>
          <w:sz w:val="20"/>
          <w:szCs w:val="20"/>
          <w:color w:val="auto"/>
        </w:rPr>
      </w:pPr>
    </w:p>
    <w:p>
      <w:pPr>
        <w:ind w:right="200" w:firstLine="486"/>
        <w:spacing w:after="0" w:line="316" w:lineRule="auto"/>
        <w:rPr>
          <w:sz w:val="20"/>
          <w:szCs w:val="20"/>
          <w:color w:val="auto"/>
        </w:rPr>
      </w:pPr>
      <w:r>
        <w:rPr>
          <w:rFonts w:ascii="Arial" w:cs="Arial" w:eastAsia="Arial" w:hAnsi="Arial"/>
          <w:sz w:val="18"/>
          <w:szCs w:val="18"/>
          <w:color w:val="auto"/>
        </w:rPr>
        <w:t>For the quarter ended September 30, 2019, the Company charged off $1.7 million related to a previously disclosed non-performing commercial loan. In addition, the Company charged off $3.0 million related to one oil exploration and production credit.</w:t>
      </w:r>
    </w:p>
    <w:p>
      <w:pPr>
        <w:spacing w:after="0" w:line="76" w:lineRule="exact"/>
        <w:rPr>
          <w:sz w:val="20"/>
          <w:szCs w:val="20"/>
          <w:color w:val="auto"/>
        </w:rPr>
      </w:pPr>
    </w:p>
    <w:p>
      <w:pPr>
        <w:ind w:right="80" w:firstLine="486"/>
        <w:spacing w:after="0" w:line="276" w:lineRule="auto"/>
        <w:rPr>
          <w:sz w:val="20"/>
          <w:szCs w:val="20"/>
          <w:color w:val="auto"/>
        </w:rPr>
      </w:pPr>
      <w:r>
        <w:rPr>
          <w:rFonts w:ascii="Arial" w:cs="Arial" w:eastAsia="Arial" w:hAnsi="Arial"/>
          <w:sz w:val="18"/>
          <w:szCs w:val="18"/>
          <w:color w:val="auto"/>
        </w:rPr>
        <w:t>Our ALLL as of September 30, 2019 increased $9.5 million or 28.2% from September 30, 2018 and increased $142.5 thousand or less than 1% from June 30, 2019. Year-over-year, the ALLL has increased primarily from the growth of our loan portfolio and an increase in our impaired loans, offset by a reduction in the energy portfolio’s qualitative factors. On a linked quarter basis, our ALLL was impacted by $4.7 million in net charge-offs, a decline in our reserve required for our impaired loans, and a reduction in qualitative factors impacting our commercial and energy portfolios. As a result, the Company took a $4.9 million provision during the third quarter of 2019. Our ALLL to total loans declined 6 basis points to 1.18% as our loan portfolio continued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500" w:top="140" w:right="359" w:bottom="1440" w:gutter="0" w:footer="0" w:header="0"/>
        </w:sectPr>
      </w:pPr>
    </w:p>
    <w:bookmarkStart w:id="57" w:name="page58"/>
    <w:bookmarkEnd w:id="5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Nonperforming Assets and Other Asset Quality Metrics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Nonperforming assets include:</w:t>
      </w:r>
    </w:p>
    <w:p>
      <w:pPr>
        <w:spacing w:after="0" w:line="189" w:lineRule="exact"/>
        <w:rPr>
          <w:sz w:val="20"/>
          <w:szCs w:val="20"/>
          <w:color w:val="auto"/>
        </w:rPr>
      </w:pPr>
    </w:p>
    <w:p>
      <w:pPr>
        <w:ind w:left="980" w:right="60" w:hanging="324"/>
        <w:spacing w:after="0" w:line="281" w:lineRule="auto"/>
        <w:tabs>
          <w:tab w:leader="none" w:pos="9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Nonperforming loans - includes non-accrual loans, loans past due 90 days or more and still accruing interest, and loans modified under troubled debt restructurings (‘‘TDRs’’) that are not performing in accordance with their modified terms;</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Foreclosed assets held for sale;</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Repossessed assets</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Impaired securities</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table below summarizes our nonperforming assets and related ratios as of the dates indicated:</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6"/>
                <w:szCs w:val="16"/>
                <w:i w:val="1"/>
                <w:iCs w:val="1"/>
                <w:color w:val="auto"/>
                <w:w w:val="97"/>
              </w:rPr>
              <w:t>(Dollars in thousands)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6"/>
        </w:trPr>
        <w:tc>
          <w:tcPr>
            <w:tcW w:w="3120" w:type="dxa"/>
            <w:vAlign w:val="bottom"/>
          </w:tcPr>
          <w:p>
            <w:pPr>
              <w:ind w:left="40"/>
              <w:spacing w:after="0"/>
              <w:rPr>
                <w:sz w:val="20"/>
                <w:szCs w:val="20"/>
                <w:color w:val="auto"/>
              </w:rPr>
            </w:pPr>
            <w:r>
              <w:rPr>
                <w:rFonts w:ascii="Arial" w:cs="Arial" w:eastAsia="Arial" w:hAnsi="Arial"/>
                <w:sz w:val="18"/>
                <w:szCs w:val="18"/>
                <w:color w:val="auto"/>
              </w:rPr>
              <w:t>Non-accrual loans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43,626</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50,044</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17,818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12,625</w:t>
            </w: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Loans past due 90 days or more and still</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accruing</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443</w:t>
            </w:r>
          </w:p>
        </w:tc>
      </w:tr>
      <w:tr>
        <w:trPr>
          <w:trHeight w:val="237"/>
        </w:trPr>
        <w:tc>
          <w:tcPr>
            <w:tcW w:w="3120" w:type="dxa"/>
            <w:vAlign w:val="bottom"/>
          </w:tcPr>
          <w:p>
            <w:pPr>
              <w:ind w:left="160"/>
              <w:spacing w:after="0"/>
              <w:rPr>
                <w:sz w:val="20"/>
                <w:szCs w:val="20"/>
                <w:color w:val="auto"/>
              </w:rPr>
            </w:pPr>
            <w:r>
              <w:rPr>
                <w:rFonts w:ascii="Arial" w:cs="Arial" w:eastAsia="Arial" w:hAnsi="Arial"/>
                <w:sz w:val="18"/>
                <w:szCs w:val="18"/>
                <w:color w:val="auto"/>
              </w:rPr>
              <w:t>Total nonperforming loans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44,268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50,282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17,818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13,068</w:t>
            </w: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Foreclosed assets held for sale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Impaired securities</w:t>
            </w:r>
          </w:p>
        </w:tc>
        <w:tc>
          <w:tcPr>
            <w:tcW w:w="14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nonperforming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46,739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52,753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15,489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17,818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13,068</w:t>
            </w: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0"/>
        </w:trPr>
        <w:tc>
          <w:tcPr>
            <w:tcW w:w="3120" w:type="dxa"/>
            <w:vAlign w:val="bottom"/>
          </w:tcPr>
          <w:p>
            <w:pPr>
              <w:ind w:left="160"/>
              <w:spacing w:after="0"/>
              <w:rPr>
                <w:sz w:val="20"/>
                <w:szCs w:val="20"/>
                <w:color w:val="auto"/>
              </w:rPr>
            </w:pPr>
            <w:r>
              <w:rPr>
                <w:rFonts w:ascii="Arial" w:cs="Arial" w:eastAsia="Arial" w:hAnsi="Arial"/>
                <w:sz w:val="18"/>
                <w:szCs w:val="18"/>
                <w:color w:val="auto"/>
              </w:rPr>
              <w:t>Nonperforming assets to total assets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Nonperforming loans to total loans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7"/>
        </w:trPr>
        <w:tc>
          <w:tcPr>
            <w:tcW w:w="3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180" w:right="40" w:firstLine="486"/>
        <w:spacing w:after="0" w:line="250" w:lineRule="auto"/>
        <w:rPr>
          <w:sz w:val="20"/>
          <w:szCs w:val="20"/>
          <w:color w:val="auto"/>
        </w:rPr>
      </w:pPr>
      <w:r>
        <w:rPr>
          <w:rFonts w:ascii="Arial" w:cs="Arial" w:eastAsia="Arial" w:hAnsi="Arial"/>
          <w:sz w:val="20"/>
          <w:szCs w:val="20"/>
          <w:color w:val="auto"/>
        </w:rPr>
        <w:t>September 30, 2019 nonperforming assets to total assets increased 65 basis points from the prior year driven by one commercial loan restructured in the second quarter of 2019 and subsequently placed on non-accrual. On a linked quarter basis, our September 30, 2019 nonperforming assets to total assets declined from 1.18% at June 30, 2019 to 1.00%.</w:t>
      </w:r>
    </w:p>
    <w:p>
      <w:pPr>
        <w:spacing w:after="0" w:line="132" w:lineRule="exact"/>
        <w:rPr>
          <w:sz w:val="20"/>
          <w:szCs w:val="20"/>
          <w:color w:val="auto"/>
        </w:rPr>
      </w:pPr>
    </w:p>
    <w:p>
      <w:pPr>
        <w:ind w:left="180" w:right="20" w:firstLine="486"/>
        <w:spacing w:after="0" w:line="246" w:lineRule="auto"/>
        <w:rPr>
          <w:sz w:val="20"/>
          <w:szCs w:val="20"/>
          <w:color w:val="auto"/>
        </w:rPr>
      </w:pPr>
      <w:r>
        <w:rPr>
          <w:rFonts w:ascii="Arial" w:cs="Arial" w:eastAsia="Arial" w:hAnsi="Arial"/>
          <w:sz w:val="20"/>
          <w:szCs w:val="20"/>
          <w:color w:val="auto"/>
        </w:rPr>
        <w:t>Other asset quality metrics management reviews include loans past due 30 - 89 days and classified loans. The Company defines classified loans as loans categorized as substandard, doubtful or loss. The definitions of substandard, doubtful and loss see ‘‘Note 4 - Loans and Allowance for Loan Losses’’ in the notes to unaudited consolidated financial statements. The following table summarizes our loans past due 30 - 89 days, classified assets and related ratios:</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i w:val="1"/>
                <w:iCs w:val="1"/>
                <w:color w:val="auto"/>
                <w:w w:val="96"/>
              </w:rPr>
              <w:t>(Dollars in thousands)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Loan Past Due Detail</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30 - 59 days past due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3100" w:type="dxa"/>
            <w:vAlign w:val="bottom"/>
          </w:tcPr>
          <w:p>
            <w:pPr>
              <w:ind w:left="160"/>
              <w:spacing w:after="0"/>
              <w:rPr>
                <w:sz w:val="20"/>
                <w:szCs w:val="20"/>
                <w:color w:val="auto"/>
              </w:rPr>
            </w:pPr>
            <w:r>
              <w:rPr>
                <w:rFonts w:ascii="Arial" w:cs="Arial" w:eastAsia="Arial" w:hAnsi="Arial"/>
                <w:sz w:val="18"/>
                <w:szCs w:val="18"/>
                <w:color w:val="auto"/>
              </w:rPr>
              <w:t>60 - 89 days past due</w:t>
            </w:r>
          </w:p>
        </w:tc>
        <w:tc>
          <w:tcPr>
            <w:tcW w:w="16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30 - 89 days past due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64,726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23,607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31,066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26,343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tcPr>
          <w:p>
            <w:pPr>
              <w:ind w:left="160"/>
              <w:spacing w:after="0"/>
              <w:rPr>
                <w:sz w:val="20"/>
                <w:szCs w:val="20"/>
                <w:color w:val="auto"/>
              </w:rPr>
            </w:pPr>
            <w:r>
              <w:rPr>
                <w:rFonts w:ascii="Arial" w:cs="Arial" w:eastAsia="Arial" w:hAnsi="Arial"/>
                <w:sz w:val="18"/>
                <w:szCs w:val="18"/>
                <w:color w:val="auto"/>
                <w:w w:val="98"/>
              </w:rPr>
              <w:t>Loans 30 - 89 days past due to loans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Classified Loans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60"/>
              <w:spacing w:after="0"/>
              <w:rPr>
                <w:sz w:val="20"/>
                <w:szCs w:val="20"/>
                <w:color w:val="auto"/>
              </w:rPr>
            </w:pPr>
            <w:r>
              <w:rPr>
                <w:rFonts w:ascii="Arial" w:cs="Arial" w:eastAsia="Arial" w:hAnsi="Arial"/>
                <w:sz w:val="18"/>
                <w:szCs w:val="18"/>
                <w:color w:val="auto"/>
              </w:rPr>
              <w:t>Substandard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79,536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79,190</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92,450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96,247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48,845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Doubtful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243"/>
        </w:trPr>
        <w:tc>
          <w:tcPr>
            <w:tcW w:w="3100" w:type="dxa"/>
            <w:vAlign w:val="bottom"/>
          </w:tcPr>
          <w:p>
            <w:pPr>
              <w:ind w:left="16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classified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85,173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88,305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97,533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101,444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54,347</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80"/>
              <w:spacing w:after="0"/>
              <w:rPr>
                <w:sz w:val="20"/>
                <w:szCs w:val="20"/>
                <w:color w:val="auto"/>
              </w:rPr>
            </w:pPr>
            <w:r>
              <w:rPr>
                <w:rFonts w:ascii="Arial" w:cs="Arial" w:eastAsia="Arial" w:hAnsi="Arial"/>
                <w:sz w:val="18"/>
                <w:szCs w:val="18"/>
                <w:color w:val="auto"/>
              </w:rPr>
              <w:t>Classified Loans / (Total Capital +</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40"/>
              <w:spacing w:after="0"/>
              <w:rPr>
                <w:sz w:val="20"/>
                <w:szCs w:val="20"/>
                <w:color w:val="auto"/>
              </w:rPr>
            </w:pPr>
            <w:r>
              <w:rPr>
                <w:rFonts w:ascii="Arial" w:cs="Arial" w:eastAsia="Arial" w:hAnsi="Arial"/>
                <w:sz w:val="18"/>
                <w:szCs w:val="18"/>
                <w:color w:val="auto"/>
              </w:rPr>
              <w:t>ALLL)</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180" w:right="200" w:firstLine="486"/>
        <w:spacing w:after="0" w:line="342" w:lineRule="auto"/>
        <w:rPr>
          <w:sz w:val="20"/>
          <w:szCs w:val="20"/>
          <w:color w:val="auto"/>
        </w:rPr>
      </w:pPr>
      <w:r>
        <w:rPr>
          <w:rFonts w:ascii="Arial" w:cs="Arial" w:eastAsia="Arial" w:hAnsi="Arial"/>
          <w:sz w:val="16"/>
          <w:szCs w:val="16"/>
          <w:color w:val="auto"/>
        </w:rPr>
        <w:t>During the quarter ended, September 30, 2019 the Company experienced a $45.9 million increase in loans past due 30 to 59 days from $16.0 million to $61.9 million. The increase was driven by one commercial loan restructured during the second quarter of 2019 and subsequently placed on non-accrual, as well as, one construction and land development loan that was in the process of being renewed.</w:t>
      </w:r>
    </w:p>
    <w:p>
      <w:pPr>
        <w:spacing w:after="0" w:line="226" w:lineRule="exact"/>
        <w:rPr>
          <w:sz w:val="20"/>
          <w:szCs w:val="20"/>
          <w:color w:val="auto"/>
        </w:rPr>
      </w:pPr>
    </w:p>
    <w:p>
      <w:pPr>
        <w:ind w:left="180" w:right="80" w:firstLine="486"/>
        <w:spacing w:after="0" w:line="250" w:lineRule="auto"/>
        <w:rPr>
          <w:sz w:val="20"/>
          <w:szCs w:val="20"/>
          <w:color w:val="auto"/>
        </w:rPr>
      </w:pPr>
      <w:r>
        <w:rPr>
          <w:rFonts w:ascii="Arial" w:cs="Arial" w:eastAsia="Arial" w:hAnsi="Arial"/>
          <w:sz w:val="20"/>
          <w:szCs w:val="20"/>
          <w:color w:val="auto"/>
        </w:rPr>
        <w:t>The Company's classified assets has trended down $16.3 million or 16.0% since December 31, 2018. The decline in classified assets is a combination of charge-offs, primarily from commercial and energy loans, and changes to loan risk ratings due to borrower improvements.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Deposits and Other Borrowings</w:t>
      </w:r>
    </w:p>
    <w:p>
      <w:pPr>
        <w:spacing w:after="0" w:line="190" w:lineRule="exact"/>
        <w:rPr>
          <w:sz w:val="20"/>
          <w:szCs w:val="20"/>
          <w:color w:val="auto"/>
        </w:rPr>
      </w:pPr>
    </w:p>
    <w:p>
      <w:pPr>
        <w:ind w:left="180" w:right="120" w:firstLine="486"/>
        <w:spacing w:after="0" w:line="250" w:lineRule="auto"/>
        <w:rPr>
          <w:sz w:val="20"/>
          <w:szCs w:val="20"/>
          <w:color w:val="auto"/>
        </w:rPr>
      </w:pPr>
      <w:r>
        <w:rPr>
          <w:rFonts w:ascii="Arial" w:cs="Arial" w:eastAsia="Arial" w:hAnsi="Arial"/>
          <w:sz w:val="20"/>
          <w:szCs w:val="20"/>
          <w:color w:val="auto"/>
        </w:rPr>
        <w:t>Deposits and other borrowings are used to support our asset growth. Our strong asset growth requires us to place a greater emphasis on both interest and non-interest-bearing deposits. We attract and retain deposits by aggressively setting our deposit rates within our markets. Other borrowings supplement our core deposit strategy.</w:t>
      </w:r>
    </w:p>
    <w:p>
      <w:pPr>
        <w:spacing w:after="0" w:line="132" w:lineRule="exact"/>
        <w:rPr>
          <w:sz w:val="20"/>
          <w:szCs w:val="20"/>
          <w:color w:val="auto"/>
        </w:rPr>
      </w:pPr>
    </w:p>
    <w:p>
      <w:pPr>
        <w:ind w:left="180" w:right="320" w:firstLine="486"/>
        <w:spacing w:after="0" w:line="316" w:lineRule="auto"/>
        <w:rPr>
          <w:sz w:val="20"/>
          <w:szCs w:val="20"/>
          <w:color w:val="auto"/>
        </w:rPr>
      </w:pPr>
      <w:r>
        <w:rPr>
          <w:rFonts w:ascii="Arial" w:cs="Arial" w:eastAsia="Arial" w:hAnsi="Arial"/>
          <w:sz w:val="18"/>
          <w:szCs w:val="18"/>
          <w:color w:val="auto"/>
        </w:rPr>
        <w:t>At September 30, 2019, our deposits totaled $3.7 billion, an increase of $450.0 million or 14.0% from December 31, 2018 and an increase of $74.0 million or 2.1% since June 30, 2019. Deposit growth was driven by competitive interest rates within our markets.</w:t>
      </w:r>
    </w:p>
    <w:p>
      <w:pPr>
        <w:spacing w:after="0" w:line="76" w:lineRule="exact"/>
        <w:rPr>
          <w:sz w:val="20"/>
          <w:szCs w:val="20"/>
          <w:color w:val="auto"/>
        </w:rPr>
      </w:pPr>
    </w:p>
    <w:p>
      <w:pPr>
        <w:ind w:left="180" w:right="80" w:firstLine="486"/>
        <w:spacing w:after="0" w:line="246" w:lineRule="auto"/>
        <w:rPr>
          <w:sz w:val="20"/>
          <w:szCs w:val="20"/>
          <w:color w:val="auto"/>
        </w:rPr>
      </w:pPr>
      <w:r>
        <w:rPr>
          <w:rFonts w:ascii="Arial" w:cs="Arial" w:eastAsia="Arial" w:hAnsi="Arial"/>
          <w:sz w:val="20"/>
          <w:szCs w:val="20"/>
          <w:color w:val="auto"/>
        </w:rPr>
        <w:t>Other borrowings include repurchase agreements, fed funds purchased, FHLB borrowings, and our trust preferred security. At September 30, 2019, other borrowings totaled $358.5 million, a $30.7 million or 7.9% decline from December 31, 2018 and a $6.6 million decrease from June 30, 2019. The decline in other borrowings was driven by strong deposit growth and the successfully completed initial public offering.</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230" w:lineRule="exact"/>
        <w:rPr>
          <w:sz w:val="20"/>
          <w:szCs w:val="20"/>
          <w:color w:val="auto"/>
        </w:rPr>
      </w:pPr>
    </w:p>
    <w:p>
      <w:pPr>
        <w:ind w:left="180" w:right="120" w:firstLine="486"/>
        <w:spacing w:after="0" w:line="250" w:lineRule="auto"/>
        <w:rPr>
          <w:sz w:val="20"/>
          <w:szCs w:val="20"/>
          <w:color w:val="auto"/>
        </w:rPr>
      </w:pPr>
      <w:r>
        <w:rPr>
          <w:rFonts w:ascii="Arial" w:cs="Arial" w:eastAsia="Arial" w:hAnsi="Arial"/>
          <w:sz w:val="20"/>
          <w:szCs w:val="20"/>
          <w:color w:val="auto"/>
        </w:rPr>
        <w:t>The objective of the Company’s liquidity policy is to maintain adequate, but not excessive, liquidity to meet the daily cash flow needs of its clients while attempting to achieve adequate earnings for its stockholders. The liquidity position is monitored continuously by the Company’s finance department.</w:t>
      </w:r>
    </w:p>
    <w:p>
      <w:pPr>
        <w:spacing w:after="0" w:line="132" w:lineRule="exact"/>
        <w:rPr>
          <w:sz w:val="20"/>
          <w:szCs w:val="20"/>
          <w:color w:val="auto"/>
        </w:rPr>
      </w:pPr>
    </w:p>
    <w:p>
      <w:pPr>
        <w:jc w:val="both"/>
        <w:ind w:left="180" w:right="80" w:firstLine="486"/>
        <w:spacing w:after="0" w:line="250" w:lineRule="auto"/>
        <w:rPr>
          <w:sz w:val="20"/>
          <w:szCs w:val="20"/>
          <w:color w:val="auto"/>
        </w:rPr>
      </w:pPr>
      <w:r>
        <w:rPr>
          <w:rFonts w:ascii="Arial" w:cs="Arial" w:eastAsia="Arial" w:hAnsi="Arial"/>
          <w:sz w:val="20"/>
          <w:szCs w:val="20"/>
          <w:color w:val="auto"/>
        </w:rPr>
        <w:t>Liquidity resources can be derived from two sources: (i) on-balance sheet liquidity resources, which represent funds currently on the balance sheet and (ii) off-balance sheet liquidity resources, which represent funds available from third party sources. Our on-balance sheet and off-balance sheet liquidity resources consisted of the following:</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2019</w:t>
            </w:r>
          </w:p>
        </w:tc>
        <w:tc>
          <w:tcPr>
            <w:tcW w:w="280" w:type="dxa"/>
            <w:vAlign w:val="bottom"/>
          </w:tcPr>
          <w:p>
            <w:pPr>
              <w:spacing w:after="0"/>
              <w:rPr>
                <w:sz w:val="20"/>
                <w:szCs w:val="20"/>
                <w:color w:val="auto"/>
              </w:rPr>
            </w:pP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December 31, 2018</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gridSpan w:val="4"/>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4"/>
          </w:tcPr>
          <w:p>
            <w:pPr>
              <w:jc w:val="right"/>
              <w:ind w:right="1570"/>
              <w:spacing w:after="0"/>
              <w:rPr>
                <w:sz w:val="20"/>
                <w:szCs w:val="20"/>
                <w:color w:val="auto"/>
              </w:rPr>
            </w:pPr>
            <w:r>
              <w:rPr>
                <w:rFonts w:ascii="Arial" w:cs="Arial" w:eastAsia="Arial" w:hAnsi="Arial"/>
                <w:sz w:val="16"/>
                <w:szCs w:val="16"/>
                <w:i w:val="1"/>
                <w:iCs w:val="1"/>
                <w:color w:val="auto"/>
              </w:rPr>
              <w:t>(Dollars in thousands)</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On-balance sheet</w:t>
            </w:r>
          </w:p>
        </w:tc>
        <w:tc>
          <w:tcPr>
            <w:tcW w:w="2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ind w:right="111"/>
              <w:spacing w:after="0"/>
              <w:rPr>
                <w:sz w:val="20"/>
                <w:szCs w:val="20"/>
                <w:color w:val="auto"/>
              </w:rPr>
            </w:pPr>
            <w:r>
              <w:rPr>
                <w:rFonts w:ascii="Arial" w:cs="Arial" w:eastAsia="Arial" w:hAnsi="Arial"/>
                <w:sz w:val="18"/>
                <w:szCs w:val="18"/>
                <w:color w:val="auto"/>
              </w:rPr>
              <w:t>109,961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216,541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Unpledged securities available-for-sale</w:t>
            </w:r>
          </w:p>
        </w:tc>
        <w:tc>
          <w:tcPr>
            <w:tcW w:w="2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696,519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552,950</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on-balance sheet liquidity</w:t>
            </w:r>
          </w:p>
        </w:tc>
        <w:tc>
          <w:tcPr>
            <w:tcW w:w="2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806,480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769,491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Off-balance sheet</w:t>
            </w:r>
          </w:p>
        </w:tc>
        <w:tc>
          <w:tcPr>
            <w:tcW w:w="2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60"/>
              <w:spacing w:after="0"/>
              <w:rPr>
                <w:sz w:val="20"/>
                <w:szCs w:val="20"/>
                <w:color w:val="auto"/>
              </w:rPr>
            </w:pPr>
            <w:r>
              <w:rPr>
                <w:rFonts w:ascii="Arial" w:cs="Arial" w:eastAsia="Arial" w:hAnsi="Arial"/>
                <w:sz w:val="18"/>
                <w:szCs w:val="18"/>
                <w:color w:val="auto"/>
              </w:rPr>
              <w:t>FHLB available funds</w:t>
            </w:r>
          </w:p>
        </w:tc>
        <w:tc>
          <w:tcPr>
            <w:tcW w:w="260" w:type="dxa"/>
            <w:vAlign w:val="bottom"/>
          </w:tcPr>
          <w:p>
            <w:pPr>
              <w:spacing w:after="0"/>
              <w:rPr>
                <w:sz w:val="21"/>
                <w:szCs w:val="21"/>
                <w:color w:val="auto"/>
              </w:rPr>
            </w:pPr>
          </w:p>
        </w:tc>
        <w:tc>
          <w:tcPr>
            <w:tcW w:w="2100" w:type="dxa"/>
            <w:vAlign w:val="bottom"/>
          </w:tcPr>
          <w:p>
            <w:pPr>
              <w:jc w:val="right"/>
              <w:ind w:right="111"/>
              <w:spacing w:after="0"/>
              <w:rPr>
                <w:sz w:val="20"/>
                <w:szCs w:val="20"/>
                <w:color w:val="auto"/>
              </w:rPr>
            </w:pPr>
            <w:r>
              <w:rPr>
                <w:rFonts w:ascii="Arial" w:cs="Arial" w:eastAsia="Arial" w:hAnsi="Arial"/>
                <w:sz w:val="18"/>
                <w:szCs w:val="18"/>
                <w:color w:val="auto"/>
              </w:rPr>
              <w:t>157,302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68,704</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 Reserve available funds</w:t>
            </w:r>
          </w:p>
        </w:tc>
        <w:tc>
          <w:tcPr>
            <w:tcW w:w="2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286,397</w:t>
            </w:r>
          </w:p>
        </w:tc>
      </w:tr>
      <w:tr>
        <w:trPr>
          <w:trHeight w:val="243"/>
        </w:trPr>
        <w:tc>
          <w:tcPr>
            <w:tcW w:w="6060" w:type="dxa"/>
            <w:vAlign w:val="bottom"/>
          </w:tcPr>
          <w:p>
            <w:pPr>
              <w:ind w:left="160"/>
              <w:spacing w:after="0"/>
              <w:rPr>
                <w:sz w:val="20"/>
                <w:szCs w:val="20"/>
                <w:color w:val="auto"/>
              </w:rPr>
            </w:pPr>
            <w:r>
              <w:rPr>
                <w:rFonts w:ascii="Arial" w:cs="Arial" w:eastAsia="Arial" w:hAnsi="Arial"/>
                <w:sz w:val="18"/>
                <w:szCs w:val="18"/>
                <w:color w:val="auto"/>
              </w:rPr>
              <w:t>Other available funds</w:t>
            </w:r>
          </w:p>
        </w:tc>
        <w:tc>
          <w:tcPr>
            <w:tcW w:w="260" w:type="dxa"/>
            <w:vAlign w:val="bottom"/>
          </w:tcPr>
          <w:p>
            <w:pPr>
              <w:spacing w:after="0"/>
              <w:rPr>
                <w:sz w:val="21"/>
                <w:szCs w:val="21"/>
                <w:color w:val="auto"/>
              </w:rPr>
            </w:pPr>
          </w:p>
        </w:tc>
        <w:tc>
          <w:tcPr>
            <w:tcW w:w="2100" w:type="dxa"/>
            <w:vAlign w:val="bottom"/>
          </w:tcPr>
          <w:p>
            <w:pPr>
              <w:jc w:val="right"/>
              <w:ind w:right="111"/>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95,000</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3"/>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off-balance sheet liquidity</w:t>
            </w:r>
          </w:p>
        </w:tc>
        <w:tc>
          <w:tcPr>
            <w:tcW w:w="26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547,489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450,101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liquidity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1,353,969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1,219,592</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-16510</wp:posOffset>
            </wp:positionV>
            <wp:extent cx="690943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9435" cy="18859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On-balance sheet liquidity as a percent of assets</w:t>
            </w:r>
          </w:p>
        </w:tc>
        <w:tc>
          <w:tcPr>
            <w:tcW w:w="3680" w:type="dxa"/>
            <w:vAlign w:val="bottom"/>
          </w:tcPr>
          <w:p>
            <w:pPr>
              <w:jc w:val="right"/>
              <w:ind w:right="910"/>
              <w:spacing w:after="0"/>
              <w:rPr>
                <w:sz w:val="20"/>
                <w:szCs w:val="20"/>
                <w:color w:val="auto"/>
              </w:rPr>
            </w:pPr>
            <w:r>
              <w:rPr>
                <w:rFonts w:ascii="Arial" w:cs="Arial" w:eastAsia="Arial" w:hAnsi="Arial"/>
                <w:sz w:val="18"/>
                <w:szCs w:val="18"/>
                <w:color w:val="auto"/>
              </w:rPr>
              <w:t>17.3%</w:t>
            </w:r>
          </w:p>
        </w:tc>
        <w:tc>
          <w:tcPr>
            <w:tcW w:w="14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Total liquidity as a percent of assets</w:t>
            </w:r>
          </w:p>
        </w:tc>
        <w:tc>
          <w:tcPr>
            <w:tcW w:w="3680" w:type="dxa"/>
            <w:vAlign w:val="bottom"/>
          </w:tcPr>
          <w:p>
            <w:pPr>
              <w:jc w:val="right"/>
              <w:ind w:right="910"/>
              <w:spacing w:after="0"/>
              <w:rPr>
                <w:sz w:val="20"/>
                <w:szCs w:val="20"/>
                <w:color w:val="auto"/>
              </w:rPr>
            </w:pPr>
            <w:r>
              <w:rPr>
                <w:rFonts w:ascii="Arial" w:cs="Arial" w:eastAsia="Arial" w:hAnsi="Arial"/>
                <w:sz w:val="18"/>
                <w:szCs w:val="18"/>
                <w:color w:val="auto"/>
              </w:rPr>
              <w:t>29.1%</w:t>
            </w:r>
          </w:p>
        </w:tc>
        <w:tc>
          <w:tcPr>
            <w:tcW w:w="1460" w:type="dxa"/>
            <w:vAlign w:val="bottom"/>
          </w:tcPr>
          <w:p>
            <w:pPr>
              <w:jc w:val="right"/>
              <w:spacing w:after="0"/>
              <w:rPr>
                <w:sz w:val="20"/>
                <w:szCs w:val="20"/>
                <w:color w:val="auto"/>
              </w:rPr>
            </w:pPr>
            <w:r>
              <w:rPr>
                <w:rFonts w:ascii="Arial" w:cs="Arial" w:eastAsia="Arial" w:hAnsi="Arial"/>
                <w:sz w:val="18"/>
                <w:szCs w:val="18"/>
                <w:color w:val="auto"/>
              </w:rPr>
              <w:t>29.7%</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22" w:right="359" w:bottom="1440" w:gutter="0" w:footer="0" w:header="0"/>
        </w:sectPr>
      </w:pPr>
    </w:p>
    <w:bookmarkStart w:id="59" w:name="page60"/>
    <w:bookmarkEnd w:id="59"/>
    <w:p>
      <w:pPr>
        <w:ind w:left="40"/>
        <w:spacing w:after="0"/>
        <w:tabs>
          <w:tab w:leader="none" w:pos="358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0" w:lineRule="exact"/>
        <w:rPr>
          <w:sz w:val="20"/>
          <w:szCs w:val="20"/>
          <w:color w:val="auto"/>
        </w:rPr>
      </w:pPr>
    </w:p>
    <w:p>
      <w:pPr>
        <w:ind w:left="180" w:right="540" w:firstLine="486"/>
        <w:spacing w:after="0" w:line="260" w:lineRule="auto"/>
        <w:rPr>
          <w:sz w:val="20"/>
          <w:szCs w:val="20"/>
          <w:color w:val="auto"/>
        </w:rPr>
      </w:pPr>
      <w:r>
        <w:rPr>
          <w:rFonts w:ascii="Arial" w:cs="Arial" w:eastAsia="Arial" w:hAnsi="Arial"/>
          <w:sz w:val="20"/>
          <w:szCs w:val="20"/>
          <w:color w:val="auto"/>
        </w:rPr>
        <w:t>The following table presents our significant contractual cash obligations to third parties, debt and lease agreements and service obligations as of September 30, 2019 and December 31, 2018:</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6"/>
          </w:tcPr>
          <w:p>
            <w:pPr>
              <w:ind w:left="16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Less than</w:t>
            </w:r>
          </w:p>
        </w:tc>
        <w:tc>
          <w:tcPr>
            <w:tcW w:w="28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8"/>
                <w:szCs w:val="18"/>
                <w:b w:val="1"/>
                <w:bCs w:val="1"/>
                <w:color w:val="auto"/>
              </w:rPr>
              <w:t>1 to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b w:val="1"/>
                <w:bCs w:val="1"/>
                <w:color w:val="auto"/>
              </w:rPr>
              <w:t>2 to 5</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More than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Year</w:t>
            </w:r>
          </w:p>
        </w:tc>
        <w:tc>
          <w:tcPr>
            <w:tcW w:w="280" w:type="dxa"/>
            <w:vAlign w:val="bottom"/>
          </w:tcPr>
          <w:p>
            <w:pPr>
              <w:spacing w:after="0"/>
              <w:rPr>
                <w:sz w:val="20"/>
                <w:szCs w:val="20"/>
                <w:color w:val="auto"/>
              </w:rPr>
            </w:pPr>
          </w:p>
        </w:tc>
        <w:tc>
          <w:tcPr>
            <w:tcW w:w="1040" w:type="dxa"/>
            <w:vAlign w:val="bottom"/>
          </w:tcPr>
          <w:p>
            <w:pPr>
              <w:ind w:left="16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216,486</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1,221,757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Fed funds purchased &amp; repurchase agreements</w:t>
            </w:r>
          </w:p>
        </w:tc>
        <w:tc>
          <w:tcPr>
            <w:tcW w:w="2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49,810</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FHLB borrowings and 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307,804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Trust preferred security</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14,368</w:t>
            </w:r>
          </w:p>
        </w:tc>
      </w:tr>
      <w:tr>
        <w:trPr>
          <w:trHeight w:val="257"/>
        </w:trPr>
        <w:tc>
          <w:tcPr>
            <w:tcW w:w="390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897,967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294,550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243,643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160,079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1,596,239</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73"/>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6"/>
          </w:tcPr>
          <w:p>
            <w:pPr>
              <w:ind w:left="16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Less than</w:t>
            </w:r>
          </w:p>
        </w:tc>
        <w:tc>
          <w:tcPr>
            <w:tcW w:w="28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Arial" w:cs="Arial" w:eastAsia="Arial" w:hAnsi="Arial"/>
                <w:sz w:val="18"/>
                <w:szCs w:val="18"/>
                <w:b w:val="1"/>
                <w:bCs w:val="1"/>
                <w:color w:val="auto"/>
              </w:rPr>
              <w:t>1 to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b w:val="1"/>
                <w:bCs w:val="1"/>
                <w:color w:val="auto"/>
              </w:rPr>
              <w:t>2 to 5</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More than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Year</w:t>
            </w:r>
          </w:p>
        </w:tc>
        <w:tc>
          <w:tcPr>
            <w:tcW w:w="280" w:type="dxa"/>
            <w:vAlign w:val="bottom"/>
          </w:tcPr>
          <w:p>
            <w:pPr>
              <w:spacing w:after="0"/>
              <w:rPr>
                <w:sz w:val="20"/>
                <w:szCs w:val="20"/>
                <w:color w:val="auto"/>
              </w:rPr>
            </w:pPr>
          </w:p>
        </w:tc>
        <w:tc>
          <w:tcPr>
            <w:tcW w:w="1040" w:type="dxa"/>
            <w:vAlign w:val="bottom"/>
          </w:tcPr>
          <w:p>
            <w:pPr>
              <w:ind w:left="16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6"/>
                <w:szCs w:val="16"/>
                <w:i w:val="1"/>
                <w:iCs w:val="1"/>
                <w:color w:val="auto"/>
                <w:w w:val="93"/>
              </w:rPr>
              <w:t>(Dollars in thousands)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287,451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267,856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1,009,677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Fed funds purchased &amp; repurchase agreements</w:t>
            </w:r>
          </w:p>
        </w:tc>
        <w:tc>
          <w:tcPr>
            <w:tcW w:w="2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75,406</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FHLB borrowings and 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312,985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Trust preferred security</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15,771</w:t>
            </w:r>
          </w:p>
        </w:tc>
      </w:tr>
      <w:tr>
        <w:trPr>
          <w:trHeight w:val="257"/>
        </w:trPr>
        <w:tc>
          <w:tcPr>
            <w:tcW w:w="390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566,106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334,084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345,553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170,596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1,416,339</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Resources and Off-Balance Sheet Arrangements</w:t>
      </w:r>
    </w:p>
    <w:p>
      <w:pPr>
        <w:spacing w:after="0" w:line="190" w:lineRule="exact"/>
        <w:rPr>
          <w:sz w:val="20"/>
          <w:szCs w:val="20"/>
          <w:color w:val="auto"/>
        </w:rPr>
      </w:pPr>
    </w:p>
    <w:p>
      <w:pPr>
        <w:ind w:left="180" w:firstLine="486"/>
        <w:spacing w:after="0" w:line="278"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September 30, 2019, the Company and the Bank meet all capital adequacy requirements to which they are subject. For additional information, see ‘‘Note 8 - Regulatory Matters’’ in the notes to unaudited consolidated financial statements.</w:t>
      </w:r>
    </w:p>
    <w:p>
      <w:pPr>
        <w:spacing w:after="0" w:line="111" w:lineRule="exact"/>
        <w:rPr>
          <w:sz w:val="20"/>
          <w:szCs w:val="20"/>
          <w:color w:val="auto"/>
        </w:rPr>
      </w:pPr>
    </w:p>
    <w:p>
      <w:pPr>
        <w:ind w:left="180" w:firstLine="486"/>
        <w:spacing w:after="0" w:line="263" w:lineRule="auto"/>
        <w:rPr>
          <w:sz w:val="20"/>
          <w:szCs w:val="20"/>
          <w:color w:val="auto"/>
        </w:rPr>
      </w:pPr>
      <w:r>
        <w:rPr>
          <w:rFonts w:ascii="Arial" w:cs="Arial" w:eastAsia="Arial" w:hAnsi="Arial"/>
          <w:sz w:val="19"/>
          <w:szCs w:val="19"/>
          <w:color w:val="auto"/>
        </w:rPr>
        <w:t>The Company is subject to off-balance sheet risk in the normal course of business to meet the needs of its clients that have, or are reasonably likely to have, a current or future effect on our financial condition, changes in financial condition, revenues or expenses, results of operations, liquidity, capital expenditures or capital resources. These off-balance sheet arrangements include commitments to fund loans, standby letters of credit, and a previously disclosed future lease obligation in Kansas City, Missouri.</w:t>
      </w:r>
    </w:p>
    <w:p>
      <w:pPr>
        <w:spacing w:after="0" w:line="200" w:lineRule="exact"/>
        <w:rPr>
          <w:sz w:val="20"/>
          <w:szCs w:val="20"/>
          <w:color w:val="auto"/>
        </w:rPr>
      </w:pPr>
    </w:p>
    <w:p>
      <w:pPr>
        <w:spacing w:after="0" w:line="330"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20"/>
          </w:cols>
          <w:pgMar w:left="320" w:top="287" w:right="359" w:bottom="1440" w:gutter="0" w:footer="0" w:header="0"/>
        </w:sectPr>
      </w:pPr>
    </w:p>
    <w:bookmarkStart w:id="60" w:name="page61"/>
    <w:bookmarkEnd w:id="6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is a summary of our off-balance sheet commitments as of the dates presented:</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 2019</w:t>
            </w:r>
          </w:p>
        </w:tc>
        <w:tc>
          <w:tcPr>
            <w:tcW w:w="320" w:type="dxa"/>
            <w:vAlign w:val="bottom"/>
          </w:tcPr>
          <w:p>
            <w:pPr>
              <w:spacing w:after="0"/>
              <w:rPr>
                <w:sz w:val="20"/>
                <w:szCs w:val="20"/>
                <w:color w:val="auto"/>
              </w:rPr>
            </w:pPr>
          </w:p>
        </w:tc>
        <w:tc>
          <w:tcPr>
            <w:tcW w:w="21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5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gridSpan w:val="4"/>
          </w:tcPr>
          <w:p>
            <w:pPr>
              <w:spacing w:after="0"/>
              <w:rPr>
                <w:sz w:val="2"/>
                <w:szCs w:val="2"/>
                <w:color w:val="auto"/>
              </w:rPr>
            </w:pPr>
          </w:p>
        </w:tc>
      </w:tr>
      <w:tr>
        <w:trPr>
          <w:trHeight w:val="217"/>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20" w:type="dxa"/>
            <w:vAlign w:val="bottom"/>
            <w:gridSpan w:val="4"/>
          </w:tcPr>
          <w:p>
            <w:pPr>
              <w:jc w:val="right"/>
              <w:ind w:right="1730"/>
              <w:spacing w:after="0"/>
              <w:rPr>
                <w:sz w:val="20"/>
                <w:szCs w:val="20"/>
                <w:color w:val="auto"/>
              </w:rPr>
            </w:pPr>
            <w:r>
              <w:rPr>
                <w:rFonts w:ascii="Arial" w:cs="Arial" w:eastAsia="Arial" w:hAnsi="Arial"/>
                <w:sz w:val="16"/>
                <w:szCs w:val="16"/>
                <w:i w:val="1"/>
                <w:iCs w:val="1"/>
                <w:color w:val="auto"/>
              </w:rPr>
              <w:t>(Dollars in thousands)</w:t>
            </w:r>
          </w:p>
        </w:tc>
      </w:tr>
      <w:tr>
        <w:trPr>
          <w:trHeight w:val="33"/>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to fund C&amp;I loans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597,534</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Other loan commitments</w:t>
            </w:r>
          </w:p>
        </w:tc>
        <w:tc>
          <w:tcPr>
            <w:tcW w:w="30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925,167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767,629</w:t>
            </w: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32,439</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Lease agreements</w:t>
            </w:r>
          </w:p>
        </w:tc>
        <w:tc>
          <w:tcPr>
            <w:tcW w:w="30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19,054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19,054</w:t>
            </w:r>
          </w:p>
        </w:tc>
      </w:tr>
      <w:tr>
        <w:trPr>
          <w:trHeight w:val="27"/>
        </w:trPr>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1,487,115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1,416,656</w:t>
            </w: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0" w:lineRule="exact"/>
        <w:rPr>
          <w:sz w:val="20"/>
          <w:szCs w:val="20"/>
          <w:color w:val="auto"/>
        </w:rPr>
      </w:pPr>
    </w:p>
    <w:p>
      <w:pPr>
        <w:ind w:left="180" w:right="40" w:firstLine="486"/>
        <w:spacing w:after="0" w:line="243" w:lineRule="auto"/>
        <w:rPr>
          <w:sz w:val="20"/>
          <w:szCs w:val="20"/>
          <w:color w:val="auto"/>
        </w:rPr>
      </w:pPr>
      <w:r>
        <w:rPr>
          <w:rFonts w:ascii="Arial" w:cs="Arial" w:eastAsia="Arial" w:hAnsi="Arial"/>
          <w:sz w:val="20"/>
          <w:szCs w:val="20"/>
          <w:color w:val="auto"/>
        </w:rPr>
        <w:t>The Company identified several accounting policies that are critical to an understanding of our financial condition and results of operations. In addition, these policies require difficult, subjective or complex judgments and assumptions that create potential sensitivity of our financial statements to those judgments and assumptions. These policies relate to the allowance for loan and lease losses, investment securities impairment, deferred tax assets, and the fair value of financial instruments. A discussion of these policies can be found in the section captioned ‘‘Critical Accounting Policies’’ in Management’s Discussion and Analysis of Financial Condition and Results of Operations included in the IPO Prospectus. There have been no changes in the Company’s application of critical accounting policies since June 30, 2019.</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162" w:lineRule="exact"/>
        <w:rPr>
          <w:sz w:val="20"/>
          <w:szCs w:val="20"/>
          <w:color w:val="auto"/>
        </w:rPr>
      </w:pPr>
    </w:p>
    <w:p>
      <w:pPr>
        <w:ind w:left="180" w:right="60" w:firstLine="486"/>
        <w:spacing w:after="0" w:line="250" w:lineRule="auto"/>
        <w:rPr>
          <w:sz w:val="20"/>
          <w:szCs w:val="20"/>
          <w:color w:val="auto"/>
        </w:rPr>
      </w:pPr>
      <w:r>
        <w:rPr>
          <w:rFonts w:ascii="Arial" w:cs="Arial" w:eastAsia="Arial" w:hAnsi="Arial"/>
          <w:sz w:val="20"/>
          <w:szCs w:val="20"/>
          <w:color w:val="auto"/>
        </w:rPr>
        <w:t xml:space="preserve">The Company had the following updates to recent accounting pronouncements during the quarter. For additional information on accounting pronouncements, see </w:t>
      </w:r>
      <w:r>
        <w:rPr>
          <w:rFonts w:ascii="Arial" w:cs="Arial" w:eastAsia="Arial" w:hAnsi="Arial"/>
          <w:sz w:val="20"/>
          <w:szCs w:val="20"/>
          <w:i w:val="1"/>
          <w:iCs w:val="1"/>
          <w:color w:val="auto"/>
        </w:rPr>
        <w:t>Note 1 - Nature of Operations and Summary of Significant Accounting Policies.</w:t>
      </w:r>
      <w:r>
        <w:rPr>
          <w:rFonts w:ascii="Arial" w:cs="Arial" w:eastAsia="Arial" w:hAnsi="Arial"/>
          <w:sz w:val="20"/>
          <w:szCs w:val="20"/>
          <w:color w:val="auto"/>
        </w:rPr>
        <w:t xml:space="preserve"> A complete list of recent, applicable accounting pronouncements was provided in the Company’s IPO Prospectus.</w:t>
      </w:r>
    </w:p>
    <w:p>
      <w:pPr>
        <w:spacing w:after="0" w:line="132" w:lineRule="exact"/>
        <w:rPr>
          <w:sz w:val="20"/>
          <w:szCs w:val="20"/>
          <w:color w:val="auto"/>
        </w:rPr>
      </w:pPr>
    </w:p>
    <w:p>
      <w:pPr>
        <w:ind w:left="180" w:right="100" w:firstLine="486"/>
        <w:spacing w:after="0" w:line="243" w:lineRule="auto"/>
        <w:rPr>
          <w:sz w:val="20"/>
          <w:szCs w:val="20"/>
          <w:color w:val="auto"/>
        </w:rPr>
      </w:pPr>
      <w:r>
        <w:rPr>
          <w:rFonts w:ascii="Arial" w:cs="Arial" w:eastAsia="Arial" w:hAnsi="Arial"/>
          <w:sz w:val="20"/>
          <w:szCs w:val="20"/>
          <w:u w:val="single" w:color="auto"/>
          <w:color w:val="auto"/>
        </w:rPr>
        <w:t>ASU 2016-13, Financial Instruments - Credit Losses</w:t>
      </w:r>
      <w:r>
        <w:rPr>
          <w:rFonts w:ascii="Arial" w:cs="Arial" w:eastAsia="Arial" w:hAnsi="Arial"/>
          <w:sz w:val="20"/>
          <w:szCs w:val="20"/>
          <w:color w:val="auto"/>
        </w:rPr>
        <w:t xml:space="preserve"> - The Company established a committee of individuals from applicable departments to oversee the implementation process. The committee chose a third-party software solution. By the third quarter of 2019, the Company completed the software implementation phase of the transition. The software implementation phase included data capture and portfolio segmentation amongst other items. The Company completed a parallel run using 2019 data and expects to complete a second parallel run using third quarter data during the fourth quarter of 2019. At this time an estimate of the impact to the Company’s financial statements is not known, but the impact could be significantly affected by the composition, characteristics and quality of the underlying loan portfolio at the time of adoption.</w:t>
      </w:r>
    </w:p>
    <w:p>
      <w:pPr>
        <w:spacing w:after="0" w:line="139" w:lineRule="exact"/>
        <w:rPr>
          <w:sz w:val="20"/>
          <w:szCs w:val="20"/>
          <w:color w:val="auto"/>
        </w:rPr>
      </w:pPr>
    </w:p>
    <w:p>
      <w:pPr>
        <w:ind w:left="180" w:right="60" w:firstLine="486"/>
        <w:spacing w:after="0" w:line="316" w:lineRule="auto"/>
        <w:rPr>
          <w:sz w:val="20"/>
          <w:szCs w:val="20"/>
          <w:color w:val="auto"/>
        </w:rPr>
      </w:pPr>
      <w:r>
        <w:rPr>
          <w:rFonts w:ascii="Arial" w:cs="Arial" w:eastAsia="Arial" w:hAnsi="Arial"/>
          <w:sz w:val="16"/>
          <w:szCs w:val="16"/>
          <w:u w:val="single" w:color="auto"/>
          <w:color w:val="auto"/>
        </w:rPr>
        <w:t>ASU 2016-02, Leases (Topic 842)</w:t>
      </w:r>
      <w:r>
        <w:rPr>
          <w:rFonts w:ascii="Arial" w:cs="Arial" w:eastAsia="Arial" w:hAnsi="Arial"/>
          <w:sz w:val="16"/>
          <w:szCs w:val="16"/>
          <w:color w:val="auto"/>
        </w:rPr>
        <w:t xml:space="preserve"> - The Company plans to apply the update as of the beginning of the period of adoption and is not planning to restate comparative periods. The Company expects to elect certain optional practical expedients. The Company gathered all potential lease and embedded lease agreements and is evaluating the applicability and impact to the financial statements. Current operating leases relate primarily to three branch locations. Based on these current leases, the Company anticipates recognizing a lease liability and related right-to-use asset on our balance sheet, with an immaterial impact on the income statement compared to the current lease accounting model. However, the ultimate impact of the standard will depend on the Company’s lease portfolio as of the adoption date.</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89" w:lineRule="exact"/>
        <w:rPr>
          <w:sz w:val="20"/>
          <w:szCs w:val="20"/>
          <w:color w:val="auto"/>
        </w:rPr>
      </w:pPr>
    </w:p>
    <w:p>
      <w:pPr>
        <w:ind w:left="180" w:right="60" w:firstLine="486"/>
        <w:spacing w:after="0" w:line="276" w:lineRule="auto"/>
        <w:rPr>
          <w:sz w:val="20"/>
          <w:szCs w:val="20"/>
          <w:color w:val="auto"/>
        </w:rPr>
      </w:pPr>
      <w:r>
        <w:rPr>
          <w:rFonts w:ascii="Arial" w:cs="Arial" w:eastAsia="Arial" w:hAnsi="Arial"/>
          <w:sz w:val="18"/>
          <w:szCs w:val="18"/>
          <w:color w:val="auto"/>
        </w:rPr>
        <w:t>A primary component of market risk is interest rate volatility. Managing interest rate risk is a key element of the Company’s balance sheet management. Interest rate risk is the risk that net interest margin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111" w:lineRule="exact"/>
        <w:rPr>
          <w:sz w:val="20"/>
          <w:szCs w:val="20"/>
          <w:color w:val="auto"/>
        </w:rPr>
      </w:pPr>
    </w:p>
    <w:p>
      <w:pPr>
        <w:ind w:left="180" w:right="300" w:firstLine="486"/>
        <w:spacing w:after="0" w:line="260" w:lineRule="auto"/>
        <w:rPr>
          <w:sz w:val="20"/>
          <w:szCs w:val="20"/>
          <w:color w:val="auto"/>
        </w:rPr>
      </w:pPr>
      <w:r>
        <w:rPr>
          <w:rFonts w:ascii="Arial" w:cs="Arial" w:eastAsia="Arial" w:hAnsi="Arial"/>
          <w:sz w:val="20"/>
          <w:szCs w:val="20"/>
          <w:color w:val="auto"/>
        </w:rPr>
        <w:t>Our exposure to interest rate risk is managed by the Bank’s Funds Management Committee (‘‘FMC’’) in accordance with policies approved by the Bank’s board of directors. The FMC uses a combination of three systems to measure the</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ind w:left="180"/>
        <w:spacing w:after="0" w:line="309" w:lineRule="auto"/>
        <w:rPr>
          <w:sz w:val="20"/>
          <w:szCs w:val="20"/>
          <w:color w:val="auto"/>
        </w:rPr>
      </w:pPr>
      <w:r>
        <w:rPr>
          <w:rFonts w:ascii="Arial" w:cs="Arial" w:eastAsia="Arial" w:hAnsi="Arial"/>
          <w:sz w:val="16"/>
          <w:szCs w:val="16"/>
          <w:color w:val="auto"/>
        </w:rPr>
        <w:t>balance sheet’s interest rate risk position. Because each system serves a different purpose and provides a different perspective, the three systems in combination are expected to provide a better overall result than a single system alone. The three systems include: (i) gap reports;</w:t>
      </w:r>
    </w:p>
    <w:p>
      <w:pPr>
        <w:spacing w:after="0" w:line="1" w:lineRule="exact"/>
        <w:rPr>
          <w:sz w:val="20"/>
          <w:szCs w:val="20"/>
          <w:color w:val="auto"/>
        </w:rPr>
      </w:pPr>
    </w:p>
    <w:p>
      <w:pPr>
        <w:ind w:left="180" w:right="640" w:hanging="10"/>
        <w:spacing w:after="0" w:line="244" w:lineRule="auto"/>
        <w:tabs>
          <w:tab w:leader="none" w:pos="471" w:val="left"/>
        </w:tabs>
        <w:numPr>
          <w:ilvl w:val="0"/>
          <w:numId w:val="25"/>
        </w:numPr>
        <w:rPr>
          <w:rFonts w:ascii="Arial" w:cs="Arial" w:eastAsia="Arial" w:hAnsi="Arial"/>
          <w:sz w:val="20"/>
          <w:szCs w:val="20"/>
          <w:color w:val="auto"/>
        </w:rPr>
      </w:pPr>
      <w:r>
        <w:rPr>
          <w:rFonts w:ascii="Arial" w:cs="Arial" w:eastAsia="Arial" w:hAnsi="Arial"/>
          <w:sz w:val="20"/>
          <w:szCs w:val="20"/>
          <w:color w:val="auto"/>
        </w:rPr>
        <w:t>earnings simulation; and (iii) economic value of equity. The FMC’s primary tools to change the interest rate risk position are: (i) investment portfolio duration; (ii) deposit and borrowing mix; and (iii) on balance sheet derivatives.</w:t>
      </w:r>
    </w:p>
    <w:p>
      <w:pPr>
        <w:spacing w:after="0" w:line="137" w:lineRule="exact"/>
        <w:rPr>
          <w:sz w:val="20"/>
          <w:szCs w:val="20"/>
          <w:color w:val="auto"/>
        </w:rPr>
      </w:pPr>
    </w:p>
    <w:p>
      <w:pPr>
        <w:ind w:left="180" w:right="440" w:firstLine="486"/>
        <w:spacing w:after="0" w:line="246" w:lineRule="auto"/>
        <w:rPr>
          <w:sz w:val="20"/>
          <w:szCs w:val="20"/>
          <w:color w:val="auto"/>
        </w:rPr>
      </w:pPr>
      <w:r>
        <w:rPr>
          <w:rFonts w:ascii="Arial" w:cs="Arial" w:eastAsia="Arial" w:hAnsi="Arial"/>
          <w:sz w:val="20"/>
          <w:szCs w:val="20"/>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Hypothetical Change in Interest Rate - Rate Shock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34290</wp:posOffset>
            </wp:positionV>
            <wp:extent cx="69005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5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780" w:type="dxa"/>
            <w:vAlign w:val="bottom"/>
            <w:gridSpan w:val="4"/>
          </w:tcPr>
          <w:p>
            <w:pPr>
              <w:ind w:left="1100"/>
              <w:spacing w:after="0"/>
              <w:rPr>
                <w:sz w:val="20"/>
                <w:szCs w:val="20"/>
                <w:color w:val="auto"/>
              </w:rPr>
            </w:pPr>
            <w:r>
              <w:rPr>
                <w:rFonts w:ascii="Arial" w:cs="Arial" w:eastAsia="Arial" w:hAnsi="Arial"/>
                <w:sz w:val="18"/>
                <w:szCs w:val="18"/>
                <w:b w:val="1"/>
                <w:bCs w:val="1"/>
                <w:color w:val="auto"/>
              </w:rPr>
              <w:t>September 30, 2019</w:t>
            </w:r>
          </w:p>
        </w:tc>
        <w:tc>
          <w:tcPr>
            <w:tcW w:w="370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September 30, 2018</w:t>
            </w:r>
          </w:p>
        </w:tc>
      </w:tr>
      <w:tr>
        <w:trPr>
          <w:trHeight w:val="27"/>
        </w:trPr>
        <w:tc>
          <w:tcPr>
            <w:tcW w:w="33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Change in Interest Rate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 change in net</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Percent change in fair</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 change in net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w w:val="91"/>
              </w:rPr>
              <w:t>Percent change in fair</w:t>
            </w:r>
          </w:p>
        </w:tc>
      </w:tr>
      <w:tr>
        <w:trPr>
          <w:trHeight w:val="23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(Basis Points)</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interest income</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value of equity</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interest income</w:t>
            </w:r>
          </w:p>
        </w:tc>
        <w:tc>
          <w:tcPr>
            <w:tcW w:w="18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 of equity</w:t>
            </w:r>
          </w:p>
        </w:tc>
      </w:tr>
      <w:tr>
        <w:trPr>
          <w:trHeight w:val="27"/>
        </w:trPr>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+300</w:t>
            </w:r>
          </w:p>
        </w:tc>
        <w:tc>
          <w:tcPr>
            <w:tcW w:w="178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3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w:t>
            </w:r>
          </w:p>
        </w:tc>
        <w:tc>
          <w:tcPr>
            <w:tcW w:w="1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+100</w:t>
            </w: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3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Base</w:t>
            </w:r>
          </w:p>
        </w:tc>
        <w:tc>
          <w:tcPr>
            <w:tcW w:w="1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-100</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3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33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Hypothetical Change in Interest Rate - Rate Ramp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34290</wp:posOffset>
            </wp:positionV>
            <wp:extent cx="6909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5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 2019</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 2018</w:t>
            </w:r>
          </w:p>
        </w:tc>
      </w:tr>
      <w:tr>
        <w:trPr>
          <w:trHeight w:val="27"/>
        </w:trPr>
        <w:tc>
          <w:tcPr>
            <w:tcW w:w="51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Change in Interest Rate</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change in net interest</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change in net interest</w:t>
            </w: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(Basis Points)</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income</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income</w:t>
            </w:r>
          </w:p>
        </w:tc>
      </w:tr>
      <w:tr>
        <w:trPr>
          <w:trHeight w:val="27"/>
        </w:trPr>
        <w:tc>
          <w:tcPr>
            <w:tcW w:w="5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+300</w:t>
            </w:r>
          </w:p>
        </w:tc>
        <w:tc>
          <w:tcPr>
            <w:tcW w:w="280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5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w:t>
            </w:r>
          </w:p>
        </w:tc>
        <w:tc>
          <w:tcPr>
            <w:tcW w:w="2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+100</w:t>
            </w:r>
          </w:p>
        </w:tc>
        <w:tc>
          <w:tcPr>
            <w:tcW w:w="280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80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5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w:t>
            </w:r>
          </w:p>
        </w:tc>
        <w:tc>
          <w:tcPr>
            <w:tcW w:w="2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-100</w:t>
            </w:r>
          </w:p>
        </w:tc>
        <w:tc>
          <w:tcPr>
            <w:tcW w:w="28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-200</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1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105" w:lineRule="exact"/>
        <w:rPr>
          <w:sz w:val="20"/>
          <w:szCs w:val="20"/>
          <w:color w:val="auto"/>
        </w:rPr>
      </w:pPr>
    </w:p>
    <w:p>
      <w:pPr>
        <w:ind w:left="180" w:right="400" w:firstLine="486"/>
        <w:spacing w:after="0" w:line="328" w:lineRule="auto"/>
        <w:rPr>
          <w:sz w:val="20"/>
          <w:szCs w:val="20"/>
          <w:color w:val="auto"/>
        </w:rPr>
      </w:pPr>
      <w:r>
        <w:rPr>
          <w:rFonts w:ascii="Arial" w:cs="Arial" w:eastAsia="Arial" w:hAnsi="Arial"/>
          <w:sz w:val="16"/>
          <w:szCs w:val="16"/>
          <w:color w:val="auto"/>
        </w:rPr>
        <w:t>The hypothetical change in net interest income as of September 30, 2019 in a down or up 100 basis point shock is mainly due to approximately 67% of earning assets repricing or maturing over the next 12 months. Loans remain the largest portion of our adjustable earning assets, as the mix of adjustable loans to total loans was 71.5%. The amount of adjustable loans causes the Company to see an increase in net interest income in a rising rate environment and a decline in net interest income in a declining rate environment.</w:t>
      </w:r>
    </w:p>
    <w:p>
      <w:pPr>
        <w:spacing w:after="0" w:line="74" w:lineRule="exact"/>
        <w:rPr>
          <w:sz w:val="20"/>
          <w:szCs w:val="20"/>
          <w:color w:val="auto"/>
        </w:rPr>
      </w:pPr>
    </w:p>
    <w:p>
      <w:pPr>
        <w:ind w:left="180" w:right="40" w:firstLine="486"/>
        <w:spacing w:after="0" w:line="282" w:lineRule="auto"/>
        <w:rPr>
          <w:sz w:val="20"/>
          <w:szCs w:val="20"/>
          <w:color w:val="auto"/>
        </w:rPr>
      </w:pPr>
      <w:r>
        <w:rPr>
          <w:rFonts w:ascii="Arial" w:cs="Arial" w:eastAsia="Arial" w:hAnsi="Arial"/>
          <w:sz w:val="18"/>
          <w:szCs w:val="18"/>
          <w:color w:val="auto"/>
        </w:rPr>
        <w:t>The models the Company uses include assumptions regarding interest rates and balance changes.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200" w:lineRule="exact"/>
        <w:rPr>
          <w:sz w:val="20"/>
          <w:szCs w:val="20"/>
          <w:color w:val="auto"/>
        </w:rPr>
      </w:pPr>
    </w:p>
    <w:p>
      <w:pPr>
        <w:spacing w:after="0" w:line="31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122" w:right="339" w:bottom="1440" w:gutter="0" w:footer="0" w:header="0"/>
        </w:sectPr>
      </w:pPr>
    </w:p>
    <w:bookmarkStart w:id="62" w:name="page63"/>
    <w:bookmarkEnd w:id="62"/>
    <w:p>
      <w:pPr>
        <w:ind w:left="40"/>
        <w:spacing w:after="0"/>
        <w:tabs>
          <w:tab w:leader="none" w:pos="3580" w:val="left"/>
        </w:tabs>
        <w:rPr>
          <w:rFonts w:ascii="Arial" w:cs="Arial" w:eastAsia="Arial" w:hAnsi="Arial"/>
          <w:sz w:val="18"/>
          <w:szCs w:val="18"/>
          <w:color w:val="0000EE"/>
        </w:rPr>
      </w:pPr>
      <w:hyperlink w:anchor="page3">
        <w:r>
          <w:rPr>
            <w:rFonts w:ascii="Arial" w:cs="Arial" w:eastAsia="Arial" w:hAnsi="Arial"/>
            <w:sz w:val="18"/>
            <w:szCs w:val="18"/>
            <w:u w:val="single" w:color="auto"/>
            <w:color w:val="0000EE"/>
          </w:rPr>
          <w:t>Table of Contents</w:t>
        </w:r>
      </w:hyperlink>
      <w:r>
        <w:rPr>
          <w:rFonts w:ascii="Arial" w:cs="Arial" w:eastAsia="Arial" w:hAnsi="Arial"/>
          <w:sz w:val="18"/>
          <w:szCs w:val="18"/>
          <w:color w:val="0000EE"/>
        </w:rPr>
        <w:tab/>
      </w:r>
      <w:r>
        <w:rPr>
          <w:rFonts w:ascii="Arial" w:cs="Arial" w:eastAsia="Arial" w:hAnsi="Arial"/>
          <w:sz w:val="16"/>
          <w:szCs w:val="16"/>
          <w:color w:val="0000EE"/>
        </w:rPr>
        <w:t>Notes to Unaudited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Evaluation of Disclosure Controls and Procedures</w:t>
      </w:r>
    </w:p>
    <w:p>
      <w:pPr>
        <w:spacing w:after="0" w:line="189" w:lineRule="exact"/>
        <w:rPr>
          <w:sz w:val="20"/>
          <w:szCs w:val="20"/>
          <w:color w:val="auto"/>
        </w:rPr>
      </w:pPr>
    </w:p>
    <w:p>
      <w:pPr>
        <w:ind w:left="180" w:right="20" w:firstLine="486"/>
        <w:spacing w:after="0" w:line="282"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September 30, 2019. Based on that evaluation, the Company’s Chief Executive Officer and Chief Financial Officer concluded that the Company’s disclosure controls and procedures were effective as of September 30, 2019.</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auto"/>
        </w:rPr>
        <w:t>Changes in Internal Control over Financial Reporting</w:t>
      </w:r>
    </w:p>
    <w:p>
      <w:pPr>
        <w:spacing w:after="0" w:line="162" w:lineRule="exact"/>
        <w:rPr>
          <w:sz w:val="20"/>
          <w:szCs w:val="20"/>
          <w:color w:val="auto"/>
        </w:rPr>
      </w:pPr>
    </w:p>
    <w:p>
      <w:pPr>
        <w:ind w:left="180" w:right="140" w:firstLine="486"/>
        <w:spacing w:after="0" w:line="250" w:lineRule="auto"/>
        <w:rPr>
          <w:sz w:val="20"/>
          <w:szCs w:val="20"/>
          <w:color w:val="auto"/>
        </w:rPr>
      </w:pPr>
      <w:r>
        <w:rPr>
          <w:rFonts w:ascii="Arial" w:cs="Arial" w:eastAsia="Arial" w:hAnsi="Arial"/>
          <w:sz w:val="20"/>
          <w:szCs w:val="20"/>
          <w:color w:val="auto"/>
        </w:rPr>
        <w:t>There was no change in the Company’s internal control over financial reporting (as such term is defined in Rule 13a-15(f) under the Exchange Act) that occurred during the third quarter of 2019 that has materially affected, or is reasonably likely to materially affect, the Company’s internal control over financial reporting.</w:t>
      </w:r>
    </w:p>
    <w:p>
      <w:pPr>
        <w:spacing w:after="0" w:line="14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PART II -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229" w:lineRule="exact"/>
        <w:rPr>
          <w:sz w:val="20"/>
          <w:szCs w:val="20"/>
          <w:color w:val="auto"/>
        </w:rPr>
      </w:pPr>
    </w:p>
    <w:p>
      <w:pPr>
        <w:ind w:left="180" w:firstLine="486"/>
        <w:spacing w:after="0" w:line="259" w:lineRule="auto"/>
        <w:rPr>
          <w:sz w:val="20"/>
          <w:szCs w:val="20"/>
          <w:color w:val="auto"/>
        </w:rPr>
      </w:pPr>
      <w:r>
        <w:rPr>
          <w:rFonts w:ascii="Arial" w:cs="Arial" w:eastAsia="Arial" w:hAnsi="Arial"/>
          <w:sz w:val="19"/>
          <w:szCs w:val="19"/>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229" w:lineRule="exact"/>
        <w:rPr>
          <w:sz w:val="20"/>
          <w:szCs w:val="20"/>
          <w:color w:val="auto"/>
        </w:rPr>
      </w:pPr>
    </w:p>
    <w:p>
      <w:pPr>
        <w:ind w:left="180" w:right="300" w:firstLine="486"/>
        <w:spacing w:after="0" w:line="385" w:lineRule="auto"/>
        <w:rPr>
          <w:sz w:val="20"/>
          <w:szCs w:val="20"/>
          <w:color w:val="auto"/>
        </w:rPr>
      </w:pPr>
      <w:r>
        <w:rPr>
          <w:rFonts w:ascii="Arial" w:cs="Arial" w:eastAsia="Arial" w:hAnsi="Arial"/>
          <w:sz w:val="16"/>
          <w:szCs w:val="16"/>
          <w:color w:val="auto"/>
        </w:rPr>
        <w:t>There were no material changes from the risks disclosed in the Risk Factors section of the IPO Prospectus (File No. 333-232704), dated August 14, 2019, filed with the SEC pursuant to Rule 424(b) of the Securities Act of 1933, as amended, on August 15, 2019.</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ITEM 2. UNREGISTERED SALES OF EQUITY SECURITIES AND USE OF PROCEEDS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Unregistered Sales of Equity Securities</w:t>
      </w:r>
    </w:p>
    <w:p>
      <w:pPr>
        <w:spacing w:after="0" w:line="235" w:lineRule="exact"/>
        <w:rPr>
          <w:sz w:val="20"/>
          <w:szCs w:val="20"/>
          <w:color w:val="auto"/>
        </w:rPr>
      </w:pPr>
    </w:p>
    <w:p>
      <w:pPr>
        <w:ind w:left="180" w:right="100" w:firstLine="486"/>
        <w:spacing w:after="0" w:line="278" w:lineRule="auto"/>
        <w:rPr>
          <w:sz w:val="20"/>
          <w:szCs w:val="20"/>
          <w:color w:val="auto"/>
        </w:rPr>
      </w:pPr>
      <w:r>
        <w:rPr>
          <w:rFonts w:ascii="Arial" w:cs="Arial" w:eastAsia="Arial" w:hAnsi="Arial"/>
          <w:sz w:val="18"/>
          <w:szCs w:val="18"/>
          <w:color w:val="auto"/>
        </w:rPr>
        <w:t>During the quarter ended September 30, 2019 and prior to September 13, 2019 (the date of the filing of our registration statement on Form S-8), we issued and sold an aggregate of 5,883 shares of our common stock to current employees at a weighted average exercise price of $17.00 per share pursuant to our partner share purchase program for aggregate cash consideration of $100.0 thousand. The shares were issued pursuant to an exemption under Rule 701 promulgated under the Securities Act. Each of the recipients of securities in these transactions had adequate access, through employment, to information about us.</w:t>
      </w:r>
    </w:p>
    <w:p>
      <w:pPr>
        <w:spacing w:after="0" w:line="178" w:lineRule="exact"/>
        <w:rPr>
          <w:sz w:val="20"/>
          <w:szCs w:val="20"/>
          <w:color w:val="auto"/>
        </w:rPr>
      </w:pPr>
    </w:p>
    <w:p>
      <w:pPr>
        <w:ind w:left="180" w:right="100" w:firstLine="486"/>
        <w:spacing w:after="0" w:line="246" w:lineRule="auto"/>
        <w:rPr>
          <w:sz w:val="20"/>
          <w:szCs w:val="20"/>
          <w:color w:val="auto"/>
        </w:rPr>
      </w:pPr>
      <w:r>
        <w:rPr>
          <w:rFonts w:ascii="Arial" w:cs="Arial" w:eastAsia="Arial" w:hAnsi="Arial"/>
          <w:sz w:val="20"/>
          <w:szCs w:val="20"/>
          <w:color w:val="auto"/>
        </w:rPr>
        <w:t>During the quarter ended September 30, 2019 and prior to September 13, 2019 (the date of the filing of our registration statement on Form S-8), we issued 31,575 stock settled appreciation rights (‘‘SSARs’’) under our 2018 Equity Incentive Plan at a weighted average exercise price of $14.41 per unit. The SSARs vest in seven equal annual installments commencing in August 2020 and expire in August 2029.</w:t>
      </w:r>
    </w:p>
    <w:p>
      <w:pPr>
        <w:spacing w:after="0" w:line="205" w:lineRule="exact"/>
        <w:rPr>
          <w:sz w:val="20"/>
          <w:szCs w:val="20"/>
          <w:color w:val="auto"/>
        </w:rPr>
      </w:pPr>
    </w:p>
    <w:p>
      <w:pPr>
        <w:ind w:left="180" w:right="320" w:firstLine="486"/>
        <w:spacing w:after="0" w:line="269" w:lineRule="auto"/>
        <w:rPr>
          <w:sz w:val="20"/>
          <w:szCs w:val="20"/>
          <w:color w:val="auto"/>
        </w:rPr>
      </w:pPr>
      <w:r>
        <w:rPr>
          <w:rFonts w:ascii="Arial" w:cs="Arial" w:eastAsia="Arial" w:hAnsi="Arial"/>
          <w:sz w:val="19"/>
          <w:szCs w:val="19"/>
          <w:color w:val="auto"/>
        </w:rPr>
        <w:t>In addition, during the quarter ended September 30, 2019 and prior to the filing of our Form S-8, we issued and sold to our employees an aggregate of 1,317 shares of common stock upon the exercise of SSARs issued under our 2018 Equity Incentive Plan at a weighted-average exercise price of $8.25 and a $17.00 price of the underlying security. The Company</w:t>
      </w:r>
    </w:p>
    <w:p>
      <w:pPr>
        <w:spacing w:after="0" w:line="36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287" w:right="339" w:bottom="1440" w:gutter="0" w:footer="0" w:header="0"/>
        </w:sectPr>
      </w:pPr>
    </w:p>
    <w:bookmarkStart w:id="63" w:name="page64"/>
    <w:bookmarkEnd w:id="6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44" w:lineRule="exact"/>
        <w:rPr>
          <w:sz w:val="20"/>
          <w:szCs w:val="20"/>
          <w:color w:val="auto"/>
        </w:rPr>
      </w:pPr>
    </w:p>
    <w:p>
      <w:pPr>
        <w:ind w:left="180" w:right="500"/>
        <w:spacing w:after="0" w:line="260" w:lineRule="auto"/>
        <w:rPr>
          <w:sz w:val="20"/>
          <w:szCs w:val="20"/>
          <w:color w:val="auto"/>
        </w:rPr>
      </w:pPr>
      <w:r>
        <w:rPr>
          <w:rFonts w:ascii="Arial" w:cs="Arial" w:eastAsia="Arial" w:hAnsi="Arial"/>
          <w:sz w:val="20"/>
          <w:szCs w:val="20"/>
          <w:color w:val="auto"/>
        </w:rPr>
        <w:t>withheld an aggregate of 599 shares of common stock subject to such SSARs for payment of the exercise price and satisfaction of the aggregate tax withholding obligations in connection with the exercises of certain of those SSARs.</w:t>
      </w:r>
    </w:p>
    <w:p>
      <w:pPr>
        <w:spacing w:after="0" w:line="177" w:lineRule="exact"/>
        <w:rPr>
          <w:sz w:val="20"/>
          <w:szCs w:val="20"/>
          <w:color w:val="auto"/>
        </w:rPr>
      </w:pPr>
    </w:p>
    <w:p>
      <w:pPr>
        <w:ind w:left="180" w:right="260" w:firstLine="486"/>
        <w:spacing w:after="0" w:line="250" w:lineRule="auto"/>
        <w:rPr>
          <w:sz w:val="20"/>
          <w:szCs w:val="20"/>
          <w:color w:val="auto"/>
        </w:rPr>
      </w:pPr>
      <w:r>
        <w:rPr>
          <w:rFonts w:ascii="Arial" w:cs="Arial" w:eastAsia="Arial" w:hAnsi="Arial"/>
          <w:sz w:val="20"/>
          <w:szCs w:val="20"/>
          <w:color w:val="auto"/>
        </w:rPr>
        <w:t>The SSARs and the common stock issuable upon the exercise of such SSARs were issued under the 2018 Equity Incentive Plan in reliance on the exemption provided by Rule 701 promulgated under the Securities Act. Each of the recipients of securities in these transactions had adequate access, through employment, to information about us.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Proceeds from our Initial Public Offering of Common Stock</w:t>
      </w:r>
    </w:p>
    <w:p>
      <w:pPr>
        <w:spacing w:after="0" w:line="235" w:lineRule="exact"/>
        <w:rPr>
          <w:sz w:val="20"/>
          <w:szCs w:val="20"/>
          <w:color w:val="auto"/>
        </w:rPr>
      </w:pPr>
    </w:p>
    <w:p>
      <w:pPr>
        <w:ind w:left="180" w:right="40" w:firstLine="486"/>
        <w:spacing w:after="0" w:line="257" w:lineRule="auto"/>
        <w:rPr>
          <w:sz w:val="20"/>
          <w:szCs w:val="20"/>
          <w:color w:val="auto"/>
        </w:rPr>
      </w:pPr>
      <w:r>
        <w:rPr>
          <w:rFonts w:ascii="Arial" w:cs="Arial" w:eastAsia="Arial" w:hAnsi="Arial"/>
          <w:sz w:val="19"/>
          <w:szCs w:val="19"/>
          <w:color w:val="auto"/>
        </w:rPr>
        <w:t>On August 19, 2019, we completed our IPO, in which we sold 6,594,362 shares of common stock, including 844,362 shares pursuant to the underwriters' overallotment option, at price to the public of $14.50 per share. We received aggregate net proceeds of $87.0 million, net of underwriting discounts and commissions of $6.2 million and offering expenses paid by us of approximately $2.4 million subject to certain cost reimbursements. The offering has terminated. We distributed $50 million of the proceeds to our wholly-owned subsidiary, CrossFirst Bank, to support its growth. The balance of the proceeds for the offering was held at the Company and used for general corporate purposes. We made no payments to our directors, officers or persons owning ten percent or more of our common stock or to their associates, or to our affiliates in connection with the issuance and sale of the securities registered. We did not receive any proceeds from the sale of shares by the selling stockholders.</w:t>
      </w:r>
    </w:p>
    <w:p>
      <w:pPr>
        <w:spacing w:after="0" w:line="194" w:lineRule="exact"/>
        <w:rPr>
          <w:sz w:val="20"/>
          <w:szCs w:val="20"/>
          <w:color w:val="auto"/>
        </w:rPr>
      </w:pPr>
    </w:p>
    <w:p>
      <w:pPr>
        <w:ind w:left="180" w:right="20" w:firstLine="324"/>
        <w:spacing w:after="0" w:line="243" w:lineRule="auto"/>
        <w:rPr>
          <w:sz w:val="20"/>
          <w:szCs w:val="20"/>
          <w:color w:val="auto"/>
        </w:rPr>
      </w:pPr>
      <w:r>
        <w:rPr>
          <w:rFonts w:ascii="Arial" w:cs="Arial" w:eastAsia="Arial" w:hAnsi="Arial"/>
          <w:sz w:val="20"/>
          <w:szCs w:val="20"/>
          <w:color w:val="auto"/>
        </w:rPr>
        <w:t>All the shares issued and sold in the initial public offering were registered under the Securities Act pursuant to a Registration Statement on Form S-1 (File No. 333-232704), which was declared effective by the SEC on August 14, 2019. Pursuant to the Registration Statement, we registered an aggregate of 7,855,951 shares of our common stock, inclusive of the underwriters’ option to purchase additional shares and the shares to be offered by selling stockholders. Keefe, Bruyette &amp; Woods, A Stifel Company, Raymond James &amp; Associates, Inc. and Stephens Inc. acted as joint book-running managers for the offering, and Sandler O’Neill + Partners, L.P. acted as co-manager of the offering.</w:t>
      </w:r>
    </w:p>
    <w:p>
      <w:pPr>
        <w:spacing w:after="0" w:line="196" w:lineRule="exact"/>
        <w:rPr>
          <w:sz w:val="20"/>
          <w:szCs w:val="20"/>
          <w:color w:val="auto"/>
        </w:rPr>
      </w:pPr>
    </w:p>
    <w:p>
      <w:pPr>
        <w:ind w:left="180" w:right="40" w:firstLine="486"/>
        <w:spacing w:after="0" w:line="278" w:lineRule="auto"/>
        <w:rPr>
          <w:sz w:val="20"/>
          <w:szCs w:val="20"/>
          <w:color w:val="auto"/>
        </w:rPr>
      </w:pPr>
      <w:r>
        <w:rPr>
          <w:rFonts w:ascii="Arial" w:cs="Arial" w:eastAsia="Arial" w:hAnsi="Arial"/>
          <w:sz w:val="18"/>
          <w:szCs w:val="18"/>
          <w:color w:val="auto"/>
        </w:rPr>
        <w:t>There has been no material change in the planned use of the proceeds of the initial public offering as described in our IPO Prospectus (File No. 333-232704) filed with the SEC on August 15, 2019, pursuant to Rule 424(b) of the Securities Act. The Company intends to use the net proceeds from the offering to support our growth, organically or through mergers and acquisitions, and for general corporate purposes. As previously disclosed, the Company is currently considering using a portion of the net proceeds for the opening of a second smaller full-service branch in the Dallas MSA, in addition to consistently evaluating other strategic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ITEM 3. DEFAULTS UPON SENIOR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ITEM 4. MINE SAFETY DISCLOSURES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ITEM 5. OTHER INFORMATION</w:t>
      </w:r>
    </w:p>
    <w:p>
      <w:pPr>
        <w:spacing w:after="0" w:line="22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Board of Directors of the Company has established May 12, 2020 as the date of the Company’s 2020 Annual Meeting of Stockholders (the “2020 Annual Meeting”). The time and location of the 2020 Annual Meeting will be specified in the Company’s 2020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122" w:right="339" w:bottom="1440" w:gutter="0" w:footer="0" w:header="0"/>
        </w:sectPr>
      </w:pPr>
    </w:p>
    <w:bookmarkStart w:id="64" w:name="page65"/>
    <w:bookmarkEnd w:id="64"/>
    <w:p>
      <w:pPr>
        <w:spacing w:after="0" w:line="223" w:lineRule="auto"/>
        <w:framePr w:w="480" w:h="160" w:wrap="auto" w:vAnchor="page" w:hAnchor="page" w:x="320" w:y="7526"/>
        <w:rPr>
          <w:rFonts w:ascii="Arial" w:cs="Arial" w:eastAsia="Arial" w:hAnsi="Arial"/>
          <w:sz w:val="15"/>
          <w:szCs w:val="15"/>
          <w:u w:val="single" w:color="auto"/>
          <w:color w:val="0000FF"/>
        </w:rPr>
      </w:pPr>
      <w:hyperlink r:id="rId31">
        <w:r>
          <w:rPr>
            <w:rFonts w:ascii="Arial" w:cs="Arial" w:eastAsia="Arial" w:hAnsi="Arial"/>
            <w:sz w:val="15"/>
            <w:szCs w:val="15"/>
            <w:u w:val="single" w:color="auto"/>
            <w:color w:val="0000FF"/>
          </w:rPr>
          <w:t>10.15</w:t>
        </w:r>
      </w:hyperlink>
    </w:p>
    <w:p>
      <w:pPr>
        <w:spacing w:after="0" w:line="223" w:lineRule="auto"/>
        <w:framePr w:w="480" w:h="160" w:wrap="auto" w:vAnchor="page" w:hAnchor="page" w:x="320" w:y="7796"/>
        <w:rPr>
          <w:rFonts w:ascii="Arial" w:cs="Arial" w:eastAsia="Arial" w:hAnsi="Arial"/>
          <w:sz w:val="15"/>
          <w:szCs w:val="15"/>
          <w:u w:val="single" w:color="auto"/>
          <w:color w:val="0000FF"/>
        </w:rPr>
      </w:pPr>
      <w:hyperlink r:id="rId32">
        <w:r>
          <w:rPr>
            <w:rFonts w:ascii="Arial" w:cs="Arial" w:eastAsia="Arial" w:hAnsi="Arial"/>
            <w:sz w:val="15"/>
            <w:szCs w:val="15"/>
            <w:u w:val="single" w:color="auto"/>
            <w:color w:val="0000FF"/>
          </w:rPr>
          <w:t>10.16</w:t>
        </w:r>
      </w:hyperlink>
    </w:p>
    <w:p>
      <w:pPr>
        <w:spacing w:after="0" w:line="223" w:lineRule="auto"/>
        <w:framePr w:w="480" w:h="160" w:wrap="auto" w:vAnchor="page" w:hAnchor="page" w:x="320" w:y="8066"/>
        <w:rPr>
          <w:rFonts w:ascii="Arial" w:cs="Arial" w:eastAsia="Arial" w:hAnsi="Arial"/>
          <w:sz w:val="15"/>
          <w:szCs w:val="15"/>
          <w:u w:val="single" w:color="auto"/>
          <w:color w:val="0000FF"/>
        </w:rPr>
      </w:pPr>
      <w:hyperlink r:id="rId33">
        <w:r>
          <w:rPr>
            <w:rFonts w:ascii="Arial" w:cs="Arial" w:eastAsia="Arial" w:hAnsi="Arial"/>
            <w:sz w:val="15"/>
            <w:szCs w:val="15"/>
            <w:u w:val="single" w:color="auto"/>
            <w:color w:val="0000FF"/>
          </w:rPr>
          <w:t>10.17</w:t>
        </w:r>
      </w:hyperlink>
    </w:p>
    <w:p>
      <w:pPr>
        <w:spacing w:after="0" w:line="223" w:lineRule="auto"/>
        <w:framePr w:w="480" w:h="160" w:wrap="auto" w:vAnchor="page" w:hAnchor="page" w:x="320" w:y="8336"/>
        <w:rPr>
          <w:rFonts w:ascii="Arial" w:cs="Arial" w:eastAsia="Arial" w:hAnsi="Arial"/>
          <w:sz w:val="15"/>
          <w:szCs w:val="15"/>
          <w:u w:val="single" w:color="auto"/>
          <w:color w:val="0000FF"/>
        </w:rPr>
      </w:pPr>
      <w:hyperlink r:id="rId34">
        <w:r>
          <w:rPr>
            <w:rFonts w:ascii="Arial" w:cs="Arial" w:eastAsia="Arial" w:hAnsi="Arial"/>
            <w:sz w:val="15"/>
            <w:szCs w:val="15"/>
            <w:u w:val="single" w:color="auto"/>
            <w:color w:val="0000FF"/>
          </w:rPr>
          <w:t>10.18</w:t>
        </w:r>
      </w:hyperlink>
    </w:p>
    <w:p>
      <w:pPr>
        <w:spacing w:after="0" w:line="223" w:lineRule="auto"/>
        <w:framePr w:w="480" w:h="160" w:wrap="auto" w:vAnchor="page" w:hAnchor="page" w:x="320" w:y="8606"/>
        <w:rPr>
          <w:rFonts w:ascii="Arial" w:cs="Arial" w:eastAsia="Arial" w:hAnsi="Arial"/>
          <w:sz w:val="15"/>
          <w:szCs w:val="15"/>
          <w:u w:val="single" w:color="auto"/>
          <w:color w:val="0000FF"/>
        </w:rPr>
      </w:pPr>
      <w:hyperlink r:id="rId35">
        <w:r>
          <w:rPr>
            <w:rFonts w:ascii="Arial" w:cs="Arial" w:eastAsia="Arial" w:hAnsi="Arial"/>
            <w:sz w:val="15"/>
            <w:szCs w:val="15"/>
            <w:u w:val="single" w:color="auto"/>
            <w:color w:val="0000FF"/>
          </w:rPr>
          <w:t>10.19</w:t>
        </w:r>
      </w:hyperlink>
    </w:p>
    <w:p>
      <w:pPr>
        <w:spacing w:after="0" w:line="223" w:lineRule="auto"/>
        <w:framePr w:w="480" w:h="160" w:wrap="auto" w:vAnchor="page" w:hAnchor="page" w:x="320" w:y="8876"/>
        <w:rPr>
          <w:rFonts w:ascii="Arial" w:cs="Arial" w:eastAsia="Arial" w:hAnsi="Arial"/>
          <w:sz w:val="15"/>
          <w:szCs w:val="15"/>
          <w:u w:val="single" w:color="auto"/>
          <w:color w:val="0000FF"/>
        </w:rPr>
      </w:pPr>
      <w:hyperlink r:id="rId36">
        <w:r>
          <w:rPr>
            <w:rFonts w:ascii="Arial" w:cs="Arial" w:eastAsia="Arial" w:hAnsi="Arial"/>
            <w:sz w:val="15"/>
            <w:szCs w:val="15"/>
            <w:u w:val="single" w:color="auto"/>
            <w:color w:val="0000FF"/>
          </w:rPr>
          <w:t>10.20</w:t>
        </w:r>
      </w:hyperlink>
    </w:p>
    <w:p>
      <w:pPr>
        <w:spacing w:after="0" w:line="223" w:lineRule="auto"/>
        <w:framePr w:w="480" w:h="160" w:wrap="auto" w:vAnchor="page" w:hAnchor="page" w:x="320" w:y="9146"/>
        <w:rPr>
          <w:rFonts w:ascii="Arial" w:cs="Arial" w:eastAsia="Arial" w:hAnsi="Arial"/>
          <w:sz w:val="15"/>
          <w:szCs w:val="15"/>
          <w:u w:val="single" w:color="auto"/>
          <w:color w:val="0000FF"/>
        </w:rPr>
      </w:pPr>
      <w:hyperlink r:id="rId37">
        <w:r>
          <w:rPr>
            <w:rFonts w:ascii="Arial" w:cs="Arial" w:eastAsia="Arial" w:hAnsi="Arial"/>
            <w:sz w:val="15"/>
            <w:szCs w:val="15"/>
            <w:u w:val="single" w:color="auto"/>
            <w:color w:val="0000FF"/>
          </w:rPr>
          <w:t>10.21</w:t>
        </w:r>
      </w:hyperlink>
    </w:p>
    <w:p>
      <w:pPr>
        <w:spacing w:after="0" w:line="223" w:lineRule="auto"/>
        <w:framePr w:w="480" w:h="160" w:wrap="auto" w:vAnchor="page" w:hAnchor="page" w:x="320" w:y="9416"/>
        <w:rPr>
          <w:rFonts w:ascii="Arial" w:cs="Arial" w:eastAsia="Arial" w:hAnsi="Arial"/>
          <w:sz w:val="15"/>
          <w:szCs w:val="15"/>
          <w:u w:val="single" w:color="auto"/>
          <w:color w:val="0000FF"/>
        </w:rPr>
      </w:pPr>
      <w:hyperlink r:id="rId38">
        <w:r>
          <w:rPr>
            <w:rFonts w:ascii="Arial" w:cs="Arial" w:eastAsia="Arial" w:hAnsi="Arial"/>
            <w:sz w:val="15"/>
            <w:szCs w:val="15"/>
            <w:u w:val="single" w:color="auto"/>
            <w:color w:val="0000FF"/>
          </w:rPr>
          <w:t>10.22</w:t>
        </w:r>
      </w:hyperlink>
    </w:p>
    <w:p>
      <w:pPr>
        <w:spacing w:after="0" w:line="223" w:lineRule="auto"/>
        <w:framePr w:w="480" w:h="160" w:wrap="auto" w:vAnchor="page" w:hAnchor="page" w:x="320" w:y="9686"/>
        <w:rPr>
          <w:rFonts w:ascii="Arial" w:cs="Arial" w:eastAsia="Arial" w:hAnsi="Arial"/>
          <w:sz w:val="15"/>
          <w:szCs w:val="15"/>
          <w:u w:val="single" w:color="auto"/>
          <w:color w:val="0000FF"/>
        </w:rPr>
      </w:pPr>
      <w:hyperlink r:id="rId39">
        <w:r>
          <w:rPr>
            <w:rFonts w:ascii="Arial" w:cs="Arial" w:eastAsia="Arial" w:hAnsi="Arial"/>
            <w:sz w:val="15"/>
            <w:szCs w:val="15"/>
            <w:u w:val="single" w:color="auto"/>
            <w:color w:val="0000FF"/>
          </w:rPr>
          <w:t>10.23</w:t>
        </w:r>
      </w:hyperlink>
    </w:p>
    <w:p>
      <w:pPr>
        <w:spacing w:after="0" w:line="223" w:lineRule="auto"/>
        <w:framePr w:w="480" w:h="160" w:wrap="auto" w:vAnchor="page" w:hAnchor="page" w:x="320" w:y="9956"/>
        <w:rPr>
          <w:rFonts w:ascii="Arial" w:cs="Arial" w:eastAsia="Arial" w:hAnsi="Arial"/>
          <w:sz w:val="15"/>
          <w:szCs w:val="15"/>
          <w:u w:val="single" w:color="auto"/>
          <w:color w:val="0000FF"/>
        </w:rPr>
      </w:pPr>
      <w:hyperlink r:id="rId40">
        <w:r>
          <w:rPr>
            <w:rFonts w:ascii="Arial" w:cs="Arial" w:eastAsia="Arial" w:hAnsi="Arial"/>
            <w:sz w:val="15"/>
            <w:szCs w:val="15"/>
            <w:u w:val="single" w:color="auto"/>
            <w:color w:val="0000FF"/>
          </w:rPr>
          <w:t>10.24</w:t>
        </w:r>
      </w:hyperlink>
    </w:p>
    <w:p>
      <w:pPr>
        <w:spacing w:after="0" w:line="223" w:lineRule="auto"/>
        <w:framePr w:w="480" w:h="160" w:wrap="auto" w:vAnchor="page" w:hAnchor="page" w:x="320" w:y="10226"/>
        <w:rPr>
          <w:rFonts w:ascii="Arial" w:cs="Arial" w:eastAsia="Arial" w:hAnsi="Arial"/>
          <w:sz w:val="15"/>
          <w:szCs w:val="15"/>
          <w:u w:val="single" w:color="auto"/>
          <w:color w:val="0000FF"/>
        </w:rPr>
      </w:pPr>
      <w:hyperlink r:id="rId41">
        <w:r>
          <w:rPr>
            <w:rFonts w:ascii="Arial" w:cs="Arial" w:eastAsia="Arial" w:hAnsi="Arial"/>
            <w:sz w:val="15"/>
            <w:szCs w:val="15"/>
            <w:u w:val="single" w:color="auto"/>
            <w:color w:val="0000FF"/>
          </w:rPr>
          <w:t>10.25</w:t>
        </w:r>
      </w:hyperlink>
    </w:p>
    <w:p>
      <w:pPr>
        <w:spacing w:after="0" w:line="223" w:lineRule="auto"/>
        <w:framePr w:w="480" w:h="160" w:wrap="auto" w:vAnchor="page" w:hAnchor="page" w:x="320" w:y="7148"/>
        <w:rPr>
          <w:rFonts w:ascii="Arial" w:cs="Arial" w:eastAsia="Arial" w:hAnsi="Arial"/>
          <w:sz w:val="15"/>
          <w:szCs w:val="15"/>
          <w:u w:val="single" w:color="auto"/>
          <w:color w:val="0000FF"/>
        </w:rPr>
      </w:pPr>
      <w:hyperlink r:id="rId42">
        <w:r>
          <w:rPr>
            <w:rFonts w:ascii="Arial" w:cs="Arial" w:eastAsia="Arial" w:hAnsi="Arial"/>
            <w:sz w:val="15"/>
            <w:szCs w:val="15"/>
            <w:u w:val="single" w:color="auto"/>
            <w:color w:val="0000FF"/>
          </w:rPr>
          <w:t>10.14</w:t>
        </w:r>
      </w:hyperlink>
    </w:p>
    <w:p>
      <w:pPr>
        <w:spacing w:after="0" w:line="223" w:lineRule="auto"/>
        <w:framePr w:w="480" w:h="160" w:wrap="auto" w:vAnchor="page" w:hAnchor="page" w:x="320" w:y="6500"/>
        <w:rPr>
          <w:rFonts w:ascii="Arial" w:cs="Arial" w:eastAsia="Arial" w:hAnsi="Arial"/>
          <w:sz w:val="15"/>
          <w:szCs w:val="15"/>
          <w:u w:val="single" w:color="auto"/>
          <w:color w:val="0000FF"/>
        </w:rPr>
      </w:pPr>
      <w:hyperlink r:id="rId43">
        <w:r>
          <w:rPr>
            <w:rFonts w:ascii="Arial" w:cs="Arial" w:eastAsia="Arial" w:hAnsi="Arial"/>
            <w:sz w:val="15"/>
            <w:szCs w:val="15"/>
            <w:u w:val="single" w:color="auto"/>
            <w:color w:val="0000FF"/>
          </w:rPr>
          <w:t>10.12</w:t>
        </w:r>
      </w:hyperlink>
    </w:p>
    <w:p>
      <w:pPr>
        <w:spacing w:after="0" w:line="223" w:lineRule="auto"/>
        <w:framePr w:w="480" w:h="160" w:wrap="auto" w:vAnchor="page" w:hAnchor="page" w:x="320" w:y="6770"/>
        <w:rPr>
          <w:rFonts w:ascii="Arial" w:cs="Arial" w:eastAsia="Arial" w:hAnsi="Arial"/>
          <w:sz w:val="15"/>
          <w:szCs w:val="15"/>
          <w:u w:val="single" w:color="auto"/>
          <w:color w:val="0000FF"/>
        </w:rPr>
      </w:pPr>
      <w:hyperlink r:id="rId44">
        <w:r>
          <w:rPr>
            <w:rFonts w:ascii="Arial" w:cs="Arial" w:eastAsia="Arial" w:hAnsi="Arial"/>
            <w:sz w:val="15"/>
            <w:szCs w:val="15"/>
            <w:u w:val="single" w:color="auto"/>
            <w:color w:val="0000FF"/>
          </w:rPr>
          <w:t>10.13</w:t>
        </w:r>
      </w:hyperlink>
    </w:p>
    <w:p>
      <w:pPr>
        <w:spacing w:after="0" w:line="209" w:lineRule="auto"/>
        <w:framePr w:w="640" w:h="160" w:wrap="auto" w:vAnchor="page" w:hAnchor="page" w:x="320" w:y="1519"/>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Exhibit</w:t>
      </w:r>
    </w:p>
    <w:p>
      <w:pPr>
        <w:spacing w:after="0" w:line="209" w:lineRule="auto"/>
        <w:framePr w:w="720" w:h="160" w:wrap="auto" w:vAnchor="page" w:hAnchor="page" w:x="320" w:y="1735"/>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Number</w:t>
      </w:r>
    </w:p>
    <w:p>
      <w:pPr>
        <w:spacing w:after="0" w:line="223" w:lineRule="auto"/>
        <w:framePr w:w="480" w:h="160" w:wrap="auto" w:vAnchor="page" w:hAnchor="page" w:x="320" w:y="5744"/>
        <w:rPr>
          <w:rFonts w:ascii="Arial" w:cs="Arial" w:eastAsia="Arial" w:hAnsi="Arial"/>
          <w:sz w:val="15"/>
          <w:szCs w:val="15"/>
          <w:b w:val="1"/>
          <w:bCs w:val="1"/>
          <w:u w:val="single" w:color="auto"/>
          <w:color w:val="0000FF"/>
        </w:rPr>
      </w:pPr>
      <w:hyperlink r:id="rId45">
        <w:r>
          <w:rPr>
            <w:rFonts w:ascii="Arial" w:cs="Arial" w:eastAsia="Arial" w:hAnsi="Arial"/>
            <w:sz w:val="15"/>
            <w:szCs w:val="15"/>
            <w:b w:val="1"/>
            <w:bCs w:val="1"/>
            <w:u w:val="single" w:color="auto"/>
            <w:color w:val="0000FF"/>
          </w:rPr>
          <w:t>10.10</w:t>
        </w:r>
      </w:hyperlink>
    </w:p>
    <w:p>
      <w:pPr>
        <w:spacing w:after="0" w:line="223" w:lineRule="auto"/>
        <w:framePr w:w="380" w:h="160" w:wrap="auto" w:vAnchor="page" w:hAnchor="page" w:x="320" w:y="5366"/>
        <w:rPr>
          <w:rFonts w:ascii="Arial" w:cs="Arial" w:eastAsia="Arial" w:hAnsi="Arial"/>
          <w:sz w:val="15"/>
          <w:szCs w:val="15"/>
          <w:b w:val="1"/>
          <w:bCs w:val="1"/>
          <w:u w:val="single" w:color="auto"/>
          <w:color w:val="0000FF"/>
        </w:rPr>
      </w:pPr>
      <w:hyperlink r:id="rId46">
        <w:r>
          <w:rPr>
            <w:rFonts w:ascii="Arial" w:cs="Arial" w:eastAsia="Arial" w:hAnsi="Arial"/>
            <w:sz w:val="15"/>
            <w:szCs w:val="15"/>
            <w:b w:val="1"/>
            <w:bCs w:val="1"/>
            <w:u w:val="single" w:color="auto"/>
            <w:color w:val="0000FF"/>
          </w:rPr>
          <w:t>10.9</w:t>
        </w:r>
      </w:hyperlink>
    </w:p>
    <w:p>
      <w:pPr>
        <w:spacing w:after="0" w:line="223" w:lineRule="auto"/>
        <w:framePr w:w="380" w:h="160" w:wrap="auto" w:vAnchor="page" w:hAnchor="page" w:x="320" w:y="4988"/>
        <w:rPr>
          <w:rFonts w:ascii="Arial" w:cs="Arial" w:eastAsia="Arial" w:hAnsi="Arial"/>
          <w:sz w:val="15"/>
          <w:szCs w:val="15"/>
          <w:b w:val="1"/>
          <w:bCs w:val="1"/>
          <w:u w:val="single" w:color="auto"/>
          <w:color w:val="0000FF"/>
        </w:rPr>
      </w:pPr>
      <w:hyperlink r:id="rId47">
        <w:r>
          <w:rPr>
            <w:rFonts w:ascii="Arial" w:cs="Arial" w:eastAsia="Arial" w:hAnsi="Arial"/>
            <w:sz w:val="15"/>
            <w:szCs w:val="15"/>
            <w:b w:val="1"/>
            <w:bCs w:val="1"/>
            <w:u w:val="single" w:color="auto"/>
            <w:color w:val="0000FF"/>
          </w:rPr>
          <w:t>10.8</w:t>
        </w:r>
      </w:hyperlink>
    </w:p>
    <w:p>
      <w:pPr>
        <w:spacing w:after="0" w:line="223" w:lineRule="auto"/>
        <w:framePr w:w="380" w:h="160" w:wrap="auto" w:vAnchor="page" w:hAnchor="page" w:x="320" w:y="4610"/>
        <w:rPr>
          <w:rFonts w:ascii="Arial" w:cs="Arial" w:eastAsia="Arial" w:hAnsi="Arial"/>
          <w:sz w:val="15"/>
          <w:szCs w:val="15"/>
          <w:b w:val="1"/>
          <w:bCs w:val="1"/>
          <w:u w:val="single" w:color="auto"/>
          <w:color w:val="0000FF"/>
        </w:rPr>
      </w:pPr>
      <w:hyperlink r:id="rId48">
        <w:r>
          <w:rPr>
            <w:rFonts w:ascii="Arial" w:cs="Arial" w:eastAsia="Arial" w:hAnsi="Arial"/>
            <w:sz w:val="15"/>
            <w:szCs w:val="15"/>
            <w:b w:val="1"/>
            <w:bCs w:val="1"/>
            <w:u w:val="single" w:color="auto"/>
            <w:color w:val="0000FF"/>
          </w:rPr>
          <w:t>10.7</w:t>
        </w:r>
      </w:hyperlink>
    </w:p>
    <w:p>
      <w:pPr>
        <w:spacing w:after="0" w:line="223" w:lineRule="auto"/>
        <w:framePr w:w="380" w:h="160" w:wrap="auto" w:vAnchor="page" w:hAnchor="page" w:x="320" w:y="4232"/>
        <w:rPr>
          <w:rFonts w:ascii="Arial" w:cs="Arial" w:eastAsia="Arial" w:hAnsi="Arial"/>
          <w:sz w:val="15"/>
          <w:szCs w:val="15"/>
          <w:b w:val="1"/>
          <w:bCs w:val="1"/>
          <w:u w:val="single" w:color="auto"/>
          <w:color w:val="0000FF"/>
        </w:rPr>
      </w:pPr>
      <w:hyperlink r:id="rId49">
        <w:r>
          <w:rPr>
            <w:rFonts w:ascii="Arial" w:cs="Arial" w:eastAsia="Arial" w:hAnsi="Arial"/>
            <w:sz w:val="15"/>
            <w:szCs w:val="15"/>
            <w:b w:val="1"/>
            <w:bCs w:val="1"/>
            <w:u w:val="single" w:color="auto"/>
            <w:color w:val="0000FF"/>
          </w:rPr>
          <w:t>10.6</w:t>
        </w:r>
      </w:hyperlink>
    </w:p>
    <w:p>
      <w:pPr>
        <w:spacing w:after="0" w:line="223" w:lineRule="auto"/>
        <w:framePr w:w="380" w:h="160" w:wrap="auto" w:vAnchor="page" w:hAnchor="page" w:x="320" w:y="3854"/>
        <w:rPr>
          <w:rFonts w:ascii="Arial" w:cs="Arial" w:eastAsia="Arial" w:hAnsi="Arial"/>
          <w:sz w:val="15"/>
          <w:szCs w:val="15"/>
          <w:b w:val="1"/>
          <w:bCs w:val="1"/>
          <w:u w:val="single" w:color="auto"/>
          <w:color w:val="0000FF"/>
        </w:rPr>
      </w:pPr>
      <w:hyperlink r:id="rId50">
        <w:r>
          <w:rPr>
            <w:rFonts w:ascii="Arial" w:cs="Arial" w:eastAsia="Arial" w:hAnsi="Arial"/>
            <w:sz w:val="15"/>
            <w:szCs w:val="15"/>
            <w:b w:val="1"/>
            <w:bCs w:val="1"/>
            <w:u w:val="single" w:color="auto"/>
            <w:color w:val="0000FF"/>
          </w:rPr>
          <w:t>10.5</w:t>
        </w:r>
      </w:hyperlink>
    </w:p>
    <w:p>
      <w:pPr>
        <w:spacing w:after="0" w:line="223" w:lineRule="auto"/>
        <w:framePr w:w="380" w:h="160" w:wrap="auto" w:vAnchor="page" w:hAnchor="page" w:x="320" w:y="3476"/>
        <w:rPr>
          <w:rFonts w:ascii="Arial" w:cs="Arial" w:eastAsia="Arial" w:hAnsi="Arial"/>
          <w:sz w:val="15"/>
          <w:szCs w:val="15"/>
          <w:b w:val="1"/>
          <w:bCs w:val="1"/>
          <w:u w:val="single" w:color="auto"/>
          <w:color w:val="0000FF"/>
        </w:rPr>
      </w:pPr>
      <w:hyperlink r:id="rId51">
        <w:r>
          <w:rPr>
            <w:rFonts w:ascii="Arial" w:cs="Arial" w:eastAsia="Arial" w:hAnsi="Arial"/>
            <w:sz w:val="15"/>
            <w:szCs w:val="15"/>
            <w:b w:val="1"/>
            <w:bCs w:val="1"/>
            <w:u w:val="single" w:color="auto"/>
            <w:color w:val="0000FF"/>
          </w:rPr>
          <w:t>10.4</w:t>
        </w:r>
      </w:hyperlink>
    </w:p>
    <w:p>
      <w:pPr>
        <w:spacing w:after="0" w:line="223" w:lineRule="auto"/>
        <w:framePr w:w="380" w:h="160" w:wrap="auto" w:vAnchor="page" w:hAnchor="page" w:x="320" w:y="3098"/>
        <w:rPr>
          <w:rFonts w:ascii="Arial" w:cs="Arial" w:eastAsia="Arial" w:hAnsi="Arial"/>
          <w:sz w:val="15"/>
          <w:szCs w:val="15"/>
          <w:b w:val="1"/>
          <w:bCs w:val="1"/>
          <w:u w:val="single" w:color="auto"/>
          <w:color w:val="0000FF"/>
        </w:rPr>
      </w:pPr>
      <w:hyperlink r:id="rId52">
        <w:r>
          <w:rPr>
            <w:rFonts w:ascii="Arial" w:cs="Arial" w:eastAsia="Arial" w:hAnsi="Arial"/>
            <w:sz w:val="15"/>
            <w:szCs w:val="15"/>
            <w:b w:val="1"/>
            <w:bCs w:val="1"/>
            <w:u w:val="single" w:color="auto"/>
            <w:color w:val="0000FF"/>
          </w:rPr>
          <w:t>10.3</w:t>
        </w:r>
      </w:hyperlink>
    </w:p>
    <w:p>
      <w:pPr>
        <w:spacing w:after="0" w:line="223" w:lineRule="auto"/>
        <w:framePr w:w="380" w:h="160" w:wrap="auto" w:vAnchor="page" w:hAnchor="page" w:x="320" w:y="2612"/>
        <w:rPr>
          <w:rFonts w:ascii="Arial" w:cs="Arial" w:eastAsia="Arial" w:hAnsi="Arial"/>
          <w:sz w:val="15"/>
          <w:szCs w:val="15"/>
          <w:b w:val="1"/>
          <w:bCs w:val="1"/>
          <w:u w:val="single" w:color="auto"/>
          <w:color w:val="0000FF"/>
        </w:rPr>
      </w:pPr>
      <w:hyperlink r:id="rId53">
        <w:r>
          <w:rPr>
            <w:rFonts w:ascii="Arial" w:cs="Arial" w:eastAsia="Arial" w:hAnsi="Arial"/>
            <w:sz w:val="15"/>
            <w:szCs w:val="15"/>
            <w:b w:val="1"/>
            <w:bCs w:val="1"/>
            <w:u w:val="single" w:color="auto"/>
            <w:color w:val="0000FF"/>
          </w:rPr>
          <w:t>10.2</w:t>
        </w:r>
      </w:hyperlink>
    </w:p>
    <w:p>
      <w:pPr>
        <w:spacing w:after="0" w:line="223" w:lineRule="auto"/>
        <w:framePr w:w="380" w:h="160" w:wrap="auto" w:vAnchor="page" w:hAnchor="page" w:x="320" w:y="2126"/>
        <w:rPr>
          <w:rFonts w:ascii="Arial" w:cs="Arial" w:eastAsia="Arial" w:hAnsi="Arial"/>
          <w:sz w:val="15"/>
          <w:szCs w:val="15"/>
          <w:b w:val="1"/>
          <w:bCs w:val="1"/>
          <w:u w:val="single" w:color="auto"/>
          <w:color w:val="0000FF"/>
        </w:rPr>
      </w:pPr>
      <w:hyperlink r:id="rId54">
        <w:r>
          <w:rPr>
            <w:rFonts w:ascii="Arial" w:cs="Arial" w:eastAsia="Arial" w:hAnsi="Arial"/>
            <w:sz w:val="15"/>
            <w:szCs w:val="15"/>
            <w:b w:val="1"/>
            <w:bCs w:val="1"/>
            <w:u w:val="single" w:color="auto"/>
            <w:color w:val="0000FF"/>
          </w:rPr>
          <w:t>10.1</w:t>
        </w:r>
      </w:hyperlink>
    </w:p>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38" w:lineRule="exact"/>
        <w:rPr>
          <w:rFonts w:ascii="Arial" w:cs="Arial" w:eastAsia="Arial" w:hAnsi="Arial"/>
          <w:sz w:val="15"/>
          <w:szCs w:val="15"/>
          <w:b w:val="1"/>
          <w:bCs w:val="1"/>
          <w:u w:val="single" w:color="auto"/>
          <w:color w:val="0000FF"/>
        </w:rPr>
      </w:pPr>
    </w:p>
    <w:p>
      <w:pPr>
        <w:ind w:left="500"/>
        <w:spacing w:after="0"/>
        <w:rPr>
          <w:sz w:val="20"/>
          <w:szCs w:val="20"/>
          <w:color w:val="auto"/>
        </w:rPr>
      </w:pPr>
      <w:r>
        <w:rPr>
          <w:rFonts w:ascii="Arial" w:cs="Arial" w:eastAsia="Arial" w:hAnsi="Arial"/>
          <w:sz w:val="20"/>
          <w:szCs w:val="20"/>
          <w:b w:val="1"/>
          <w:bCs w:val="1"/>
          <w:color w:val="auto"/>
        </w:rPr>
        <w:t>ITEM 6. EXHIBITS</w:t>
      </w:r>
    </w:p>
    <w:p>
      <w:pPr>
        <w:spacing w:after="0" w:line="200" w:lineRule="exact"/>
        <w:rPr>
          <w:rFonts w:ascii="Arial" w:cs="Arial" w:eastAsia="Arial" w:hAnsi="Arial"/>
          <w:sz w:val="15"/>
          <w:szCs w:val="15"/>
          <w:b w:val="1"/>
          <w:bCs w:val="1"/>
          <w:u w:val="single" w:color="auto"/>
          <w:color w:val="0000FF"/>
        </w:rPr>
      </w:pPr>
    </w:p>
    <w:p>
      <w:pPr>
        <w:spacing w:after="0" w:line="200" w:lineRule="exact"/>
        <w:rPr>
          <w:rFonts w:ascii="Arial" w:cs="Arial" w:eastAsia="Arial" w:hAnsi="Arial"/>
          <w:sz w:val="15"/>
          <w:szCs w:val="15"/>
          <w:b w:val="1"/>
          <w:bCs w:val="1"/>
          <w:u w:val="single" w:color="auto"/>
          <w:color w:val="0000FF"/>
        </w:rPr>
      </w:pPr>
    </w:p>
    <w:p>
      <w:pPr>
        <w:spacing w:after="0" w:line="200" w:lineRule="exact"/>
        <w:rPr>
          <w:rFonts w:ascii="Arial" w:cs="Arial" w:eastAsia="Arial" w:hAnsi="Arial"/>
          <w:sz w:val="15"/>
          <w:szCs w:val="15"/>
          <w:b w:val="1"/>
          <w:bCs w:val="1"/>
          <w:u w:val="single" w:color="auto"/>
          <w:color w:val="0000FF"/>
        </w:rPr>
      </w:pPr>
    </w:p>
    <w:p>
      <w:pPr>
        <w:spacing w:after="0" w:line="295" w:lineRule="exact"/>
        <w:rPr>
          <w:rFonts w:ascii="Arial" w:cs="Arial" w:eastAsia="Arial" w:hAnsi="Arial"/>
          <w:sz w:val="15"/>
          <w:szCs w:val="15"/>
          <w:b w:val="1"/>
          <w:bCs w:val="1"/>
          <w:u w:val="single" w:color="auto"/>
          <w:color w:val="0000FF"/>
        </w:rPr>
      </w:pPr>
    </w:p>
    <w:p>
      <w:pPr>
        <w:ind w:left="1400"/>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rFonts w:ascii="Arial" w:cs="Arial" w:eastAsia="Arial" w:hAnsi="Arial"/>
          <w:sz w:val="15"/>
          <w:szCs w:val="15"/>
          <w:b w:val="1"/>
          <w:bCs w:val="1"/>
          <w:u w:val="single" w:color="auto"/>
          <w:color w:val="0000FF"/>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5091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61" w:lineRule="exact"/>
        <w:rPr>
          <w:rFonts w:ascii="Arial" w:cs="Arial" w:eastAsia="Arial" w:hAnsi="Arial"/>
          <w:sz w:val="15"/>
          <w:szCs w:val="15"/>
          <w:b w:val="1"/>
          <w:bCs w:val="1"/>
          <w:u w:val="single" w:color="auto"/>
          <w:color w:val="0000FF"/>
        </w:rPr>
      </w:pPr>
    </w:p>
    <w:p>
      <w:pPr>
        <w:ind w:left="1400"/>
        <w:spacing w:after="0" w:line="277" w:lineRule="auto"/>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Amended Employment Agreement with George F. Jones, Jr. dated May 1,</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2018†</w:t>
        </w:r>
      </w:hyperlink>
    </w:p>
    <w:p>
      <w:pPr>
        <w:spacing w:after="0" w:line="8" w:lineRule="exact"/>
        <w:rPr>
          <w:sz w:val="20"/>
          <w:szCs w:val="20"/>
          <w:color w:val="auto"/>
        </w:rPr>
      </w:pPr>
    </w:p>
    <w:p>
      <w:pPr>
        <w:ind w:left="1400" w:right="20"/>
        <w:spacing w:after="0" w:line="277"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Second Amendment to Employment Agreement with George F. Jones, Jr.</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dated March 20, 2019†</w:t>
        </w:r>
      </w:hyperlink>
    </w:p>
    <w:p>
      <w:pPr>
        <w:spacing w:after="0" w:line="8" w:lineRule="exact"/>
        <w:rPr>
          <w:sz w:val="20"/>
          <w:szCs w:val="20"/>
          <w:color w:val="auto"/>
        </w:rPr>
      </w:pPr>
    </w:p>
    <w:p>
      <w:pPr>
        <w:ind w:left="1400"/>
        <w:spacing w:after="0" w:line="277" w:lineRule="auto"/>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Third Amendment to Employment Agreement with George F. Jones, Jr. dated</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May 1, 2019†</w:t>
        </w:r>
      </w:hyperlink>
    </w:p>
    <w:p>
      <w:pPr>
        <w:spacing w:after="0" w:line="8" w:lineRule="exact"/>
        <w:rPr>
          <w:sz w:val="20"/>
          <w:szCs w:val="20"/>
          <w:color w:val="auto"/>
        </w:rPr>
      </w:pPr>
    </w:p>
    <w:p>
      <w:pPr>
        <w:ind w:left="140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Employment Agreement with David O’Toole dated May 1, 2015†</w:t>
        </w:r>
      </w:hyperlink>
    </w:p>
    <w:p>
      <w:pPr>
        <w:spacing w:after="0" w:line="63" w:lineRule="exact"/>
        <w:rPr>
          <w:sz w:val="20"/>
          <w:szCs w:val="20"/>
          <w:color w:val="auto"/>
        </w:rPr>
      </w:pPr>
    </w:p>
    <w:p>
      <w:pPr>
        <w:ind w:left="1400"/>
        <w:spacing w:after="0" w:line="277"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First Amendment to Employment Agreement with David O’Toole dated</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March 19, 2019†</w:t>
        </w:r>
      </w:hyperlink>
    </w:p>
    <w:p>
      <w:pPr>
        <w:spacing w:after="0" w:line="8" w:lineRule="exact"/>
        <w:rPr>
          <w:sz w:val="20"/>
          <w:szCs w:val="20"/>
          <w:color w:val="auto"/>
        </w:rPr>
      </w:pPr>
    </w:p>
    <w:p>
      <w:pPr>
        <w:ind w:left="140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Employment Agreement with Mike Maddox dated May 1, 2015†</w:t>
        </w:r>
      </w:hyperlink>
    </w:p>
    <w:p>
      <w:pPr>
        <w:spacing w:after="0" w:line="63" w:lineRule="exact"/>
        <w:rPr>
          <w:sz w:val="20"/>
          <w:szCs w:val="20"/>
          <w:color w:val="auto"/>
        </w:rPr>
      </w:pPr>
    </w:p>
    <w:p>
      <w:pPr>
        <w:ind w:left="1400"/>
        <w:spacing w:after="0" w:line="277" w:lineRule="auto"/>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First Amendment to Employment Agreement with Mike Maddox dated March</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19, 2019†</w:t>
        </w:r>
      </w:hyperlink>
    </w:p>
    <w:p>
      <w:pPr>
        <w:spacing w:after="0" w:line="8" w:lineRule="exact"/>
        <w:rPr>
          <w:sz w:val="20"/>
          <w:szCs w:val="20"/>
          <w:color w:val="auto"/>
        </w:rPr>
      </w:pPr>
    </w:p>
    <w:p>
      <w:pPr>
        <w:ind w:left="140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Employment Agreement with Amy Fauss dated June 29, 2016†</w:t>
        </w:r>
      </w:hyperlink>
    </w:p>
    <w:p>
      <w:pPr>
        <w:spacing w:after="0" w:line="63" w:lineRule="exact"/>
        <w:rPr>
          <w:sz w:val="20"/>
          <w:szCs w:val="20"/>
          <w:color w:val="auto"/>
        </w:rPr>
      </w:pPr>
    </w:p>
    <w:p>
      <w:pPr>
        <w:ind w:left="1400"/>
        <w:spacing w:after="0" w:line="277" w:lineRule="auto"/>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First Amendment to Employment Agreement with Amy Fauss dated March</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15, 2019†</w:t>
        </w:r>
      </w:hyperlink>
    </w:p>
    <w:p>
      <w:pPr>
        <w:spacing w:after="0" w:line="8" w:lineRule="exact"/>
        <w:rPr>
          <w:sz w:val="20"/>
          <w:szCs w:val="20"/>
          <w:color w:val="auto"/>
        </w:rPr>
      </w:pPr>
    </w:p>
    <w:p>
      <w:pPr>
        <w:ind w:left="140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Employment Agreement with Tom Robinson dated May 1, 2015†</w:t>
        </w:r>
      </w:hyperlink>
    </w:p>
    <w:p>
      <w:pPr>
        <w:spacing w:after="0" w:line="23" w:lineRule="exact"/>
        <w:rPr>
          <w:sz w:val="20"/>
          <w:szCs w:val="20"/>
          <w:color w:val="auto"/>
        </w:rPr>
      </w:pPr>
    </w:p>
    <w:p>
      <w:pPr>
        <w:ind w:left="1400" w:hanging="1362"/>
        <w:spacing w:after="0" w:line="277" w:lineRule="auto"/>
        <w:tabs>
          <w:tab w:leader="none" w:pos="1380" w:val="left"/>
        </w:tabs>
        <w:rPr>
          <w:rFonts w:ascii="Arial" w:cs="Arial" w:eastAsia="Arial" w:hAnsi="Arial"/>
          <w:sz w:val="18"/>
          <w:szCs w:val="18"/>
          <w:u w:val="single" w:color="auto"/>
          <w:color w:val="0000FF"/>
        </w:rPr>
      </w:pPr>
      <w:hyperlink r:id="rId56"/>
      <w:r>
        <w:rPr>
          <w:rFonts w:ascii="Arial" w:cs="Arial" w:eastAsia="Arial" w:hAnsi="Arial"/>
          <w:sz w:val="35"/>
          <w:szCs w:val="35"/>
          <w:u w:val="single" w:color="auto"/>
          <w:color w:val="0000FF"/>
          <w:vertAlign w:val="subscript"/>
        </w:rPr>
        <w:t>10.11</w:t>
      </w:r>
      <w:r>
        <w:rPr>
          <w:rFonts w:ascii="Arial" w:cs="Arial" w:eastAsia="Arial" w:hAnsi="Arial"/>
          <w:sz w:val="18"/>
          <w:szCs w:val="18"/>
          <w:u w:val="single" w:color="auto"/>
          <w:color w:val="0000FF"/>
        </w:rPr>
        <w:tab/>
      </w:r>
      <w:hyperlink r:id="rId56">
        <w:r>
          <w:rPr>
            <w:rFonts w:ascii="Arial" w:cs="Arial" w:eastAsia="Arial" w:hAnsi="Arial"/>
            <w:sz w:val="18"/>
            <w:szCs w:val="18"/>
            <w:u w:val="single" w:color="auto"/>
            <w:color w:val="0000FF"/>
          </w:rPr>
          <w:t>First Amendment to Employment Agreement with Tom Robinson dated</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March 18, 2019†</w:t>
        </w:r>
      </w:hyperlink>
    </w:p>
    <w:p>
      <w:pPr>
        <w:spacing w:after="0" w:line="48" w:lineRule="exact"/>
        <w:rPr>
          <w:rFonts w:ascii="Arial" w:cs="Arial" w:eastAsia="Arial" w:hAnsi="Arial"/>
          <w:sz w:val="18"/>
          <w:szCs w:val="18"/>
          <w:u w:val="single" w:color="auto"/>
          <w:color w:val="0000FF"/>
        </w:rPr>
      </w:pPr>
    </w:p>
    <w:p>
      <w:pPr>
        <w:ind w:left="1400" w:right="260"/>
        <w:spacing w:after="0" w:line="352" w:lineRule="auto"/>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Chairman Emeritus Agreement with Ron Baldwin dated April 26, 2018†</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RSU Award Agreement with George F. Jones, Jr. dated February 28, 2019†</w:t>
        </w:r>
      </w:hyperlink>
    </w:p>
    <w:p>
      <w:pPr>
        <w:ind w:left="1400"/>
        <w:spacing w:after="0" w:line="277" w:lineRule="auto"/>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Performance Share Award Agreement with George F. Jones, Jr. dated February</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28, 2019†</w:t>
        </w:r>
      </w:hyperlink>
    </w:p>
    <w:p>
      <w:pPr>
        <w:spacing w:after="0" w:line="8" w:lineRule="exact"/>
        <w:rPr>
          <w:sz w:val="20"/>
          <w:szCs w:val="20"/>
          <w:color w:val="auto"/>
        </w:rPr>
      </w:pPr>
    </w:p>
    <w:p>
      <w:pPr>
        <w:ind w:left="140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2018 Omnibus Equity Incentive Plan†</w:t>
        </w:r>
      </w:hyperlink>
    </w:p>
    <w:p>
      <w:pPr>
        <w:spacing w:after="0" w:line="63" w:lineRule="exact"/>
        <w:rPr>
          <w:sz w:val="20"/>
          <w:szCs w:val="20"/>
          <w:color w:val="auto"/>
        </w:rPr>
      </w:pPr>
    </w:p>
    <w:p>
      <w:pPr>
        <w:ind w:left="1400" w:right="1760"/>
        <w:spacing w:after="0" w:line="352" w:lineRule="auto"/>
        <w:rPr>
          <w:rFonts w:ascii="Arial" w:cs="Arial" w:eastAsia="Arial" w:hAnsi="Arial"/>
          <w:sz w:val="16"/>
          <w:szCs w:val="16"/>
          <w:u w:val="single" w:color="auto"/>
          <w:color w:val="0000FF"/>
        </w:rPr>
      </w:pPr>
      <w:hyperlink r:id="rId32">
        <w:r>
          <w:rPr>
            <w:rFonts w:ascii="Arial" w:cs="Arial" w:eastAsia="Arial" w:hAnsi="Arial"/>
            <w:sz w:val="16"/>
            <w:szCs w:val="16"/>
            <w:u w:val="single" w:color="auto"/>
            <w:color w:val="0000FF"/>
          </w:rPr>
          <w:t>Form of Legacy RSU - New Market Founders Award†</w:t>
        </w:r>
      </w:hyperlink>
      <w:r>
        <w:rPr>
          <w:rFonts w:ascii="Arial" w:cs="Arial" w:eastAsia="Arial" w:hAnsi="Arial"/>
          <w:sz w:val="16"/>
          <w:szCs w:val="16"/>
          <w:u w:val="single" w:color="auto"/>
          <w:color w:val="0000FF"/>
        </w:rPr>
        <w:t xml:space="preserve"> </w:t>
      </w:r>
      <w:hyperlink r:id="rId33">
        <w:r>
          <w:rPr>
            <w:rFonts w:ascii="Arial" w:cs="Arial" w:eastAsia="Arial" w:hAnsi="Arial"/>
            <w:sz w:val="16"/>
            <w:szCs w:val="16"/>
            <w:u w:val="single" w:color="auto"/>
            <w:color w:val="0000FF"/>
          </w:rPr>
          <w:t>Form of Legacy EIP 2018 RSU Award Agreement†</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Form of Legacy SAR Award Agreement†</w:t>
        </w:r>
      </w:hyperlink>
    </w:p>
    <w:p>
      <w:pPr>
        <w:ind w:left="1400" w:right="2260"/>
        <w:spacing w:after="0" w:line="352" w:lineRule="auto"/>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Form of EEIP Legacy RSU Award Agreement†</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Form of RSU Award Agreement†</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Form of 2019 RSU Award Agreement†</w:t>
        </w:r>
      </w:hyperlink>
    </w:p>
    <w:p>
      <w:pPr>
        <w:ind w:left="1400" w:right="1820"/>
        <w:spacing w:after="0" w:line="352" w:lineRule="auto"/>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Form of 2019 Performance Share Award Agreement†</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Form of Director Restricted Stock Award†</w:t>
        </w:r>
      </w:hyperlink>
    </w:p>
    <w:p>
      <w:pPr>
        <w:ind w:left="1400" w:right="2960"/>
        <w:spacing w:after="0" w:line="412" w:lineRule="auto"/>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Form of Indemnification Agreement†</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Director Deferred Fee Program†</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25546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Filing Date/Period</w:t>
            </w:r>
          </w:p>
        </w:tc>
      </w:tr>
      <w:tr>
        <w:trPr>
          <w:trHeight w:val="234"/>
        </w:trPr>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End Date</w:t>
            </w:r>
          </w:p>
        </w:tc>
      </w:tr>
      <w:tr>
        <w:trPr>
          <w:trHeight w:val="27"/>
        </w:trPr>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45"/>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486"/>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486"/>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3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64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2">
            <w:col w:w="7080" w:space="140"/>
            <w:col w:w="4020"/>
          </w:cols>
          <w:pgMar w:left="320" w:top="122" w:right="339" w:bottom="1440" w:gutter="0" w:footer="0" w:header="0"/>
        </w:sectPr>
      </w:pPr>
    </w:p>
    <w:bookmarkStart w:id="65" w:name="page66"/>
    <w:bookmarkEnd w:id="6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40" w:type="dxa"/>
            <w:vAlign w:val="bottom"/>
            <w:gridSpan w:val="5"/>
          </w:tcPr>
          <w:p>
            <w:pPr>
              <w:ind w:left="100"/>
              <w:spacing w:after="0"/>
              <w:rPr>
                <w:sz w:val="20"/>
                <w:szCs w:val="20"/>
                <w:color w:val="auto"/>
              </w:rPr>
            </w:pPr>
            <w:r>
              <w:rPr>
                <w:rFonts w:ascii="Arial" w:cs="Arial" w:eastAsia="Arial" w:hAnsi="Arial"/>
                <w:sz w:val="18"/>
                <w:szCs w:val="18"/>
                <w:b w:val="1"/>
                <w:bCs w:val="1"/>
                <w:color w:val="auto"/>
              </w:rPr>
              <w:t>Incorporated by Reference</w:t>
            </w:r>
          </w:p>
        </w:tc>
      </w:tr>
      <w:tr>
        <w:trPr>
          <w:trHeight w:val="27"/>
        </w:trPr>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Filing Date/Period</w:t>
            </w: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5820" w:type="dxa"/>
            <w:vAlign w:val="bottom"/>
            <w:gridSpan w:val="7"/>
          </w:tcPr>
          <w:p>
            <w:pPr>
              <w:spacing w:after="0"/>
              <w:rPr>
                <w:sz w:val="20"/>
                <w:szCs w:val="20"/>
                <w:color w:val="auto"/>
              </w:rPr>
            </w:pPr>
            <w:r>
              <w:rPr>
                <w:rFonts w:ascii="Arial" w:cs="Arial" w:eastAsia="Arial" w:hAnsi="Arial"/>
                <w:sz w:val="18"/>
                <w:szCs w:val="18"/>
                <w:b w:val="1"/>
                <w:bCs w:val="1"/>
                <w:color w:val="auto"/>
              </w:rPr>
              <w:t>Exhibit Description</w:t>
            </w: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Form</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End Date</w:t>
            </w:r>
          </w:p>
        </w:tc>
      </w:tr>
      <w:tr>
        <w:trPr>
          <w:trHeight w:val="27"/>
        </w:trPr>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ind w:left="4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10.26</w:t>
              </w:r>
            </w:hyperlink>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7"/>
          </w:tcPr>
          <w:p>
            <w:pPr>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Stock Appreciation Rights Plan†</w:t>
              </w:r>
            </w:hyperlink>
          </w:p>
        </w:tc>
        <w:tc>
          <w:tcPr>
            <w:tcW w:w="880" w:type="dxa"/>
            <w:vAlign w:val="bottom"/>
          </w:tcPr>
          <w:p>
            <w:pPr>
              <w:jc w:val="center"/>
              <w:ind w:left="150"/>
              <w:spacing w:after="0"/>
              <w:rPr>
                <w:sz w:val="20"/>
                <w:szCs w:val="20"/>
                <w:color w:val="auto"/>
              </w:rPr>
            </w:pPr>
            <w:r>
              <w:rPr>
                <w:rFonts w:ascii="Arial" w:cs="Arial" w:eastAsia="Arial" w:hAnsi="Arial"/>
                <w:sz w:val="18"/>
                <w:szCs w:val="18"/>
                <w:color w:val="auto"/>
                <w:w w:val="85"/>
              </w:rPr>
              <w:t>S-1</w:t>
            </w:r>
          </w:p>
        </w:tc>
        <w:tc>
          <w:tcPr>
            <w:tcW w:w="146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40" w:type="dxa"/>
            <w:vAlign w:val="bottom"/>
          </w:tcPr>
          <w:p>
            <w:pPr>
              <w:ind w:left="4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10.27</w:t>
              </w:r>
            </w:hyperlink>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20" w:type="dxa"/>
            <w:vAlign w:val="bottom"/>
            <w:gridSpan w:val="7"/>
          </w:tcPr>
          <w:p>
            <w:pPr>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Form of SAR Award Agreement†</w:t>
              </w:r>
            </w:hyperlink>
          </w:p>
        </w:tc>
        <w:tc>
          <w:tcPr>
            <w:tcW w:w="880" w:type="dxa"/>
            <w:vAlign w:val="bottom"/>
          </w:tcPr>
          <w:p>
            <w:pPr>
              <w:jc w:val="center"/>
              <w:ind w:left="150"/>
              <w:spacing w:after="0"/>
              <w:rPr>
                <w:sz w:val="20"/>
                <w:szCs w:val="20"/>
                <w:color w:val="auto"/>
              </w:rPr>
            </w:pPr>
            <w:r>
              <w:rPr>
                <w:rFonts w:ascii="Arial" w:cs="Arial" w:eastAsia="Arial" w:hAnsi="Arial"/>
                <w:sz w:val="18"/>
                <w:szCs w:val="18"/>
                <w:color w:val="auto"/>
                <w:w w:val="85"/>
              </w:rPr>
              <w:t>S-1</w:t>
            </w:r>
          </w:p>
        </w:tc>
        <w:tc>
          <w:tcPr>
            <w:tcW w:w="146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40" w:type="dxa"/>
            <w:vAlign w:val="bottom"/>
          </w:tcPr>
          <w:p>
            <w:pPr>
              <w:ind w:left="4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10.28</w:t>
              </w:r>
            </w:hyperlink>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20" w:type="dxa"/>
            <w:vAlign w:val="bottom"/>
            <w:gridSpan w:val="7"/>
          </w:tcPr>
          <w:p>
            <w:pPr>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Annual Incentive Plan†</w:t>
              </w:r>
            </w:hyperlink>
          </w:p>
        </w:tc>
        <w:tc>
          <w:tcPr>
            <w:tcW w:w="880" w:type="dxa"/>
            <w:vAlign w:val="bottom"/>
          </w:tcPr>
          <w:p>
            <w:pPr>
              <w:jc w:val="center"/>
              <w:ind w:left="150"/>
              <w:spacing w:after="0"/>
              <w:rPr>
                <w:sz w:val="20"/>
                <w:szCs w:val="20"/>
                <w:color w:val="auto"/>
              </w:rPr>
            </w:pPr>
            <w:r>
              <w:rPr>
                <w:rFonts w:ascii="Arial" w:cs="Arial" w:eastAsia="Arial" w:hAnsi="Arial"/>
                <w:sz w:val="18"/>
                <w:szCs w:val="18"/>
                <w:color w:val="auto"/>
                <w:w w:val="85"/>
              </w:rPr>
              <w:t>S-1</w:t>
            </w:r>
          </w:p>
        </w:tc>
        <w:tc>
          <w:tcPr>
            <w:tcW w:w="146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70"/>
        </w:trPr>
        <w:tc>
          <w:tcPr>
            <w:tcW w:w="1240" w:type="dxa"/>
            <w:vAlign w:val="bottom"/>
          </w:tcPr>
          <w:p>
            <w:pPr>
              <w:ind w:left="4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12.01</w:t>
              </w:r>
            </w:hyperlink>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20" w:type="dxa"/>
            <w:vAlign w:val="bottom"/>
            <w:gridSpan w:val="7"/>
          </w:tcPr>
          <w:p>
            <w:pPr>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Subsidiaries of CrossFirst Bankshares, Inc.</w:t>
              </w:r>
            </w:hyperlink>
          </w:p>
        </w:tc>
        <w:tc>
          <w:tcPr>
            <w:tcW w:w="880" w:type="dxa"/>
            <w:vAlign w:val="bottom"/>
          </w:tcPr>
          <w:p>
            <w:pPr>
              <w:jc w:val="center"/>
              <w:ind w:left="150"/>
              <w:spacing w:after="0"/>
              <w:rPr>
                <w:sz w:val="20"/>
                <w:szCs w:val="20"/>
                <w:color w:val="auto"/>
              </w:rPr>
            </w:pPr>
            <w:r>
              <w:rPr>
                <w:rFonts w:ascii="Arial" w:cs="Arial" w:eastAsia="Arial" w:hAnsi="Arial"/>
                <w:sz w:val="18"/>
                <w:szCs w:val="18"/>
                <w:color w:val="auto"/>
                <w:w w:val="85"/>
              </w:rPr>
              <w:t>S-1</w:t>
            </w:r>
          </w:p>
        </w:tc>
        <w:tc>
          <w:tcPr>
            <w:tcW w:w="146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18, 2019</w:t>
            </w:r>
          </w:p>
        </w:tc>
      </w:tr>
      <w:tr>
        <w:trPr>
          <w:trHeight w:val="229"/>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gridSpan w:val="7"/>
          </w:tcPr>
          <w:p>
            <w:pPr>
              <w:spacing w:after="0"/>
              <w:rPr>
                <w:rFonts w:ascii="Arial" w:cs="Arial" w:eastAsia="Arial" w:hAnsi="Arial"/>
                <w:sz w:val="18"/>
                <w:szCs w:val="18"/>
                <w:color w:val="0000FF"/>
                <w:w w:val="96"/>
              </w:rPr>
            </w:pPr>
            <w:hyperlink w:anchor="page68">
              <w:r>
                <w:rPr>
                  <w:rFonts w:ascii="Arial" w:cs="Arial" w:eastAsia="Arial" w:hAnsi="Arial"/>
                  <w:sz w:val="18"/>
                  <w:szCs w:val="18"/>
                  <w:color w:val="0000FF"/>
                  <w:w w:val="96"/>
                </w:rPr>
                <w:t>Certification of Principal Executive Officer pursuant to Rule 13a-14(a) of the</w:t>
              </w:r>
            </w:hyperlink>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Exchange Act, as adopted pursuant to Section 302 of the Sarbanes-Oxley Act</w:t>
              </w:r>
            </w:hyperlink>
          </w:p>
        </w:tc>
        <w:tc>
          <w:tcPr>
            <w:tcW w:w="2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40" w:type="dxa"/>
            <w:vAlign w:val="bottom"/>
          </w:tcPr>
          <w:p>
            <w:pPr>
              <w:ind w:left="40"/>
              <w:spacing w:after="0" w:line="196" w:lineRule="exact"/>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31.1*</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of 2002</w:t>
              </w:r>
            </w:hyperlink>
          </w:p>
        </w:tc>
        <w:tc>
          <w:tcPr>
            <w:tcW w:w="526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Principal Financial Officer pursuant to Rule 13a-14(a) of the</w:t>
              </w:r>
            </w:hyperlink>
          </w:p>
        </w:tc>
        <w:tc>
          <w:tcPr>
            <w:tcW w:w="260" w:type="dxa"/>
            <w:vAlign w:val="bottom"/>
            <w:gridSpan w:val="3"/>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Exchange Act, as adopted pursuant to Section 302 of the Sarbanes-Oxley Act</w:t>
              </w:r>
            </w:hyperlink>
          </w:p>
        </w:tc>
        <w:tc>
          <w:tcPr>
            <w:tcW w:w="2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40" w:type="dxa"/>
            <w:vAlign w:val="bottom"/>
          </w:tcPr>
          <w:p>
            <w:pPr>
              <w:ind w:left="40"/>
              <w:spacing w:after="0" w:line="196"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31.2*</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of 2002</w:t>
              </w:r>
            </w:hyperlink>
          </w:p>
        </w:tc>
        <w:tc>
          <w:tcPr>
            <w:tcW w:w="526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7"/>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pursuant to 18 U.S.C. Section 1350, as adopted pursuant to</w:t>
              </w:r>
            </w:hyperlink>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196"/>
        </w:trPr>
        <w:tc>
          <w:tcPr>
            <w:tcW w:w="1240" w:type="dxa"/>
            <w:vAlign w:val="bottom"/>
          </w:tcPr>
          <w:p>
            <w:pPr>
              <w:ind w:left="40"/>
              <w:spacing w:after="0" w:line="196" w:lineRule="exact"/>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32.1**</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70">
              <w:r>
                <w:rPr>
                  <w:rFonts w:ascii="Arial" w:cs="Arial" w:eastAsia="Arial" w:hAnsi="Arial"/>
                  <w:sz w:val="18"/>
                  <w:szCs w:val="18"/>
                  <w:color w:val="0000FF"/>
                  <w:w w:val="90"/>
                </w:rPr>
                <w:t>Section 906 of the Sarbanes Oxley Act of 2002</w:t>
              </w:r>
            </w:hyperlink>
          </w:p>
        </w:tc>
        <w:tc>
          <w:tcPr>
            <w:tcW w:w="1800" w:type="dxa"/>
            <w:vAlign w:val="bottom"/>
            <w:tcBorders>
              <w:top w:val="single" w:sz="8" w:color="0000FF"/>
            </w:tcBorders>
          </w:tcPr>
          <w:p>
            <w:pPr>
              <w:spacing w:after="0"/>
              <w:rPr>
                <w:sz w:val="17"/>
                <w:szCs w:val="17"/>
                <w:color w:val="auto"/>
              </w:rPr>
            </w:pPr>
          </w:p>
        </w:tc>
        <w:tc>
          <w:tcPr>
            <w:tcW w:w="62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76"/>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7"/>
          </w:tcPr>
          <w:p>
            <w:pPr>
              <w:spacing w:after="0"/>
              <w:rPr>
                <w:sz w:val="20"/>
                <w:szCs w:val="20"/>
                <w:color w:val="auto"/>
              </w:rPr>
            </w:pPr>
            <w:r>
              <w:rPr>
                <w:rFonts w:ascii="Arial" w:cs="Arial" w:eastAsia="Arial" w:hAnsi="Arial"/>
                <w:sz w:val="18"/>
                <w:szCs w:val="18"/>
                <w:color w:val="auto"/>
                <w:w w:val="98"/>
              </w:rPr>
              <w:t>XBRL Instance Document - the instance document does not appear in the</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0"/>
                <w:szCs w:val="20"/>
                <w:color w:val="auto"/>
              </w:rPr>
            </w:pPr>
          </w:p>
        </w:tc>
        <w:tc>
          <w:tcPr>
            <w:tcW w:w="5820" w:type="dxa"/>
            <w:vAlign w:val="bottom"/>
            <w:gridSpan w:val="7"/>
          </w:tcPr>
          <w:p>
            <w:pPr>
              <w:spacing w:after="0"/>
              <w:rPr>
                <w:sz w:val="20"/>
                <w:szCs w:val="20"/>
                <w:color w:val="auto"/>
              </w:rPr>
            </w:pPr>
            <w:r>
              <w:rPr>
                <w:rFonts w:ascii="Arial" w:cs="Arial" w:eastAsia="Arial" w:hAnsi="Arial"/>
                <w:sz w:val="18"/>
                <w:szCs w:val="18"/>
                <w:color w:val="auto"/>
              </w:rPr>
              <w:t>XBRL document</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58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58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58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58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58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bl>
    <w:p>
      <w:pPr>
        <w:spacing w:after="0" w:line="242" w:lineRule="exact"/>
        <w:rPr>
          <w:sz w:val="20"/>
          <w:szCs w:val="20"/>
          <w:color w:val="auto"/>
        </w:rPr>
      </w:pPr>
    </w:p>
    <w:p>
      <w:pPr>
        <w:ind w:left="500" w:right="9140" w:hanging="6"/>
        <w:spacing w:after="0" w:line="291" w:lineRule="auto"/>
        <w:tabs>
          <w:tab w:leader="none" w:pos="6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Filed Herewith **Furnished Herewith</w:t>
      </w:r>
    </w:p>
    <w:p>
      <w:pPr>
        <w:ind w:left="500"/>
        <w:spacing w:after="0"/>
        <w:rPr>
          <w:rFonts w:ascii="Arial" w:cs="Arial" w:eastAsia="Arial" w:hAnsi="Arial"/>
          <w:sz w:val="16"/>
          <w:szCs w:val="16"/>
          <w:color w:val="auto"/>
        </w:rPr>
      </w:pPr>
      <w:r>
        <w:rPr>
          <w:rFonts w:ascii="Arial" w:cs="Arial" w:eastAsia="Arial" w:hAnsi="Arial"/>
          <w:sz w:val="18"/>
          <w:szCs w:val="18"/>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80" w:right="2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CrossFirst Bankshares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80"/>
        <w:spacing w:after="0"/>
        <w:tabs>
          <w:tab w:leader="none" w:pos="6600" w:val="left"/>
        </w:tabs>
        <w:rPr>
          <w:sz w:val="20"/>
          <w:szCs w:val="20"/>
          <w:color w:val="auto"/>
        </w:rPr>
      </w:pPr>
      <w:r>
        <w:rPr>
          <w:rFonts w:ascii="Arial" w:cs="Arial" w:eastAsia="Arial" w:hAnsi="Arial"/>
          <w:sz w:val="18"/>
          <w:szCs w:val="18"/>
          <w:color w:val="auto"/>
        </w:rPr>
        <w:t>November 12, 2019</w:t>
      </w:r>
      <w:r>
        <w:rPr>
          <w:sz w:val="20"/>
          <w:szCs w:val="20"/>
          <w:color w:val="auto"/>
        </w:rPr>
        <w:tab/>
      </w:r>
      <w:r>
        <w:rPr>
          <w:rFonts w:ascii="Arial" w:cs="Arial" w:eastAsia="Arial" w:hAnsi="Arial"/>
          <w:sz w:val="16"/>
          <w:szCs w:val="16"/>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31750</wp:posOffset>
            </wp:positionV>
            <wp:extent cx="19030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O’Toole</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22"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Pursuant to Rules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F. Jones, Jr., certify that:</w:t>
      </w:r>
    </w:p>
    <w:p>
      <w:pPr>
        <w:spacing w:after="0" w:line="225" w:lineRule="exact"/>
        <w:rPr>
          <w:sz w:val="20"/>
          <w:szCs w:val="20"/>
          <w:color w:val="auto"/>
        </w:rPr>
      </w:pPr>
    </w:p>
    <w:p>
      <w:pPr>
        <w:ind w:left="1000" w:hanging="344"/>
        <w:spacing w:after="0" w:line="207" w:lineRule="exact"/>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CrossFirst Bankshares, Inc.:</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980" w:hanging="324"/>
        <w:spacing w:after="0" w:line="223" w:lineRule="exact"/>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registrant and have:</w:t>
      </w:r>
    </w:p>
    <w:p>
      <w:pPr>
        <w:spacing w:after="0" w:line="216" w:lineRule="exact"/>
        <w:rPr>
          <w:rFonts w:ascii="Arial" w:cs="Arial" w:eastAsia="Arial" w:hAnsi="Arial"/>
          <w:sz w:val="18"/>
          <w:szCs w:val="18"/>
          <w:color w:val="auto"/>
        </w:rPr>
      </w:pPr>
    </w:p>
    <w:p>
      <w:pPr>
        <w:ind w:left="2120" w:hanging="816"/>
        <w:spacing w:after="0" w:line="294" w:lineRule="auto"/>
        <w:tabs>
          <w:tab w:leader="none" w:pos="1568"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8" w:lineRule="exact"/>
        <w:rPr>
          <w:rFonts w:ascii="Arial" w:cs="Arial" w:eastAsia="Arial" w:hAnsi="Arial"/>
          <w:sz w:val="17"/>
          <w:szCs w:val="17"/>
          <w:color w:val="auto"/>
        </w:rPr>
      </w:pPr>
    </w:p>
    <w:p>
      <w:pPr>
        <w:jc w:val="both"/>
        <w:ind w:left="2120" w:hanging="816"/>
        <w:spacing w:after="0" w:line="263" w:lineRule="auto"/>
        <w:tabs>
          <w:tab w:leader="none" w:pos="2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2120" w:hanging="816"/>
        <w:spacing w:after="0" w:line="286" w:lineRule="auto"/>
        <w:tabs>
          <w:tab w:leader="none" w:pos="21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1"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jc w:val="right"/>
        <w:ind w:left="2120" w:hanging="816"/>
        <w:spacing w:after="0" w:line="395" w:lineRule="auto"/>
        <w:tabs>
          <w:tab w:leader="none" w:pos="154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6"/>
          <w:szCs w:val="16"/>
          <w:color w:val="auto"/>
        </w:rPr>
      </w:pPr>
    </w:p>
    <w:p>
      <w:pPr>
        <w:ind w:left="2120" w:hanging="816"/>
        <w:spacing w:after="0" w:line="293" w:lineRule="auto"/>
        <w:tabs>
          <w:tab w:leader="none" w:pos="2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George F. Jones,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31750</wp:posOffset>
            </wp:positionV>
            <wp:extent cx="1371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George F. Jones Jr.</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Executive</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364" w:right="33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Pursuant to Rules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O’Toole, certify that:</w:t>
      </w:r>
    </w:p>
    <w:p>
      <w:pPr>
        <w:spacing w:after="0" w:line="239" w:lineRule="exact"/>
        <w:rPr>
          <w:sz w:val="20"/>
          <w:szCs w:val="20"/>
          <w:color w:val="auto"/>
        </w:rPr>
      </w:pPr>
    </w:p>
    <w:p>
      <w:pPr>
        <w:ind w:left="1000" w:hanging="344"/>
        <w:spacing w:after="0" w:line="207" w:lineRule="exact"/>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CrossFirst Bankshares, Inc.:</w:t>
      </w:r>
    </w:p>
    <w:p>
      <w:pPr>
        <w:spacing w:after="0" w:line="238"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980" w:hanging="324"/>
        <w:spacing w:after="0" w:line="324"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980" w:hanging="324"/>
        <w:spacing w:after="0" w:line="230" w:lineRule="exact"/>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registrant and have:</w:t>
      </w:r>
    </w:p>
    <w:p>
      <w:pPr>
        <w:spacing w:after="0" w:line="216" w:lineRule="exact"/>
        <w:rPr>
          <w:rFonts w:ascii="Arial" w:cs="Arial" w:eastAsia="Arial" w:hAnsi="Arial"/>
          <w:sz w:val="18"/>
          <w:szCs w:val="18"/>
          <w:color w:val="auto"/>
        </w:rPr>
      </w:pPr>
    </w:p>
    <w:p>
      <w:pPr>
        <w:ind w:left="2120" w:hanging="816"/>
        <w:spacing w:after="0" w:line="294" w:lineRule="auto"/>
        <w:tabs>
          <w:tab w:leader="none" w:pos="156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8" w:lineRule="exact"/>
        <w:rPr>
          <w:rFonts w:ascii="Arial" w:cs="Arial" w:eastAsia="Arial" w:hAnsi="Arial"/>
          <w:sz w:val="17"/>
          <w:szCs w:val="17"/>
          <w:color w:val="auto"/>
        </w:rPr>
      </w:pPr>
    </w:p>
    <w:p>
      <w:pPr>
        <w:jc w:val="both"/>
        <w:ind w:left="2120" w:hanging="816"/>
        <w:spacing w:after="0" w:line="263" w:lineRule="auto"/>
        <w:tabs>
          <w:tab w:leader="none" w:pos="2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2120" w:hanging="816"/>
        <w:spacing w:after="0" w:line="286" w:lineRule="auto"/>
        <w:tabs>
          <w:tab w:leader="none" w:pos="21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4" w:lineRule="exact"/>
        <w:rPr>
          <w:rFonts w:ascii="Arial" w:cs="Arial" w:eastAsia="Arial" w:hAnsi="Arial"/>
          <w:sz w:val="17"/>
          <w:szCs w:val="17"/>
          <w:color w:val="auto"/>
        </w:rPr>
      </w:pPr>
    </w:p>
    <w:p>
      <w:pPr>
        <w:ind w:left="980" w:hanging="324"/>
        <w:spacing w:after="0" w:line="359"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jc w:val="right"/>
        <w:ind w:left="2120" w:hanging="816"/>
        <w:spacing w:after="0" w:line="395" w:lineRule="auto"/>
        <w:tabs>
          <w:tab w:leader="none" w:pos="154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6"/>
          <w:szCs w:val="16"/>
          <w:color w:val="auto"/>
        </w:rPr>
      </w:pPr>
    </w:p>
    <w:p>
      <w:pPr>
        <w:ind w:left="2120" w:hanging="816"/>
        <w:spacing w:after="0" w:line="293" w:lineRule="auto"/>
        <w:tabs>
          <w:tab w:leader="none" w:pos="2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31750</wp:posOffset>
            </wp:positionV>
            <wp:extent cx="1371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David O’Toole</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37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CERTIFICATION OF PRINCIPAL EXECUTIVE OFFICER AND PRINCIPAL FINANCIAL OFFICER UNDER 18 U.S.C. § 1350 FURNISHED PURSUANT TO SECURITIES EXCHANGE ACT RULE 13a-14(b)</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connection with the Quarterly Report of CrossFirst Bankshares, Inc. (the “Company”) on Form 10-Q for the period ended on September 30, 2019,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387" w:lineRule="exact"/>
        <w:rPr>
          <w:sz w:val="20"/>
          <w:szCs w:val="20"/>
          <w:color w:val="auto"/>
        </w:rPr>
      </w:pPr>
    </w:p>
    <w:p>
      <w:pPr>
        <w:ind w:left="9600"/>
        <w:spacing w:after="0"/>
        <w:rPr>
          <w:sz w:val="20"/>
          <w:szCs w:val="20"/>
          <w:color w:val="auto"/>
        </w:rPr>
      </w:pPr>
      <w:r>
        <w:rPr>
          <w:rFonts w:ascii="Arial" w:cs="Arial" w:eastAsia="Arial" w:hAnsi="Arial"/>
          <w:sz w:val="15"/>
          <w:szCs w:val="15"/>
          <w:color w:val="auto"/>
        </w:rPr>
        <w:t>/s/ George F. Jones,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53975</wp:posOffset>
            </wp:positionV>
            <wp:extent cx="4843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105" w:lineRule="exact"/>
        <w:rPr>
          <w:sz w:val="20"/>
          <w:szCs w:val="20"/>
          <w:color w:val="auto"/>
        </w:rPr>
      </w:pPr>
    </w:p>
    <w:p>
      <w:pPr>
        <w:ind w:left="9820"/>
        <w:spacing w:after="0"/>
        <w:rPr>
          <w:sz w:val="20"/>
          <w:szCs w:val="20"/>
          <w:color w:val="auto"/>
        </w:rPr>
      </w:pPr>
      <w:r>
        <w:rPr>
          <w:rFonts w:ascii="Arial" w:cs="Arial" w:eastAsia="Arial" w:hAnsi="Arial"/>
          <w:sz w:val="15"/>
          <w:szCs w:val="15"/>
          <w:color w:val="auto"/>
        </w:rPr>
        <w:t>George F. Jones, Jr.</w:t>
      </w:r>
    </w:p>
    <w:p>
      <w:pPr>
        <w:spacing w:after="0" w:line="98"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President and Chief Executive Officer (Principal Executive Officer)</w:t>
      </w:r>
    </w:p>
    <w:p>
      <w:pPr>
        <w:spacing w:after="0" w:line="200" w:lineRule="exact"/>
        <w:rPr>
          <w:sz w:val="20"/>
          <w:szCs w:val="20"/>
          <w:color w:val="auto"/>
        </w:rPr>
      </w:pPr>
    </w:p>
    <w:p>
      <w:pPr>
        <w:spacing w:after="0" w:line="237" w:lineRule="exact"/>
        <w:rPr>
          <w:sz w:val="20"/>
          <w:szCs w:val="20"/>
          <w:color w:val="auto"/>
        </w:rPr>
      </w:pPr>
    </w:p>
    <w:p>
      <w:pPr>
        <w:ind w:left="9940"/>
        <w:spacing w:after="0"/>
        <w:rPr>
          <w:sz w:val="20"/>
          <w:szCs w:val="20"/>
          <w:color w:val="auto"/>
        </w:rPr>
      </w:pPr>
      <w:r>
        <w:rPr>
          <w:rFonts w:ascii="Arial" w:cs="Arial" w:eastAsia="Arial" w:hAnsi="Arial"/>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39370</wp:posOffset>
            </wp:positionV>
            <wp:extent cx="4843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82" w:lineRule="exact"/>
        <w:rPr>
          <w:sz w:val="20"/>
          <w:szCs w:val="20"/>
          <w:color w:val="auto"/>
        </w:rPr>
      </w:pPr>
    </w:p>
    <w:p>
      <w:pPr>
        <w:ind w:left="10160"/>
        <w:spacing w:after="0"/>
        <w:rPr>
          <w:sz w:val="20"/>
          <w:szCs w:val="20"/>
          <w:color w:val="auto"/>
        </w:rPr>
      </w:pPr>
      <w:r>
        <w:rPr>
          <w:rFonts w:ascii="Arial" w:cs="Arial" w:eastAsia="Arial" w:hAnsi="Arial"/>
          <w:sz w:val="17"/>
          <w:szCs w:val="17"/>
          <w:color w:val="auto"/>
        </w:rPr>
        <w:t>David O'Toole</w:t>
      </w:r>
    </w:p>
    <w:p>
      <w:pPr>
        <w:spacing w:after="0" w:line="7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Chief Financial Officer (Principal Financial Officer and</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lowerRoman"/>
      <w:start w:val="1"/>
    </w:lvl>
  </w:abstractNum>
  <w:abstractNum w:abstractNumId="6">
    <w:nsid w:val="519B500D"/>
    <w:multiLevelType w:val="hybridMultilevel"/>
    <w:lvl w:ilvl="0">
      <w:lvlJc w:val="left"/>
      <w:lvlText w:val="%1)"/>
      <w:numFmt w:val="decimal"/>
      <w:start w:val="842"/>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Roman"/>
      <w:start w:val="1"/>
    </w:lvl>
  </w:abstractNum>
  <w:abstractNum w:abstractNumId="24">
    <w:nsid w:val="189A769B"/>
    <w:multiLevelType w:val="hybridMultilevel"/>
    <w:lvl w:ilvl="0">
      <w:lvlJc w:val="left"/>
      <w:lvlText w:val="(%1)"/>
      <w:numFmt w:val="lowerRoman"/>
      <w:start w:val="2"/>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55" Type="http://schemas.openxmlformats.org/officeDocument/2006/relationships/image" Target="media/image24.png"/><Relationship Id="rId57" Type="http://schemas.openxmlformats.org/officeDocument/2006/relationships/image" Target="media/image25.png"/><Relationship Id="rId62" Type="http://schemas.openxmlformats.org/officeDocument/2006/relationships/image" Target="media/image26.png"/><Relationship Id="rId63" Type="http://schemas.openxmlformats.org/officeDocument/2006/relationships/image" Target="media/image27.png"/><Relationship Id="rId64" Type="http://schemas.openxmlformats.org/officeDocument/2006/relationships/image" Target="media/image28.png"/><Relationship Id="rId65" Type="http://schemas.openxmlformats.org/officeDocument/2006/relationships/image" Target="media/image29.png"/><Relationship Id="rId66" Type="http://schemas.openxmlformats.org/officeDocument/2006/relationships/image" Target="media/image30.png"/><Relationship Id="rId31" Type="http://schemas.openxmlformats.org/officeDocument/2006/relationships/hyperlink" Target="http://www.sec.gov/Archives/edgar/data/1458412/000114036119013110/s002626x8_ex10-15.htm" TargetMode="External"/><Relationship Id="rId32" Type="http://schemas.openxmlformats.org/officeDocument/2006/relationships/hyperlink" Target="http://www.sec.gov/Archives/edgar/data/1458412/000114036119013110/s002626x8_ex10-16.htm" TargetMode="External"/><Relationship Id="rId33" Type="http://schemas.openxmlformats.org/officeDocument/2006/relationships/hyperlink" Target="http://www.sec.gov/Archives/edgar/data/1458412/000114036119013110/s002626x8_ex10-17.htm" TargetMode="External"/><Relationship Id="rId34" Type="http://schemas.openxmlformats.org/officeDocument/2006/relationships/hyperlink" Target="http://www.sec.gov/Archives/edgar/data/1458412/000114036119013110/s002626x8_ex10-18.htm" TargetMode="External"/><Relationship Id="rId35" Type="http://schemas.openxmlformats.org/officeDocument/2006/relationships/hyperlink" Target="http://www.sec.gov/Archives/edgar/data/1458412/000114036119013110/s002626x8_ex10-19.htm" TargetMode="External"/><Relationship Id="rId36" Type="http://schemas.openxmlformats.org/officeDocument/2006/relationships/hyperlink" Target="http://www.sec.gov/Archives/edgar/data/1458412/000114036119013110/s002626x8_ex10-20.htm" TargetMode="External"/><Relationship Id="rId37" Type="http://schemas.openxmlformats.org/officeDocument/2006/relationships/hyperlink" Target="http://www.sec.gov/Archives/edgar/data/1458412/000114036119013110/s002626x8_ex10-21.htm" TargetMode="External"/><Relationship Id="rId38" Type="http://schemas.openxmlformats.org/officeDocument/2006/relationships/hyperlink" Target="http://www.sec.gov/Archives/edgar/data/1458412/000114036119013110/s002626x8_ex10-22.htm" TargetMode="External"/><Relationship Id="rId39" Type="http://schemas.openxmlformats.org/officeDocument/2006/relationships/hyperlink" Target="http://www.sec.gov/Archives/edgar/data/1458412/000114036119013110/s002626x8_ex10-23.htm" TargetMode="External"/><Relationship Id="rId40" Type="http://schemas.openxmlformats.org/officeDocument/2006/relationships/hyperlink" Target="http://www.sec.gov/Archives/edgar/data/1458412/000114036119013110/s002626x8_ex10-24.htm" TargetMode="External"/><Relationship Id="rId41" Type="http://schemas.openxmlformats.org/officeDocument/2006/relationships/hyperlink" Target="http://www.sec.gov/Archives/edgar/data/1458412/000114036119013110/s002626x8_ex10-25.htm" TargetMode="External"/><Relationship Id="rId42" Type="http://schemas.openxmlformats.org/officeDocument/2006/relationships/hyperlink" Target="http://www.sec.gov/Archives/edgar/data/1458412/000114036119013110/s002626x8_ex10-14.htm" TargetMode="External"/><Relationship Id="rId43" Type="http://schemas.openxmlformats.org/officeDocument/2006/relationships/hyperlink" Target="http://www.sec.gov/Archives/edgar/data/1458412/000114036119013110/s002626x8_ex10-12.htm" TargetMode="External"/><Relationship Id="rId44" Type="http://schemas.openxmlformats.org/officeDocument/2006/relationships/hyperlink" Target="http://www.sec.gov/Archives/edgar/data/1458412/000114036119013110/s002626x8_ex10-13.htm" TargetMode="External"/><Relationship Id="rId45" Type="http://schemas.openxmlformats.org/officeDocument/2006/relationships/hyperlink" Target="http://www.sec.gov/Archives/edgar/data/1458412/000114036119013110/s002626x8_ex10-10.htm" TargetMode="External"/><Relationship Id="rId46" Type="http://schemas.openxmlformats.org/officeDocument/2006/relationships/hyperlink" Target="http://www.sec.gov/Archives/edgar/data/1458412/000114036119013110/s002626x8_ex10-9.htm" TargetMode="External"/><Relationship Id="rId47" Type="http://schemas.openxmlformats.org/officeDocument/2006/relationships/hyperlink" Target="http://www.sec.gov/Archives/edgar/data/1458412/000114036119013110/s002626x8_ex10-8.htm" TargetMode="External"/><Relationship Id="rId48" Type="http://schemas.openxmlformats.org/officeDocument/2006/relationships/hyperlink" Target="http://www.sec.gov/Archives/edgar/data/1458412/000114036119013110/s002626x8_ex10-7.htm" TargetMode="External"/><Relationship Id="rId49" Type="http://schemas.openxmlformats.org/officeDocument/2006/relationships/hyperlink" Target="http://www.sec.gov/Archives/edgar/data/1458412/000114036119013110/s002626x8_ex10-6.htm" TargetMode="External"/><Relationship Id="rId50" Type="http://schemas.openxmlformats.org/officeDocument/2006/relationships/hyperlink" Target="http://www.sec.gov/Archives/edgar/data/1458412/000114036119013110/s002626x8_ex10-5.htm" TargetMode="External"/><Relationship Id="rId51" Type="http://schemas.openxmlformats.org/officeDocument/2006/relationships/hyperlink" Target="http://www.sec.gov/Archives/edgar/data/1458412/000114036119013110/s002626x8_ex10-4.htm" TargetMode="External"/><Relationship Id="rId52" Type="http://schemas.openxmlformats.org/officeDocument/2006/relationships/hyperlink" Target="http://www.sec.gov/Archives/edgar/data/1458412/000114036119013110/s002626x8_ex10-3.htm" TargetMode="External"/><Relationship Id="rId53" Type="http://schemas.openxmlformats.org/officeDocument/2006/relationships/hyperlink" Target="http://www.sec.gov/Archives/edgar/data/1458412/000114036119013110/s002626x8_ex10-2.htm" TargetMode="External"/><Relationship Id="rId54" Type="http://schemas.openxmlformats.org/officeDocument/2006/relationships/hyperlink" Target="http://www.sec.gov/Archives/edgar/data/1458412/000114036119013110/s002626x8_ex10-1.htm" TargetMode="External"/><Relationship Id="rId56" Type="http://schemas.openxmlformats.org/officeDocument/2006/relationships/hyperlink" Target="http://www.sec.gov/Archives/edgar/data/1458412/000114036119013110/s002626x8_ex10-11.htm" TargetMode="External"/><Relationship Id="rId58" Type="http://schemas.openxmlformats.org/officeDocument/2006/relationships/hyperlink" Target="http://www.sec.gov/Archives/edgar/data/1458412/000114036119013110/s002626x8_ex10-26.htm" TargetMode="External"/><Relationship Id="rId59" Type="http://schemas.openxmlformats.org/officeDocument/2006/relationships/hyperlink" Target="http://www.sec.gov/Archives/edgar/data/1458412/000114036119013110/s002626x8_ex10-27.htm" TargetMode="External"/><Relationship Id="rId60" Type="http://schemas.openxmlformats.org/officeDocument/2006/relationships/hyperlink" Target="http://www.sec.gov/Archives/edgar/data/1458412/000114036119013110/s002626x8_ex10-28.htm" TargetMode="External"/><Relationship Id="rId61" Type="http://schemas.openxmlformats.org/officeDocument/2006/relationships/hyperlink" Target="http://www.sec.gov/Archives/edgar/data/1458412/000114036119013110/s002626x8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2020-10-08T02:25:10Z</dcterms:created>
  <dcterms:modified xsi:type="dcterms:W3CDTF">2020-10-08T02:25:10Z</dcterms:modified>
</cp:coreProperties>
</file>