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25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255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Humphreys Lance</w:t>
              </w:r>
            </w:hyperlink>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CROSSFIRST BANKSHARES, INC. </w:t>
              </w:r>
            </w:hyperlink>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CFB </w:t>
            </w:r>
            <w:r>
              <w:rPr>
                <w:rFonts w:ascii="Times New Roman" w:cs="Times New Roman" w:eastAsia="Times New Roman" w:hAnsi="Times New Roman"/>
                <w:sz w:val="21"/>
                <w:szCs w:val="21"/>
                <w:color w:val="000000"/>
              </w:rPr>
              <w:t>]</w:t>
            </w: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5"/>
                <w:szCs w:val="5"/>
                <w:color w:val="auto"/>
              </w:rPr>
            </w:pPr>
          </w:p>
        </w:tc>
        <w:tc>
          <w:tcPr>
            <w:tcW w:w="940" w:type="dxa"/>
            <w:vAlign w:val="bottom"/>
            <w:gridSpan w:val="2"/>
            <w:vMerge w:val="restart"/>
          </w:tcPr>
          <w:p>
            <w:pPr>
              <w:ind w:left="4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11440 TOMAHAWK CREEK PARKWAY</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03/01/2025</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LEAWOOD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KS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66211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8"/>
          </w:tcPr>
          <w:p>
            <w:pPr>
              <w:ind w:left="32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0"/>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5"/>
          </w:tcPr>
          <w:p>
            <w:pPr>
              <w:jc w:val="center"/>
              <w:ind w:left="1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5"/>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24,567</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008000"/>
                <w:w w:val="77"/>
              </w:rPr>
              <w:t>(1)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410</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5"/>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31,912</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008000"/>
                <w:w w:val="77"/>
              </w:rPr>
              <w:t>(1)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640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5"/>
            <w:vMerge w:val="restart"/>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137,394</w:t>
            </w: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w w:val="77"/>
              </w:rPr>
              <w:t>(1)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 (f/k/a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Carlton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Landing,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Lance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Series A Non-Cumulative Perpetual</w:t>
            </w:r>
          </w:p>
        </w:tc>
        <w:tc>
          <w:tcPr>
            <w:tcW w:w="1460" w:type="dxa"/>
            <w:vAlign w:val="bottom"/>
            <w:gridSpan w:val="5"/>
            <w:vMerge w:val="restart"/>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25</w:t>
            </w: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w w:val="77"/>
              </w:rPr>
              <w:t>(2)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Humphreys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Trust u/t/a,</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12/15/2010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6"/>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jc w:val="right"/>
              <w:ind w:right="73"/>
              <w:spacing w:after="0"/>
              <w:rPr>
                <w:sz w:val="20"/>
                <w:szCs w:val="20"/>
                <w:color w:val="auto"/>
              </w:rPr>
            </w:pPr>
            <w:r>
              <w:rPr>
                <w:rFonts w:ascii="Arial" w:cs="Arial" w:eastAsia="Arial" w:hAnsi="Arial"/>
                <w:sz w:val="12"/>
                <w:szCs w:val="12"/>
                <w:b w:val="1"/>
                <w:bCs w:val="1"/>
                <w:color w:val="auto"/>
                <w:w w:val="94"/>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jc w:val="right"/>
              <w:ind w:right="73"/>
              <w:spacing w:after="0" w:line="133" w:lineRule="exact"/>
              <w:rPr>
                <w:sz w:val="20"/>
                <w:szCs w:val="20"/>
                <w:color w:val="auto"/>
              </w:rPr>
            </w:pPr>
            <w:r>
              <w:rPr>
                <w:rFonts w:ascii="Arial" w:cs="Arial" w:eastAsia="Arial" w:hAnsi="Arial"/>
                <w:sz w:val="12"/>
                <w:szCs w:val="12"/>
                <w:b w:val="1"/>
                <w:bCs w:val="1"/>
                <w:color w:val="auto"/>
                <w:w w:val="94"/>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pursuant to that certain Agreement and Plan of Merger (the "Merger Agreement") entered into on August 26, 2024, between Issuer and First Busey Corporation ("Busey"). Pursuant to the Merger Agreement, at the effective time of the merger, Issuer merged with and into Busey with Busey surviving the merger, and each share of common stock, par value $0.01 per share, of Issuer outstanding immediately prior to the effective time of the merger, other than certain excluded shares, were converted into the right to receive (a) 0.6675 shares of common stock, par value $0.001, of Busey and (b) cash in lieu of fractional shares. In connection with the merger closing, all remaining previously reported but unvested Issuer Restricted Stock Awards vested as of the closing date of the merger.</w:t>
      </w:r>
    </w:p>
    <w:p>
      <w:pPr>
        <w:spacing w:after="0" w:line="178"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issued and outstanding share of Series A Non-Cumulative Perpetual Preferred Stock, par value $0.01, of Issuer was converted into the right to receive one (1) share of Series A Non-Cumulative Perpetual Preferred Stock, par value $0.001, of Busey.</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/s/Amy Abrams, by Power of</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279" TargetMode="External"/><Relationship Id="rId14" Type="http://schemas.openxmlformats.org/officeDocument/2006/relationships/hyperlink" Target="http://www.sec.gov/cgi-bin/browse-edgar?action=getcompany&amp;CIK=00014584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2025-03-04T10:24:23Z</dcterms:created>
  <dcterms:modified xsi:type="dcterms:W3CDTF">2025-03-04T10:24:23Z</dcterms:modified>
</cp:coreProperties>
</file>