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5"/>
          <w:szCs w:val="25"/>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8" w:lineRule="exact"/>
        <w:rPr>
          <w:sz w:val="24"/>
          <w:szCs w:val="24"/>
          <w:color w:val="auto"/>
        </w:rPr>
      </w:pPr>
    </w:p>
    <w:p>
      <w:pPr>
        <w:jc w:val="center"/>
        <w:ind w:left="3780" w:right="1100" w:hanging="2596"/>
        <w:spacing w:after="0" w:line="532" w:lineRule="auto"/>
        <w:tabs>
          <w:tab w:leader="none" w:pos="138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2020</w:t>
      </w:r>
    </w:p>
    <w:p>
      <w:pPr>
        <w:jc w:val="center"/>
        <w:ind w:right="-99"/>
        <w:spacing w:after="0"/>
        <w:rPr>
          <w:sz w:val="20"/>
          <w:szCs w:val="20"/>
          <w:color w:val="auto"/>
        </w:rPr>
      </w:pPr>
      <w:r>
        <w:rPr>
          <w:rFonts w:ascii="Times New Roman" w:cs="Times New Roman" w:eastAsia="Times New Roman" w:hAnsi="Times New Roman"/>
          <w:sz w:val="18"/>
          <w:szCs w:val="18"/>
          <w:color w:val="auto"/>
        </w:rPr>
        <w:t>or</w:t>
      </w:r>
    </w:p>
    <w:p>
      <w:pPr>
        <w:spacing w:after="0" w:line="252" w:lineRule="exact"/>
        <w:rPr>
          <w:sz w:val="24"/>
          <w:szCs w:val="24"/>
          <w:color w:val="auto"/>
        </w:rPr>
      </w:pPr>
    </w:p>
    <w:p>
      <w:pPr>
        <w:jc w:val="center"/>
        <w:ind w:left="3880" w:right="1080" w:hanging="2706"/>
        <w:spacing w:after="0" w:line="532" w:lineRule="auto"/>
        <w:tabs>
          <w:tab w:leader="none" w:pos="138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 to ______</w:t>
      </w:r>
    </w:p>
    <w:p>
      <w:pPr>
        <w:ind w:left="43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001-39028</w:t>
      </w:r>
    </w:p>
    <w:p>
      <w:pPr>
        <w:spacing w:after="0" w:line="23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CROSSFIRST BANKSHARES, INC.</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86"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4800" w:type="dxa"/>
            <w:vAlign w:val="bottom"/>
          </w:tcPr>
          <w:p>
            <w:pPr>
              <w:jc w:val="center"/>
              <w:ind w:right="874"/>
              <w:spacing w:after="0"/>
              <w:rPr>
                <w:sz w:val="20"/>
                <w:szCs w:val="20"/>
                <w:color w:val="auto"/>
              </w:rPr>
            </w:pPr>
            <w:r>
              <w:rPr>
                <w:rFonts w:ascii="Times New Roman" w:cs="Times New Roman" w:eastAsia="Times New Roman" w:hAnsi="Times New Roman"/>
                <w:sz w:val="18"/>
                <w:szCs w:val="18"/>
                <w:color w:val="auto"/>
                <w:w w:val="99"/>
              </w:rPr>
              <w:t>Kansas</w:t>
            </w:r>
          </w:p>
        </w:tc>
        <w:tc>
          <w:tcPr>
            <w:tcW w:w="328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26-3212879</w:t>
            </w:r>
          </w:p>
        </w:tc>
      </w:tr>
      <w:tr>
        <w:trPr>
          <w:trHeight w:val="250"/>
        </w:trPr>
        <w:tc>
          <w:tcPr>
            <w:tcW w:w="4800" w:type="dxa"/>
            <w:vAlign w:val="bottom"/>
          </w:tcPr>
          <w:p>
            <w:pPr>
              <w:jc w:val="center"/>
              <w:ind w:right="85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280" w:type="dxa"/>
            <w:vAlign w:val="bottom"/>
          </w:tcPr>
          <w:p>
            <w:pPr>
              <w:jc w:val="center"/>
              <w:ind w:left="855"/>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17"/>
        </w:trPr>
        <w:tc>
          <w:tcPr>
            <w:tcW w:w="4800" w:type="dxa"/>
            <w:vAlign w:val="bottom"/>
          </w:tcPr>
          <w:p>
            <w:pPr>
              <w:jc w:val="center"/>
              <w:ind w:right="874"/>
              <w:spacing w:after="0"/>
              <w:rPr>
                <w:sz w:val="20"/>
                <w:szCs w:val="20"/>
                <w:color w:val="auto"/>
              </w:rPr>
            </w:pPr>
            <w:r>
              <w:rPr>
                <w:rFonts w:ascii="Times New Roman" w:cs="Times New Roman" w:eastAsia="Times New Roman" w:hAnsi="Times New Roman"/>
                <w:sz w:val="18"/>
                <w:szCs w:val="18"/>
                <w:color w:val="auto"/>
                <w:w w:val="99"/>
              </w:rPr>
              <w:t>11440 Tomahawk Creek Parkway</w:t>
            </w:r>
          </w:p>
        </w:tc>
        <w:tc>
          <w:tcPr>
            <w:tcW w:w="3280" w:type="dxa"/>
            <w:vAlign w:val="bottom"/>
          </w:tcPr>
          <w:p>
            <w:pPr>
              <w:spacing w:after="0"/>
              <w:rPr>
                <w:sz w:val="24"/>
                <w:szCs w:val="24"/>
                <w:color w:val="auto"/>
              </w:rPr>
            </w:pPr>
          </w:p>
        </w:tc>
      </w:tr>
      <w:tr>
        <w:trPr>
          <w:trHeight w:val="270"/>
        </w:trPr>
        <w:tc>
          <w:tcPr>
            <w:tcW w:w="48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Leawood,  KS</w:t>
            </w:r>
          </w:p>
        </w:tc>
        <w:tc>
          <w:tcPr>
            <w:tcW w:w="328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rPr>
              <w:t>66211</w:t>
            </w:r>
          </w:p>
        </w:tc>
      </w:tr>
      <w:tr>
        <w:trPr>
          <w:trHeight w:val="250"/>
        </w:trPr>
        <w:tc>
          <w:tcPr>
            <w:tcW w:w="4800" w:type="dxa"/>
            <w:vAlign w:val="bottom"/>
          </w:tcPr>
          <w:p>
            <w:pPr>
              <w:jc w:val="center"/>
              <w:ind w:right="85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280" w:type="dxa"/>
            <w:vAlign w:val="bottom"/>
          </w:tcPr>
          <w:p>
            <w:pPr>
              <w:jc w:val="center"/>
              <w:ind w:left="855"/>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(913) 312-6822</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280" w:type="dxa"/>
        <w:tblCellMar>
          <w:top w:w="0" w:type="dxa"/>
          <w:left w:w="0" w:type="dxa"/>
          <w:bottom w:w="0" w:type="dxa"/>
          <w:right w:w="0" w:type="dxa"/>
        </w:tblCellMar>
      </w:tblPr>
      <w:tr>
        <w:trPr>
          <w:trHeight w:val="238"/>
        </w:trPr>
        <w:tc>
          <w:tcPr>
            <w:tcW w:w="4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CFB</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1" w:lineRule="exact"/>
        <w:rPr>
          <w:sz w:val="24"/>
          <w:szCs w:val="24"/>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0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0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32"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2, 2020, the registrant had 52,195,778 shares of common stock, par value $0.01,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97" w:right="419" w:bottom="893" w:gutter="0" w:footer="0" w:header="0"/>
        </w:sectPr>
      </w:pPr>
    </w:p>
    <w:bookmarkStart w:id="1" w:name="page2"/>
    <w:bookmarkEnd w:id="1"/>
    <w:p>
      <w:pPr>
        <w:jc w:val="center"/>
        <w:ind w:right="-399"/>
        <w:spacing w:after="0"/>
        <w:rPr>
          <w:sz w:val="20"/>
          <w:szCs w:val="20"/>
          <w:color w:val="auto"/>
        </w:rPr>
      </w:pPr>
      <w:r>
        <w:rPr>
          <w:rFonts w:ascii="Times New Roman" w:cs="Times New Roman" w:eastAsia="Times New Roman" w:hAnsi="Times New Roman"/>
          <w:sz w:val="22"/>
          <w:szCs w:val="22"/>
          <w:color w:val="auto"/>
        </w:rPr>
        <w:t>CrossFirst Bankshares, Inc.</w:t>
      </w:r>
    </w:p>
    <w:p>
      <w:pPr>
        <w:spacing w:after="0" w:line="2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Form 10-Q for the Quarter Ended September 30, 2020</w:t>
      </w:r>
    </w:p>
    <w:p>
      <w:pPr>
        <w:spacing w:after="0"/>
        <w:rPr>
          <w:sz w:val="20"/>
          <w:szCs w:val="20"/>
          <w:color w:val="auto"/>
        </w:rPr>
      </w:pPr>
      <w:r>
        <w:rPr>
          <w:rFonts w:ascii="Times New Roman" w:cs="Times New Roman" w:eastAsia="Times New Roman" w:hAnsi="Times New Roman"/>
          <w:sz w:val="25"/>
          <w:szCs w:val="25"/>
          <w:b w:val="1"/>
          <w:bCs w:val="1"/>
          <w:color w:val="auto"/>
        </w:rPr>
        <w:t>Index</w:t>
      </w:r>
    </w:p>
    <w:p>
      <w:pPr>
        <w:spacing w:after="0" w:line="4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1900" w:type="dxa"/>
            <w:vAlign w:val="bottom"/>
          </w:tcPr>
          <w:p>
            <w:pPr>
              <w:spacing w:after="0"/>
              <w:rPr>
                <w:sz w:val="20"/>
                <w:szCs w:val="20"/>
                <w:color w:val="auto"/>
              </w:rPr>
            </w:pPr>
          </w:p>
        </w:tc>
      </w:tr>
      <w:tr>
        <w:trPr>
          <w:trHeight w:val="270"/>
        </w:trPr>
        <w:tc>
          <w:tcPr>
            <w:tcW w:w="8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1900" w:type="dxa"/>
            <w:vAlign w:val="bottom"/>
          </w:tcPr>
          <w:p>
            <w:pPr>
              <w:spacing w:after="0"/>
              <w:rPr>
                <w:sz w:val="23"/>
                <w:szCs w:val="23"/>
                <w:color w:val="auto"/>
              </w:rPr>
            </w:pPr>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Forward-Looking Information</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3</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Consolidated Balance Sheets - Unaudited</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4</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Consolidated Statements of Income - Unaudited</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5</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Consolidated Statements of Comprehensive Income - Unaudited</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6</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Consolidated Statements of Stockholders’ Equity - Unaudited</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7</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Consolidated Statements of Cash Flows - Unaudited</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9</w:t>
              </w:r>
            </w:hyperlink>
          </w:p>
        </w:tc>
      </w:tr>
      <w:tr>
        <w:trPr>
          <w:trHeight w:val="270"/>
        </w:trPr>
        <w:tc>
          <w:tcPr>
            <w:tcW w:w="8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1900" w:type="dxa"/>
            <w:vAlign w:val="bottom"/>
          </w:tcPr>
          <w:p>
            <w:pPr>
              <w:spacing w:after="0"/>
              <w:rPr>
                <w:sz w:val="23"/>
                <w:szCs w:val="23"/>
                <w:color w:val="auto"/>
              </w:rPr>
            </w:pPr>
          </w:p>
        </w:tc>
      </w:tr>
      <w:tr>
        <w:trPr>
          <w:trHeight w:val="270"/>
        </w:trPr>
        <w:tc>
          <w:tcPr>
            <w:tcW w:w="8820" w:type="dxa"/>
            <w:vAlign w:val="bottom"/>
          </w:tcPr>
          <w:p>
            <w:pPr>
              <w:ind w:left="340"/>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Note 1: Nature of Operations and Summary of Significant Accounting Policies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9">
              <w:r>
                <w:rPr>
                  <w:rFonts w:ascii="Times New Roman" w:cs="Times New Roman" w:eastAsia="Times New Roman" w:hAnsi="Times New Roman"/>
                  <w:sz w:val="18"/>
                  <w:szCs w:val="18"/>
                  <w:u w:val="single" w:color="auto"/>
                  <w:color w:val="0000FF"/>
                  <w:w w:val="88"/>
                </w:rPr>
                <w:t>10</w:t>
              </w:r>
            </w:hyperlink>
          </w:p>
        </w:tc>
      </w:tr>
      <w:tr>
        <w:trPr>
          <w:trHeight w:val="270"/>
        </w:trPr>
        <w:tc>
          <w:tcPr>
            <w:tcW w:w="8820" w:type="dxa"/>
            <w:vAlign w:val="bottom"/>
          </w:tcPr>
          <w:p>
            <w:pPr>
              <w:ind w:left="340"/>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Note 2: Earnings Per Share</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14">
              <w:r>
                <w:rPr>
                  <w:rFonts w:ascii="Times New Roman" w:cs="Times New Roman" w:eastAsia="Times New Roman" w:hAnsi="Times New Roman"/>
                  <w:sz w:val="18"/>
                  <w:szCs w:val="18"/>
                  <w:u w:val="single" w:color="auto"/>
                  <w:color w:val="0000FF"/>
                  <w:w w:val="88"/>
                </w:rPr>
                <w:t>14</w:t>
              </w:r>
            </w:hyperlink>
          </w:p>
        </w:tc>
      </w:tr>
      <w:tr>
        <w:trPr>
          <w:trHeight w:val="270"/>
        </w:trPr>
        <w:tc>
          <w:tcPr>
            <w:tcW w:w="8820" w:type="dxa"/>
            <w:vAlign w:val="bottom"/>
          </w:tcPr>
          <w:p>
            <w:pPr>
              <w:ind w:left="340"/>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Note 3: Securities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14">
              <w:r>
                <w:rPr>
                  <w:rFonts w:ascii="Times New Roman" w:cs="Times New Roman" w:eastAsia="Times New Roman" w:hAnsi="Times New Roman"/>
                  <w:sz w:val="18"/>
                  <w:szCs w:val="18"/>
                  <w:u w:val="single" w:color="auto"/>
                  <w:color w:val="0000FF"/>
                  <w:w w:val="88"/>
                </w:rPr>
                <w:t>15</w:t>
              </w:r>
            </w:hyperlink>
          </w:p>
        </w:tc>
      </w:tr>
      <w:tr>
        <w:trPr>
          <w:trHeight w:val="270"/>
        </w:trPr>
        <w:tc>
          <w:tcPr>
            <w:tcW w:w="8820" w:type="dxa"/>
            <w:vAlign w:val="bottom"/>
          </w:tcPr>
          <w:p>
            <w:pPr>
              <w:ind w:left="340"/>
              <w:spacing w:after="0"/>
              <w:rPr>
                <w:rFonts w:ascii="Times New Roman" w:cs="Times New Roman" w:eastAsia="Times New Roman" w:hAnsi="Times New Roman"/>
                <w:sz w:val="18"/>
                <w:szCs w:val="18"/>
                <w:color w:val="0000FF"/>
              </w:rPr>
            </w:pPr>
            <w:hyperlink w:anchor="page17">
              <w:r>
                <w:rPr>
                  <w:rFonts w:ascii="Times New Roman" w:cs="Times New Roman" w:eastAsia="Times New Roman" w:hAnsi="Times New Roman"/>
                  <w:sz w:val="18"/>
                  <w:szCs w:val="18"/>
                  <w:u w:val="single" w:color="auto"/>
                  <w:color w:val="0000FF"/>
                </w:rPr>
                <w:t xml:space="preserve">Note 4: Loans and Allowance for Loan Losses </w:t>
              </w:r>
            </w:hyperlink>
            <w:hyperlink w:anchor="page29">
              <w:r>
                <w:rPr>
                  <w:rFonts w:ascii="Times New Roman" w:cs="Times New Roman" w:eastAsia="Times New Roman" w:hAnsi="Times New Roman"/>
                  <w:sz w:val="18"/>
                  <w:szCs w:val="18"/>
                  <w:u w:val="single" w:color="auto"/>
                  <w:color w:val="0000FF"/>
                </w:rPr>
                <w:t>(“ALLL”</w:t>
              </w:r>
            </w:hyperlink>
            <w:r>
              <w:rPr>
                <w:rFonts w:ascii="Times New Roman" w:cs="Times New Roman" w:eastAsia="Times New Roman" w:hAnsi="Times New Roman"/>
                <w:sz w:val="18"/>
                <w:szCs w:val="18"/>
                <w:color w:val="000000"/>
              </w:rPr>
              <w:t>)</w:t>
            </w:r>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17">
              <w:r>
                <w:rPr>
                  <w:rFonts w:ascii="Times New Roman" w:cs="Times New Roman" w:eastAsia="Times New Roman" w:hAnsi="Times New Roman"/>
                  <w:sz w:val="18"/>
                  <w:szCs w:val="18"/>
                  <w:u w:val="single" w:color="auto"/>
                  <w:color w:val="0000FF"/>
                  <w:w w:val="88"/>
                </w:rPr>
                <w:t>18</w:t>
              </w:r>
            </w:hyperlink>
          </w:p>
        </w:tc>
      </w:tr>
      <w:tr>
        <w:trPr>
          <w:trHeight w:val="270"/>
        </w:trPr>
        <w:tc>
          <w:tcPr>
            <w:tcW w:w="8820" w:type="dxa"/>
            <w:vAlign w:val="bottom"/>
          </w:tcPr>
          <w:p>
            <w:pPr>
              <w:ind w:left="34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Note 5: Derivatives and Hedging</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27">
              <w:r>
                <w:rPr>
                  <w:rFonts w:ascii="Times New Roman" w:cs="Times New Roman" w:eastAsia="Times New Roman" w:hAnsi="Times New Roman"/>
                  <w:sz w:val="18"/>
                  <w:szCs w:val="18"/>
                  <w:u w:val="single" w:color="auto"/>
                  <w:color w:val="0000FF"/>
                  <w:w w:val="88"/>
                </w:rPr>
                <w:t>27</w:t>
              </w:r>
            </w:hyperlink>
          </w:p>
        </w:tc>
      </w:tr>
      <w:tr>
        <w:trPr>
          <w:trHeight w:val="270"/>
        </w:trPr>
        <w:tc>
          <w:tcPr>
            <w:tcW w:w="8820" w:type="dxa"/>
            <w:vAlign w:val="bottom"/>
          </w:tcPr>
          <w:p>
            <w:pPr>
              <w:ind w:left="340"/>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Note 6: Goodwill and Other Intangible Assets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28">
              <w:r>
                <w:rPr>
                  <w:rFonts w:ascii="Times New Roman" w:cs="Times New Roman" w:eastAsia="Times New Roman" w:hAnsi="Times New Roman"/>
                  <w:sz w:val="18"/>
                  <w:szCs w:val="18"/>
                  <w:u w:val="single" w:color="auto"/>
                  <w:color w:val="0000FF"/>
                  <w:w w:val="88"/>
                </w:rPr>
                <w:t>28</w:t>
              </w:r>
            </w:hyperlink>
          </w:p>
        </w:tc>
      </w:tr>
      <w:tr>
        <w:trPr>
          <w:trHeight w:val="270"/>
        </w:trPr>
        <w:tc>
          <w:tcPr>
            <w:tcW w:w="8820" w:type="dxa"/>
            <w:vAlign w:val="bottom"/>
          </w:tcPr>
          <w:p>
            <w:pPr>
              <w:ind w:left="34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Note 7: Time Deposits and Borrowings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29">
              <w:r>
                <w:rPr>
                  <w:rFonts w:ascii="Times New Roman" w:cs="Times New Roman" w:eastAsia="Times New Roman" w:hAnsi="Times New Roman"/>
                  <w:sz w:val="18"/>
                  <w:szCs w:val="18"/>
                  <w:u w:val="single" w:color="auto"/>
                  <w:color w:val="0000FF"/>
                  <w:w w:val="88"/>
                </w:rPr>
                <w:t>29</w:t>
              </w:r>
            </w:hyperlink>
          </w:p>
        </w:tc>
      </w:tr>
      <w:tr>
        <w:trPr>
          <w:trHeight w:val="270"/>
        </w:trPr>
        <w:tc>
          <w:tcPr>
            <w:tcW w:w="8820" w:type="dxa"/>
            <w:vAlign w:val="bottom"/>
          </w:tcPr>
          <w:p>
            <w:pPr>
              <w:ind w:left="34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Note 8: Change in Accumulated Other Comprehensive Income (“AOCI”)</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29">
              <w:r>
                <w:rPr>
                  <w:rFonts w:ascii="Times New Roman" w:cs="Times New Roman" w:eastAsia="Times New Roman" w:hAnsi="Times New Roman"/>
                  <w:sz w:val="18"/>
                  <w:szCs w:val="18"/>
                  <w:u w:val="single" w:color="auto"/>
                  <w:color w:val="0000FF"/>
                  <w:w w:val="88"/>
                </w:rPr>
                <w:t>29</w:t>
              </w:r>
            </w:hyperlink>
          </w:p>
        </w:tc>
      </w:tr>
      <w:tr>
        <w:trPr>
          <w:trHeight w:val="270"/>
        </w:trPr>
        <w:tc>
          <w:tcPr>
            <w:tcW w:w="8820" w:type="dxa"/>
            <w:vAlign w:val="bottom"/>
          </w:tcPr>
          <w:p>
            <w:pPr>
              <w:ind w:left="34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Note 9: Regulatory Matters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29">
              <w:r>
                <w:rPr>
                  <w:rFonts w:ascii="Times New Roman" w:cs="Times New Roman" w:eastAsia="Times New Roman" w:hAnsi="Times New Roman"/>
                  <w:sz w:val="18"/>
                  <w:szCs w:val="18"/>
                  <w:u w:val="single" w:color="auto"/>
                  <w:color w:val="0000FF"/>
                  <w:w w:val="88"/>
                </w:rPr>
                <w:t>29</w:t>
              </w:r>
            </w:hyperlink>
          </w:p>
        </w:tc>
      </w:tr>
      <w:tr>
        <w:trPr>
          <w:trHeight w:val="270"/>
        </w:trPr>
        <w:tc>
          <w:tcPr>
            <w:tcW w:w="8820" w:type="dxa"/>
            <w:vAlign w:val="bottom"/>
          </w:tcPr>
          <w:p>
            <w:pPr>
              <w:ind w:left="34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Note 10: Stock-Based Compensation</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30">
              <w:r>
                <w:rPr>
                  <w:rFonts w:ascii="Times New Roman" w:cs="Times New Roman" w:eastAsia="Times New Roman" w:hAnsi="Times New Roman"/>
                  <w:sz w:val="18"/>
                  <w:szCs w:val="18"/>
                  <w:u w:val="single" w:color="auto"/>
                  <w:color w:val="0000FF"/>
                  <w:w w:val="88"/>
                </w:rPr>
                <w:t>30</w:t>
              </w:r>
            </w:hyperlink>
          </w:p>
        </w:tc>
      </w:tr>
      <w:tr>
        <w:trPr>
          <w:trHeight w:val="270"/>
        </w:trPr>
        <w:tc>
          <w:tcPr>
            <w:tcW w:w="8820" w:type="dxa"/>
            <w:vAlign w:val="bottom"/>
          </w:tcPr>
          <w:p>
            <w:pPr>
              <w:ind w:left="34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Note 11: Income Tax</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31">
              <w:r>
                <w:rPr>
                  <w:rFonts w:ascii="Times New Roman" w:cs="Times New Roman" w:eastAsia="Times New Roman" w:hAnsi="Times New Roman"/>
                  <w:sz w:val="18"/>
                  <w:szCs w:val="18"/>
                  <w:u w:val="single" w:color="auto"/>
                  <w:color w:val="0000FF"/>
                  <w:w w:val="88"/>
                </w:rPr>
                <w:t>32</w:t>
              </w:r>
            </w:hyperlink>
          </w:p>
        </w:tc>
      </w:tr>
      <w:tr>
        <w:trPr>
          <w:trHeight w:val="270"/>
        </w:trPr>
        <w:tc>
          <w:tcPr>
            <w:tcW w:w="8820" w:type="dxa"/>
            <w:vAlign w:val="bottom"/>
          </w:tcPr>
          <w:p>
            <w:pPr>
              <w:ind w:left="34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Note 12: Disclosures about Fair Value of Financial Instruments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32">
              <w:r>
                <w:rPr>
                  <w:rFonts w:ascii="Times New Roman" w:cs="Times New Roman" w:eastAsia="Times New Roman" w:hAnsi="Times New Roman"/>
                  <w:sz w:val="18"/>
                  <w:szCs w:val="18"/>
                  <w:u w:val="single" w:color="auto"/>
                  <w:color w:val="0000FF"/>
                  <w:w w:val="88"/>
                </w:rPr>
                <w:t>33</w:t>
              </w:r>
            </w:hyperlink>
          </w:p>
        </w:tc>
      </w:tr>
      <w:tr>
        <w:trPr>
          <w:trHeight w:val="270"/>
        </w:trPr>
        <w:tc>
          <w:tcPr>
            <w:tcW w:w="8820" w:type="dxa"/>
            <w:vAlign w:val="bottom"/>
          </w:tcPr>
          <w:p>
            <w:pPr>
              <w:ind w:left="34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Note 13: Commitments and Credit Risk</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35">
              <w:r>
                <w:rPr>
                  <w:rFonts w:ascii="Times New Roman" w:cs="Times New Roman" w:eastAsia="Times New Roman" w:hAnsi="Times New Roman"/>
                  <w:sz w:val="18"/>
                  <w:szCs w:val="18"/>
                  <w:u w:val="single" w:color="auto"/>
                  <w:color w:val="0000FF"/>
                  <w:w w:val="88"/>
                </w:rPr>
                <w:t>36</w:t>
              </w:r>
            </w:hyperlink>
          </w:p>
        </w:tc>
      </w:tr>
      <w:tr>
        <w:trPr>
          <w:trHeight w:val="270"/>
        </w:trPr>
        <w:tc>
          <w:tcPr>
            <w:tcW w:w="8820" w:type="dxa"/>
            <w:vAlign w:val="bottom"/>
          </w:tcPr>
          <w:p>
            <w:pPr>
              <w:ind w:left="34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Note 14: Legal and Regulatory Proceedings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36">
              <w:r>
                <w:rPr>
                  <w:rFonts w:ascii="Times New Roman" w:cs="Times New Roman" w:eastAsia="Times New Roman" w:hAnsi="Times New Roman"/>
                  <w:sz w:val="18"/>
                  <w:szCs w:val="18"/>
                  <w:u w:val="single" w:color="auto"/>
                  <w:color w:val="0000FF"/>
                  <w:w w:val="88"/>
                </w:rPr>
                <w:t>36</w:t>
              </w:r>
            </w:hyperlink>
          </w:p>
        </w:tc>
      </w:tr>
      <w:tr>
        <w:trPr>
          <w:trHeight w:val="270"/>
        </w:trPr>
        <w:tc>
          <w:tcPr>
            <w:tcW w:w="8820" w:type="dxa"/>
            <w:vAlign w:val="bottom"/>
          </w:tcPr>
          <w:p>
            <w:pPr>
              <w:ind w:left="34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Note 15: Subsequent Events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36">
              <w:r>
                <w:rPr>
                  <w:rFonts w:ascii="Times New Roman" w:cs="Times New Roman" w:eastAsia="Times New Roman" w:hAnsi="Times New Roman"/>
                  <w:sz w:val="18"/>
                  <w:szCs w:val="18"/>
                  <w:u w:val="single" w:color="auto"/>
                  <w:color w:val="0000FF"/>
                  <w:w w:val="88"/>
                </w:rPr>
                <w:t>36</w:t>
              </w:r>
            </w:hyperlink>
          </w:p>
        </w:tc>
      </w:tr>
      <w:tr>
        <w:trPr>
          <w:trHeight w:val="270"/>
        </w:trPr>
        <w:tc>
          <w:tcPr>
            <w:tcW w:w="8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36">
              <w:r>
                <w:rPr>
                  <w:rFonts w:ascii="Times New Roman" w:cs="Times New Roman" w:eastAsia="Times New Roman" w:hAnsi="Times New Roman"/>
                  <w:sz w:val="18"/>
                  <w:szCs w:val="18"/>
                  <w:u w:val="single" w:color="auto"/>
                  <w:color w:val="0000FF"/>
                  <w:w w:val="88"/>
                </w:rPr>
                <w:t>37</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Third Quarter 2020 Highlights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37">
              <w:r>
                <w:rPr>
                  <w:rFonts w:ascii="Times New Roman" w:cs="Times New Roman" w:eastAsia="Times New Roman" w:hAnsi="Times New Roman"/>
                  <w:sz w:val="18"/>
                  <w:szCs w:val="18"/>
                  <w:u w:val="single" w:color="auto"/>
                  <w:color w:val="0000FF"/>
                  <w:w w:val="88"/>
                </w:rPr>
                <w:t>37</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Results of Operations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39">
              <w:r>
                <w:rPr>
                  <w:rFonts w:ascii="Times New Roman" w:cs="Times New Roman" w:eastAsia="Times New Roman" w:hAnsi="Times New Roman"/>
                  <w:sz w:val="18"/>
                  <w:szCs w:val="18"/>
                  <w:u w:val="single" w:color="auto"/>
                  <w:color w:val="0000FF"/>
                  <w:w w:val="88"/>
                </w:rPr>
                <w:t>40</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Net Interest Income</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40">
              <w:r>
                <w:rPr>
                  <w:rFonts w:ascii="Times New Roman" w:cs="Times New Roman" w:eastAsia="Times New Roman" w:hAnsi="Times New Roman"/>
                  <w:sz w:val="18"/>
                  <w:szCs w:val="18"/>
                  <w:u w:val="single" w:color="auto"/>
                  <w:color w:val="0000FF"/>
                  <w:w w:val="88"/>
                </w:rPr>
                <w:t>40</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Non-Interest Income</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42">
              <w:r>
                <w:rPr>
                  <w:rFonts w:ascii="Times New Roman" w:cs="Times New Roman" w:eastAsia="Times New Roman" w:hAnsi="Times New Roman"/>
                  <w:sz w:val="18"/>
                  <w:szCs w:val="18"/>
                  <w:u w:val="single" w:color="auto"/>
                  <w:color w:val="0000FF"/>
                  <w:w w:val="88"/>
                </w:rPr>
                <w:t>43</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Non-Interest Expense</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43">
              <w:r>
                <w:rPr>
                  <w:rFonts w:ascii="Times New Roman" w:cs="Times New Roman" w:eastAsia="Times New Roman" w:hAnsi="Times New Roman"/>
                  <w:sz w:val="18"/>
                  <w:szCs w:val="18"/>
                  <w:u w:val="single" w:color="auto"/>
                  <w:color w:val="0000FF"/>
                  <w:w w:val="88"/>
                </w:rPr>
                <w:t>44</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Income Taxes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44">
              <w:r>
                <w:rPr>
                  <w:rFonts w:ascii="Times New Roman" w:cs="Times New Roman" w:eastAsia="Times New Roman" w:hAnsi="Times New Roman"/>
                  <w:sz w:val="18"/>
                  <w:szCs w:val="18"/>
                  <w:u w:val="single" w:color="auto"/>
                  <w:color w:val="0000FF"/>
                  <w:w w:val="88"/>
                </w:rPr>
                <w:t>45</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Analysis of Financial Condition</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45">
              <w:r>
                <w:rPr>
                  <w:rFonts w:ascii="Times New Roman" w:cs="Times New Roman" w:eastAsia="Times New Roman" w:hAnsi="Times New Roman"/>
                  <w:sz w:val="18"/>
                  <w:szCs w:val="18"/>
                  <w:u w:val="single" w:color="auto"/>
                  <w:color w:val="0000FF"/>
                  <w:w w:val="88"/>
                </w:rPr>
                <w:t>45</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Securities Portfolio</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45">
              <w:r>
                <w:rPr>
                  <w:rFonts w:ascii="Times New Roman" w:cs="Times New Roman" w:eastAsia="Times New Roman" w:hAnsi="Times New Roman"/>
                  <w:sz w:val="18"/>
                  <w:szCs w:val="18"/>
                  <w:u w:val="single" w:color="auto"/>
                  <w:color w:val="0000FF"/>
                  <w:w w:val="88"/>
                </w:rPr>
                <w:t>45</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Loan Portfolio</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45">
              <w:r>
                <w:rPr>
                  <w:rFonts w:ascii="Times New Roman" w:cs="Times New Roman" w:eastAsia="Times New Roman" w:hAnsi="Times New Roman"/>
                  <w:sz w:val="18"/>
                  <w:szCs w:val="18"/>
                  <w:u w:val="single" w:color="auto"/>
                  <w:color w:val="0000FF"/>
                  <w:w w:val="88"/>
                </w:rPr>
                <w:t>45</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Provision and Allowance for Loan Losses (‘‘ALLL’’)</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45">
              <w:r>
                <w:rPr>
                  <w:rFonts w:ascii="Times New Roman" w:cs="Times New Roman" w:eastAsia="Times New Roman" w:hAnsi="Times New Roman"/>
                  <w:sz w:val="18"/>
                  <w:szCs w:val="18"/>
                  <w:u w:val="single" w:color="auto"/>
                  <w:color w:val="0000FF"/>
                  <w:w w:val="88"/>
                </w:rPr>
                <w:t>45</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Nonperforming Assets and Other Asset Quality Metrics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47">
              <w:r>
                <w:rPr>
                  <w:rFonts w:ascii="Times New Roman" w:cs="Times New Roman" w:eastAsia="Times New Roman" w:hAnsi="Times New Roman"/>
                  <w:sz w:val="18"/>
                  <w:szCs w:val="18"/>
                  <w:u w:val="single" w:color="auto"/>
                  <w:color w:val="0000FF"/>
                  <w:w w:val="88"/>
                </w:rPr>
                <w:t>48</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Deposits and Other Borrowings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49">
              <w:r>
                <w:rPr>
                  <w:rFonts w:ascii="Times New Roman" w:cs="Times New Roman" w:eastAsia="Times New Roman" w:hAnsi="Times New Roman"/>
                  <w:sz w:val="18"/>
                  <w:szCs w:val="18"/>
                  <w:u w:val="single" w:color="auto"/>
                  <w:color w:val="0000FF"/>
                  <w:w w:val="88"/>
                </w:rPr>
                <w:t>49</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Liquidity</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49">
              <w:r>
                <w:rPr>
                  <w:rFonts w:ascii="Times New Roman" w:cs="Times New Roman" w:eastAsia="Times New Roman" w:hAnsi="Times New Roman"/>
                  <w:sz w:val="18"/>
                  <w:szCs w:val="18"/>
                  <w:u w:val="single" w:color="auto"/>
                  <w:color w:val="0000FF"/>
                  <w:w w:val="88"/>
                </w:rPr>
                <w:t>50</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Contractual Obligations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50">
              <w:r>
                <w:rPr>
                  <w:rFonts w:ascii="Times New Roman" w:cs="Times New Roman" w:eastAsia="Times New Roman" w:hAnsi="Times New Roman"/>
                  <w:sz w:val="18"/>
                  <w:szCs w:val="18"/>
                  <w:u w:val="single" w:color="auto"/>
                  <w:color w:val="0000FF"/>
                  <w:w w:val="88"/>
                </w:rPr>
                <w:t>50</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Capital Resources and Off-Balance Sheet Arrangements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50">
              <w:r>
                <w:rPr>
                  <w:rFonts w:ascii="Times New Roman" w:cs="Times New Roman" w:eastAsia="Times New Roman" w:hAnsi="Times New Roman"/>
                  <w:sz w:val="18"/>
                  <w:szCs w:val="18"/>
                  <w:u w:val="single" w:color="auto"/>
                  <w:color w:val="0000FF"/>
                  <w:w w:val="88"/>
                </w:rPr>
                <w:t>50</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Critical Accounting Policies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50">
              <w:r>
                <w:rPr>
                  <w:rFonts w:ascii="Times New Roman" w:cs="Times New Roman" w:eastAsia="Times New Roman" w:hAnsi="Times New Roman"/>
                  <w:sz w:val="18"/>
                  <w:szCs w:val="18"/>
                  <w:u w:val="single" w:color="auto"/>
                  <w:color w:val="0000FF"/>
                  <w:w w:val="88"/>
                </w:rPr>
                <w:t>50</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Item 3. Quantitative and Qualitative Disclosures about Market Risk</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51">
              <w:r>
                <w:rPr>
                  <w:rFonts w:ascii="Times New Roman" w:cs="Times New Roman" w:eastAsia="Times New Roman" w:hAnsi="Times New Roman"/>
                  <w:sz w:val="18"/>
                  <w:szCs w:val="18"/>
                  <w:u w:val="single" w:color="auto"/>
                  <w:color w:val="0000FF"/>
                  <w:w w:val="88"/>
                </w:rPr>
                <w:t>51</w:t>
              </w:r>
            </w:hyperlink>
          </w:p>
        </w:tc>
      </w:tr>
      <w:tr>
        <w:trPr>
          <w:trHeight w:val="270"/>
        </w:trPr>
        <w:tc>
          <w:tcPr>
            <w:tcW w:w="8820" w:type="dxa"/>
            <w:vAlign w:val="bottom"/>
          </w:tcPr>
          <w:p>
            <w:pPr>
              <w:ind w:left="24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Item 4. Controls and Procedures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52">
              <w:r>
                <w:rPr>
                  <w:rFonts w:ascii="Times New Roman" w:cs="Times New Roman" w:eastAsia="Times New Roman" w:hAnsi="Times New Roman"/>
                  <w:sz w:val="18"/>
                  <w:szCs w:val="18"/>
                  <w:u w:val="single" w:color="auto"/>
                  <w:color w:val="0000FF"/>
                  <w:w w:val="88"/>
                </w:rPr>
                <w:t>52</w:t>
              </w:r>
            </w:hyperlink>
          </w:p>
        </w:tc>
      </w:tr>
      <w:tr>
        <w:trPr>
          <w:trHeight w:val="270"/>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1900" w:type="dxa"/>
            <w:vAlign w:val="bottom"/>
          </w:tcPr>
          <w:p>
            <w:pPr>
              <w:spacing w:after="0"/>
              <w:rPr>
                <w:sz w:val="23"/>
                <w:szCs w:val="23"/>
                <w:color w:val="auto"/>
              </w:rPr>
            </w:pPr>
          </w:p>
        </w:tc>
      </w:tr>
      <w:tr>
        <w:trPr>
          <w:trHeight w:val="270"/>
        </w:trPr>
        <w:tc>
          <w:tcPr>
            <w:tcW w:w="8820" w:type="dxa"/>
            <w:vAlign w:val="bottom"/>
          </w:tcPr>
          <w:p>
            <w:pPr>
              <w:ind w:left="12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Item 1. Legal Proceedings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52">
              <w:r>
                <w:rPr>
                  <w:rFonts w:ascii="Times New Roman" w:cs="Times New Roman" w:eastAsia="Times New Roman" w:hAnsi="Times New Roman"/>
                  <w:sz w:val="18"/>
                  <w:szCs w:val="18"/>
                  <w:u w:val="single" w:color="auto"/>
                  <w:color w:val="0000FF"/>
                  <w:w w:val="88"/>
                </w:rPr>
                <w:t>52</w:t>
              </w:r>
            </w:hyperlink>
          </w:p>
        </w:tc>
      </w:tr>
      <w:tr>
        <w:trPr>
          <w:trHeight w:val="270"/>
        </w:trPr>
        <w:tc>
          <w:tcPr>
            <w:tcW w:w="8820" w:type="dxa"/>
            <w:vAlign w:val="bottom"/>
          </w:tcPr>
          <w:p>
            <w:pPr>
              <w:ind w:left="12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Item 1A. Risk Factors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52">
              <w:r>
                <w:rPr>
                  <w:rFonts w:ascii="Times New Roman" w:cs="Times New Roman" w:eastAsia="Times New Roman" w:hAnsi="Times New Roman"/>
                  <w:sz w:val="18"/>
                  <w:szCs w:val="18"/>
                  <w:u w:val="single" w:color="auto"/>
                  <w:color w:val="0000FF"/>
                  <w:w w:val="88"/>
                </w:rPr>
                <w:t>53</w:t>
              </w:r>
            </w:hyperlink>
          </w:p>
        </w:tc>
      </w:tr>
      <w:tr>
        <w:trPr>
          <w:trHeight w:val="270"/>
        </w:trPr>
        <w:tc>
          <w:tcPr>
            <w:tcW w:w="8820" w:type="dxa"/>
            <w:vAlign w:val="bottom"/>
          </w:tcPr>
          <w:p>
            <w:pPr>
              <w:ind w:left="120"/>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Item 6. Exhibits</w:t>
              </w:r>
            </w:hyperlink>
          </w:p>
        </w:tc>
        <w:tc>
          <w:tcPr>
            <w:tcW w:w="1900" w:type="dxa"/>
            <w:vAlign w:val="bottom"/>
          </w:tcPr>
          <w:p>
            <w:pPr>
              <w:ind w:left="1720"/>
              <w:spacing w:after="0"/>
              <w:rPr>
                <w:rFonts w:ascii="Times New Roman" w:cs="Times New Roman" w:eastAsia="Times New Roman" w:hAnsi="Times New Roman"/>
                <w:sz w:val="18"/>
                <w:szCs w:val="18"/>
                <w:u w:val="single" w:color="auto"/>
                <w:color w:val="0000FF"/>
                <w:w w:val="88"/>
              </w:rPr>
            </w:pPr>
            <w:hyperlink w:anchor="page53">
              <w:r>
                <w:rPr>
                  <w:rFonts w:ascii="Times New Roman" w:cs="Times New Roman" w:eastAsia="Times New Roman" w:hAnsi="Times New Roman"/>
                  <w:sz w:val="18"/>
                  <w:szCs w:val="18"/>
                  <w:u w:val="single" w:color="auto"/>
                  <w:color w:val="0000FF"/>
                  <w:w w:val="88"/>
                </w:rPr>
                <w:t>54</w:t>
              </w:r>
            </w:hyperlink>
          </w:p>
        </w:tc>
      </w:tr>
      <w:tr>
        <w:trPr>
          <w:trHeight w:val="270"/>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19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840"/>
          </w:cols>
          <w:pgMar w:left="320" w:top="855" w:right="739" w:bottom="848"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855" w:right="739" w:bottom="848" w:gutter="0" w:footer="0" w:header="0"/>
          <w:type w:val="continuous"/>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Forward-Looking Information</w:t>
      </w:r>
    </w:p>
    <w:p>
      <w:pPr>
        <w:spacing w:after="0" w:line="182" w:lineRule="exact"/>
        <w:rPr>
          <w:sz w:val="20"/>
          <w:szCs w:val="20"/>
          <w:color w:val="auto"/>
        </w:rPr>
      </w:pPr>
    </w:p>
    <w:p>
      <w:pPr>
        <w:ind w:left="180" w:right="60" w:firstLine="486"/>
        <w:spacing w:after="0" w:line="258" w:lineRule="auto"/>
        <w:rPr>
          <w:sz w:val="20"/>
          <w:szCs w:val="20"/>
          <w:color w:val="auto"/>
        </w:rPr>
      </w:pPr>
      <w:r>
        <w:rPr>
          <w:rFonts w:ascii="Times New Roman" w:cs="Times New Roman" w:eastAsia="Times New Roman" w:hAnsi="Times New Roman"/>
          <w:sz w:val="18"/>
          <w:szCs w:val="18"/>
          <w:color w:val="auto"/>
        </w:rPr>
        <w:t>This report may contain forward-looking statements that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w:t>
      </w:r>
    </w:p>
    <w:p>
      <w:pPr>
        <w:spacing w:after="0" w:line="129" w:lineRule="exact"/>
        <w:rPr>
          <w:sz w:val="20"/>
          <w:szCs w:val="20"/>
          <w:color w:val="auto"/>
        </w:rPr>
      </w:pPr>
    </w:p>
    <w:p>
      <w:pPr>
        <w:ind w:left="180" w:firstLine="486"/>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 Such possible events or factors include: risks associated with the current outbreak of the novel coronavirus, or the COVID-19 pandemic, changes in economic conditions in the Company’s market area, changes in policies by regulatory agencies, governmental legislation and regulation, fluctuations in interest rates, changes in liquidity requirements, demand for loans in the Company’s market area, changes in accounting and tax principles, estimates made on income taxes, competition with other entities that offer financial services, cybersecurity threats, and such other factors as discussed in our Annual Report on Form 10-K for the fiscal year ended December 31, 2019, filed with the Securities and Exchange Commission (“SEC”) on March 10, 2020, any subsequent Form 10-Q as well as in our other filings with the SEC.</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undertake no obligation to revise or publicly release the results of any revision to these forward-looking statements, except as required by law.</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Given these risks and uncertainties, readers are cautioned not to place undue reliance on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 I - FINANCIAL INFORMATION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 FINANCIAL STATEMENTS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CROSSFIRST BANKSHARES,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BALANCE SHEETS</w:t>
      </w:r>
    </w:p>
    <w:p>
      <w:pPr>
        <w:spacing w:after="0" w:line="120"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07"/>
        </w:trPr>
        <w:tc>
          <w:tcPr>
            <w:tcW w:w="69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color w:val="auto"/>
              </w:rPr>
              <w:t>(Unaudited)</w:t>
            </w:r>
          </w:p>
        </w:tc>
        <w:tc>
          <w:tcPr>
            <w:tcW w:w="8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40" w:type="dxa"/>
            <w:vAlign w:val="bottom"/>
            <w:gridSpan w:val="4"/>
          </w:tcPr>
          <w:p>
            <w:pPr>
              <w:jc w:val="right"/>
              <w:ind w:right="123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0" w:type="dxa"/>
            <w:vAlign w:val="bottom"/>
          </w:tcPr>
          <w:p>
            <w:pPr>
              <w:spacing w:after="0"/>
              <w:rPr>
                <w:sz w:val="1"/>
                <w:szCs w:val="1"/>
                <w:color w:val="auto"/>
              </w:rPr>
            </w:pPr>
          </w:p>
        </w:tc>
      </w:tr>
      <w:tr>
        <w:trPr>
          <w:trHeight w:val="23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223,636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187,320</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securities - taxable</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298,208</w:t>
            </w:r>
          </w:p>
        </w:tc>
        <w:tc>
          <w:tcPr>
            <w:tcW w:w="0" w:type="dxa"/>
            <w:vAlign w:val="bottom"/>
          </w:tcPr>
          <w:p>
            <w:pPr>
              <w:spacing w:after="0"/>
              <w:rPr>
                <w:sz w:val="1"/>
                <w:szCs w:val="1"/>
                <w:color w:val="auto"/>
              </w:rPr>
            </w:pPr>
          </w:p>
        </w:tc>
      </w:tr>
      <w:tr>
        <w:trPr>
          <w:trHeight w:val="23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securities - tax-exempt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443,426</w:t>
            </w:r>
          </w:p>
        </w:tc>
        <w:tc>
          <w:tcPr>
            <w:tcW w:w="0" w:type="dxa"/>
            <w:vAlign w:val="bottom"/>
          </w:tcPr>
          <w:p>
            <w:pPr>
              <w:spacing w:after="0"/>
              <w:rPr>
                <w:sz w:val="1"/>
                <w:szCs w:val="1"/>
                <w:color w:val="auto"/>
              </w:rPr>
            </w:pPr>
          </w:p>
        </w:tc>
      </w:tr>
      <w:tr>
        <w:trPr>
          <w:trHeight w:val="175"/>
        </w:trPr>
        <w:tc>
          <w:tcPr>
            <w:tcW w:w="69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Loans, net of allowance for loan losses of $76,035 and $56,896 at September 30, 2020 and</w:t>
            </w:r>
          </w:p>
        </w:tc>
        <w:tc>
          <w:tcPr>
            <w:tcW w:w="180" w:type="dxa"/>
            <w:vAlign w:val="bottom"/>
            <w:shd w:val="clear" w:color="auto" w:fill="CCEEFF"/>
          </w:tcPr>
          <w:p>
            <w:pPr>
              <w:spacing w:after="0"/>
              <w:rPr>
                <w:sz w:val="15"/>
                <w:szCs w:val="15"/>
                <w:color w:val="auto"/>
              </w:rPr>
            </w:pP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4,401,774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3,795,348</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2019, respectively</w:t>
            </w:r>
          </w:p>
        </w:tc>
        <w:tc>
          <w:tcPr>
            <w:tcW w:w="180" w:type="dxa"/>
            <w:vAlign w:val="bottom"/>
            <w:shd w:val="clear" w:color="auto" w:fill="CCEEFF"/>
          </w:tcPr>
          <w:p>
            <w:pPr>
              <w:spacing w:after="0"/>
              <w:rPr>
                <w:sz w:val="19"/>
                <w:szCs w:val="19"/>
                <w:color w:val="auto"/>
              </w:rPr>
            </w:pPr>
          </w:p>
        </w:tc>
        <w:tc>
          <w:tcPr>
            <w:tcW w:w="1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70,210</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equity securities</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17,278</w:t>
            </w:r>
          </w:p>
        </w:tc>
        <w:tc>
          <w:tcPr>
            <w:tcW w:w="0" w:type="dxa"/>
            <w:vAlign w:val="bottom"/>
          </w:tcPr>
          <w:p>
            <w:pPr>
              <w:spacing w:after="0"/>
              <w:rPr>
                <w:sz w:val="1"/>
                <w:szCs w:val="1"/>
                <w:color w:val="auto"/>
              </w:rPr>
            </w:pPr>
          </w:p>
        </w:tc>
      </w:tr>
      <w:tr>
        <w:trPr>
          <w:trHeight w:val="23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receivable</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15,716</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Foreclosed assets held for sale</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23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asset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0" w:type="dxa"/>
            <w:vAlign w:val="bottom"/>
          </w:tcPr>
          <w:p>
            <w:pPr>
              <w:spacing w:after="0"/>
              <w:rPr>
                <w:sz w:val="1"/>
                <w:szCs w:val="1"/>
                <w:color w:val="auto"/>
              </w:rPr>
            </w:pPr>
          </w:p>
        </w:tc>
      </w:tr>
      <w:tr>
        <w:trPr>
          <w:trHeight w:val="229"/>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Bank-owned life insurance</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65,689</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0" w:type="dxa"/>
            <w:vAlign w:val="bottom"/>
          </w:tcPr>
          <w:p>
            <w:pPr>
              <w:spacing w:after="0"/>
              <w:rPr>
                <w:sz w:val="1"/>
                <w:szCs w:val="1"/>
                <w:color w:val="auto"/>
              </w:rPr>
            </w:pPr>
          </w:p>
        </w:tc>
      </w:tr>
      <w:tr>
        <w:trPr>
          <w:trHeight w:val="223"/>
        </w:trPr>
        <w:tc>
          <w:tcPr>
            <w:tcW w:w="6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5,505,696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4,931,233</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Noninterest-bearing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521,826</w:t>
            </w:r>
          </w:p>
        </w:tc>
        <w:tc>
          <w:tcPr>
            <w:tcW w:w="0" w:type="dxa"/>
            <w:vAlign w:val="bottom"/>
          </w:tcPr>
          <w:p>
            <w:pPr>
              <w:spacing w:after="0"/>
              <w:rPr>
                <w:sz w:val="1"/>
                <w:szCs w:val="1"/>
                <w:color w:val="auto"/>
              </w:rPr>
            </w:pPr>
          </w:p>
        </w:tc>
      </w:tr>
      <w:tr>
        <w:trPr>
          <w:trHeight w:val="229"/>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Savings, NOW and money market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2,597,691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2,162,187</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Time</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1,140,686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1,239,746</w:t>
            </w:r>
          </w:p>
        </w:tc>
        <w:tc>
          <w:tcPr>
            <w:tcW w:w="0" w:type="dxa"/>
            <w:vAlign w:val="bottom"/>
          </w:tcPr>
          <w:p>
            <w:pPr>
              <w:spacing w:after="0"/>
              <w:rPr>
                <w:sz w:val="1"/>
                <w:szCs w:val="1"/>
                <w:color w:val="auto"/>
              </w:rPr>
            </w:pPr>
          </w:p>
        </w:tc>
      </w:tr>
      <w:tr>
        <w:trPr>
          <w:trHeight w:val="223"/>
        </w:trPr>
        <w:tc>
          <w:tcPr>
            <w:tcW w:w="6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4,492,549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3,923,759</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 funds purchased and repurchase agreements</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w:t>
            </w:r>
          </w:p>
        </w:tc>
        <w:tc>
          <w:tcPr>
            <w:tcW w:w="0" w:type="dxa"/>
            <w:vAlign w:val="bottom"/>
          </w:tcPr>
          <w:p>
            <w:pPr>
              <w:spacing w:after="0"/>
              <w:rPr>
                <w:sz w:val="1"/>
                <w:szCs w:val="1"/>
                <w:color w:val="auto"/>
              </w:rPr>
            </w:pPr>
          </w:p>
        </w:tc>
      </w:tr>
      <w:tr>
        <w:trPr>
          <w:trHeight w:val="23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358,743</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borrowings</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payable and other liabilities</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31,245</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4,887,813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4,329,589</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Redeemable preferred stock, $0.01 par value, $25.00 liquidation value:</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authorized - 5,000,000 shares, issued - 0 shares at September 30, 2020 and December 31,</w:t>
            </w:r>
          </w:p>
        </w:tc>
        <w:tc>
          <w:tcPr>
            <w:tcW w:w="180" w:type="dxa"/>
            <w:vAlign w:val="bottom"/>
          </w:tcPr>
          <w:p>
            <w:pPr>
              <w:spacing w:after="0"/>
              <w:rPr>
                <w:sz w:val="15"/>
                <w:szCs w:val="15"/>
                <w:color w:val="auto"/>
              </w:rPr>
            </w:pPr>
          </w:p>
        </w:tc>
        <w:tc>
          <w:tcPr>
            <w:tcW w:w="1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2019, respectively</w:t>
            </w:r>
          </w:p>
        </w:tc>
        <w:tc>
          <w:tcPr>
            <w:tcW w:w="18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authorized - 200,000,000 shares, issued - 52,195,778 and 51,969,203 shares at</w:t>
            </w:r>
          </w:p>
        </w:tc>
        <w:tc>
          <w:tcPr>
            <w:tcW w:w="180" w:type="dxa"/>
            <w:vAlign w:val="bottom"/>
          </w:tcPr>
          <w:p>
            <w:pPr>
              <w:spacing w:after="0"/>
              <w:rPr>
                <w:sz w:val="15"/>
                <w:szCs w:val="15"/>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9"/>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September 30, 2020 and December 31, 2019, respectively</w:t>
            </w:r>
          </w:p>
        </w:tc>
        <w:tc>
          <w:tcPr>
            <w:tcW w:w="18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519,870</w:t>
            </w:r>
          </w:p>
        </w:tc>
        <w:tc>
          <w:tcPr>
            <w:tcW w:w="0" w:type="dxa"/>
            <w:vAlign w:val="bottom"/>
          </w:tcPr>
          <w:p>
            <w:pPr>
              <w:spacing w:after="0"/>
              <w:rPr>
                <w:sz w:val="1"/>
                <w:szCs w:val="1"/>
                <w:color w:val="auto"/>
              </w:rPr>
            </w:pPr>
          </w:p>
        </w:tc>
      </w:tr>
      <w:tr>
        <w:trPr>
          <w:trHeight w:val="23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64,803</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617,883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601,644</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5,505,696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4,931,233</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CROSSFIRST BANKSHARES,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STATEMENTS OF INCOME - UNAUDITED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Pr>
          <w:p>
            <w:pPr>
              <w:spacing w:after="0"/>
              <w:rPr>
                <w:sz w:val="20"/>
                <w:szCs w:val="20"/>
                <w:color w:val="auto"/>
              </w:rPr>
            </w:pPr>
          </w:p>
        </w:tc>
        <w:tc>
          <w:tcPr>
            <w:tcW w:w="25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0"/>
        </w:trPr>
        <w:tc>
          <w:tcPr>
            <w:tcW w:w="5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3"/>
                <w:szCs w:val="23"/>
                <w:color w:val="auto"/>
              </w:rPr>
            </w:pPr>
          </w:p>
        </w:tc>
      </w:tr>
      <w:tr>
        <w:trPr>
          <w:trHeight w:val="27"/>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2019</w:t>
            </w:r>
          </w:p>
        </w:tc>
      </w:tr>
      <w:tr>
        <w:trPr>
          <w:trHeight w:val="27"/>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6"/>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7"/>
        </w:trPr>
        <w:tc>
          <w:tcPr>
            <w:tcW w:w="5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(Dollars in thousands except per share data)</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including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43,929</w:t>
            </w:r>
          </w:p>
        </w:tc>
        <w:tc>
          <w:tcPr>
            <w:tcW w:w="10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138,591</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142,319</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securities - taxable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w:t>
            </w:r>
          </w:p>
        </w:tc>
      </w:tr>
      <w:tr>
        <w:trPr>
          <w:trHeight w:val="243"/>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securities - tax-exempt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Deposits with financial institutions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43"/>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on bank stocks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153,914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161,038</w:t>
            </w: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51,421</w:t>
            </w:r>
          </w:p>
        </w:tc>
      </w:tr>
      <w:tr>
        <w:trPr>
          <w:trHeight w:val="243"/>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 funds purchased and repurchase agreements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r>
      <w:tr>
        <w:trPr>
          <w:trHeight w:val="243"/>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borrowings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54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interest expense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35,202</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56,773</w:t>
            </w:r>
          </w:p>
        </w:tc>
      </w:tr>
      <w:tr>
        <w:trPr>
          <w:trHeight w:val="23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118,712</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104,265</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Loan Losses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45,825</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w:t>
            </w:r>
          </w:p>
        </w:tc>
      </w:tr>
      <w:tr>
        <w:trPr>
          <w:trHeight w:val="23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 after Provision for Loan Losses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72,887</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93,715</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charges and fees on customer accounts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available-for-sale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43"/>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of premises and equipment held for sale</w:t>
            </w:r>
          </w:p>
        </w:tc>
        <w:tc>
          <w:tcPr>
            <w:tcW w:w="3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loans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bank-owned life insurance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Swap fee income,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r>
      <w:tr>
        <w:trPr>
          <w:trHeight w:val="243"/>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ATM and credit card interchange income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non-interest income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37"/>
        </w:trPr>
        <w:tc>
          <w:tcPr>
            <w:tcW w:w="5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43,296</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w:t>
            </w:r>
          </w:p>
        </w:tc>
      </w:tr>
      <w:tr>
        <w:trPr>
          <w:trHeight w:val="243"/>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 insurance premiums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43"/>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Data processing</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43"/>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Software and communication</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Foreclosed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r>
      <w:tr>
        <w:trPr>
          <w:trHeight w:val="236"/>
        </w:trPr>
        <w:tc>
          <w:tcPr>
            <w:tcW w:w="5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76,244</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65,763</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34,481</w:t>
            </w:r>
          </w:p>
        </w:tc>
      </w:tr>
      <w:tr>
        <w:trPr>
          <w:trHeight w:val="243"/>
        </w:trPr>
        <w:tc>
          <w:tcPr>
            <w:tcW w:w="5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29,173</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1"/>
                <w:szCs w:val="21"/>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9"/>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564"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 (unaudited)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64"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CROSSFIRST BANKSHARES,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STATEMENTS OF COMPREHENSIVE INCOME - UNAUDITED</w:t>
      </w:r>
    </w:p>
    <w:p>
      <w:pPr>
        <w:spacing w:after="0" w:line="174"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5300" w:type="dxa"/>
            <w:vAlign w:val="bottom"/>
          </w:tcPr>
          <w:p>
            <w:pPr>
              <w:spacing w:after="0"/>
              <w:rPr>
                <w:sz w:val="19"/>
                <w:szCs w:val="19"/>
                <w:color w:val="auto"/>
              </w:rPr>
            </w:pPr>
          </w:p>
        </w:tc>
        <w:tc>
          <w:tcPr>
            <w:tcW w:w="294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5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08"/>
        </w:trPr>
        <w:tc>
          <w:tcPr>
            <w:tcW w:w="5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40" w:type="dxa"/>
            <w:vAlign w:val="bottom"/>
            <w:gridSpan w:val="5"/>
          </w:tcPr>
          <w:p>
            <w:pPr>
              <w:ind w:left="2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29,173</w:t>
            </w:r>
          </w:p>
        </w:tc>
        <w:tc>
          <w:tcPr>
            <w:tcW w:w="0" w:type="dxa"/>
            <w:vAlign w:val="bottom"/>
          </w:tcPr>
          <w:p>
            <w:pPr>
              <w:spacing w:after="0"/>
              <w:rPr>
                <w:sz w:val="1"/>
                <w:szCs w:val="1"/>
                <w:color w:val="auto"/>
              </w:rPr>
            </w:pPr>
          </w:p>
        </w:tc>
      </w:tr>
      <w:tr>
        <w:trPr>
          <w:trHeight w:val="209"/>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on available-for-sale debt securities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28,084</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income tax</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0" w:type="dxa"/>
            <w:vAlign w:val="bottom"/>
          </w:tcPr>
          <w:p>
            <w:pPr>
              <w:spacing w:after="0"/>
              <w:rPr>
                <w:sz w:val="1"/>
                <w:szCs w:val="1"/>
                <w:color w:val="auto"/>
              </w:rPr>
            </w:pPr>
          </w:p>
        </w:tc>
      </w:tr>
      <w:tr>
        <w:trPr>
          <w:trHeight w:val="156"/>
        </w:trPr>
        <w:tc>
          <w:tcPr>
            <w:tcW w:w="530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Unrealized gain on available-for-sale debt securities, net of income</w:t>
            </w:r>
          </w:p>
        </w:tc>
        <w:tc>
          <w:tcPr>
            <w:tcW w:w="8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21,194</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tax</w:t>
            </w:r>
          </w:p>
        </w:tc>
        <w:tc>
          <w:tcPr>
            <w:tcW w:w="86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adjustment for realized gains included in income</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income tax</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55"/>
        </w:trPr>
        <w:tc>
          <w:tcPr>
            <w:tcW w:w="530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Less: reclassification adjustment for realized gains included in</w:t>
            </w:r>
          </w:p>
        </w:tc>
        <w:tc>
          <w:tcPr>
            <w:tcW w:w="8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income, net of income tax</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CROSSFIRST BANKSHARES,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STATEMENTS OF STOCKHOLDERS’ EQUITY - UNAUDITED</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90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204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Paid in</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40" w:type="dxa"/>
            <w:vAlign w:val="bottom"/>
          </w:tcPr>
          <w:p>
            <w:pPr>
              <w:spacing w:after="0"/>
              <w:rPr>
                <w:sz w:val="18"/>
                <w:szCs w:val="18"/>
                <w:color w:val="auto"/>
              </w:rPr>
            </w:pPr>
          </w:p>
        </w:tc>
        <w:tc>
          <w:tcPr>
            <w:tcW w:w="104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ind w:left="4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2019</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45,367,641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430,347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499,195</w:t>
            </w: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10,384</w:t>
            </w:r>
          </w:p>
        </w:tc>
        <w:tc>
          <w:tcPr>
            <w:tcW w:w="0" w:type="dxa"/>
            <w:vAlign w:val="bottom"/>
          </w:tcPr>
          <w:p>
            <w:pPr>
              <w:spacing w:after="0"/>
              <w:rPr>
                <w:sz w:val="1"/>
                <w:szCs w:val="1"/>
                <w:color w:val="auto"/>
              </w:rPr>
            </w:pPr>
          </w:p>
        </w:tc>
      </w:tr>
      <w:tr>
        <w:trPr>
          <w:trHeight w:val="165"/>
        </w:trPr>
        <w:tc>
          <w:tcPr>
            <w:tcW w:w="26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 in unrealized appreciation on</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shares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6,600,245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87,220</w:t>
            </w:r>
          </w:p>
        </w:tc>
        <w:tc>
          <w:tcPr>
            <w:tcW w:w="0" w:type="dxa"/>
            <w:vAlign w:val="bottom"/>
          </w:tcPr>
          <w:p>
            <w:pPr>
              <w:spacing w:after="0"/>
              <w:rPr>
                <w:sz w:val="1"/>
                <w:szCs w:val="1"/>
                <w:color w:val="auto"/>
              </w:rPr>
            </w:pPr>
          </w:p>
        </w:tc>
      </w:tr>
      <w:tr>
        <w:trPr>
          <w:trHeight w:val="165"/>
        </w:trPr>
        <w:tc>
          <w:tcPr>
            <w:tcW w:w="26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shares from equity-based</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awards</w:t>
            </w: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Employee receivables from sale of</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w:t>
            </w: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2019</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51,969,203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518,816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65,198</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602,435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1"/>
        </w:trPr>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90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204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Paid in</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40" w:type="dxa"/>
            <w:vAlign w:val="bottom"/>
          </w:tcPr>
          <w:p>
            <w:pPr>
              <w:spacing w:after="0"/>
              <w:rPr>
                <w:sz w:val="18"/>
                <w:szCs w:val="18"/>
                <w:color w:val="auto"/>
              </w:rPr>
            </w:pPr>
          </w:p>
        </w:tc>
        <w:tc>
          <w:tcPr>
            <w:tcW w:w="104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ind w:left="4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52,167,573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608,092</w:t>
            </w: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8,006</w:t>
            </w:r>
          </w:p>
        </w:tc>
        <w:tc>
          <w:tcPr>
            <w:tcW w:w="0" w:type="dxa"/>
            <w:vAlign w:val="bottom"/>
          </w:tcPr>
          <w:p>
            <w:pPr>
              <w:spacing w:after="0"/>
              <w:rPr>
                <w:sz w:val="1"/>
                <w:szCs w:val="1"/>
                <w:color w:val="auto"/>
              </w:rPr>
            </w:pPr>
          </w:p>
        </w:tc>
      </w:tr>
      <w:tr>
        <w:trPr>
          <w:trHeight w:val="162"/>
        </w:trPr>
        <w:tc>
          <w:tcPr>
            <w:tcW w:w="26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unrealized appreciation on</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shares from equity-based</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28,205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3"/>
        </w:trPr>
        <w:tc>
          <w:tcPr>
            <w:tcW w:w="2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awards</w:t>
            </w: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6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Employee receivables from sale of</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w:t>
            </w: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stock purchase additions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2020</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52,195,778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522,226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69,355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25,781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617,883</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7"/>
          </w:tcPr>
          <w:p>
            <w:pPr>
              <w:ind w:left="4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9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Paid in</w:t>
            </w:r>
          </w:p>
        </w:tc>
        <w:tc>
          <w:tcPr>
            <w:tcW w:w="120" w:type="dxa"/>
            <w:vAlign w:val="bottom"/>
          </w:tcPr>
          <w:p>
            <w:pPr>
              <w:spacing w:after="0"/>
              <w:rPr>
                <w:sz w:val="18"/>
                <w:szCs w:val="18"/>
                <w:color w:val="auto"/>
              </w:rPr>
            </w:pP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1060" w:type="dxa"/>
            <w:vAlign w:val="bottom"/>
            <w:tcBorders>
              <w:top w:val="single" w:sz="8" w:color="auto"/>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80" w:type="dxa"/>
            <w:vAlign w:val="bottom"/>
            <w:tcBorders>
              <w:top w:val="single" w:sz="8" w:color="auto"/>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8"/>
          </w:tcPr>
          <w:p>
            <w:pPr>
              <w:ind w:left="4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45,074,322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30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490,336</w:t>
            </w: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4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29,173</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unrealized appreciation on</w:t>
            </w:r>
          </w:p>
        </w:tc>
        <w:tc>
          <w:tcPr>
            <w:tcW w:w="106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4"/>
                <w:szCs w:val="14"/>
                <w:color w:val="auto"/>
              </w:rPr>
            </w:pPr>
          </w:p>
        </w:tc>
        <w:tc>
          <w:tcPr>
            <w:tcW w:w="4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20,842</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060" w:type="dxa"/>
            <w:vAlign w:val="bottom"/>
            <w:gridSpan w:val="4"/>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4"/>
            <w:vMerge w:val="continue"/>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shares</w:t>
            </w: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4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6,851,213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88,937</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shares from equity-based</w:t>
            </w:r>
          </w:p>
        </w:tc>
        <w:tc>
          <w:tcPr>
            <w:tcW w:w="106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4"/>
                <w:szCs w:val="14"/>
                <w:color w:val="auto"/>
              </w:rPr>
            </w:pPr>
          </w:p>
        </w:tc>
        <w:tc>
          <w:tcPr>
            <w:tcW w:w="4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53,668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awards</w:t>
            </w:r>
          </w:p>
        </w:tc>
        <w:tc>
          <w:tcPr>
            <w:tcW w:w="1060" w:type="dxa"/>
            <w:vAlign w:val="bottom"/>
            <w:gridSpan w:val="4"/>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4"/>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Retired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(30,155)</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dividends declared</w:t>
            </w:r>
          </w:p>
        </w:tc>
        <w:tc>
          <w:tcPr>
            <w:tcW w:w="10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4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162"/>
        </w:trPr>
        <w:tc>
          <w:tcPr>
            <w:tcW w:w="26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Employee receivables from sale of</w:t>
            </w:r>
          </w:p>
        </w:tc>
        <w:tc>
          <w:tcPr>
            <w:tcW w:w="10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4"/>
                <w:szCs w:val="14"/>
                <w:color w:val="auto"/>
              </w:rPr>
            </w:pPr>
          </w:p>
        </w:tc>
        <w:tc>
          <w:tcPr>
            <w:tcW w:w="4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3"/>
        </w:trPr>
        <w:tc>
          <w:tcPr>
            <w:tcW w:w="2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w:t>
            </w:r>
          </w:p>
        </w:tc>
        <w:tc>
          <w:tcPr>
            <w:tcW w:w="1060" w:type="dxa"/>
            <w:vAlign w:val="bottom"/>
            <w:gridSpan w:val="4"/>
            <w:vMerge w:val="continue"/>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gridSpan w:val="4"/>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4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w:t>
            </w:r>
          </w:p>
        </w:tc>
        <w:tc>
          <w:tcPr>
            <w:tcW w:w="0" w:type="dxa"/>
            <w:vAlign w:val="bottom"/>
          </w:tcPr>
          <w:p>
            <w:pPr>
              <w:spacing w:after="0"/>
              <w:rPr>
                <w:sz w:val="1"/>
                <w:szCs w:val="1"/>
                <w:color w:val="auto"/>
              </w:rPr>
            </w:pPr>
          </w:p>
        </w:tc>
      </w:tr>
      <w:tr>
        <w:trPr>
          <w:trHeight w:val="162"/>
        </w:trPr>
        <w:tc>
          <w:tcPr>
            <w:tcW w:w="26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Employee stock purchase plan</w:t>
            </w:r>
          </w:p>
        </w:tc>
        <w:tc>
          <w:tcPr>
            <w:tcW w:w="10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4"/>
                <w:szCs w:val="14"/>
                <w:color w:val="auto"/>
              </w:rPr>
            </w:pPr>
          </w:p>
        </w:tc>
        <w:tc>
          <w:tcPr>
            <w:tcW w:w="4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6"/>
        </w:trPr>
        <w:tc>
          <w:tcPr>
            <w:tcW w:w="2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additions</w:t>
            </w:r>
          </w:p>
        </w:tc>
        <w:tc>
          <w:tcPr>
            <w:tcW w:w="1060" w:type="dxa"/>
            <w:vAlign w:val="bottom"/>
            <w:gridSpan w:val="4"/>
            <w:vMerge w:val="continue"/>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gridSpan w:val="4"/>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Adoption of ASU 2016-01</w:t>
            </w:r>
          </w:p>
        </w:tc>
        <w:tc>
          <w:tcPr>
            <w:tcW w:w="10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Adoption of ASU 2018-07</w:t>
            </w: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4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2019</w:t>
            </w:r>
          </w:p>
        </w:tc>
        <w:tc>
          <w:tcPr>
            <w:tcW w:w="9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51,969,203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518,816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65,198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602,435</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2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7"/>
          </w:tcPr>
          <w:p>
            <w:pPr>
              <w:ind w:left="4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96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20" w:type="dxa"/>
            <w:vAlign w:val="bottom"/>
          </w:tcPr>
          <w:p>
            <w:pPr>
              <w:spacing w:after="0"/>
              <w:rPr>
                <w:sz w:val="18"/>
                <w:szCs w:val="18"/>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1060" w:type="dxa"/>
            <w:vAlign w:val="bottom"/>
            <w:tcBorders>
              <w:top w:val="single" w:sz="8" w:color="auto"/>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auto"/>
            </w:tcBorders>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8"/>
          </w:tcPr>
          <w:p>
            <w:pPr>
              <w:ind w:left="4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2019</w:t>
            </w: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51,969,203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16,451</w:t>
            </w:r>
          </w:p>
        </w:tc>
        <w:tc>
          <w:tcPr>
            <w:tcW w:w="3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601,644</w:t>
            </w: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4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unrealized appreciation on</w:t>
            </w:r>
          </w:p>
        </w:tc>
        <w:tc>
          <w:tcPr>
            <w:tcW w:w="106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4"/>
                <w:szCs w:val="14"/>
                <w:color w:val="auto"/>
              </w:rPr>
            </w:pPr>
          </w:p>
        </w:tc>
        <w:tc>
          <w:tcPr>
            <w:tcW w:w="4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9,330</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060" w:type="dxa"/>
            <w:vAlign w:val="bottom"/>
            <w:gridSpan w:val="4"/>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4"/>
            <w:vMerge w:val="continue"/>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shares from equity-based</w:t>
            </w:r>
          </w:p>
        </w:tc>
        <w:tc>
          <w:tcPr>
            <w:tcW w:w="10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4"/>
                <w:szCs w:val="14"/>
                <w:color w:val="auto"/>
              </w:rPr>
            </w:pPr>
          </w:p>
        </w:tc>
        <w:tc>
          <w:tcPr>
            <w:tcW w:w="4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226,575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0" w:type="dxa"/>
            <w:vAlign w:val="bottom"/>
          </w:tcPr>
          <w:p>
            <w:pPr>
              <w:spacing w:after="0"/>
              <w:rPr>
                <w:sz w:val="1"/>
                <w:szCs w:val="1"/>
                <w:color w:val="auto"/>
              </w:rPr>
            </w:pPr>
          </w:p>
        </w:tc>
      </w:tr>
      <w:tr>
        <w:trPr>
          <w:trHeight w:val="213"/>
        </w:trPr>
        <w:tc>
          <w:tcPr>
            <w:tcW w:w="2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awards</w:t>
            </w:r>
          </w:p>
        </w:tc>
        <w:tc>
          <w:tcPr>
            <w:tcW w:w="1060" w:type="dxa"/>
            <w:vAlign w:val="bottom"/>
            <w:gridSpan w:val="4"/>
            <w:vMerge w:val="continue"/>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gridSpan w:val="4"/>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Employee receivables from sale of</w:t>
            </w:r>
          </w:p>
        </w:tc>
        <w:tc>
          <w:tcPr>
            <w:tcW w:w="106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4"/>
                <w:szCs w:val="14"/>
                <w:color w:val="auto"/>
              </w:rPr>
            </w:pPr>
          </w:p>
        </w:tc>
        <w:tc>
          <w:tcPr>
            <w:tcW w:w="4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w:t>
            </w:r>
          </w:p>
        </w:tc>
        <w:tc>
          <w:tcPr>
            <w:tcW w:w="1060" w:type="dxa"/>
            <w:vAlign w:val="bottom"/>
            <w:gridSpan w:val="4"/>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4"/>
            <w:vMerge w:val="continue"/>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4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Employee stock purchase plan</w:t>
            </w:r>
          </w:p>
        </w:tc>
        <w:tc>
          <w:tcPr>
            <w:tcW w:w="106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4"/>
                <w:szCs w:val="14"/>
                <w:color w:val="auto"/>
              </w:rPr>
            </w:pPr>
          </w:p>
        </w:tc>
        <w:tc>
          <w:tcPr>
            <w:tcW w:w="4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additions</w:t>
            </w:r>
          </w:p>
        </w:tc>
        <w:tc>
          <w:tcPr>
            <w:tcW w:w="1060" w:type="dxa"/>
            <w:vAlign w:val="bottom"/>
            <w:gridSpan w:val="4"/>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4"/>
            <w:vMerge w:val="continue"/>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2020</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52,195,778</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522,226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25,781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617,883</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CROSSFIRST BANKSHARES,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STATEMENTS OF CASH FLOWS - UNAUDITED</w:t>
      </w:r>
    </w:p>
    <w:p>
      <w:pPr>
        <w:spacing w:after="0" w:line="120"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0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8"/>
        </w:trPr>
        <w:tc>
          <w:tcPr>
            <w:tcW w:w="7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Pr>
          <w:p>
            <w:pPr>
              <w:spacing w:after="0"/>
              <w:rPr>
                <w:sz w:val="19"/>
                <w:szCs w:val="19"/>
                <w:color w:val="auto"/>
              </w:rPr>
            </w:pP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29,173</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Items not requiring (providing) cash</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0" w:type="dxa"/>
            <w:vAlign w:val="bottom"/>
          </w:tcPr>
          <w:p>
            <w:pPr>
              <w:spacing w:after="0"/>
              <w:rPr>
                <w:sz w:val="1"/>
                <w:szCs w:val="1"/>
                <w:color w:val="auto"/>
              </w:rPr>
            </w:pPr>
          </w:p>
        </w:tc>
      </w:tr>
      <w:tr>
        <w:trPr>
          <w:trHeight w:val="229"/>
        </w:trPr>
        <w:tc>
          <w:tcPr>
            <w:tcW w:w="7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Accretion of discounts and amortization of premiums on securities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0" w:type="dxa"/>
            <w:vAlign w:val="bottom"/>
          </w:tcPr>
          <w:p>
            <w:pPr>
              <w:spacing w:after="0"/>
              <w:rPr>
                <w:sz w:val="1"/>
                <w:szCs w:val="1"/>
                <w:color w:val="auto"/>
              </w:rPr>
            </w:pPr>
          </w:p>
        </w:tc>
      </w:tr>
      <w:tr>
        <w:trPr>
          <w:trHeight w:val="230"/>
        </w:trPr>
        <w:tc>
          <w:tcPr>
            <w:tcW w:w="7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Foreclosed asset impairment</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Deferred income taxes</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30"/>
        </w:trPr>
        <w:tc>
          <w:tcPr>
            <w:tcW w:w="7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realized gains on available-for-sale debt securities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Goodwill impairment</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w:t>
            </w: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Interest receivable</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29"/>
        </w:trPr>
        <w:tc>
          <w:tcPr>
            <w:tcW w:w="7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liabilities</w:t>
            </w:r>
          </w:p>
        </w:tc>
        <w:tc>
          <w:tcPr>
            <w:tcW w:w="1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13,261</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53,188</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54,670</w:t>
            </w: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change in loans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(652,251)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(576,897)</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(157,492)</w:t>
            </w:r>
          </w:p>
        </w:tc>
        <w:tc>
          <w:tcPr>
            <w:tcW w:w="0" w:type="dxa"/>
            <w:vAlign w:val="bottom"/>
          </w:tcPr>
          <w:p>
            <w:pPr>
              <w:spacing w:after="0"/>
              <w:rPr>
                <w:sz w:val="1"/>
                <w:szCs w:val="1"/>
                <w:color w:val="auto"/>
              </w:rPr>
            </w:pPr>
          </w:p>
        </w:tc>
      </w:tr>
      <w:tr>
        <w:trPr>
          <w:trHeight w:val="230"/>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maturities of available-for-sale securities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48,658</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available-for-sale securities</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63,515</w:t>
            </w:r>
          </w:p>
        </w:tc>
        <w:tc>
          <w:tcPr>
            <w:tcW w:w="0" w:type="dxa"/>
            <w:vAlign w:val="bottom"/>
          </w:tcPr>
          <w:p>
            <w:pPr>
              <w:spacing w:after="0"/>
              <w:rPr>
                <w:sz w:val="1"/>
                <w:szCs w:val="1"/>
                <w:color w:val="auto"/>
              </w:rPr>
            </w:pPr>
          </w:p>
        </w:tc>
      </w:tr>
      <w:tr>
        <w:trPr>
          <w:trHeight w:val="230"/>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premises and equipment</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sale of fixed assets</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Purchase of restricted equity securities, net</w:t>
            </w:r>
          </w:p>
        </w:tc>
        <w:tc>
          <w:tcPr>
            <w:tcW w:w="1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(560,805)</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(620,273)</w:t>
            </w:r>
          </w:p>
        </w:tc>
        <w:tc>
          <w:tcPr>
            <w:tcW w:w="0" w:type="dxa"/>
            <w:vAlign w:val="bottom"/>
          </w:tcPr>
          <w:p>
            <w:pPr>
              <w:spacing w:after="0"/>
              <w:rPr>
                <w:sz w:val="1"/>
                <w:szCs w:val="1"/>
                <w:color w:val="auto"/>
              </w:rPr>
            </w:pP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in demand deposits, savings, NOW and money market accounts</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667,849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237,934</w:t>
            </w:r>
          </w:p>
        </w:tc>
        <w:tc>
          <w:tcPr>
            <w:tcW w:w="0" w:type="dxa"/>
            <w:vAlign w:val="bottom"/>
          </w:tcPr>
          <w:p>
            <w:pPr>
              <w:spacing w:after="0"/>
              <w:rPr>
                <w:sz w:val="1"/>
                <w:szCs w:val="1"/>
                <w:color w:val="auto"/>
              </w:rPr>
            </w:pPr>
          </w:p>
        </w:tc>
      </w:tr>
      <w:tr>
        <w:trPr>
          <w:trHeight w:val="229"/>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increase (decrease) in time deposits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212,077</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decrease in repurchase agreements and federal funds purchased</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(50,596)</w:t>
            </w:r>
          </w:p>
        </w:tc>
        <w:tc>
          <w:tcPr>
            <w:tcW w:w="0" w:type="dxa"/>
            <w:vAlign w:val="bottom"/>
          </w:tcPr>
          <w:p>
            <w:pPr>
              <w:spacing w:after="0"/>
              <w:rPr>
                <w:sz w:val="1"/>
                <w:szCs w:val="1"/>
                <w:color w:val="auto"/>
              </w:rPr>
            </w:pPr>
          </w:p>
        </w:tc>
      </w:tr>
      <w:tr>
        <w:trPr>
          <w:trHeight w:val="230"/>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increase in federal funds sold</w:t>
            </w:r>
          </w:p>
        </w:tc>
        <w:tc>
          <w:tcPr>
            <w:tcW w:w="1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Federal Home Loan Bank advances</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30"/>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Federal Home Loan Bank advances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(160,643)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(50,181)</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Retirement of preferred stock</w:t>
            </w:r>
          </w:p>
        </w:tc>
        <w:tc>
          <w:tcPr>
            <w:tcW w:w="1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shares, net of issuance cost</w:t>
            </w:r>
          </w:p>
        </w:tc>
        <w:tc>
          <w:tcPr>
            <w:tcW w:w="1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88,782</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common stock for tax withholding obligations</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0"/>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decrease in employee receivables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paid on preferred stock</w:t>
            </w:r>
          </w:p>
        </w:tc>
        <w:tc>
          <w:tcPr>
            <w:tcW w:w="1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543,933</w:t>
            </w:r>
          </w:p>
        </w:tc>
        <w:tc>
          <w:tcPr>
            <w:tcW w:w="10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477,188</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(88,415)</w:t>
            </w:r>
          </w:p>
        </w:tc>
        <w:tc>
          <w:tcPr>
            <w:tcW w:w="0" w:type="dxa"/>
            <w:vAlign w:val="bottom"/>
          </w:tcPr>
          <w:p>
            <w:pPr>
              <w:spacing w:after="0"/>
              <w:rPr>
                <w:sz w:val="1"/>
                <w:szCs w:val="1"/>
                <w:color w:val="auto"/>
              </w:rPr>
            </w:pPr>
          </w:p>
        </w:tc>
      </w:tr>
      <w:tr>
        <w:trPr>
          <w:trHeight w:val="229"/>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187,320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216,541</w:t>
            </w:r>
          </w:p>
        </w:tc>
        <w:tc>
          <w:tcPr>
            <w:tcW w:w="0" w:type="dxa"/>
            <w:vAlign w:val="bottom"/>
          </w:tcPr>
          <w:p>
            <w:pPr>
              <w:spacing w:after="0"/>
              <w:rPr>
                <w:sz w:val="1"/>
                <w:szCs w:val="1"/>
                <w:color w:val="auto"/>
              </w:rPr>
            </w:pPr>
          </w:p>
        </w:tc>
      </w:tr>
      <w:tr>
        <w:trPr>
          <w:trHeight w:val="221"/>
        </w:trPr>
        <w:tc>
          <w:tcPr>
            <w:tcW w:w="70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and Cash Equivalents, End of Period</w:t>
            </w:r>
          </w:p>
        </w:tc>
        <w:tc>
          <w:tcPr>
            <w:tcW w:w="1180" w:type="dxa"/>
            <w:vAlign w:val="bottom"/>
            <w:tcBorders>
              <w:bottom w:val="single" w:sz="8" w:color="auto"/>
            </w:tcBorders>
            <w:shd w:val="clear" w:color="auto" w:fill="CCEEFF"/>
          </w:tcPr>
          <w:p>
            <w:pPr>
              <w:jc w:val="right"/>
              <w:ind w:right="9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223,636</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128,126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Flows Information</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paid</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0" w:type="dxa"/>
            <w:vAlign w:val="bottom"/>
          </w:tcPr>
          <w:p>
            <w:pPr>
              <w:spacing w:after="0"/>
              <w:rPr>
                <w:sz w:val="1"/>
                <w:szCs w:val="1"/>
                <w:color w:val="auto"/>
              </w:rPr>
            </w:pPr>
          </w:p>
        </w:tc>
      </w:tr>
      <w:tr>
        <w:trPr>
          <w:trHeight w:val="230"/>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paid</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Foreclosed assets in settlement of loans</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 (unaudited)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Note 1:</w:t>
      </w:r>
      <w:r>
        <w:rPr>
          <w:sz w:val="20"/>
          <w:szCs w:val="20"/>
          <w:color w:val="auto"/>
        </w:rPr>
        <w:tab/>
      </w:r>
      <w:r>
        <w:rPr>
          <w:rFonts w:ascii="Times New Roman" w:cs="Times New Roman" w:eastAsia="Times New Roman" w:hAnsi="Times New Roman"/>
          <w:sz w:val="21"/>
          <w:szCs w:val="21"/>
          <w:b w:val="1"/>
          <w:bCs w:val="1"/>
          <w:color w:val="auto"/>
        </w:rPr>
        <w:t>Nature of Operations and Summary of Significant Accounting Policies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Organization and Nature of Operations</w:t>
      </w:r>
    </w:p>
    <w:p>
      <w:pPr>
        <w:spacing w:after="0" w:line="166" w:lineRule="exact"/>
        <w:rPr>
          <w:sz w:val="20"/>
          <w:szCs w:val="20"/>
          <w:color w:val="auto"/>
        </w:rPr>
      </w:pPr>
    </w:p>
    <w:p>
      <w:pPr>
        <w:jc w:val="both"/>
        <w:ind w:left="180" w:right="440" w:firstLine="486"/>
        <w:spacing w:after="0" w:line="266" w:lineRule="auto"/>
        <w:rPr>
          <w:sz w:val="20"/>
          <w:szCs w:val="20"/>
          <w:color w:val="auto"/>
        </w:rPr>
      </w:pPr>
      <w:r>
        <w:rPr>
          <w:rFonts w:ascii="Times New Roman" w:cs="Times New Roman" w:eastAsia="Times New Roman" w:hAnsi="Times New Roman"/>
          <w:sz w:val="18"/>
          <w:szCs w:val="18"/>
          <w:color w:val="auto"/>
        </w:rPr>
        <w:t>CrossFirst Bankshares, Inc. (the “Company”) is a bank holding company whose principal activities are the ownership and management of its wholly-owned subsidiaries, CrossFirst Bank (the “Bank”) and CFSA, LLC, which holds cash. In addition, CrossFirst Investments, Inc. (“CFI”) is a wholly-owned subsidiary of the Bank, which holds investments in marketable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Basis of Presentation</w:t>
      </w:r>
    </w:p>
    <w:p>
      <w:pPr>
        <w:spacing w:after="0" w:line="166" w:lineRule="exact"/>
        <w:rPr>
          <w:sz w:val="20"/>
          <w:szCs w:val="20"/>
          <w:color w:val="auto"/>
        </w:rPr>
      </w:pPr>
    </w:p>
    <w:p>
      <w:pPr>
        <w:jc w:val="both"/>
        <w:ind w:left="180" w:right="500" w:firstLine="486"/>
        <w:spacing w:after="0" w:line="266" w:lineRule="auto"/>
        <w:rPr>
          <w:sz w:val="20"/>
          <w:szCs w:val="20"/>
          <w:color w:val="auto"/>
        </w:rPr>
      </w:pPr>
      <w:r>
        <w:rPr>
          <w:rFonts w:ascii="Times New Roman" w:cs="Times New Roman" w:eastAsia="Times New Roman" w:hAnsi="Times New Roman"/>
          <w:sz w:val="18"/>
          <w:szCs w:val="18"/>
          <w:color w:val="auto"/>
        </w:rPr>
        <w:t>The Company’s accounting and reporting policies conform to accounting principles generally accepted in the United States (“GAAP”). The consolidated financial statements include the accounts of the Company, the Bank, CFI and CFSA, LLC. All significant intercompany accounts and transactions have been eliminated in consolidation.</w:t>
      </w:r>
    </w:p>
    <w:p>
      <w:pPr>
        <w:spacing w:after="0" w:line="122" w:lineRule="exact"/>
        <w:rPr>
          <w:sz w:val="20"/>
          <w:szCs w:val="20"/>
          <w:color w:val="auto"/>
        </w:rPr>
      </w:pPr>
    </w:p>
    <w:p>
      <w:pPr>
        <w:ind w:left="180" w:right="80" w:firstLine="486"/>
        <w:spacing w:after="0" w:line="261" w:lineRule="auto"/>
        <w:rPr>
          <w:sz w:val="20"/>
          <w:szCs w:val="20"/>
          <w:color w:val="auto"/>
        </w:rPr>
      </w:pPr>
      <w:r>
        <w:rPr>
          <w:rFonts w:ascii="Times New Roman" w:cs="Times New Roman" w:eastAsia="Times New Roman" w:hAnsi="Times New Roman"/>
          <w:sz w:val="18"/>
          <w:szCs w:val="18"/>
          <w:color w:val="auto"/>
        </w:rPr>
        <w:t>The consolidated interim financial statements are unaudited and certain information and footnote disclosures presented in accordance with GAAP have been condensed or omitted and should be read in conjunction with the Company’s consolidated financial statements, and footnotes included in the Company’s Annual Report on Form 10-K for the year ended December 31, 2019 (the “2019 Form 10-K”), filed with the Securities and Exchange Commission (the “SEC”) on March 10, 2020.</w:t>
      </w:r>
    </w:p>
    <w:p>
      <w:pPr>
        <w:spacing w:after="0" w:line="126" w:lineRule="exact"/>
        <w:rPr>
          <w:sz w:val="20"/>
          <w:szCs w:val="20"/>
          <w:color w:val="auto"/>
        </w:rPr>
      </w:pPr>
    </w:p>
    <w:p>
      <w:pPr>
        <w:ind w:left="180" w:right="200" w:firstLine="486"/>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interim financial statements include all adjustments which are of a normal, recurring nature necessary for the fair presentation of the financial position, results of operations, and cash flows of the Company and the disclosures made are adequate to make the interim financial information not misleading. The consolidated financial statements have been prepared in accordance with GAAP for interim financial information and the instructions to Form 10-Q adopted by the SEC.</w:t>
      </w:r>
    </w:p>
    <w:p>
      <w:pPr>
        <w:spacing w:after="0" w:line="126" w:lineRule="exact"/>
        <w:rPr>
          <w:sz w:val="20"/>
          <w:szCs w:val="20"/>
          <w:color w:val="auto"/>
        </w:rPr>
      </w:pPr>
    </w:p>
    <w:p>
      <w:pPr>
        <w:ind w:left="180" w:right="20" w:firstLine="486"/>
        <w:spacing w:after="0" w:line="256" w:lineRule="auto"/>
        <w:rPr>
          <w:sz w:val="20"/>
          <w:szCs w:val="20"/>
          <w:color w:val="auto"/>
        </w:rPr>
      </w:pPr>
      <w:r>
        <w:rPr>
          <w:rFonts w:ascii="Times New Roman" w:cs="Times New Roman" w:eastAsia="Times New Roman" w:hAnsi="Times New Roman"/>
          <w:sz w:val="18"/>
          <w:szCs w:val="18"/>
          <w:color w:val="auto"/>
        </w:rPr>
        <w:t>Except for the accounting changes mentioned under “Coronavirus Aid, Relief, and Economic Security Act” and “Change in Accounting Principle” section below, no other significant changes in the accounting policies of the Company occurred since December 31, 2019, the most recent date financial statements were provided within the Company’s 2019 Form 10-K. The information contained in the financial statements and footnotes for the period ended December 31, 2019 included in the Company’s 2019 Form 10-K should be referred to in connection with these unaudited interim consolidated financial statements. Operating results for the interim periods disclosed herein are not necessarily indicative of the results that may be expected for a full year or any future period.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Use of Estimates</w:t>
      </w:r>
    </w:p>
    <w:p>
      <w:pPr>
        <w:spacing w:after="0" w:line="166" w:lineRule="exact"/>
        <w:rPr>
          <w:sz w:val="20"/>
          <w:szCs w:val="20"/>
          <w:color w:val="auto"/>
        </w:rPr>
      </w:pPr>
    </w:p>
    <w:p>
      <w:pPr>
        <w:ind w:left="180" w:firstLine="486"/>
        <w:spacing w:after="0" w:line="256" w:lineRule="auto"/>
        <w:rPr>
          <w:sz w:val="20"/>
          <w:szCs w:val="20"/>
          <w:color w:val="auto"/>
        </w:rPr>
      </w:pPr>
      <w:r>
        <w:rPr>
          <w:rFonts w:ascii="Times New Roman" w:cs="Times New Roman" w:eastAsia="Times New Roman" w:hAnsi="Times New Roman"/>
          <w:sz w:val="18"/>
          <w:szCs w:val="18"/>
          <w:color w:val="auto"/>
        </w:rPr>
        <w:t>The Company identified accounting policies and estimates that, due to the difficult, subjective or complex judgments and assumptions inherent in those policies and estimates and the potential sensitivity of the Company’s financial statements to those judgments and assumptions, are critical to an understanding of the Company’s financial condition and results of operations. Actual results could differ from those estimates. In particular, the novel coronavirus (“COVID-19”) pandemic and resulting impacts to economic conditions, as well as, adverse impacts to the Company’s operations may impact future estimates. The Allowance for Loan and Lease Losses, Deferred Tax Asset, and Fair Value of Financial Instruments are particularly susceptible to significant change.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 Equivalents</w:t>
      </w:r>
    </w:p>
    <w:p>
      <w:pPr>
        <w:spacing w:after="0" w:line="166" w:lineRule="exact"/>
        <w:rPr>
          <w:sz w:val="20"/>
          <w:szCs w:val="20"/>
          <w:color w:val="auto"/>
        </w:rPr>
      </w:pPr>
    </w:p>
    <w:p>
      <w:pPr>
        <w:ind w:left="180" w:right="200" w:firstLine="486"/>
        <w:spacing w:after="0" w:line="282" w:lineRule="auto"/>
        <w:rPr>
          <w:sz w:val="20"/>
          <w:szCs w:val="20"/>
          <w:color w:val="auto"/>
        </w:rPr>
      </w:pPr>
      <w:r>
        <w:rPr>
          <w:rFonts w:ascii="Times New Roman" w:cs="Times New Roman" w:eastAsia="Times New Roman" w:hAnsi="Times New Roman"/>
          <w:sz w:val="18"/>
          <w:szCs w:val="18"/>
          <w:color w:val="auto"/>
        </w:rPr>
        <w:t>The Company had $176 million of cash and cash equivalents at the Federal Reserve Bank of Kansas City as of September 30, 2020. The reserve required at September 30, 2020 was $0.</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Coronavirus Aid, Relief, and Economic Security Act (“CARES Act”)</w:t>
      </w:r>
    </w:p>
    <w:p>
      <w:pPr>
        <w:spacing w:after="0" w:line="166" w:lineRule="exact"/>
        <w:rPr>
          <w:sz w:val="20"/>
          <w:szCs w:val="20"/>
          <w:color w:val="auto"/>
        </w:rPr>
      </w:pPr>
    </w:p>
    <w:p>
      <w:pPr>
        <w:ind w:left="180" w:right="100" w:firstLine="486"/>
        <w:spacing w:after="0" w:line="258" w:lineRule="auto"/>
        <w:rPr>
          <w:sz w:val="20"/>
          <w:szCs w:val="20"/>
          <w:color w:val="auto"/>
        </w:rPr>
      </w:pPr>
      <w:r>
        <w:rPr>
          <w:rFonts w:ascii="Times New Roman" w:cs="Times New Roman" w:eastAsia="Times New Roman" w:hAnsi="Times New Roman"/>
          <w:sz w:val="18"/>
          <w:szCs w:val="18"/>
          <w:color w:val="auto"/>
        </w:rPr>
        <w:t>The CARES Act allows financial institutions to elect not to consider whether loan modifications relating to the COVID-19 pandemic that they make between March 1, 2020 and the earlier of December 31, 2020 or 60 days after the national emergency related to the COVID-19 pandemic ends are troubled debt restructurings (“TDRs”), which require additional disclosures. The relief can be applied to modifications of loans to borrowers that were not more than 30 days past due as of December 31, 2019. The Company elected to apply the guidance during the first quarter of 2020. The review of loans that meet the criteria is overseen by the Office of the Chief Credit Officer and his team.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Loans Individually Evaluated for Impairment</w:t>
      </w:r>
    </w:p>
    <w:p>
      <w:pPr>
        <w:spacing w:after="0" w:line="166" w:lineRule="exact"/>
        <w:rPr>
          <w:sz w:val="20"/>
          <w:szCs w:val="20"/>
          <w:color w:val="auto"/>
        </w:rPr>
      </w:pPr>
    </w:p>
    <w:p>
      <w:pPr>
        <w:jc w:val="both"/>
        <w:ind w:left="180" w:right="40" w:firstLine="486"/>
        <w:spacing w:after="0" w:line="266" w:lineRule="auto"/>
        <w:rPr>
          <w:sz w:val="20"/>
          <w:szCs w:val="20"/>
          <w:color w:val="auto"/>
        </w:rPr>
      </w:pPr>
      <w:r>
        <w:rPr>
          <w:rFonts w:ascii="Times New Roman" w:cs="Times New Roman" w:eastAsia="Times New Roman" w:hAnsi="Times New Roman"/>
          <w:sz w:val="18"/>
          <w:szCs w:val="18"/>
          <w:color w:val="auto"/>
        </w:rPr>
        <w:t>Prior to the quarter ended June 30, 2020, loans risk rated substandard or lower were considered impaired and evaluated on an individual basis. As of June 30, 2020 and periods going forward, loans risk rated substandard and on accrual were evaluated collectively. The new approach provided a better estimate of potential losses inherent in the substandard portfolio.</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0" w:name="page11"/>
    <w:bookmarkEnd w:id="10"/>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ind w:left="180" w:right="260" w:firstLine="486"/>
        <w:spacing w:after="0" w:line="261" w:lineRule="auto"/>
        <w:rPr>
          <w:sz w:val="20"/>
          <w:szCs w:val="20"/>
          <w:color w:val="auto"/>
        </w:rPr>
      </w:pPr>
      <w:r>
        <w:rPr>
          <w:rFonts w:ascii="Times New Roman" w:cs="Times New Roman" w:eastAsia="Times New Roman" w:hAnsi="Times New Roman"/>
          <w:sz w:val="18"/>
          <w:szCs w:val="18"/>
          <w:color w:val="auto"/>
        </w:rPr>
        <w:t>A loan is considered impaired when, based on current information and events, it is probable that the Company will be unable to collect the scheduled payments of principal and interest when due according to the contractual terms of the loan agreement. The Company’s definition of a substandard credit was unchanged. Substandard loans exhibit a well-defined weakness or weaknesses that jeopardize repayment. A distinct possibility exists that the Company will sustain some loss if deficiencies are not corrected.</w:t>
      </w:r>
    </w:p>
    <w:p>
      <w:pPr>
        <w:spacing w:after="0" w:line="126" w:lineRule="exact"/>
        <w:rPr>
          <w:sz w:val="20"/>
          <w:szCs w:val="20"/>
          <w:color w:val="auto"/>
        </w:rPr>
      </w:pPr>
    </w:p>
    <w:p>
      <w:pPr>
        <w:ind w:left="180" w:right="60" w:firstLine="486"/>
        <w:spacing w:after="0" w:line="261" w:lineRule="auto"/>
        <w:rPr>
          <w:sz w:val="20"/>
          <w:szCs w:val="20"/>
          <w:color w:val="auto"/>
        </w:rPr>
      </w:pPr>
      <w:r>
        <w:rPr>
          <w:rFonts w:ascii="Times New Roman" w:cs="Times New Roman" w:eastAsia="Times New Roman" w:hAnsi="Times New Roman"/>
          <w:sz w:val="18"/>
          <w:szCs w:val="18"/>
          <w:color w:val="auto"/>
        </w:rPr>
        <w:t>Loss potential, while existing in the aggregate amount of substandard loans, does not have to exist in individual loans classified substandard. As a result, the Company revised its allowance methodology to evaluate substandard, performing loans collectively for impairment as opposed to evaluating these loans individually for impairment. At June 30, 2020, the change in methodology impacted $200 million of performing, substandard loans that were reviewed on a collective basis.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Change in Accounting Principle</w:t>
      </w:r>
    </w:p>
    <w:p>
      <w:pPr>
        <w:spacing w:after="0" w:line="166" w:lineRule="exact"/>
        <w:rPr>
          <w:sz w:val="20"/>
          <w:szCs w:val="20"/>
          <w:color w:val="auto"/>
        </w:rPr>
      </w:pPr>
    </w:p>
    <w:p>
      <w:pPr>
        <w:ind w:left="180" w:right="20" w:firstLine="486"/>
        <w:spacing w:after="0" w:line="266" w:lineRule="auto"/>
        <w:rPr>
          <w:sz w:val="20"/>
          <w:szCs w:val="20"/>
          <w:color w:val="auto"/>
        </w:rPr>
      </w:pPr>
      <w:r>
        <w:rPr>
          <w:rFonts w:ascii="Times New Roman" w:cs="Times New Roman" w:eastAsia="Times New Roman" w:hAnsi="Times New Roman"/>
          <w:sz w:val="18"/>
          <w:szCs w:val="18"/>
          <w:color w:val="auto"/>
        </w:rPr>
        <w:t>On January 1, 2020, the Company adopted the Financial Accounting Standards Board (“FASB”) Accounting Standard Update (“ASU”) 2017-04, Intangibles—Goodwill and Other (Topic 350): Simplifying the Test for Goodwill Impairment, which was applied on a prospective basis. A description of the nature and reason for the change in accounting principle is provided below in the recent accounting pronouncements section.</w:t>
      </w:r>
    </w:p>
    <w:p>
      <w:pPr>
        <w:spacing w:after="0" w:line="122" w:lineRule="exact"/>
        <w:rPr>
          <w:sz w:val="20"/>
          <w:szCs w:val="20"/>
          <w:color w:val="auto"/>
        </w:rPr>
      </w:pPr>
    </w:p>
    <w:p>
      <w:pPr>
        <w:ind w:left="180" w:right="140" w:firstLine="486"/>
        <w:spacing w:after="0" w:line="266" w:lineRule="auto"/>
        <w:rPr>
          <w:sz w:val="20"/>
          <w:szCs w:val="20"/>
          <w:color w:val="auto"/>
        </w:rPr>
      </w:pPr>
      <w:r>
        <w:rPr>
          <w:rFonts w:ascii="Times New Roman" w:cs="Times New Roman" w:eastAsia="Times New Roman" w:hAnsi="Times New Roman"/>
          <w:sz w:val="18"/>
          <w:szCs w:val="18"/>
          <w:color w:val="auto"/>
        </w:rPr>
        <w:t>On January 1, 2020, the Company adopted FASB ASU 2019-12, Simplifying the Accounting for Income Taxes, which was applied as of the adoption date. A description of the nature and reason for the change in accounting principle is provided below in the recent accounting pronouncements section.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Changes Affecting Comparability</w:t>
      </w:r>
    </w:p>
    <w:p>
      <w:pPr>
        <w:spacing w:after="0" w:line="166" w:lineRule="exact"/>
        <w:rPr>
          <w:sz w:val="20"/>
          <w:szCs w:val="20"/>
          <w:color w:val="auto"/>
        </w:rPr>
      </w:pPr>
    </w:p>
    <w:p>
      <w:pPr>
        <w:ind w:left="180" w:right="40" w:firstLine="486"/>
        <w:spacing w:after="0" w:line="266" w:lineRule="auto"/>
        <w:rPr>
          <w:sz w:val="20"/>
          <w:szCs w:val="20"/>
          <w:color w:val="auto"/>
        </w:rPr>
      </w:pPr>
      <w:r>
        <w:rPr>
          <w:rFonts w:ascii="Times New Roman" w:cs="Times New Roman" w:eastAsia="Times New Roman" w:hAnsi="Times New Roman"/>
          <w:sz w:val="18"/>
          <w:szCs w:val="18"/>
          <w:color w:val="auto"/>
        </w:rPr>
        <w:t>Beginning with the quarter ended June 30, 2020, the Company separated the “Foreclosed assets, net” from the “other non-interest expense” category within the Consolidated Statements of Income. The separation was due to an increase in foreclosed asset expenses during 2020. The change had no impact on net income or total stockholders’ equity.</w:t>
      </w:r>
    </w:p>
    <w:p>
      <w:pPr>
        <w:spacing w:after="0" w:line="122" w:lineRule="exact"/>
        <w:rPr>
          <w:sz w:val="20"/>
          <w:szCs w:val="20"/>
          <w:color w:val="auto"/>
        </w:rPr>
      </w:pPr>
    </w:p>
    <w:p>
      <w:pPr>
        <w:ind w:left="180" w:right="140" w:firstLine="486"/>
        <w:spacing w:after="0" w:line="256" w:lineRule="auto"/>
        <w:rPr>
          <w:sz w:val="20"/>
          <w:szCs w:val="20"/>
          <w:color w:val="auto"/>
        </w:rPr>
      </w:pPr>
      <w:r>
        <w:rPr>
          <w:rFonts w:ascii="Times New Roman" w:cs="Times New Roman" w:eastAsia="Times New Roman" w:hAnsi="Times New Roman"/>
          <w:sz w:val="18"/>
          <w:szCs w:val="18"/>
          <w:color w:val="auto"/>
        </w:rPr>
        <w:t>Beginning with the quarter ended June 30, 2020, the Company changed loans individually evaluated for impairment. A discussion regarding this change is provided above under “Loans Individually Evaluated for Impairment” and in “Note 4: Loans and Allowance for Loan Losses (“ALLL”)” within the Notes to the Unaudited Consolidated Financial Statements. The Company separated substandard loans into performing and nonperforming categories that were previously consolidated within the loan footnote disclosures. The change in disclosure did not impact the Company's impaired loan information at December 31, 2019 or ALLL information for the three and nine months ended September 30, 2019 as presented in “Note 4: Loans and Allowance for Loan Losses (“ALLL”)” within the Notes to the Unaudited Consolidated Financial Statements.</w:t>
      </w:r>
    </w:p>
    <w:p>
      <w:pPr>
        <w:spacing w:after="0" w:line="133" w:lineRule="exact"/>
        <w:rPr>
          <w:sz w:val="20"/>
          <w:szCs w:val="20"/>
          <w:color w:val="auto"/>
        </w:rPr>
      </w:pPr>
    </w:p>
    <w:p>
      <w:pPr>
        <w:ind w:left="180" w:firstLine="486"/>
        <w:spacing w:after="0" w:line="266" w:lineRule="auto"/>
        <w:rPr>
          <w:sz w:val="20"/>
          <w:szCs w:val="20"/>
          <w:color w:val="auto"/>
        </w:rPr>
      </w:pPr>
      <w:r>
        <w:rPr>
          <w:rFonts w:ascii="Times New Roman" w:cs="Times New Roman" w:eastAsia="Times New Roman" w:hAnsi="Times New Roman"/>
          <w:sz w:val="18"/>
          <w:szCs w:val="18"/>
          <w:color w:val="auto"/>
        </w:rPr>
        <w:t>Beginning with the quarter ended March 31, 2020, the Company consolidated the “Other” line item previously included in stockholders’ equity into retained earnings within the Consolidated Balance Sheets and the Consolidated Statements of Stockholders’ Equity. The consolidation was made due to the immateriality of the “Other” line item. The change had no impact on net income or total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Emerging Growth Company (“EGC”)</w:t>
      </w:r>
    </w:p>
    <w:p>
      <w:pPr>
        <w:spacing w:after="0" w:line="166" w:lineRule="exact"/>
        <w:rPr>
          <w:sz w:val="20"/>
          <w:szCs w:val="20"/>
          <w:color w:val="auto"/>
        </w:rPr>
      </w:pPr>
    </w:p>
    <w:p>
      <w:pPr>
        <w:ind w:left="180" w:right="20" w:firstLine="486"/>
        <w:spacing w:after="0" w:line="277" w:lineRule="auto"/>
        <w:rPr>
          <w:sz w:val="20"/>
          <w:szCs w:val="20"/>
          <w:color w:val="auto"/>
        </w:rPr>
      </w:pPr>
      <w:r>
        <w:rPr>
          <w:rFonts w:ascii="Times New Roman" w:cs="Times New Roman" w:eastAsia="Times New Roman" w:hAnsi="Times New Roman"/>
          <w:sz w:val="17"/>
          <w:szCs w:val="17"/>
          <w:color w:val="auto"/>
        </w:rPr>
        <w:t>The Company is currently an EGC. An EGC may take advantage of reduced reporting requirements and is relieved of certain other significant requirements that are otherwise generally applicable to public companies. Among the reductions and reliefs, the Company elected to extend the transition period for complying with new or revised accounting standards affecting public companies. This means that the financial statements the Company files or furnishes, will not be subject to all new or revised accounting standards generally applicable to public companies for the transition period for so long as the Company remains an EGC or until the Company affirmatively and irrevocably opts out of the extended transition period under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Recent Accounting Pronouncements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implemented the following ASUs during 2020:</w:t>
      </w:r>
    </w:p>
    <w:p>
      <w:pPr>
        <w:sectPr>
          <w:pgSz w:w="11900" w:h="16838" w:orient="portrait"/>
          <w:cols w:equalWidth="0" w:num="1">
            <w:col w:w="11180"/>
          </w:cols>
          <w:pgMar w:left="320" w:top="175" w:right="399" w:bottom="1440" w:gutter="0" w:footer="0" w:header="0"/>
        </w:sectPr>
      </w:pPr>
    </w:p>
    <w:p>
      <w:pPr>
        <w:spacing w:after="0" w:line="383" w:lineRule="exact"/>
        <w:rPr>
          <w:sz w:val="20"/>
          <w:szCs w:val="20"/>
          <w:color w:val="auto"/>
        </w:rPr>
      </w:pPr>
    </w:p>
    <w:p>
      <w:pPr>
        <w:ind w:left="180" w:right="42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Standard </w:t>
      </w:r>
      <w:r>
        <w:rPr>
          <w:rFonts w:ascii="Times New Roman" w:cs="Times New Roman" w:eastAsia="Times New Roman" w:hAnsi="Times New Roman"/>
          <w:sz w:val="18"/>
          <w:szCs w:val="18"/>
          <w:color w:val="auto"/>
        </w:rPr>
        <w:t>ASU 2020-04:</w:t>
      </w:r>
    </w:p>
    <w:p>
      <w:pPr>
        <w:spacing w:after="0" w:line="115" w:lineRule="exact"/>
        <w:rPr>
          <w:sz w:val="20"/>
          <w:szCs w:val="20"/>
          <w:color w:val="auto"/>
        </w:rPr>
      </w:pPr>
    </w:p>
    <w:p>
      <w:pPr>
        <w:ind w:left="180"/>
        <w:spacing w:after="0" w:line="227" w:lineRule="auto"/>
        <w:rPr>
          <w:sz w:val="20"/>
          <w:szCs w:val="20"/>
          <w:color w:val="auto"/>
        </w:rPr>
      </w:pPr>
      <w:r>
        <w:rPr>
          <w:rFonts w:ascii="Times New Roman" w:cs="Times New Roman" w:eastAsia="Times New Roman" w:hAnsi="Times New Roman"/>
          <w:sz w:val="17"/>
          <w:szCs w:val="17"/>
          <w:i w:val="1"/>
          <w:iCs w:val="1"/>
          <w:color w:val="auto"/>
        </w:rPr>
        <w:t>Reference Rate Reform (Topic 848): Facilitation of the Effects of Reference Rate Reform on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ASU 2019-12:</w:t>
      </w:r>
    </w:p>
    <w:p>
      <w:pPr>
        <w:spacing w:after="0" w:line="210" w:lineRule="exact"/>
        <w:rPr>
          <w:sz w:val="20"/>
          <w:szCs w:val="20"/>
          <w:color w:val="auto"/>
        </w:rPr>
      </w:pPr>
    </w:p>
    <w:p>
      <w:pPr>
        <w:ind w:left="180"/>
        <w:spacing w:after="0" w:line="234" w:lineRule="auto"/>
        <w:rPr>
          <w:sz w:val="20"/>
          <w:szCs w:val="20"/>
          <w:color w:val="auto"/>
        </w:rPr>
      </w:pPr>
      <w:r>
        <w:rPr>
          <w:rFonts w:ascii="Times New Roman" w:cs="Times New Roman" w:eastAsia="Times New Roman" w:hAnsi="Times New Roman"/>
          <w:sz w:val="17"/>
          <w:szCs w:val="17"/>
          <w:i w:val="1"/>
          <w:iCs w:val="1"/>
          <w:color w:val="auto"/>
        </w:rPr>
        <w:t>Income Taxes (Topic 740): Simplifying the Accounting for Income Taxes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Adoption</w:t>
            </w:r>
          </w:p>
        </w:tc>
        <w:tc>
          <w:tcPr>
            <w:tcW w:w="5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June 30, 2020</w:t>
            </w:r>
          </w:p>
        </w:tc>
        <w:tc>
          <w:tcPr>
            <w:tcW w:w="100" w:type="dxa"/>
            <w:vAlign w:val="bottom"/>
          </w:tcPr>
          <w:p>
            <w:pPr>
              <w:spacing w:after="0"/>
              <w:rPr>
                <w:sz w:val="14"/>
                <w:szCs w:val="14"/>
                <w:color w:val="auto"/>
              </w:rPr>
            </w:pPr>
          </w:p>
        </w:tc>
        <w:tc>
          <w:tcPr>
            <w:tcW w:w="51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The ASU provides optional expedients and exceptions to contracts,</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hedging relationships, and other transactions affected by reference</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rate reform if certain criteria are met.</w:t>
            </w:r>
          </w:p>
        </w:tc>
        <w:tc>
          <w:tcPr>
            <w:tcW w:w="0" w:type="dxa"/>
            <w:vAlign w:val="bottom"/>
          </w:tcPr>
          <w:p>
            <w:pPr>
              <w:spacing w:after="0"/>
              <w:rPr>
                <w:sz w:val="1"/>
                <w:szCs w:val="1"/>
                <w:color w:val="auto"/>
              </w:rPr>
            </w:pPr>
          </w:p>
        </w:tc>
      </w:tr>
      <w:tr>
        <w:trPr>
          <w:trHeight w:val="29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The ASU only applies to transactions that reference LIBOR or</w:t>
            </w: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another reference rate expected to be discontinued because of</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reference rate reform. The expedients and exceptions provided by the</w:t>
            </w: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amendments do not apply to contract modifications made and hedging</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relationships entered into or evaluated after December 31, 2022,</w:t>
            </w: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except for hedging relationships existing as of December 31, 2022,</w:t>
            </w: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that an entity has elected certain optional expedients for and that are</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retained through the end of the hedging relationship. The amendments</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include:</w:t>
            </w:r>
          </w:p>
        </w:tc>
        <w:tc>
          <w:tcPr>
            <w:tcW w:w="0" w:type="dxa"/>
            <w:vAlign w:val="bottom"/>
          </w:tcPr>
          <w:p>
            <w:pPr>
              <w:spacing w:after="0"/>
              <w:rPr>
                <w:sz w:val="1"/>
                <w:szCs w:val="1"/>
                <w:color w:val="auto"/>
              </w:rPr>
            </w:pPr>
          </w:p>
        </w:tc>
      </w:tr>
      <w:tr>
        <w:trPr>
          <w:trHeight w:val="29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(1) Optional expedients to contract modifications that allow the</w:t>
            </w: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Company to adjust the effective interest rate of receivables and debt,</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account for lease modifications as a continuation of the existing lease,</w:t>
            </w: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and remove the requirement to reassess its original conclusions for</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contract modifications about whether that contract contains an</w:t>
            </w: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embedded derivative that is clearly and closely related to the</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economic characteristics and risks of the host contract under Subtopic</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815-15, Derivatives and Hedging—Embedded Derivatives;</w:t>
            </w:r>
          </w:p>
        </w:tc>
        <w:tc>
          <w:tcPr>
            <w:tcW w:w="0" w:type="dxa"/>
            <w:vAlign w:val="bottom"/>
          </w:tcPr>
          <w:p>
            <w:pPr>
              <w:spacing w:after="0"/>
              <w:rPr>
                <w:sz w:val="1"/>
                <w:szCs w:val="1"/>
                <w:color w:val="auto"/>
              </w:rPr>
            </w:pPr>
          </w:p>
        </w:tc>
      </w:tr>
      <w:tr>
        <w:trPr>
          <w:trHeight w:val="29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(2) Exceptions to the guidance in Topic 815 related to changes in the</w:t>
            </w: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critical terms of a hedging relationship due to reference rate reform;</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0" w:type="dxa"/>
            <w:vAlign w:val="bottom"/>
          </w:tcPr>
          <w:p>
            <w:pPr>
              <w:spacing w:after="0"/>
              <w:rPr>
                <w:sz w:val="1"/>
                <w:szCs w:val="1"/>
                <w:color w:val="auto"/>
              </w:rPr>
            </w:pPr>
          </w:p>
        </w:tc>
      </w:tr>
      <w:tr>
        <w:trPr>
          <w:trHeight w:val="341"/>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(3) Optional expedients for cash flow and fair value hedges.</w:t>
            </w:r>
          </w:p>
        </w:tc>
        <w:tc>
          <w:tcPr>
            <w:tcW w:w="0" w:type="dxa"/>
            <w:vAlign w:val="bottom"/>
          </w:tcPr>
          <w:p>
            <w:pPr>
              <w:spacing w:after="0"/>
              <w:rPr>
                <w:sz w:val="1"/>
                <w:szCs w:val="1"/>
                <w:color w:val="auto"/>
              </w:rPr>
            </w:pPr>
          </w:p>
        </w:tc>
      </w:tr>
      <w:tr>
        <w:trPr>
          <w:trHeight w:val="180"/>
        </w:trPr>
        <w:tc>
          <w:tcPr>
            <w:tcW w:w="11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January 1,</w:t>
            </w:r>
          </w:p>
        </w:tc>
        <w:tc>
          <w:tcPr>
            <w:tcW w:w="5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The ASU simplifies the accounting for income taxes. Among other</w:t>
            </w:r>
          </w:p>
        </w:tc>
        <w:tc>
          <w:tcPr>
            <w:tcW w:w="0" w:type="dxa"/>
            <w:vAlign w:val="bottom"/>
          </w:tcPr>
          <w:p>
            <w:pPr>
              <w:spacing w:after="0"/>
              <w:rPr>
                <w:sz w:val="1"/>
                <w:szCs w:val="1"/>
                <w:color w:val="auto"/>
              </w:rPr>
            </w:pPr>
          </w:p>
        </w:tc>
      </w:tr>
      <w:tr>
        <w:trPr>
          <w:trHeight w:val="23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changes, the ASU:</w:t>
            </w:r>
          </w:p>
        </w:tc>
        <w:tc>
          <w:tcPr>
            <w:tcW w:w="0" w:type="dxa"/>
            <w:vAlign w:val="bottom"/>
          </w:tcPr>
          <w:p>
            <w:pPr>
              <w:spacing w:after="0"/>
              <w:rPr>
                <w:sz w:val="1"/>
                <w:szCs w:val="1"/>
                <w:color w:val="auto"/>
              </w:rPr>
            </w:pPr>
          </w:p>
        </w:tc>
      </w:tr>
      <w:tr>
        <w:trPr>
          <w:trHeight w:val="292"/>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(Early</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(1) Removes the exception to the incremental approach for</w:t>
            </w:r>
          </w:p>
        </w:tc>
        <w:tc>
          <w:tcPr>
            <w:tcW w:w="0" w:type="dxa"/>
            <w:vAlign w:val="bottom"/>
          </w:tcPr>
          <w:p>
            <w:pPr>
              <w:spacing w:after="0"/>
              <w:rPr>
                <w:sz w:val="1"/>
                <w:szCs w:val="1"/>
                <w:color w:val="auto"/>
              </w:rPr>
            </w:pPr>
          </w:p>
        </w:tc>
      </w:tr>
      <w:tr>
        <w:trPr>
          <w:trHeight w:val="176"/>
        </w:trPr>
        <w:tc>
          <w:tcPr>
            <w:tcW w:w="11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Adoption)</w:t>
            </w: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intraperiod tax allocation when there is a loss from continuing</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income or a gain from other items;</w:t>
            </w:r>
          </w:p>
        </w:tc>
        <w:tc>
          <w:tcPr>
            <w:tcW w:w="0" w:type="dxa"/>
            <w:vAlign w:val="bottom"/>
          </w:tcPr>
          <w:p>
            <w:pPr>
              <w:spacing w:after="0"/>
              <w:rPr>
                <w:sz w:val="1"/>
                <w:szCs w:val="1"/>
                <w:color w:val="auto"/>
              </w:rPr>
            </w:pPr>
          </w:p>
        </w:tc>
      </w:tr>
      <w:tr>
        <w:trPr>
          <w:trHeight w:val="29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(2) Removes the exception to the general methodology for calculating</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income taxes in an interim period when a year-to-date loss exceeds</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the anticipated loss for the year;</w:t>
            </w:r>
          </w:p>
        </w:tc>
        <w:tc>
          <w:tcPr>
            <w:tcW w:w="0" w:type="dxa"/>
            <w:vAlign w:val="bottom"/>
          </w:tcPr>
          <w:p>
            <w:pPr>
              <w:spacing w:after="0"/>
              <w:rPr>
                <w:sz w:val="1"/>
                <w:szCs w:val="1"/>
                <w:color w:val="auto"/>
              </w:rPr>
            </w:pPr>
          </w:p>
        </w:tc>
      </w:tr>
      <w:tr>
        <w:trPr>
          <w:trHeight w:val="29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(3) Requires an entity to recognize a franchise tax that is partially</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based on income as an income-based tax and account for any</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incremental amount incurred as a nonincome based tax; and</w:t>
            </w:r>
          </w:p>
        </w:tc>
        <w:tc>
          <w:tcPr>
            <w:tcW w:w="0" w:type="dxa"/>
            <w:vAlign w:val="bottom"/>
          </w:tcPr>
          <w:p>
            <w:pPr>
              <w:spacing w:after="0"/>
              <w:rPr>
                <w:sz w:val="1"/>
                <w:szCs w:val="1"/>
                <w:color w:val="auto"/>
              </w:rPr>
            </w:pPr>
          </w:p>
        </w:tc>
      </w:tr>
      <w:tr>
        <w:trPr>
          <w:trHeight w:val="29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(4) Requires an entity to reflect the effect of an enacted change in tax</w:t>
            </w: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laws or rates in the annual effective tax rate computation in the</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interim period that includes the enactment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-5205730</wp:posOffset>
            </wp:positionV>
            <wp:extent cx="7029450" cy="3162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9450" cy="3162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440"/>
        <w:spacing w:after="0" w:line="239" w:lineRule="auto"/>
        <w:rPr>
          <w:sz w:val="20"/>
          <w:szCs w:val="20"/>
          <w:color w:val="auto"/>
        </w:rPr>
      </w:pPr>
      <w:r>
        <w:rPr>
          <w:rFonts w:ascii="Times New Roman" w:cs="Times New Roman" w:eastAsia="Times New Roman" w:hAnsi="Times New Roman"/>
          <w:sz w:val="18"/>
          <w:szCs w:val="18"/>
          <w:b w:val="1"/>
          <w:bCs w:val="1"/>
          <w:color w:val="auto"/>
        </w:rPr>
        <w:t>Effect on Financial Statements or Other Significant Matters</w:t>
      </w:r>
    </w:p>
    <w:p>
      <w:pPr>
        <w:spacing w:after="0" w:line="1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Company had more than $1 billion in loans tied to LIBOR as of September 30, 2020.</w:t>
      </w:r>
    </w:p>
    <w:p>
      <w:pPr>
        <w:spacing w:after="0" w:line="185"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The Company does not believe the adoption will have a material accounting impact on the Company’s consolidated financial position or results of operations. Additionally, LIBOR fallback language has been included in key loan provisions of new and renewed loans in preparation for transition from LIBOR to the new benchmark rate when such transition occurs. This standard is expected to ease the administrative burden in accounting for the future effects of reference rate reform.</w:t>
      </w:r>
    </w:p>
    <w:p>
      <w:pPr>
        <w:spacing w:after="0" w:line="192" w:lineRule="exact"/>
        <w:rPr>
          <w:sz w:val="20"/>
          <w:szCs w:val="20"/>
          <w:color w:val="auto"/>
        </w:rPr>
      </w:pPr>
    </w:p>
    <w:p>
      <w:pPr>
        <w:ind w:right="80"/>
        <w:spacing w:after="0" w:line="213" w:lineRule="auto"/>
        <w:rPr>
          <w:sz w:val="20"/>
          <w:szCs w:val="20"/>
          <w:color w:val="auto"/>
        </w:rPr>
      </w:pPr>
      <w:r>
        <w:rPr>
          <w:rFonts w:ascii="Times New Roman" w:cs="Times New Roman" w:eastAsia="Times New Roman" w:hAnsi="Times New Roman"/>
          <w:sz w:val="18"/>
          <w:szCs w:val="18"/>
          <w:color w:val="auto"/>
        </w:rPr>
        <w:t>The ASU allows the Company to recognize the modification related to LIBOR as a continuation of the old contract, rather than a cancellation of the old contract resulting in a write off of unamortized fees and creation of a new contract.</w:t>
      </w:r>
    </w:p>
    <w:p>
      <w:pPr>
        <w:spacing w:after="0" w:line="388"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8"/>
          <w:szCs w:val="18"/>
          <w:color w:val="auto"/>
        </w:rPr>
        <w:t>The amendments in the ASU did not have a material impact on the Company’s tax methodology, processes, or the Company’s financial statements.</w:t>
      </w:r>
    </w:p>
    <w:p>
      <w:pPr>
        <w:spacing w:after="0" w:line="2663" w:lineRule="exact"/>
        <w:rPr>
          <w:sz w:val="20"/>
          <w:szCs w:val="20"/>
          <w:color w:val="auto"/>
        </w:rPr>
      </w:pPr>
    </w:p>
    <w:p>
      <w:pPr>
        <w:sectPr>
          <w:pgSz w:w="11900" w:h="16838" w:orient="portrait"/>
          <w:cols w:equalWidth="0" w:num="3">
            <w:col w:w="1660" w:space="120"/>
            <w:col w:w="6280" w:space="100"/>
            <w:col w:w="3020"/>
          </w:cols>
          <w:pgMar w:left="320" w:top="175" w:right="399" w:bottom="1440" w:gutter="0" w:footer="0" w:header="0"/>
          <w:type w:val="continuous"/>
        </w:sect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type w:val="continuous"/>
        </w:sectPr>
      </w:pPr>
    </w:p>
    <w:bookmarkStart w:id="12" w:name="page13"/>
    <w:bookmarkEnd w:id="12"/>
    <w:tbl>
      <w:tblPr>
        <w:tblLayout w:type="fixed"/>
        <w:tblInd w:w="20" w:type="dxa"/>
        <w:tblCellMar>
          <w:top w:w="0" w:type="dxa"/>
          <w:left w:w="0" w:type="dxa"/>
          <w:bottom w:w="0" w:type="dxa"/>
          <w:right w:w="0" w:type="dxa"/>
        </w:tblCellMar>
      </w:tblPr>
      <w:tr>
        <w:trPr>
          <w:trHeight w:val="234"/>
        </w:trPr>
        <w:tc>
          <w:tcPr>
            <w:tcW w:w="1760" w:type="dxa"/>
            <w:vAlign w:val="bottom"/>
            <w:gridSpan w:val="3"/>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2"/>
        </w:trPr>
        <w:tc>
          <w:tcPr>
            <w:tcW w:w="140" w:type="dxa"/>
            <w:vAlign w:val="bottom"/>
          </w:tcPr>
          <w:p>
            <w:pPr>
              <w:spacing w:after="0"/>
              <w:rPr>
                <w:sz w:val="24"/>
                <w:szCs w:val="24"/>
                <w:color w:val="auto"/>
              </w:rPr>
            </w:pP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on Financial Statements or</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Adoption</w:t>
            </w:r>
          </w:p>
        </w:tc>
        <w:tc>
          <w:tcPr>
            <w:tcW w:w="5180" w:type="dxa"/>
            <w:vAlign w:val="bottom"/>
            <w:gridSpan w:val="2"/>
            <w:vMerge w:val="continue"/>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Significant Matters</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5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ASU 2018-13:</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January 1,</w:t>
            </w:r>
          </w:p>
        </w:tc>
        <w:tc>
          <w:tcPr>
            <w:tcW w:w="100" w:type="dxa"/>
            <w:vAlign w:val="bottom"/>
            <w:tcBorders>
              <w:top w:val="single" w:sz="8" w:color="CCEEFF"/>
            </w:tcBorders>
            <w:shd w:val="clear" w:color="auto" w:fill="CCEEFF"/>
          </w:tcPr>
          <w:p>
            <w:pPr>
              <w:spacing w:after="0"/>
              <w:rPr>
                <w:sz w:val="14"/>
                <w:szCs w:val="14"/>
                <w:color w:val="auto"/>
              </w:rPr>
            </w:pPr>
          </w:p>
        </w:tc>
        <w:tc>
          <w:tcPr>
            <w:tcW w:w="510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Improves the effectiveness of disclosures in the notes to financial</w:t>
            </w:r>
          </w:p>
        </w:tc>
        <w:tc>
          <w:tcPr>
            <w:tcW w:w="80" w:type="dxa"/>
            <w:vAlign w:val="bottom"/>
            <w:tcBorders>
              <w:top w:val="single" w:sz="8" w:color="CCEEFF"/>
            </w:tcBorders>
            <w:shd w:val="clear" w:color="auto" w:fill="CCEEFF"/>
          </w:tcPr>
          <w:p>
            <w:pPr>
              <w:spacing w:after="0"/>
              <w:rPr>
                <w:sz w:val="14"/>
                <w:szCs w:val="14"/>
                <w:color w:val="auto"/>
              </w:rPr>
            </w:pPr>
          </w:p>
        </w:tc>
        <w:tc>
          <w:tcPr>
            <w:tcW w:w="31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The adoption did not have a material</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5"/>
                <w:szCs w:val="15"/>
                <w:color w:val="auto"/>
              </w:rPr>
            </w:pPr>
          </w:p>
        </w:tc>
        <w:tc>
          <w:tcPr>
            <w:tcW w:w="51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statements by facilitating clear communication of the information.</w:t>
            </w:r>
          </w:p>
        </w:tc>
        <w:tc>
          <w:tcPr>
            <w:tcW w:w="3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impact to the Company’s financial</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Fair Value</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1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amendments modify certain disclosure requirements of fair value</w:t>
            </w:r>
          </w:p>
        </w:tc>
        <w:tc>
          <w:tcPr>
            <w:tcW w:w="3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620" w:type="dxa"/>
            <w:vAlign w:val="bottom"/>
            <w:gridSpan w:val="2"/>
            <w:vMerge w:val="continue"/>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measurements in Topic 820, Fair Value Measurement.</w:t>
            </w:r>
          </w:p>
        </w:tc>
        <w:tc>
          <w:tcPr>
            <w:tcW w:w="3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6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Measurement (Topic</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180" w:type="dxa"/>
            <w:vAlign w:val="bottom"/>
            <w:gridSpan w:val="2"/>
            <w:vMerge w:val="continue"/>
            <w:shd w:val="clear" w:color="auto" w:fill="CCEEFF"/>
          </w:tcPr>
          <w:p>
            <w:pPr>
              <w:spacing w:after="0"/>
              <w:rPr>
                <w:sz w:val="15"/>
                <w:szCs w:val="15"/>
                <w:color w:val="auto"/>
              </w:rPr>
            </w:pPr>
          </w:p>
        </w:tc>
        <w:tc>
          <w:tcPr>
            <w:tcW w:w="3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transfers between Level 1 and Level 2</w:t>
            </w: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1620" w:type="dxa"/>
            <w:vAlign w:val="bottom"/>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820): Disclosure</w:t>
            </w: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620" w:type="dxa"/>
            <w:vAlign w:val="bottom"/>
            <w:gridSpan w:val="2"/>
            <w:vMerge w:val="continue"/>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180" w:type="dxa"/>
            <w:vAlign w:val="bottom"/>
            <w:gridSpan w:val="2"/>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Entities are no longer required to disclose transfers between Level 1</w:t>
            </w:r>
          </w:p>
        </w:tc>
        <w:tc>
          <w:tcPr>
            <w:tcW w:w="3100" w:type="dxa"/>
            <w:vAlign w:val="bottom"/>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occurred in 2019 or 2020 and the</w:t>
            </w: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Framework</w:t>
            </w: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180" w:type="dxa"/>
            <w:vAlign w:val="bottom"/>
            <w:gridSpan w:val="2"/>
            <w:vMerge w:val="continue"/>
            <w:shd w:val="clear" w:color="auto" w:fill="CCEEFF"/>
          </w:tcPr>
          <w:p>
            <w:pPr>
              <w:spacing w:after="0"/>
              <w:rPr>
                <w:sz w:val="9"/>
                <w:szCs w:val="9"/>
                <w:color w:val="auto"/>
              </w:rPr>
            </w:pPr>
          </w:p>
        </w:tc>
        <w:tc>
          <w:tcPr>
            <w:tcW w:w="3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40" w:type="dxa"/>
            <w:vAlign w:val="bottom"/>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180" w:type="dxa"/>
            <w:vAlign w:val="bottom"/>
            <w:gridSpan w:val="2"/>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and Level 2 of the fair value hierarchy or qualitatively disclose the</w:t>
            </w:r>
          </w:p>
        </w:tc>
        <w:tc>
          <w:tcPr>
            <w:tcW w:w="3100" w:type="dxa"/>
            <w:vAlign w:val="bottom"/>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Company did not have any recurring</w:t>
            </w:r>
          </w:p>
        </w:tc>
        <w:tc>
          <w:tcPr>
            <w:tcW w:w="0" w:type="dxa"/>
            <w:vAlign w:val="bottom"/>
          </w:tcPr>
          <w:p>
            <w:pPr>
              <w:spacing w:after="0"/>
              <w:rPr>
                <w:sz w:val="1"/>
                <w:szCs w:val="1"/>
                <w:color w:val="auto"/>
              </w:rPr>
            </w:pPr>
          </w:p>
        </w:tc>
      </w:tr>
      <w:tr>
        <w:trPr>
          <w:trHeight w:val="47"/>
        </w:trPr>
        <w:tc>
          <w:tcPr>
            <w:tcW w:w="140" w:type="dxa"/>
            <w:vAlign w:val="bottom"/>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180" w:type="dxa"/>
            <w:vAlign w:val="bottom"/>
            <w:gridSpan w:val="2"/>
            <w:vMerge w:val="continue"/>
            <w:shd w:val="clear" w:color="auto" w:fill="CCEEFF"/>
          </w:tcPr>
          <w:p>
            <w:pPr>
              <w:spacing w:after="0"/>
              <w:rPr>
                <w:sz w:val="4"/>
                <w:szCs w:val="4"/>
                <w:color w:val="auto"/>
              </w:rPr>
            </w:pPr>
          </w:p>
        </w:tc>
        <w:tc>
          <w:tcPr>
            <w:tcW w:w="31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1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valuation process for Level 3 fair value measurements. The updated</w:t>
            </w:r>
          </w:p>
        </w:tc>
        <w:tc>
          <w:tcPr>
            <w:tcW w:w="3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Level 3 fair value measurements that</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1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guidance requires disclosure of the changes in unrealized gains and</w:t>
            </w:r>
          </w:p>
        </w:tc>
        <w:tc>
          <w:tcPr>
            <w:tcW w:w="3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created an unrealized gain or loss in Other</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1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losses for the period included in Other Comprehensive Income for</w:t>
            </w:r>
          </w:p>
        </w:tc>
        <w:tc>
          <w:tcPr>
            <w:tcW w:w="3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Comprehensive Income. In addition, the</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1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recurring Level 3 fair value measurements. Entities are required to</w:t>
            </w:r>
          </w:p>
        </w:tc>
        <w:tc>
          <w:tcPr>
            <w:tcW w:w="3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Company previously disclosed the range</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1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disclose the range and weighted average used to develop significant</w:t>
            </w:r>
          </w:p>
        </w:tc>
        <w:tc>
          <w:tcPr>
            <w:tcW w:w="3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weighted average used to develop</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1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unobservable inputs for Level 3 fair value measurements. The</w:t>
            </w:r>
          </w:p>
        </w:tc>
        <w:tc>
          <w:tcPr>
            <w:tcW w:w="3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significant unobservable inputs for Level</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1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additional provisions of the guidance should be adopted</w:t>
            </w:r>
          </w:p>
        </w:tc>
        <w:tc>
          <w:tcPr>
            <w:tcW w:w="3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 fair value measurements.</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1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prospectively. The eliminated requirements should be adopted</w:t>
            </w:r>
          </w:p>
        </w:tc>
        <w:tc>
          <w:tcPr>
            <w:tcW w:w="3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retrospectively.</w:t>
            </w:r>
          </w:p>
        </w:tc>
        <w:tc>
          <w:tcPr>
            <w:tcW w:w="3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75" w:right="339" w:bottom="1440" w:gutter="0" w:footer="0" w:header="0"/>
        </w:sectPr>
      </w:pPr>
    </w:p>
    <w:tbl>
      <w:tblPr>
        <w:tblLayout w:type="fixed"/>
        <w:tblInd w:w="180" w:type="dxa"/>
        <w:tblCellMar>
          <w:top w:w="0" w:type="dxa"/>
          <w:left w:w="0" w:type="dxa"/>
          <w:bottom w:w="0" w:type="dxa"/>
          <w:right w:w="0" w:type="dxa"/>
        </w:tblCellMar>
      </w:tblPr>
      <w:tr>
        <w:trPr>
          <w:trHeight w:val="176"/>
        </w:trPr>
        <w:tc>
          <w:tcPr>
            <w:tcW w:w="15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ASU 2017-04:</w:t>
            </w:r>
          </w:p>
        </w:tc>
        <w:tc>
          <w:tcPr>
            <w:tcW w:w="10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January 1,</w:t>
            </w:r>
          </w:p>
        </w:tc>
        <w:tc>
          <w:tcPr>
            <w:tcW w:w="51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Eliminates Step 2 from the goodwill impairment test which required</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10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2020</w:t>
            </w:r>
          </w:p>
        </w:tc>
        <w:tc>
          <w:tcPr>
            <w:tcW w:w="51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entities to compute the implied fair value of goodwill. An entity</w:t>
            </w:r>
          </w:p>
        </w:tc>
        <w:tc>
          <w:tcPr>
            <w:tcW w:w="0" w:type="dxa"/>
            <w:vAlign w:val="bottom"/>
          </w:tcPr>
          <w:p>
            <w:pPr>
              <w:spacing w:after="0"/>
              <w:rPr>
                <w:sz w:val="1"/>
                <w:szCs w:val="1"/>
                <w:color w:val="auto"/>
              </w:rPr>
            </w:pPr>
          </w:p>
        </w:tc>
      </w:tr>
      <w:tr>
        <w:trPr>
          <w:trHeight w:val="176"/>
        </w:trPr>
        <w:tc>
          <w:tcPr>
            <w:tcW w:w="1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Intangibles—</w:t>
            </w:r>
          </w:p>
        </w:tc>
        <w:tc>
          <w:tcPr>
            <w:tcW w:w="1040" w:type="dxa"/>
            <w:vAlign w:val="bottom"/>
          </w:tcPr>
          <w:p>
            <w:pPr>
              <w:spacing w:after="0"/>
              <w:rPr>
                <w:sz w:val="15"/>
                <w:szCs w:val="15"/>
                <w:color w:val="auto"/>
              </w:rPr>
            </w:pPr>
          </w:p>
        </w:tc>
        <w:tc>
          <w:tcPr>
            <w:tcW w:w="51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should perform an annual, or interim, goodwill impairment test by</w:t>
            </w:r>
          </w:p>
        </w:tc>
        <w:tc>
          <w:tcPr>
            <w:tcW w:w="0" w:type="dxa"/>
            <w:vAlign w:val="bottom"/>
          </w:tcPr>
          <w:p>
            <w:pPr>
              <w:spacing w:after="0"/>
              <w:rPr>
                <w:sz w:val="1"/>
                <w:szCs w:val="1"/>
                <w:color w:val="auto"/>
              </w:rPr>
            </w:pPr>
          </w:p>
        </w:tc>
      </w:tr>
      <w:tr>
        <w:trPr>
          <w:trHeight w:val="68"/>
        </w:trPr>
        <w:tc>
          <w:tcPr>
            <w:tcW w:w="1540" w:type="dxa"/>
            <w:vAlign w:val="bottom"/>
            <w:vMerge w:val="continue"/>
          </w:tcPr>
          <w:p>
            <w:pPr>
              <w:spacing w:after="0"/>
              <w:rPr>
                <w:sz w:val="5"/>
                <w:szCs w:val="5"/>
                <w:color w:val="auto"/>
              </w:rPr>
            </w:pP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(Early</w:t>
            </w:r>
          </w:p>
        </w:tc>
        <w:tc>
          <w:tcPr>
            <w:tcW w:w="51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w w:val="99"/>
              </w:rPr>
              <w:t>comparing the fair value of a reporting unit with its carrying amount.</w:t>
            </w:r>
          </w:p>
        </w:tc>
        <w:tc>
          <w:tcPr>
            <w:tcW w:w="0" w:type="dxa"/>
            <w:vAlign w:val="bottom"/>
          </w:tcPr>
          <w:p>
            <w:pPr>
              <w:spacing w:after="0"/>
              <w:rPr>
                <w:sz w:val="1"/>
                <w:szCs w:val="1"/>
                <w:color w:val="auto"/>
              </w:rPr>
            </w:pPr>
          </w:p>
        </w:tc>
      </w:tr>
      <w:tr>
        <w:trPr>
          <w:trHeight w:val="175"/>
        </w:trPr>
        <w:tc>
          <w:tcPr>
            <w:tcW w:w="1540" w:type="dxa"/>
            <w:vAlign w:val="bottom"/>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Goodwill and Other</w:t>
            </w:r>
          </w:p>
        </w:tc>
        <w:tc>
          <w:tcPr>
            <w:tcW w:w="1040" w:type="dxa"/>
            <w:vAlign w:val="bottom"/>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54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(Topic 350):</w:t>
            </w:r>
          </w:p>
        </w:tc>
        <w:tc>
          <w:tcPr>
            <w:tcW w:w="104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auto"/>
              </w:rPr>
              <w:t>Adoption)</w:t>
            </w:r>
          </w:p>
        </w:tc>
        <w:tc>
          <w:tcPr>
            <w:tcW w:w="5180" w:type="dxa"/>
            <w:vAlign w:val="bottom"/>
          </w:tcPr>
          <w:p>
            <w:pPr>
              <w:ind w:left="200"/>
              <w:spacing w:after="0" w:line="108" w:lineRule="exact"/>
              <w:rPr>
                <w:sz w:val="20"/>
                <w:szCs w:val="20"/>
                <w:color w:val="auto"/>
              </w:rPr>
            </w:pPr>
            <w:r>
              <w:rPr>
                <w:rFonts w:ascii="Times New Roman" w:cs="Times New Roman" w:eastAsia="Times New Roman" w:hAnsi="Times New Roman"/>
                <w:sz w:val="12"/>
                <w:szCs w:val="12"/>
                <w:color w:val="auto"/>
              </w:rPr>
              <w:t>An entity should recognize an impairment charge for the amount by</w:t>
            </w:r>
          </w:p>
        </w:tc>
        <w:tc>
          <w:tcPr>
            <w:tcW w:w="0" w:type="dxa"/>
            <w:vAlign w:val="bottom"/>
          </w:tcPr>
          <w:p>
            <w:pPr>
              <w:spacing w:after="0"/>
              <w:rPr>
                <w:sz w:val="1"/>
                <w:szCs w:val="1"/>
                <w:color w:val="auto"/>
              </w:rPr>
            </w:pPr>
          </w:p>
        </w:tc>
      </w:tr>
      <w:tr>
        <w:trPr>
          <w:trHeight w:val="68"/>
        </w:trPr>
        <w:tc>
          <w:tcPr>
            <w:tcW w:w="15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5180" w:type="dxa"/>
            <w:vAlign w:val="bottom"/>
            <w:vMerge w:val="restart"/>
          </w:tcPr>
          <w:p>
            <w:pPr>
              <w:ind w:left="200"/>
              <w:spacing w:after="0" w:line="176" w:lineRule="exact"/>
              <w:rPr>
                <w:sz w:val="20"/>
                <w:szCs w:val="20"/>
                <w:color w:val="auto"/>
              </w:rPr>
            </w:pPr>
            <w:r>
              <w:rPr>
                <w:rFonts w:ascii="Times New Roman" w:cs="Times New Roman" w:eastAsia="Times New Roman" w:hAnsi="Times New Roman"/>
                <w:sz w:val="18"/>
                <w:szCs w:val="18"/>
                <w:color w:val="auto"/>
              </w:rPr>
              <w:t>which the carrying amount exceeds the reporting unit’s fair value;</w:t>
            </w:r>
          </w:p>
        </w:tc>
        <w:tc>
          <w:tcPr>
            <w:tcW w:w="0" w:type="dxa"/>
            <w:vAlign w:val="bottom"/>
          </w:tcPr>
          <w:p>
            <w:pPr>
              <w:spacing w:after="0"/>
              <w:rPr>
                <w:sz w:val="1"/>
                <w:szCs w:val="1"/>
                <w:color w:val="auto"/>
              </w:rPr>
            </w:pPr>
          </w:p>
        </w:tc>
      </w:tr>
      <w:tr>
        <w:trPr>
          <w:trHeight w:val="108"/>
        </w:trPr>
        <w:tc>
          <w:tcPr>
            <w:tcW w:w="154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Simplifying the Test</w:t>
            </w:r>
          </w:p>
        </w:tc>
        <w:tc>
          <w:tcPr>
            <w:tcW w:w="1040" w:type="dxa"/>
            <w:vAlign w:val="bottom"/>
          </w:tcPr>
          <w:p>
            <w:pPr>
              <w:spacing w:after="0"/>
              <w:rPr>
                <w:sz w:val="9"/>
                <w:szCs w:val="9"/>
                <w:color w:val="auto"/>
              </w:rPr>
            </w:pPr>
          </w:p>
        </w:tc>
        <w:tc>
          <w:tcPr>
            <w:tcW w:w="5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5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5180" w:type="dxa"/>
            <w:vAlign w:val="bottom"/>
            <w:vMerge w:val="restart"/>
          </w:tcPr>
          <w:p>
            <w:pPr>
              <w:ind w:left="200"/>
              <w:spacing w:after="0" w:line="176" w:lineRule="exact"/>
              <w:rPr>
                <w:sz w:val="20"/>
                <w:szCs w:val="20"/>
                <w:color w:val="auto"/>
              </w:rPr>
            </w:pPr>
            <w:r>
              <w:rPr>
                <w:rFonts w:ascii="Times New Roman" w:cs="Times New Roman" w:eastAsia="Times New Roman" w:hAnsi="Times New Roman"/>
                <w:sz w:val="18"/>
                <w:szCs w:val="18"/>
                <w:color w:val="auto"/>
              </w:rPr>
              <w:t>however, the loss recognized should not exceed the total amount of</w:t>
            </w:r>
          </w:p>
        </w:tc>
        <w:tc>
          <w:tcPr>
            <w:tcW w:w="0" w:type="dxa"/>
            <w:vAlign w:val="bottom"/>
          </w:tcPr>
          <w:p>
            <w:pPr>
              <w:spacing w:after="0"/>
              <w:rPr>
                <w:sz w:val="1"/>
                <w:szCs w:val="1"/>
                <w:color w:val="auto"/>
              </w:rPr>
            </w:pPr>
          </w:p>
        </w:tc>
      </w:tr>
      <w:tr>
        <w:trPr>
          <w:trHeight w:val="108"/>
        </w:trPr>
        <w:tc>
          <w:tcPr>
            <w:tcW w:w="154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for Goodwill</w:t>
            </w:r>
          </w:p>
        </w:tc>
        <w:tc>
          <w:tcPr>
            <w:tcW w:w="1040" w:type="dxa"/>
            <w:vAlign w:val="bottom"/>
          </w:tcPr>
          <w:p>
            <w:pPr>
              <w:spacing w:after="0"/>
              <w:rPr>
                <w:sz w:val="9"/>
                <w:szCs w:val="9"/>
                <w:color w:val="auto"/>
              </w:rPr>
            </w:pPr>
          </w:p>
        </w:tc>
        <w:tc>
          <w:tcPr>
            <w:tcW w:w="5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5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51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goodwill allocated to that reporting unit.</w:t>
            </w:r>
          </w:p>
        </w:tc>
        <w:tc>
          <w:tcPr>
            <w:tcW w:w="0" w:type="dxa"/>
            <w:vAlign w:val="bottom"/>
          </w:tcPr>
          <w:p>
            <w:pPr>
              <w:spacing w:after="0"/>
              <w:rPr>
                <w:sz w:val="1"/>
                <w:szCs w:val="1"/>
                <w:color w:val="auto"/>
              </w:rPr>
            </w:pPr>
          </w:p>
        </w:tc>
      </w:tr>
      <w:tr>
        <w:trPr>
          <w:trHeight w:val="167"/>
        </w:trPr>
        <w:tc>
          <w:tcPr>
            <w:tcW w:w="1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Impairment</w:t>
            </w:r>
          </w:p>
        </w:tc>
        <w:tc>
          <w:tcPr>
            <w:tcW w:w="1040" w:type="dxa"/>
            <w:vAlign w:val="bottom"/>
          </w:tcPr>
          <w:p>
            <w:pPr>
              <w:spacing w:after="0"/>
              <w:rPr>
                <w:sz w:val="14"/>
                <w:szCs w:val="14"/>
                <w:color w:val="auto"/>
              </w:rPr>
            </w:pPr>
          </w:p>
        </w:tc>
        <w:tc>
          <w:tcPr>
            <w:tcW w:w="5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15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5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420"/>
        <w:spacing w:after="0" w:line="224" w:lineRule="auto"/>
        <w:rPr>
          <w:sz w:val="20"/>
          <w:szCs w:val="20"/>
          <w:color w:val="auto"/>
        </w:rPr>
      </w:pPr>
      <w:r>
        <w:rPr>
          <w:rFonts w:ascii="Times New Roman" w:cs="Times New Roman" w:eastAsia="Times New Roman" w:hAnsi="Times New Roman"/>
          <w:sz w:val="18"/>
          <w:szCs w:val="18"/>
          <w:color w:val="auto"/>
        </w:rPr>
        <w:t>On the date of adoption there was no impact to the Company’s financial statements.</w:t>
      </w:r>
    </w:p>
    <w:p>
      <w:pPr>
        <w:spacing w:after="0" w:line="118"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8"/>
          <w:szCs w:val="18"/>
          <w:color w:val="auto"/>
        </w:rPr>
        <w:t>The Company’s process for evaluating goodwill impairment was modified to align with the elimination of Step 2. In the second quarter of 2020, the Company performed a Step 0 analysis then a Step 1 analysis and determined that goodwill was fully impaired.</w:t>
      </w:r>
    </w:p>
    <w:p>
      <w:pPr>
        <w:spacing w:after="0" w:line="145" w:lineRule="exact"/>
        <w:rPr>
          <w:sz w:val="20"/>
          <w:szCs w:val="20"/>
          <w:color w:val="auto"/>
        </w:rPr>
      </w:pPr>
    </w:p>
    <w:p>
      <w:pPr>
        <w:sectPr>
          <w:pgSz w:w="11900" w:h="16838" w:orient="portrait"/>
          <w:cols w:equalWidth="0" w:num="2">
            <w:col w:w="7940" w:space="220"/>
            <w:col w:w="3080"/>
          </w:cols>
          <w:pgMar w:left="320" w:top="175" w:right="339" w:bottom="1440" w:gutter="0" w:footer="0" w:header="0"/>
          <w:type w:val="continuous"/>
        </w:sectPr>
      </w:pPr>
    </w:p>
    <w:p>
      <w:pPr>
        <w:ind w:left="180" w:right="1100" w:firstLine="486"/>
        <w:spacing w:after="0" w:line="282" w:lineRule="auto"/>
        <w:rPr>
          <w:sz w:val="20"/>
          <w:szCs w:val="20"/>
          <w:color w:val="auto"/>
        </w:rPr>
      </w:pPr>
      <w:r>
        <w:rPr>
          <w:rFonts w:ascii="Times New Roman" w:cs="Times New Roman" w:eastAsia="Times New Roman" w:hAnsi="Times New Roman"/>
          <w:sz w:val="18"/>
          <w:szCs w:val="18"/>
          <w:color w:val="auto"/>
        </w:rPr>
        <w:t>The Company provided updates to the following ASUs that have not been adopted. A complete list of recent, applicable accounting pronouncements was provided in the Company’s 2019 Form 10-K: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Anticipated Date of</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238"/>
        </w:trPr>
        <w:tc>
          <w:tcPr>
            <w:tcW w:w="16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Adoption</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on Financial Statements or Other Significant Matters</w:t>
            </w:r>
          </w:p>
        </w:tc>
      </w:tr>
      <w:tr>
        <w:trPr>
          <w:trHeight w:val="27"/>
        </w:trPr>
        <w:tc>
          <w:tcPr>
            <w:tcW w:w="1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18"/>
        </w:trPr>
        <w:tc>
          <w:tcPr>
            <w:tcW w:w="160" w:type="dxa"/>
            <w:vAlign w:val="bottom"/>
          </w:tcPr>
          <w:p>
            <w:pPr>
              <w:spacing w:after="0"/>
              <w:rPr>
                <w:sz w:val="18"/>
                <w:szCs w:val="18"/>
                <w:color w:val="auto"/>
              </w:rPr>
            </w:pP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 2016-13</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 the Company maintains its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Requires an entity to utilize a new</w:t>
            </w: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 established a committee of individuals from</w:t>
            </w:r>
          </w:p>
        </w:tc>
      </w:tr>
      <w:tr>
        <w:trPr>
          <w:trHeight w:val="216"/>
        </w:trPr>
        <w:tc>
          <w:tcPr>
            <w:tcW w:w="16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EGC status, the Company is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model known as the</w:t>
            </w: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applicable departments to oversee the implementation process.</w:t>
            </w:r>
          </w:p>
        </w:tc>
      </w:tr>
      <w:tr>
        <w:trPr>
          <w:trHeight w:val="216"/>
        </w:trPr>
        <w:tc>
          <w:tcPr>
            <w:tcW w:w="160" w:type="dxa"/>
            <w:vAlign w:val="bottom"/>
          </w:tcPr>
          <w:p>
            <w:pPr>
              <w:spacing w:after="0"/>
              <w:rPr>
                <w:sz w:val="18"/>
                <w:szCs w:val="18"/>
                <w:color w:val="auto"/>
              </w:rPr>
            </w:pP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Financial</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 required to implement</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expected credit loss</w:t>
            </w: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 completed the third party software</w:t>
            </w:r>
          </w:p>
        </w:tc>
      </w:tr>
      <w:tr>
        <w:trPr>
          <w:trHeight w:val="216"/>
        </w:trPr>
        <w:tc>
          <w:tcPr>
            <w:tcW w:w="160" w:type="dxa"/>
            <w:vAlign w:val="bottom"/>
          </w:tcPr>
          <w:p>
            <w:pPr>
              <w:spacing w:after="0"/>
              <w:rPr>
                <w:sz w:val="18"/>
                <w:szCs w:val="18"/>
                <w:color w:val="auto"/>
              </w:rPr>
            </w:pP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Instruments-</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this standard until January</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 model to estimate its</w:t>
            </w: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phase that included data capture and portfolio</w:t>
            </w:r>
          </w:p>
        </w:tc>
      </w:tr>
      <w:tr>
        <w:trPr>
          <w:trHeight w:val="216"/>
        </w:trPr>
        <w:tc>
          <w:tcPr>
            <w:tcW w:w="160" w:type="dxa"/>
            <w:vAlign w:val="bottom"/>
          </w:tcPr>
          <w:p>
            <w:pPr>
              <w:spacing w:after="0"/>
              <w:rPr>
                <w:sz w:val="18"/>
                <w:szCs w:val="18"/>
                <w:color w:val="auto"/>
              </w:rPr>
            </w:pP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Credit Losses</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The Company will</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lifetime expected credit loss and</w:t>
            </w: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segmentation amongst other items.</w:t>
            </w:r>
          </w:p>
        </w:tc>
      </w:tr>
      <w:tr>
        <w:trPr>
          <w:trHeight w:val="216"/>
        </w:trPr>
        <w:tc>
          <w:tcPr>
            <w:tcW w:w="16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continue to monitor its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 an allowance that, when</w:t>
            </w:r>
          </w:p>
        </w:tc>
        <w:tc>
          <w:tcPr>
            <w:tcW w:w="46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 and the requirements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deducted from the amortized cost</w:t>
            </w: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 completed parallel runs in 2019. During the first</w:t>
            </w:r>
          </w:p>
        </w:tc>
      </w:tr>
      <w:tr>
        <w:trPr>
          <w:trHeight w:val="216"/>
        </w:trPr>
        <w:tc>
          <w:tcPr>
            <w:tcW w:w="16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adoption.</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basis of the financial asset, presents</w:t>
            </w: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of 2020, the Company continued to perform</w:t>
            </w:r>
          </w:p>
        </w:tc>
      </w:tr>
      <w:tr>
        <w:trPr>
          <w:trHeight w:val="216"/>
        </w:trPr>
        <w:tc>
          <w:tcPr>
            <w:tcW w:w="16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net amount expected to be</w:t>
            </w: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parallel runs using 2020 data and continued to recalibrate inputs</w:t>
            </w:r>
          </w:p>
        </w:tc>
      </w:tr>
      <w:tr>
        <w:trPr>
          <w:trHeight w:val="216"/>
        </w:trPr>
        <w:tc>
          <w:tcPr>
            <w:tcW w:w="16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collected on the financial asset.</w:t>
            </w: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necessary. The Company is evaluating the internal control</w:t>
            </w:r>
          </w:p>
        </w:tc>
      </w:tr>
      <w:tr>
        <w:trPr>
          <w:trHeight w:val="216"/>
        </w:trPr>
        <w:tc>
          <w:tcPr>
            <w:tcW w:w="16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that will be necessary to transition to the third-party</w:t>
            </w:r>
          </w:p>
        </w:tc>
      </w:tr>
      <w:tr>
        <w:trPr>
          <w:trHeight w:val="234"/>
        </w:trPr>
        <w:tc>
          <w:tcPr>
            <w:tcW w:w="16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w:t>
            </w:r>
          </w:p>
        </w:tc>
      </w:tr>
      <w:tr>
        <w:trPr>
          <w:trHeight w:val="414"/>
        </w:trPr>
        <w:tc>
          <w:tcPr>
            <w:tcW w:w="16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this time, an estimate of the impact cannot be established as</w:t>
            </w:r>
          </w:p>
        </w:tc>
      </w:tr>
      <w:tr>
        <w:trPr>
          <w:trHeight w:val="216"/>
        </w:trPr>
        <w:tc>
          <w:tcPr>
            <w:tcW w:w="16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 continues to evaluate the inputs into the model.</w:t>
            </w:r>
          </w:p>
        </w:tc>
      </w:tr>
      <w:tr>
        <w:trPr>
          <w:trHeight w:val="216"/>
        </w:trPr>
        <w:tc>
          <w:tcPr>
            <w:tcW w:w="16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actual impact could be significantly affected by the</w:t>
            </w:r>
          </w:p>
        </w:tc>
      </w:tr>
      <w:tr>
        <w:trPr>
          <w:trHeight w:val="216"/>
        </w:trPr>
        <w:tc>
          <w:tcPr>
            <w:tcW w:w="16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characteristics, and quality of the underlying loan</w:t>
            </w:r>
          </w:p>
        </w:tc>
      </w:tr>
      <w:tr>
        <w:trPr>
          <w:trHeight w:val="241"/>
        </w:trPr>
        <w:tc>
          <w:tcPr>
            <w:tcW w:w="160" w:type="dxa"/>
            <w:vAlign w:val="bottom"/>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portfolio at the time of adoption.</w:t>
            </w:r>
          </w:p>
        </w:tc>
      </w:tr>
      <w:tr>
        <w:trPr>
          <w:trHeight w:val="918"/>
        </w:trPr>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3" w:name="page14"/>
    <w:bookmarkEnd w:id="13"/>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ectPr>
          <w:pgSz w:w="11900" w:h="16838" w:orient="portrait"/>
          <w:cols w:equalWidth="0" w:num="1">
            <w:col w:w="11200"/>
          </w:cols>
          <w:pgMar w:left="320" w:top="17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0"/>
        <w:spacing w:after="0" w:line="365" w:lineRule="auto"/>
        <w:rPr>
          <w:sz w:val="20"/>
          <w:szCs w:val="20"/>
          <w:color w:val="auto"/>
        </w:rPr>
      </w:pPr>
      <w:r>
        <w:rPr>
          <w:rFonts w:ascii="Times New Roman" w:cs="Times New Roman" w:eastAsia="Times New Roman" w:hAnsi="Times New Roman"/>
          <w:sz w:val="18"/>
          <w:szCs w:val="18"/>
          <w:b w:val="1"/>
          <w:bCs w:val="1"/>
          <w:color w:val="auto"/>
        </w:rPr>
        <w:t xml:space="preserve">Standard </w:t>
      </w:r>
      <w:r>
        <w:rPr>
          <w:rFonts w:ascii="Times New Roman" w:cs="Times New Roman" w:eastAsia="Times New Roman" w:hAnsi="Times New Roman"/>
          <w:sz w:val="18"/>
          <w:szCs w:val="18"/>
          <w:color w:val="auto"/>
        </w:rPr>
        <w:t>ASU 2016-02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-230505</wp:posOffset>
            </wp:positionV>
            <wp:extent cx="7886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95" w:lineRule="exact"/>
        <w:rPr>
          <w:sz w:val="20"/>
          <w:szCs w:val="20"/>
          <w:color w:val="auto"/>
        </w:rPr>
      </w:pPr>
    </w:p>
    <w:p>
      <w:pPr>
        <w:ind w:left="180" w:right="20"/>
        <w:spacing w:after="0" w:line="284" w:lineRule="auto"/>
        <w:rPr>
          <w:sz w:val="20"/>
          <w:szCs w:val="20"/>
          <w:color w:val="auto"/>
        </w:rPr>
      </w:pPr>
      <w:r>
        <w:rPr>
          <w:rFonts w:ascii="Times New Roman" w:cs="Times New Roman" w:eastAsia="Times New Roman" w:hAnsi="Times New Roman"/>
          <w:sz w:val="18"/>
          <w:szCs w:val="18"/>
          <w:i w:val="1"/>
          <w:iCs w:val="1"/>
          <w:color w:val="auto"/>
        </w:rPr>
        <w:t>Leases (Topic 842)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Anticipated Date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13970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54" w:lineRule="auto"/>
        <w:rPr>
          <w:sz w:val="20"/>
          <w:szCs w:val="20"/>
          <w:color w:val="auto"/>
        </w:rPr>
      </w:pPr>
      <w:r>
        <w:rPr>
          <w:rFonts w:ascii="Times New Roman" w:cs="Times New Roman" w:eastAsia="Times New Roman" w:hAnsi="Times New Roman"/>
          <w:sz w:val="18"/>
          <w:szCs w:val="18"/>
          <w:color w:val="auto"/>
        </w:rPr>
        <w:t>The Company expects to implement this standard on January 1, 2022, unless the Company loses its EGC status during 2021. If EGC status changes, the Company would therefore be required to implement the ASU as of the beginning of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36830</wp:posOffset>
            </wp:positionV>
            <wp:extent cx="16973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6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Requires lessees and lessors to recognize lease assets and lease liabilities on the balance sheet and disclose key information about leasing arrangements.</w:t>
      </w:r>
    </w:p>
    <w:p>
      <w:pPr>
        <w:spacing w:after="0" w:line="183"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color w:val="auto"/>
        </w:rPr>
        <w:t>The update requires lessees and lessors to recognize and measure leases at the beginning of the earliest period presented using a modified retrospective approach with the option to elect certain practical expedients.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update will also increase disclosures around leases, including qualitative and specific quantitative measures.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on Financial Statements or Other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44450</wp:posOffset>
            </wp:positionV>
            <wp:extent cx="29660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expects to apply the update as of the beginning of the period of adoption and the Company does not plan to restate comparative periods. The Company expects to elect certain optional practical expedients.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gathered all potential lease and embedded lease agreements during 2019 and 2020 and is evaluating the applicability and impact to the financial statements.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current operating leases relate primarily to four branch locations. Based on the current leases, the Company anticipates recognizing a lease liability and related right-to-use asset on its balance sheet, with an immaterial impact to its income statement compared to the current lease accounting model. However, the ultimate impact of the standard will depend on the Company's lease portfolio as of the adoption date.</w:t>
      </w:r>
    </w:p>
    <w:p>
      <w:pPr>
        <w:spacing w:after="0" w:line="427" w:lineRule="exact"/>
        <w:rPr>
          <w:sz w:val="20"/>
          <w:szCs w:val="20"/>
          <w:color w:val="auto"/>
        </w:rPr>
      </w:pPr>
    </w:p>
    <w:p>
      <w:pPr>
        <w:sectPr>
          <w:pgSz w:w="11900" w:h="16838" w:orient="portrait"/>
          <w:cols w:equalWidth="0" w:num="4">
            <w:col w:w="1200" w:space="320"/>
            <w:col w:w="2100" w:space="200"/>
            <w:col w:w="2580" w:space="180"/>
            <w:col w:w="4620"/>
          </w:cols>
          <w:pgMar w:left="320" w:top="175" w:right="379" w:bottom="1440" w:gutter="0" w:footer="0" w:header="0"/>
          <w:type w:val="continuous"/>
        </w:sect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Note 2:</w:t>
            </w:r>
          </w:p>
        </w:tc>
        <w:tc>
          <w:tcPr>
            <w:tcW w:w="316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Earnings Per Share</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60" w:type="dxa"/>
            <w:vAlign w:val="bottom"/>
          </w:tcPr>
          <w:p>
            <w:pPr>
              <w:spacing w:after="0"/>
              <w:rPr>
                <w:sz w:val="24"/>
                <w:szCs w:val="24"/>
                <w:color w:val="auto"/>
              </w:rPr>
            </w:pPr>
          </w:p>
        </w:tc>
        <w:tc>
          <w:tcPr>
            <w:tcW w:w="662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w w:val="99"/>
              </w:rPr>
              <w:t>The following table presents the computation of basic and diluted earnings per share:</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24"/>
                <w:szCs w:val="24"/>
                <w:color w:val="auto"/>
              </w:rPr>
            </w:pPr>
          </w:p>
        </w:tc>
        <w:tc>
          <w:tcPr>
            <w:tcW w:w="296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6"/>
          </w:tcPr>
          <w:p>
            <w:pPr>
              <w:ind w:left="18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w:t>
            </w:r>
          </w:p>
        </w:tc>
        <w:tc>
          <w:tcPr>
            <w:tcW w:w="14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29,173</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w:t>
            </w: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4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52,136,286</w:t>
            </w:r>
          </w:p>
        </w:tc>
        <w:tc>
          <w:tcPr>
            <w:tcW w:w="1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48,351,553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52,104,372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46,239,021</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4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Earnings per share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9"/>
                <w:szCs w:val="19"/>
                <w:color w:val="auto"/>
              </w:rPr>
            </w:pPr>
          </w:p>
        </w:tc>
        <w:tc>
          <w:tcPr>
            <w:tcW w:w="6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0" w:type="dxa"/>
            <w:vAlign w:val="bottom"/>
          </w:tcPr>
          <w:p>
            <w:pPr>
              <w:spacing w:after="0"/>
              <w:rPr>
                <w:sz w:val="17"/>
                <w:szCs w:val="17"/>
                <w:color w:val="auto"/>
              </w:rPr>
            </w:pPr>
          </w:p>
        </w:tc>
        <w:tc>
          <w:tcPr>
            <w:tcW w:w="42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Dilutive Earnings Per Share</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w:t>
            </w:r>
          </w:p>
        </w:tc>
        <w:tc>
          <w:tcPr>
            <w:tcW w:w="14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28,998</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52,136,286</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48,351,553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52,104,372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46,239,021</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2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Effect of dilutive shares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423,840</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812,996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463,219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842,706</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4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dilutive common shares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52,560,126</w:t>
            </w:r>
          </w:p>
        </w:tc>
        <w:tc>
          <w:tcPr>
            <w:tcW w:w="1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49,164,549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52,567,591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47,081,727</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424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7"/>
                <w:szCs w:val="17"/>
                <w:color w:val="auto"/>
              </w:rPr>
            </w:pPr>
          </w:p>
        </w:tc>
        <w:tc>
          <w:tcPr>
            <w:tcW w:w="620" w:type="dxa"/>
            <w:vAlign w:val="bottom"/>
            <w:tcBorders>
              <w:bottom w:val="single" w:sz="8" w:color="auto"/>
            </w:tcBorders>
          </w:tcPr>
          <w:p>
            <w:pPr>
              <w:jc w:val="right"/>
              <w:ind w:right="4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0" w:type="dxa"/>
            <w:vAlign w:val="bottom"/>
          </w:tcPr>
          <w:p>
            <w:pPr>
              <w:spacing w:after="0"/>
              <w:rPr>
                <w:sz w:val="12"/>
                <w:szCs w:val="12"/>
                <w:color w:val="auto"/>
              </w:rPr>
            </w:pPr>
          </w:p>
        </w:tc>
        <w:tc>
          <w:tcPr>
            <w:tcW w:w="42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Stock-based awards not included because to do so would</w:t>
            </w:r>
          </w:p>
        </w:tc>
        <w:tc>
          <w:tcPr>
            <w:tcW w:w="3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1,214,433</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541,556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1,053,393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507,167</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 antidilutive</w:t>
            </w:r>
          </w:p>
        </w:tc>
        <w:tc>
          <w:tcPr>
            <w:tcW w:w="3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type w:val="continuous"/>
        </w:sectPr>
      </w:pPr>
    </w:p>
    <w:bookmarkStart w:id="14" w:name="page15"/>
    <w:bookmarkEnd w:id="14"/>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Note 3:</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165" w:lineRule="exact"/>
        <w:rPr>
          <w:sz w:val="20"/>
          <w:szCs w:val="20"/>
          <w:color w:val="auto"/>
        </w:rPr>
      </w:pPr>
    </w:p>
    <w:p>
      <w:pPr>
        <w:ind w:left="180" w:right="180" w:firstLine="486"/>
        <w:spacing w:after="0" w:line="282" w:lineRule="auto"/>
        <w:rPr>
          <w:sz w:val="20"/>
          <w:szCs w:val="20"/>
          <w:color w:val="auto"/>
        </w:rPr>
      </w:pPr>
      <w:r>
        <w:rPr>
          <w:rFonts w:ascii="Times New Roman" w:cs="Times New Roman" w:eastAsia="Times New Roman" w:hAnsi="Times New Roman"/>
          <w:sz w:val="18"/>
          <w:szCs w:val="18"/>
          <w:color w:val="auto"/>
        </w:rPr>
        <w:t>The amortized cost and approximate fair values, together with gross unrealized gains and losses, of period end available-for-sale debt and equity securities consisted of the following:</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20" w:type="dxa"/>
            <w:vAlign w:val="bottom"/>
          </w:tcPr>
          <w:p>
            <w:pPr>
              <w:spacing w:after="0"/>
              <w:rPr>
                <w:sz w:val="14"/>
                <w:szCs w:val="14"/>
                <w:color w:val="auto"/>
              </w:rPr>
            </w:pPr>
          </w:p>
        </w:tc>
        <w:tc>
          <w:tcPr>
            <w:tcW w:w="150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Approximate Fair</w:t>
            </w:r>
          </w:p>
        </w:tc>
        <w:tc>
          <w:tcPr>
            <w:tcW w:w="0" w:type="dxa"/>
            <w:vAlign w:val="bottom"/>
          </w:tcPr>
          <w:p>
            <w:pPr>
              <w:spacing w:after="0"/>
              <w:rPr>
                <w:sz w:val="1"/>
                <w:szCs w:val="1"/>
                <w:color w:val="auto"/>
              </w:rPr>
            </w:pPr>
          </w:p>
        </w:tc>
      </w:tr>
      <w:tr>
        <w:trPr>
          <w:trHeight w:val="229"/>
        </w:trPr>
        <w:tc>
          <w:tcPr>
            <w:tcW w:w="4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8"/>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5"/>
          </w:tcPr>
          <w:p>
            <w:pPr>
              <w:ind w:left="8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Mortgage-backed - GSE residential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126,783</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Collateralized mortgage obligations - GSE residential</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72,999</w:t>
            </w:r>
          </w:p>
        </w:tc>
        <w:tc>
          <w:tcPr>
            <w:tcW w:w="0" w:type="dxa"/>
            <w:vAlign w:val="bottom"/>
          </w:tcPr>
          <w:p>
            <w:pPr>
              <w:spacing w:after="0"/>
              <w:rPr>
                <w:sz w:val="1"/>
                <w:szCs w:val="1"/>
                <w:color w:val="auto"/>
              </w:rPr>
            </w:pPr>
          </w:p>
        </w:tc>
      </w:tr>
      <w:tr>
        <w:trPr>
          <w:trHeight w:val="22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449,194</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649,901</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617,985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652,146</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20" w:type="dxa"/>
            <w:vAlign w:val="bottom"/>
          </w:tcPr>
          <w:p>
            <w:pPr>
              <w:spacing w:after="0"/>
              <w:rPr>
                <w:sz w:val="14"/>
                <w:szCs w:val="14"/>
                <w:color w:val="auto"/>
              </w:rPr>
            </w:pPr>
          </w:p>
        </w:tc>
        <w:tc>
          <w:tcPr>
            <w:tcW w:w="150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Approximate Fair</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5"/>
          </w:tcPr>
          <w:p>
            <w:pPr>
              <w:ind w:left="8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Mortgage-backed - GSE residential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151,037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152,512</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Collateralized mortgage obligations - GSE residential</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129,212</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456,340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717,682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739,473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719,872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741,634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9"/>
        </w:trPr>
        <w:tc>
          <w:tcPr>
            <w:tcW w:w="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spacing w:after="0"/>
        <w:tabs>
          <w:tab w:leader="none" w:pos="356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amortized cost and fair value of available-for-sale debt securities at September 30, 2020, by contractual maturity, are shown below:</w:t>
      </w:r>
    </w:p>
    <w:p>
      <w:pPr>
        <w:spacing w:after="0" w:line="208"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14"/>
        </w:trPr>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Within</w:t>
            </w:r>
          </w:p>
        </w:tc>
        <w:tc>
          <w:tcPr>
            <w:tcW w:w="16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After One to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After Five to</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3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One Year</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Five Years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Ten Years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Ten Years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8"/>
        </w:trPr>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37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Mortgage-backed - GSE residential</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Amortized cost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121,839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122,093</w:t>
            </w:r>
          </w:p>
        </w:tc>
      </w:tr>
      <w:tr>
        <w:trPr>
          <w:trHeight w:val="230"/>
        </w:trPr>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Estimated fair value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126,512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126,783</w:t>
            </w:r>
          </w:p>
        </w:tc>
      </w:tr>
      <w:tr>
        <w:trPr>
          <w:trHeight w:val="229"/>
        </w:trPr>
        <w:tc>
          <w:tcPr>
            <w:tcW w:w="37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Weighted average yield</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176"/>
        </w:trPr>
        <w:tc>
          <w:tcPr>
            <w:tcW w:w="37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Collateralized mortgage obligations - GSE</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9"/>
        </w:trPr>
        <w:tc>
          <w:tcPr>
            <w:tcW w:w="3740" w:type="dxa"/>
            <w:vAlign w:val="bottom"/>
          </w:tcPr>
          <w:p>
            <w:pPr>
              <w:ind w:left="320"/>
              <w:spacing w:after="0" w:line="230" w:lineRule="exact"/>
              <w:rPr>
                <w:sz w:val="20"/>
                <w:szCs w:val="20"/>
                <w:color w:val="auto"/>
              </w:rPr>
            </w:pPr>
            <w:r>
              <w:rPr>
                <w:rFonts w:ascii="Times New Roman" w:cs="Times New Roman" w:eastAsia="Times New Roman" w:hAnsi="Times New Roman"/>
                <w:sz w:val="18"/>
                <w:szCs w:val="18"/>
                <w:color w:val="auto"/>
              </w:rPr>
              <w:t>residential</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Amortized cost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69,239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71,735</w:t>
            </w:r>
          </w:p>
        </w:tc>
      </w:tr>
      <w:tr>
        <w:trPr>
          <w:trHeight w:val="230"/>
        </w:trPr>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Estimated fair value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70,264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72,999</w:t>
            </w:r>
          </w:p>
        </w:tc>
      </w:tr>
      <w:tr>
        <w:trPr>
          <w:trHeight w:val="229"/>
        </w:trPr>
        <w:tc>
          <w:tcPr>
            <w:tcW w:w="37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Weighted average yield</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Amortized cost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7,407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59,992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421,075</w:t>
            </w:r>
          </w:p>
        </w:tc>
      </w:tr>
      <w:tr>
        <w:trPr>
          <w:trHeight w:val="229"/>
        </w:trPr>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Estimated fair value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7,573</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65,059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375,908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449,194</w:t>
            </w:r>
          </w:p>
        </w:tc>
      </w:tr>
      <w:tr>
        <w:trPr>
          <w:trHeight w:val="230"/>
        </w:trPr>
        <w:tc>
          <w:tcPr>
            <w:tcW w:w="37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Weighted average yield</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Amortized cost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860</w:t>
            </w:r>
          </w:p>
        </w:tc>
      </w:tr>
      <w:tr>
        <w:trPr>
          <w:trHeight w:val="230"/>
        </w:trPr>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Estimated fair value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925</w:t>
            </w:r>
          </w:p>
        </w:tc>
      </w:tr>
      <w:tr>
        <w:trPr>
          <w:trHeight w:val="229"/>
        </w:trPr>
        <w:tc>
          <w:tcPr>
            <w:tcW w:w="37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Weighted average yield</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5.57 %</w:t>
            </w:r>
          </w:p>
        </w:tc>
      </w:tr>
      <w:tr>
        <w:trPr>
          <w:trHeight w:val="230"/>
        </w:trPr>
        <w:tc>
          <w:tcPr>
            <w:tcW w:w="3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48"/>
        </w:trPr>
        <w:tc>
          <w:tcPr>
            <w:tcW w:w="3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Amortized cost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63,547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544,101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615,763</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204"/>
        </w:trPr>
        <w:tc>
          <w:tcPr>
            <w:tcW w:w="3740" w:type="dxa"/>
            <w:vAlign w:val="bottom"/>
          </w:tcPr>
          <w:p>
            <w:pPr>
              <w:ind w:left="320"/>
              <w:spacing w:after="0" w:line="203" w:lineRule="exact"/>
              <w:rPr>
                <w:sz w:val="20"/>
                <w:szCs w:val="20"/>
                <w:color w:val="auto"/>
              </w:rPr>
            </w:pPr>
            <w:r>
              <w:rPr>
                <w:rFonts w:ascii="Times New Roman" w:cs="Times New Roman" w:eastAsia="Times New Roman" w:hAnsi="Times New Roman"/>
                <w:sz w:val="18"/>
                <w:szCs w:val="18"/>
                <w:color w:val="auto"/>
              </w:rPr>
              <w:t>Estimated fair value</w:t>
            </w: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654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7,631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68,932</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572,684</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649,901</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3740" w:type="dxa"/>
            <w:vAlign w:val="bottom"/>
            <w:tcBorders>
              <w:bottom w:val="single" w:sz="8" w:color="CCEEFF"/>
            </w:tcBorders>
            <w:shd w:val="clear" w:color="auto" w:fill="CCEEFF"/>
          </w:tcPr>
          <w:p>
            <w:pPr>
              <w:ind w:left="340"/>
              <w:spacing w:after="0" w:line="223" w:lineRule="exact"/>
              <w:rPr>
                <w:sz w:val="20"/>
                <w:szCs w:val="20"/>
                <w:color w:val="auto"/>
              </w:rPr>
            </w:pPr>
            <w:r>
              <w:rPr>
                <w:rFonts w:ascii="Times New Roman" w:cs="Times New Roman" w:eastAsia="Times New Roman" w:hAnsi="Times New Roman"/>
                <w:sz w:val="18"/>
                <w:szCs w:val="18"/>
                <w:color w:val="auto"/>
              </w:rPr>
              <w:t>Weighted average yield</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r>
    </w:tbl>
    <w:p>
      <w:pPr>
        <w:ind w:left="540" w:hanging="170"/>
        <w:spacing w:after="0" w:line="208" w:lineRule="auto"/>
        <w:tabs>
          <w:tab w:leader="none" w:pos="54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Actual maturities may differ from contractual maturities because issuers may have the rights to call or prepay obligations with or without prepayment penalties.</w:t>
      </w:r>
    </w:p>
    <w:p>
      <w:pPr>
        <w:spacing w:after="0" w:line="24" w:lineRule="exact"/>
        <w:rPr>
          <w:rFonts w:ascii="Times New Roman" w:cs="Times New Roman" w:eastAsia="Times New Roman" w:hAnsi="Times New Roman"/>
          <w:sz w:val="21"/>
          <w:szCs w:val="21"/>
          <w:color w:val="auto"/>
          <w:vertAlign w:val="superscript"/>
        </w:rPr>
      </w:pPr>
    </w:p>
    <w:p>
      <w:pPr>
        <w:ind w:left="520" w:hanging="150"/>
        <w:spacing w:after="0" w:line="211" w:lineRule="auto"/>
        <w:tabs>
          <w:tab w:leader="none" w:pos="52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Yields are calculated based on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2469515</wp:posOffset>
            </wp:positionH>
            <wp:positionV relativeFrom="paragraph">
              <wp:posOffset>-260985</wp:posOffset>
            </wp:positionV>
            <wp:extent cx="46545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54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75" w:right="339" w:bottom="1440" w:gutter="0" w:footer="0" w:header="0"/>
        </w:sectPr>
      </w:pPr>
    </w:p>
    <w:bookmarkStart w:id="16" w:name="page17"/>
    <w:bookmarkEnd w:id="16"/>
    <w:p>
      <w:pPr>
        <w:spacing w:after="0"/>
        <w:tabs>
          <w:tab w:leader="none" w:pos="356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jc w:val="both"/>
        <w:ind w:left="160" w:right="16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show the number of securities, unrealized loss, and fair value of the Company’s investments with unrealized losses that are not deemed to be other-than-temporarily impaired (“OTTI”), aggregated by investment class and length of time that individual securities have been in a continuous unrealized loss position at September 30, 2020 and December 31, 2019:</w:t>
      </w:r>
    </w:p>
    <w:p>
      <w:pPr>
        <w:spacing w:after="0" w:line="158"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12"/>
          </w:tcPr>
          <w:p>
            <w:pPr>
              <w:ind w:left="58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gridSpan w:val="10"/>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12"/>
          </w:tcPr>
          <w:p>
            <w:pPr>
              <w:ind w:left="58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960" w:type="dxa"/>
            <w:vAlign w:val="bottom"/>
            <w:tcBorders>
              <w:top w:val="single" w:sz="8" w:color="auto"/>
            </w:tcBorders>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4"/>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940" w:type="dxa"/>
            <w:vAlign w:val="bottom"/>
            <w:tcBorders>
              <w:top w:val="single" w:sz="8" w:color="auto"/>
            </w:tcBorders>
            <w:gridSpan w:val="2"/>
          </w:tcPr>
          <w:p>
            <w:pPr>
              <w:jc w:val="right"/>
              <w:ind w:right="60"/>
              <w:spacing w:after="0" w:line="169"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top w:val="single" w:sz="8" w:color="auto"/>
            </w:tcBorders>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3"/>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9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960" w:type="dxa"/>
            <w:vAlign w:val="bottom"/>
            <w:tcBorders>
              <w:bottom w:val="single" w:sz="8" w:color="auto"/>
            </w:tcBorders>
            <w:gridSpan w:val="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9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98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12"/>
          </w:tcPr>
          <w:p>
            <w:pPr>
              <w:ind w:left="6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Mortgage-backed -</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GSE residential</w:t>
            </w:r>
          </w:p>
        </w:tc>
        <w:tc>
          <w:tcPr>
            <w:tcW w:w="200" w:type="dxa"/>
            <w:vAlign w:val="bottom"/>
            <w:vMerge w:val="continue"/>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40" w:type="dxa"/>
            <w:vAlign w:val="bottom"/>
            <w:gridSpan w:val="4"/>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300" w:type="dxa"/>
            <w:vAlign w:val="bottom"/>
            <w:gridSpan w:val="3"/>
            <w:vMerge w:val="continue"/>
          </w:tcPr>
          <w:p>
            <w:pPr>
              <w:spacing w:after="0"/>
              <w:rPr>
                <w:sz w:val="19"/>
                <w:szCs w:val="19"/>
                <w:color w:val="auto"/>
              </w:rPr>
            </w:pPr>
          </w:p>
        </w:tc>
        <w:tc>
          <w:tcPr>
            <w:tcW w:w="760" w:type="dxa"/>
            <w:vAlign w:val="bottom"/>
            <w:gridSpan w:val="4"/>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40" w:type="dxa"/>
            <w:vAlign w:val="bottom"/>
            <w:gridSpan w:val="3"/>
            <w:vMerge w:val="continue"/>
          </w:tcPr>
          <w:p>
            <w:pPr>
              <w:spacing w:after="0"/>
              <w:rPr>
                <w:sz w:val="19"/>
                <w:szCs w:val="19"/>
                <w:color w:val="auto"/>
              </w:rPr>
            </w:pPr>
          </w:p>
        </w:tc>
        <w:tc>
          <w:tcPr>
            <w:tcW w:w="1040" w:type="dxa"/>
            <w:vAlign w:val="bottom"/>
            <w:gridSpan w:val="4"/>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Collateralized</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mortgage</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obligations - GSE</w:t>
            </w: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4"/>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3"/>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4"/>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1040" w:type="dxa"/>
            <w:vAlign w:val="bottom"/>
            <w:gridSpan w:val="4"/>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State and political</w:t>
            </w: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1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subdivisions</w:t>
            </w: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56"/>
        </w:trPr>
        <w:tc>
          <w:tcPr>
            <w:tcW w:w="17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temporarily</w:t>
            </w: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impaired debt</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18,633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gridSpan w:val="2"/>
            <w:vMerge w:val="restart"/>
          </w:tcPr>
          <w:p>
            <w:pPr>
              <w:spacing w:after="0"/>
              <w:rPr>
                <w:sz w:val="15"/>
                <w:szCs w:val="15"/>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vMerge w:val="restart"/>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18,659</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3"/>
        </w:trPr>
        <w:tc>
          <w:tcPr>
            <w:tcW w:w="170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Borders>
              <w:bottom w:val="single" w:sz="8" w:color="auto"/>
            </w:tcBorders>
            <w:gridSpan w:val="2"/>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1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2"/>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gridSpan w:val="10"/>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12"/>
          </w:tcPr>
          <w:p>
            <w:pPr>
              <w:ind w:left="56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960" w:type="dxa"/>
            <w:vAlign w:val="bottom"/>
            <w:tcBorders>
              <w:top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60" w:type="dxa"/>
            <w:vAlign w:val="bottom"/>
            <w:tcBorders>
              <w:top w:val="single" w:sz="8" w:color="auto"/>
            </w:tcBorders>
            <w:gridSpan w:val="5"/>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9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40" w:type="dxa"/>
            <w:vAlign w:val="bottom"/>
            <w:tcBorders>
              <w:top w:val="single" w:sz="8" w:color="auto"/>
            </w:tcBorders>
            <w:gridSpan w:val="4"/>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gridSpan w:val="2"/>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960" w:type="dxa"/>
            <w:vAlign w:val="bottom"/>
            <w:tcBorders>
              <w:bottom w:val="single" w:sz="8" w:color="auto"/>
            </w:tcBorders>
            <w:gridSpan w:val="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98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12"/>
          </w:tcPr>
          <w:p>
            <w:pPr>
              <w:ind w:left="6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7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Mortgage-backed -</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20,396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1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GSE residential</w:t>
            </w:r>
          </w:p>
        </w:tc>
        <w:tc>
          <w:tcPr>
            <w:tcW w:w="2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3"/>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Collateralized</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mortgage</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obligations - GSE</w:t>
            </w: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State and political</w:t>
            </w: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1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subdivisions</w:t>
            </w: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55"/>
        </w:trPr>
        <w:tc>
          <w:tcPr>
            <w:tcW w:w="17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temporarily</w:t>
            </w: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impaired debt</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78,881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5"/>
                <w:szCs w:val="15"/>
                <w:color w:val="auto"/>
              </w:rPr>
            </w:pPr>
          </w:p>
        </w:tc>
        <w:tc>
          <w:tcPr>
            <w:tcW w:w="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29,185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108,066</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3"/>
        </w:trPr>
        <w:tc>
          <w:tcPr>
            <w:tcW w:w="170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3"/>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left="160" w:right="40" w:firstLine="486"/>
        <w:spacing w:after="0" w:line="312" w:lineRule="auto"/>
        <w:rPr>
          <w:sz w:val="20"/>
          <w:szCs w:val="20"/>
          <w:color w:val="auto"/>
        </w:rPr>
      </w:pPr>
      <w:r>
        <w:rPr>
          <w:rFonts w:ascii="Times New Roman" w:cs="Times New Roman" w:eastAsia="Times New Roman" w:hAnsi="Times New Roman"/>
          <w:sz w:val="17"/>
          <w:szCs w:val="17"/>
          <w:color w:val="auto"/>
        </w:rPr>
        <w:t>The Company expects to recover the amortized cost basis over the term of the securities. The Company does not intend to sell the investments and it is not more likely than not the Company will be required to sell the investments before recovery of their amortized cost basis, which may be maturity.</w:t>
      </w:r>
    </w:p>
    <w:p>
      <w:pPr>
        <w:spacing w:after="0" w:line="86" w:lineRule="exact"/>
        <w:rPr>
          <w:sz w:val="20"/>
          <w:szCs w:val="20"/>
          <w:color w:val="auto"/>
        </w:rPr>
      </w:pPr>
    </w:p>
    <w:p>
      <w:pPr>
        <w:ind w:left="160" w:right="60" w:firstLine="486"/>
        <w:spacing w:after="0" w:line="261" w:lineRule="auto"/>
        <w:rPr>
          <w:sz w:val="20"/>
          <w:szCs w:val="20"/>
          <w:color w:val="auto"/>
        </w:rPr>
      </w:pPr>
      <w:r>
        <w:rPr>
          <w:rFonts w:ascii="Times New Roman" w:cs="Times New Roman" w:eastAsia="Times New Roman" w:hAnsi="Times New Roman"/>
          <w:sz w:val="18"/>
          <w:szCs w:val="18"/>
          <w:color w:val="auto"/>
        </w:rPr>
        <w:t>Gains and losses on the sale of debt securities are recorded on the trade date and are determined using the specific identification method. Gross gains of $2 million and $506 thousand and gross losses of $60 thousand and $39 thousand resulting from sales of available-for-sale securities were realized for the nine-months ended September 30, 2020 and 2019, respectively. The gross gains as of September 30, 2020, included $75 thousand related to a previously disclosed OTTI municipal security that was settled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75" w:right="339" w:bottom="1440" w:gutter="0" w:footer="0" w:header="0"/>
        </w:sectPr>
      </w:pPr>
    </w:p>
    <w:bookmarkStart w:id="17" w:name="page18"/>
    <w:bookmarkEnd w:id="17"/>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Note 4:</w:t>
            </w:r>
          </w:p>
        </w:tc>
        <w:tc>
          <w:tcPr>
            <w:tcW w:w="538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Loans and Allowance for Loan Losses (“ALLL”)</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66"/>
        </w:trPr>
        <w:tc>
          <w:tcPr>
            <w:tcW w:w="160" w:type="dxa"/>
            <w:vAlign w:val="bottom"/>
          </w:tcPr>
          <w:p>
            <w:pPr>
              <w:spacing w:after="0"/>
              <w:rPr>
                <w:sz w:val="24"/>
                <w:szCs w:val="24"/>
                <w:color w:val="auto"/>
              </w:rPr>
            </w:pPr>
          </w:p>
        </w:tc>
        <w:tc>
          <w:tcPr>
            <w:tcW w:w="6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Categories of loans at September 30, 2020 and December 31, 2019 include:</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08"/>
        </w:trPr>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80" w:type="dxa"/>
            <w:vAlign w:val="bottom"/>
            <w:gridSpan w:val="4"/>
          </w:tcPr>
          <w:p>
            <w:pPr>
              <w:jc w:val="right"/>
              <w:ind w:right="149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231"/>
        </w:trPr>
        <w:tc>
          <w:tcPr>
            <w:tcW w:w="160" w:type="dxa"/>
            <w:vAlign w:val="bottom"/>
          </w:tcPr>
          <w:p>
            <w:pPr>
              <w:spacing w:after="0"/>
              <w:rPr>
                <w:sz w:val="20"/>
                <w:szCs w:val="20"/>
                <w:color w:val="auto"/>
              </w:rPr>
            </w:pP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53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1,356,817</w:t>
            </w:r>
          </w:p>
        </w:tc>
      </w:tr>
      <w:tr>
        <w:trPr>
          <w:trHeight w:val="229"/>
        </w:trPr>
        <w:tc>
          <w:tcPr>
            <w:tcW w:w="16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5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408,573</w:t>
            </w:r>
          </w:p>
        </w:tc>
      </w:tr>
      <w:tr>
        <w:trPr>
          <w:trHeight w:val="230"/>
        </w:trPr>
        <w:tc>
          <w:tcPr>
            <w:tcW w:w="160" w:type="dxa"/>
            <w:vAlign w:val="bottom"/>
          </w:tcPr>
          <w:p>
            <w:pPr>
              <w:spacing w:after="0"/>
              <w:rPr>
                <w:sz w:val="19"/>
                <w:szCs w:val="19"/>
                <w:color w:val="auto"/>
              </w:rPr>
            </w:pPr>
          </w:p>
        </w:tc>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1,024,041</w:t>
            </w:r>
          </w:p>
        </w:tc>
      </w:tr>
      <w:tr>
        <w:trPr>
          <w:trHeight w:val="229"/>
        </w:trPr>
        <w:tc>
          <w:tcPr>
            <w:tcW w:w="160" w:type="dxa"/>
            <w:vAlign w:val="bottom"/>
          </w:tcPr>
          <w:p>
            <w:pPr>
              <w:spacing w:after="0"/>
              <w:rPr>
                <w:sz w:val="19"/>
                <w:szCs w:val="19"/>
                <w:color w:val="auto"/>
              </w:rPr>
            </w:pP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628,418</w:t>
            </w:r>
          </w:p>
        </w:tc>
      </w:tr>
      <w:tr>
        <w:trPr>
          <w:trHeight w:val="229"/>
        </w:trPr>
        <w:tc>
          <w:tcPr>
            <w:tcW w:w="160" w:type="dxa"/>
            <w:vAlign w:val="bottom"/>
          </w:tcPr>
          <w:p>
            <w:pPr>
              <w:spacing w:after="0"/>
              <w:rPr>
                <w:sz w:val="19"/>
                <w:szCs w:val="19"/>
                <w:color w:val="auto"/>
              </w:rPr>
            </w:pPr>
          </w:p>
        </w:tc>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398,695</w:t>
            </w:r>
          </w:p>
        </w:tc>
      </w:tr>
      <w:tr>
        <w:trPr>
          <w:trHeight w:val="230"/>
        </w:trPr>
        <w:tc>
          <w:tcPr>
            <w:tcW w:w="160" w:type="dxa"/>
            <w:vAlign w:val="bottom"/>
          </w:tcPr>
          <w:p>
            <w:pPr>
              <w:spacing w:after="0"/>
              <w:rPr>
                <w:sz w:val="19"/>
                <w:szCs w:val="19"/>
                <w:color w:val="auto"/>
              </w:rPr>
            </w:pP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Paycheck Protection Program (“PPP”)</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60" w:type="dxa"/>
            <w:vAlign w:val="bottom"/>
          </w:tcPr>
          <w:p>
            <w:pPr>
              <w:spacing w:after="0"/>
              <w:rPr>
                <w:sz w:val="19"/>
                <w:szCs w:val="19"/>
                <w:color w:val="auto"/>
              </w:rPr>
            </w:pP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53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45,163</w:t>
            </w:r>
          </w:p>
        </w:tc>
      </w:tr>
      <w:tr>
        <w:trPr>
          <w:trHeight w:val="223"/>
        </w:trPr>
        <w:tc>
          <w:tcPr>
            <w:tcW w:w="160" w:type="dxa"/>
            <w:vAlign w:val="bottom"/>
          </w:tcPr>
          <w:p>
            <w:pPr>
              <w:spacing w:after="0"/>
              <w:rPr>
                <w:sz w:val="19"/>
                <w:szCs w:val="19"/>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loans</w:t>
            </w:r>
          </w:p>
        </w:tc>
        <w:tc>
          <w:tcPr>
            <w:tcW w:w="5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4,493,114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3,861,707</w:t>
            </w:r>
          </w:p>
        </w:tc>
      </w:tr>
      <w:tr>
        <w:trPr>
          <w:trHeight w:val="229"/>
        </w:trPr>
        <w:tc>
          <w:tcPr>
            <w:tcW w:w="160" w:type="dxa"/>
            <w:vAlign w:val="bottom"/>
          </w:tcPr>
          <w:p>
            <w:pPr>
              <w:spacing w:after="0"/>
              <w:rPr>
                <w:sz w:val="19"/>
                <w:szCs w:val="19"/>
                <w:color w:val="auto"/>
              </w:rPr>
            </w:pPr>
          </w:p>
        </w:tc>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56,896</w:t>
            </w:r>
          </w:p>
        </w:tc>
      </w:tr>
      <w:tr>
        <w:trPr>
          <w:trHeight w:val="229"/>
        </w:trPr>
        <w:tc>
          <w:tcPr>
            <w:tcW w:w="160" w:type="dxa"/>
            <w:vAlign w:val="bottom"/>
          </w:tcPr>
          <w:p>
            <w:pPr>
              <w:spacing w:after="0"/>
              <w:rPr>
                <w:sz w:val="19"/>
                <w:szCs w:val="19"/>
                <w:color w:val="auto"/>
              </w:rPr>
            </w:pPr>
          </w:p>
        </w:tc>
        <w:tc>
          <w:tcPr>
            <w:tcW w:w="6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Net deferred loan fees and costs</w:t>
            </w: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9,463</w:t>
            </w:r>
          </w:p>
        </w:tc>
      </w:tr>
      <w:tr>
        <w:trPr>
          <w:trHeight w:val="248"/>
        </w:trPr>
        <w:tc>
          <w:tcPr>
            <w:tcW w:w="160" w:type="dxa"/>
            <w:vAlign w:val="bottom"/>
          </w:tcPr>
          <w:p>
            <w:pPr>
              <w:spacing w:after="0"/>
              <w:rPr>
                <w:sz w:val="21"/>
                <w:szCs w:val="21"/>
                <w:color w:val="auto"/>
              </w:rPr>
            </w:pPr>
          </w:p>
        </w:tc>
        <w:tc>
          <w:tcPr>
            <w:tcW w:w="1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loans</w:t>
            </w:r>
          </w:p>
        </w:tc>
        <w:tc>
          <w:tcPr>
            <w:tcW w:w="5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4,401,774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3,795,348</w:t>
            </w:r>
          </w:p>
        </w:tc>
      </w:tr>
      <w:tr>
        <w:trPr>
          <w:trHeight w:val="20"/>
        </w:trPr>
        <w:tc>
          <w:tcPr>
            <w:tcW w:w="16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Allowance for Loan Losses</w:t>
      </w:r>
    </w:p>
    <w:p>
      <w:pPr>
        <w:spacing w:after="0" w:line="166" w:lineRule="exact"/>
        <w:rPr>
          <w:sz w:val="20"/>
          <w:szCs w:val="20"/>
          <w:color w:val="auto"/>
        </w:rPr>
      </w:pPr>
    </w:p>
    <w:p>
      <w:pPr>
        <w:ind w:left="180" w:right="160" w:firstLine="486"/>
        <w:spacing w:after="0" w:line="312" w:lineRule="auto"/>
        <w:rPr>
          <w:sz w:val="20"/>
          <w:szCs w:val="20"/>
          <w:color w:val="auto"/>
        </w:rPr>
      </w:pPr>
      <w:r>
        <w:rPr>
          <w:rFonts w:ascii="Times New Roman" w:cs="Times New Roman" w:eastAsia="Times New Roman" w:hAnsi="Times New Roman"/>
          <w:sz w:val="17"/>
          <w:szCs w:val="17"/>
          <w:color w:val="auto"/>
        </w:rPr>
        <w:t>The ALLL is established as losses are estimated to have occurred through a provision for loan losses charged to income. Loan losses are charged against the allowance when management believes the loan balance is not collectible. Subsequent recoveries, if any, are credited to the allowance.</w:t>
      </w:r>
    </w:p>
    <w:p>
      <w:pPr>
        <w:spacing w:after="0" w:line="86" w:lineRule="exact"/>
        <w:rPr>
          <w:sz w:val="20"/>
          <w:szCs w:val="20"/>
          <w:color w:val="auto"/>
        </w:rPr>
      </w:pPr>
    </w:p>
    <w:p>
      <w:pPr>
        <w:ind w:left="180" w:firstLine="486"/>
        <w:spacing w:after="0" w:line="261" w:lineRule="auto"/>
        <w:rPr>
          <w:sz w:val="20"/>
          <w:szCs w:val="20"/>
          <w:color w:val="auto"/>
        </w:rPr>
      </w:pPr>
      <w:r>
        <w:rPr>
          <w:rFonts w:ascii="Times New Roman" w:cs="Times New Roman" w:eastAsia="Times New Roman" w:hAnsi="Times New Roman"/>
          <w:sz w:val="18"/>
          <w:szCs w:val="18"/>
          <w:color w:val="auto"/>
        </w:rPr>
        <w:t>The ALLL is evaluated on a regular basis by management and is based upon management’s periodic review of its ability to collect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26" w:lineRule="exact"/>
        <w:rPr>
          <w:sz w:val="20"/>
          <w:szCs w:val="20"/>
          <w:color w:val="auto"/>
        </w:rPr>
      </w:pPr>
    </w:p>
    <w:p>
      <w:pPr>
        <w:ind w:left="180" w:right="80" w:firstLine="486"/>
        <w:spacing w:after="0" w:line="256" w:lineRule="auto"/>
        <w:rPr>
          <w:sz w:val="20"/>
          <w:szCs w:val="20"/>
          <w:color w:val="auto"/>
        </w:rPr>
      </w:pPr>
      <w:r>
        <w:rPr>
          <w:rFonts w:ascii="Times New Roman" w:cs="Times New Roman" w:eastAsia="Times New Roman" w:hAnsi="Times New Roman"/>
          <w:sz w:val="18"/>
          <w:szCs w:val="18"/>
          <w:color w:val="auto"/>
        </w:rPr>
        <w:t>The ALLL consists of allocated and general components. The allocated component relates to loans that are classified as impaired. For those loans that are classified as impaired, an allowance is established when the discounted cash flows (or collateral value or observable market price) of the impaired loan is lower than the carrying value of that loan. The general component covers all loans on accrual and is based on historical charge-off experience and expected loss given default derived from the Company’s internal risk rating process and loan categories. Other adjustments may be made to the allowance for pools of loans after an assessment of internal or external influences on credit quality that are not fully reflected in the historical loss or risk rating data.</w:t>
      </w:r>
    </w:p>
    <w:p>
      <w:pPr>
        <w:spacing w:after="0" w:line="133" w:lineRule="exact"/>
        <w:rPr>
          <w:sz w:val="20"/>
          <w:szCs w:val="20"/>
          <w:color w:val="auto"/>
        </w:rPr>
      </w:pPr>
    </w:p>
    <w:p>
      <w:pPr>
        <w:ind w:left="180" w:right="320" w:firstLine="486"/>
        <w:spacing w:after="0" w:line="258" w:lineRule="auto"/>
        <w:rPr>
          <w:sz w:val="20"/>
          <w:szCs w:val="20"/>
          <w:color w:val="auto"/>
        </w:rPr>
      </w:pPr>
      <w:r>
        <w:rPr>
          <w:rFonts w:ascii="Times New Roman" w:cs="Times New Roman" w:eastAsia="Times New Roman" w:hAnsi="Times New Roman"/>
          <w:sz w:val="18"/>
          <w:szCs w:val="18"/>
          <w:color w:val="auto"/>
        </w:rPr>
        <w:t>The Company evaluates the loan risk grading system definitions, portfolio segment definitions, and ALLL methodology on an ongoing basis. Starting with the quarter ended June 30, 2020, the Company distinguished between performing and nonperforming substandard loans, as previously discussed in “Note 1: Nature of Operations and Summary of Significant Accounting Policies”. In addition, the Company separated PPP loans that are 100% guaranteed by the Small Business Administration (“SBA”). No additional changes to loan definitions, segmentation, and ALLL methodology occurred during the third quarter of 2020.</w:t>
      </w:r>
    </w:p>
    <w:p>
      <w:pPr>
        <w:spacing w:after="0" w:line="372" w:lineRule="exact"/>
        <w:rPr>
          <w:sz w:val="20"/>
          <w:szCs w:val="20"/>
          <w:color w:val="auto"/>
        </w:rPr>
      </w:pPr>
    </w:p>
    <w:p>
      <w:pPr>
        <w:ind w:left="180" w:right="8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activity in the ALLL by portfolio segment and disaggregated based on the Company’s impairment methodology. The allocation in one portfolio segment does not preclude its availability to absorb losses in other segments: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Commercial</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and Land</w:t>
            </w:r>
          </w:p>
        </w:tc>
        <w:tc>
          <w:tcPr>
            <w:tcW w:w="12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5"/>
        </w:trPr>
        <w:tc>
          <w:tcPr>
            <w:tcW w:w="1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PPP</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3"/>
        </w:trPr>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5"/>
          </w:tcPr>
          <w:p>
            <w:pPr>
              <w:ind w:left="3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29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2020</w:t>
            </w: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3"/>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Allowance for loan losses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71,185</w:t>
            </w:r>
          </w:p>
        </w:tc>
      </w:tr>
      <w:tr>
        <w:trPr>
          <w:trHeight w:val="202"/>
        </w:trPr>
        <w:tc>
          <w:tcPr>
            <w:tcW w:w="1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 charged to</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1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10,875</w:t>
            </w:r>
          </w:p>
        </w:tc>
      </w:tr>
      <w:tr>
        <w:trPr>
          <w:trHeight w:val="253"/>
        </w:trPr>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Charge-offs</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(6,037)</w:t>
            </w:r>
          </w:p>
        </w:tc>
      </w:tr>
      <w:tr>
        <w:trPr>
          <w:trHeight w:val="236"/>
        </w:trPr>
        <w:tc>
          <w:tcPr>
            <w:tcW w:w="15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Recoveries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63"/>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76,035</w:t>
            </w: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8" w:name="page19"/>
    <w:bookmarkEnd w:id="18"/>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Commercial</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and Land</w:t>
            </w: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5"/>
        </w:trPr>
        <w:tc>
          <w:tcPr>
            <w:tcW w:w="1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PPP</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3"/>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5"/>
          </w:tcPr>
          <w:p>
            <w:pPr>
              <w:ind w:left="3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29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2019</w:t>
            </w: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3"/>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Allowance for loan losses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42,852</w:t>
            </w:r>
          </w:p>
        </w:tc>
      </w:tr>
      <w:tr>
        <w:trPr>
          <w:trHeight w:val="202"/>
        </w:trPr>
        <w:tc>
          <w:tcPr>
            <w:tcW w:w="1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Provision charged to</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1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w:t>
            </w:r>
          </w:p>
        </w:tc>
      </w:tr>
      <w:tr>
        <w:trPr>
          <w:trHeight w:val="253"/>
        </w:trPr>
        <w:tc>
          <w:tcPr>
            <w:tcW w:w="1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Charge-offs</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w:t>
            </w:r>
          </w:p>
        </w:tc>
      </w:tr>
      <w:tr>
        <w:trPr>
          <w:trHeight w:val="237"/>
        </w:trPr>
        <w:tc>
          <w:tcPr>
            <w:tcW w:w="1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Recoveries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6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42,995</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Commercial</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140" w:type="dxa"/>
            <w:vAlign w:val="bottom"/>
          </w:tcPr>
          <w:p>
            <w:pPr>
              <w:spacing w:after="0"/>
              <w:rPr>
                <w:sz w:val="16"/>
                <w:szCs w:val="16"/>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and Land</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PPP</w:t>
            </w:r>
          </w:p>
        </w:tc>
        <w:tc>
          <w:tcPr>
            <w:tcW w:w="14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40" w:type="dxa"/>
            <w:vAlign w:val="bottom"/>
          </w:tcPr>
          <w:p>
            <w:pPr>
              <w:spacing w:after="0"/>
              <w:rPr>
                <w:sz w:val="14"/>
                <w:szCs w:val="14"/>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5"/>
          </w:tcPr>
          <w:p>
            <w:pPr>
              <w:ind w:left="3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Allowance for loan losses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56,896</w:t>
            </w:r>
          </w:p>
        </w:tc>
        <w:tc>
          <w:tcPr>
            <w:tcW w:w="0" w:type="dxa"/>
            <w:vAlign w:val="bottom"/>
          </w:tcPr>
          <w:p>
            <w:pPr>
              <w:spacing w:after="0"/>
              <w:rPr>
                <w:sz w:val="1"/>
                <w:szCs w:val="1"/>
                <w:color w:val="auto"/>
              </w:rPr>
            </w:pPr>
          </w:p>
        </w:tc>
      </w:tr>
      <w:tr>
        <w:trPr>
          <w:trHeight w:val="162"/>
        </w:trPr>
        <w:tc>
          <w:tcPr>
            <w:tcW w:w="162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Provision charged to</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45,825</w:t>
            </w:r>
          </w:p>
        </w:tc>
        <w:tc>
          <w:tcPr>
            <w:tcW w:w="0" w:type="dxa"/>
            <w:vAlign w:val="bottom"/>
          </w:tcPr>
          <w:p>
            <w:pPr>
              <w:spacing w:after="0"/>
              <w:rPr>
                <w:sz w:val="1"/>
                <w:szCs w:val="1"/>
                <w:color w:val="auto"/>
              </w:rPr>
            </w:pPr>
          </w:p>
        </w:tc>
      </w:tr>
      <w:tr>
        <w:trPr>
          <w:trHeight w:val="213"/>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Charge-offs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(26,773)</w:t>
            </w:r>
          </w:p>
        </w:tc>
        <w:tc>
          <w:tcPr>
            <w:tcW w:w="0" w:type="dxa"/>
            <w:vAlign w:val="bottom"/>
          </w:tcPr>
          <w:p>
            <w:pPr>
              <w:spacing w:after="0"/>
              <w:rPr>
                <w:sz w:val="1"/>
                <w:szCs w:val="1"/>
                <w:color w:val="auto"/>
              </w:rPr>
            </w:pPr>
          </w:p>
        </w:tc>
      </w:tr>
      <w:tr>
        <w:trPr>
          <w:trHeight w:val="213"/>
        </w:trPr>
        <w:tc>
          <w:tcPr>
            <w:tcW w:w="1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Recoveries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37"/>
        </w:trPr>
        <w:tc>
          <w:tcPr>
            <w:tcW w:w="1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76,035</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Commercial</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and Land</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5"/>
        </w:trPr>
        <w:tc>
          <w:tcPr>
            <w:tcW w:w="1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PPP</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3"/>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gridSpan w:val="5"/>
          </w:tcPr>
          <w:p>
            <w:pPr>
              <w:ind w:left="3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2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2019</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Allowance for loan losses</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37,826</w:t>
            </w:r>
          </w:p>
        </w:tc>
      </w:tr>
      <w:tr>
        <w:trPr>
          <w:trHeight w:val="202"/>
        </w:trPr>
        <w:tc>
          <w:tcPr>
            <w:tcW w:w="1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Provision charged to</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1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10,550</w:t>
            </w:r>
          </w:p>
        </w:tc>
      </w:tr>
      <w:tr>
        <w:trPr>
          <w:trHeight w:val="253"/>
        </w:trPr>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Charge-offs</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w:t>
            </w:r>
          </w:p>
        </w:tc>
      </w:tr>
      <w:tr>
        <w:trPr>
          <w:trHeight w:val="237"/>
        </w:trPr>
        <w:tc>
          <w:tcPr>
            <w:tcW w:w="1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Recoveries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r>
      <w:tr>
        <w:trPr>
          <w:trHeight w:val="263"/>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42,995</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ind w:left="20"/>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Notes to Consolidated Financial Statements (unaudited)</w:t>
      </w:r>
    </w:p>
    <w:p>
      <w:pPr>
        <w:spacing w:after="0" w:line="200" w:lineRule="exact"/>
        <w:rPr>
          <w:sz w:val="20"/>
          <w:szCs w:val="20"/>
          <w:color w:val="auto"/>
        </w:rPr>
      </w:pPr>
    </w:p>
    <w:p>
      <w:pPr>
        <w:sectPr>
          <w:pgSz w:w="11900" w:h="16838" w:orient="portrait"/>
          <w:cols w:equalWidth="0" w:num="2">
            <w:col w:w="2880" w:space="720"/>
            <w:col w:w="76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b w:val="1"/>
          <w:bCs w:val="1"/>
          <w:color w:val="auto"/>
        </w:rPr>
        <w:t>Commercial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Commercial</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6"/>
          <w:szCs w:val="16"/>
          <w:b w:val="1"/>
          <w:bCs w:val="1"/>
          <w:color w:val="auto"/>
        </w:rPr>
        <w:t>Construction and Land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0</wp:posOffset>
            </wp:positionV>
            <wp:extent cx="61118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1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Residential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Real Estate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PPP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Consumer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w:t>
      </w:r>
    </w:p>
    <w:p>
      <w:pPr>
        <w:spacing w:after="0" w:line="83" w:lineRule="exact"/>
        <w:rPr>
          <w:sz w:val="20"/>
          <w:szCs w:val="20"/>
          <w:color w:val="auto"/>
        </w:rPr>
      </w:pPr>
    </w:p>
    <w:p>
      <w:pPr>
        <w:sectPr>
          <w:pgSz w:w="11900" w:h="16838" w:orient="portrait"/>
          <w:cols w:equalWidth="0" w:num="8">
            <w:col w:w="2600" w:space="540"/>
            <w:col w:w="500" w:space="540"/>
            <w:col w:w="840" w:space="360"/>
            <w:col w:w="900" w:space="380"/>
            <w:col w:w="780" w:space="680"/>
            <w:col w:w="300" w:space="680"/>
            <w:col w:w="720" w:space="680"/>
            <w:col w:w="740"/>
          </w:cols>
          <w:pgMar w:left="320" w:top="175" w:right="339" w:bottom="1440" w:gutter="0" w:footer="0" w:header="0"/>
          <w:type w:val="continuous"/>
        </w:sectPr>
      </w:pPr>
    </w:p>
    <w:p>
      <w:pPr>
        <w:jc w:val="right"/>
        <w:ind w:right="408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2020</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Period end allowance for loan losses allocated to:</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Individually evaluated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impairment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6,497</w:t>
            </w:r>
          </w:p>
        </w:tc>
        <w:tc>
          <w:tcPr>
            <w:tcW w:w="0" w:type="dxa"/>
            <w:vAlign w:val="bottom"/>
          </w:tcPr>
          <w:p>
            <w:pPr>
              <w:spacing w:after="0"/>
              <w:rPr>
                <w:sz w:val="1"/>
                <w:szCs w:val="1"/>
                <w:color w:val="auto"/>
              </w:rPr>
            </w:pPr>
          </w:p>
        </w:tc>
      </w:tr>
      <w:tr>
        <w:trPr>
          <w:trHeight w:val="182"/>
        </w:trPr>
        <w:tc>
          <w:tcPr>
            <w:tcW w:w="1620" w:type="dxa"/>
            <w:vAlign w:val="bottom"/>
          </w:tcPr>
          <w:p>
            <w:pPr>
              <w:ind w:left="80"/>
              <w:spacing w:after="0" w:line="182" w:lineRule="exact"/>
              <w:rPr>
                <w:sz w:val="20"/>
                <w:szCs w:val="20"/>
                <w:color w:val="auto"/>
              </w:rPr>
            </w:pPr>
            <w:r>
              <w:rPr>
                <w:rFonts w:ascii="Times New Roman" w:cs="Times New Roman" w:eastAsia="Times New Roman" w:hAnsi="Times New Roman"/>
                <w:sz w:val="16"/>
                <w:szCs w:val="16"/>
                <w:color w:val="auto"/>
              </w:rPr>
              <w:t>Collectively evaluated</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for impairment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25,771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69,538</w:t>
            </w:r>
          </w:p>
        </w:tc>
        <w:tc>
          <w:tcPr>
            <w:tcW w:w="0" w:type="dxa"/>
            <w:vAlign w:val="bottom"/>
          </w:tcPr>
          <w:p>
            <w:pPr>
              <w:spacing w:after="0"/>
              <w:rPr>
                <w:sz w:val="1"/>
                <w:szCs w:val="1"/>
                <w:color w:val="auto"/>
              </w:rPr>
            </w:pPr>
          </w:p>
        </w:tc>
      </w:tr>
      <w:tr>
        <w:trPr>
          <w:trHeight w:val="23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76,035</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Allocated to loans: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Individually evaluated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impairment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83,594</w:t>
            </w:r>
          </w:p>
        </w:tc>
        <w:tc>
          <w:tcPr>
            <w:tcW w:w="0" w:type="dxa"/>
            <w:vAlign w:val="bottom"/>
          </w:tcPr>
          <w:p>
            <w:pPr>
              <w:spacing w:after="0"/>
              <w:rPr>
                <w:sz w:val="1"/>
                <w:szCs w:val="1"/>
                <w:color w:val="auto"/>
              </w:rPr>
            </w:pPr>
          </w:p>
        </w:tc>
      </w:tr>
      <w:tr>
        <w:trPr>
          <w:trHeight w:val="182"/>
        </w:trPr>
        <w:tc>
          <w:tcPr>
            <w:tcW w:w="1620" w:type="dxa"/>
            <w:vAlign w:val="bottom"/>
          </w:tcPr>
          <w:p>
            <w:pPr>
              <w:ind w:left="80"/>
              <w:spacing w:after="0" w:line="182" w:lineRule="exact"/>
              <w:rPr>
                <w:sz w:val="20"/>
                <w:szCs w:val="20"/>
                <w:color w:val="auto"/>
              </w:rPr>
            </w:pPr>
            <w:r>
              <w:rPr>
                <w:rFonts w:ascii="Times New Roman" w:cs="Times New Roman" w:eastAsia="Times New Roman" w:hAnsi="Times New Roman"/>
                <w:sz w:val="16"/>
                <w:szCs w:val="16"/>
                <w:color w:val="auto"/>
              </w:rPr>
              <w:t>Collectively evaluated</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for impairment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1,252,983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362,863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1,178,596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587,617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611,676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369,260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4,409,520</w:t>
            </w:r>
          </w:p>
        </w:tc>
        <w:tc>
          <w:tcPr>
            <w:tcW w:w="0" w:type="dxa"/>
            <w:vAlign w:val="bottom"/>
          </w:tcPr>
          <w:p>
            <w:pPr>
              <w:spacing w:after="0"/>
              <w:rPr>
                <w:sz w:val="1"/>
                <w:szCs w:val="1"/>
                <w:color w:val="auto"/>
              </w:rPr>
            </w:pPr>
          </w:p>
        </w:tc>
      </w:tr>
      <w:tr>
        <w:trPr>
          <w:trHeight w:val="268"/>
        </w:trPr>
        <w:tc>
          <w:tcPr>
            <w:tcW w:w="1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1,291,572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1,195,631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587,617</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618,082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369,260</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4,493,114</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5"/>
          <w:szCs w:val="15"/>
          <w:b w:val="1"/>
          <w:bCs w:val="1"/>
          <w:color w:val="auto"/>
        </w:rPr>
        <w:t>Commercial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Commercial</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Real Estate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6"/>
          <w:szCs w:val="16"/>
          <w:b w:val="1"/>
          <w:bCs w:val="1"/>
          <w:color w:val="auto"/>
        </w:rPr>
        <w:t>Construction and Land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-2386330</wp:posOffset>
            </wp:positionH>
            <wp:positionV relativeFrom="paragraph">
              <wp:posOffset>0</wp:posOffset>
            </wp:positionV>
            <wp:extent cx="6120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20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Residential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Real Estate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PPP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Consumer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w:t>
      </w:r>
    </w:p>
    <w:p>
      <w:pPr>
        <w:spacing w:after="0" w:line="85" w:lineRule="exact"/>
        <w:rPr>
          <w:sz w:val="20"/>
          <w:szCs w:val="20"/>
          <w:color w:val="auto"/>
        </w:rPr>
      </w:pPr>
    </w:p>
    <w:p>
      <w:pPr>
        <w:sectPr>
          <w:pgSz w:w="11900" w:h="16838" w:orient="portrait"/>
          <w:cols w:equalWidth="0" w:num="8">
            <w:col w:w="2580" w:space="540"/>
            <w:col w:w="500" w:space="540"/>
            <w:col w:w="860" w:space="340"/>
            <w:col w:w="900" w:space="380"/>
            <w:col w:w="780" w:space="680"/>
            <w:col w:w="300" w:space="700"/>
            <w:col w:w="720" w:space="680"/>
            <w:col w:w="740"/>
          </w:cols>
          <w:pgMar w:left="320" w:top="175" w:right="339" w:bottom="1440" w:gutter="0" w:footer="0" w:header="0"/>
          <w:type w:val="continuous"/>
        </w:sectPr>
      </w:pPr>
    </w:p>
    <w:p>
      <w:pPr>
        <w:ind w:left="5700"/>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2019</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Period end allowance for loan losses allocated to:</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Individually evaluated</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impairment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22,298</w:t>
            </w:r>
          </w:p>
        </w:tc>
        <w:tc>
          <w:tcPr>
            <w:tcW w:w="0" w:type="dxa"/>
            <w:vAlign w:val="bottom"/>
          </w:tcPr>
          <w:p>
            <w:pPr>
              <w:spacing w:after="0"/>
              <w:rPr>
                <w:sz w:val="1"/>
                <w:szCs w:val="1"/>
                <w:color w:val="auto"/>
              </w:rPr>
            </w:pPr>
          </w:p>
        </w:tc>
      </w:tr>
      <w:tr>
        <w:trPr>
          <w:trHeight w:val="182"/>
        </w:trPr>
        <w:tc>
          <w:tcPr>
            <w:tcW w:w="1600" w:type="dxa"/>
            <w:vAlign w:val="bottom"/>
          </w:tcPr>
          <w:p>
            <w:pPr>
              <w:ind w:left="80"/>
              <w:spacing w:after="0" w:line="182" w:lineRule="exact"/>
              <w:rPr>
                <w:sz w:val="20"/>
                <w:szCs w:val="20"/>
                <w:color w:val="auto"/>
              </w:rPr>
            </w:pPr>
            <w:r>
              <w:rPr>
                <w:rFonts w:ascii="Times New Roman" w:cs="Times New Roman" w:eastAsia="Times New Roman" w:hAnsi="Times New Roman"/>
                <w:sz w:val="16"/>
                <w:szCs w:val="16"/>
                <w:color w:val="auto"/>
              </w:rPr>
              <w:t>Collectively evaluated</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for impairment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34,598</w:t>
            </w:r>
          </w:p>
        </w:tc>
        <w:tc>
          <w:tcPr>
            <w:tcW w:w="0" w:type="dxa"/>
            <w:vAlign w:val="bottom"/>
          </w:tcPr>
          <w:p>
            <w:pPr>
              <w:spacing w:after="0"/>
              <w:rPr>
                <w:sz w:val="1"/>
                <w:szCs w:val="1"/>
                <w:color w:val="auto"/>
              </w:rPr>
            </w:pPr>
          </w:p>
        </w:tc>
      </w:tr>
      <w:tr>
        <w:trPr>
          <w:trHeight w:val="26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56,896</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Allocated to loans: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Individually evaluated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impairment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93,500</w:t>
            </w:r>
          </w:p>
        </w:tc>
        <w:tc>
          <w:tcPr>
            <w:tcW w:w="0" w:type="dxa"/>
            <w:vAlign w:val="bottom"/>
          </w:tcPr>
          <w:p>
            <w:pPr>
              <w:spacing w:after="0"/>
              <w:rPr>
                <w:sz w:val="1"/>
                <w:szCs w:val="1"/>
                <w:color w:val="auto"/>
              </w:rPr>
            </w:pPr>
          </w:p>
        </w:tc>
      </w:tr>
      <w:tr>
        <w:trPr>
          <w:trHeight w:val="182"/>
        </w:trPr>
        <w:tc>
          <w:tcPr>
            <w:tcW w:w="1600" w:type="dxa"/>
            <w:vAlign w:val="bottom"/>
          </w:tcPr>
          <w:p>
            <w:pPr>
              <w:ind w:left="80"/>
              <w:spacing w:after="0" w:line="182" w:lineRule="exact"/>
              <w:rPr>
                <w:sz w:val="20"/>
                <w:szCs w:val="20"/>
                <w:color w:val="auto"/>
              </w:rPr>
            </w:pPr>
            <w:r>
              <w:rPr>
                <w:rFonts w:ascii="Times New Roman" w:cs="Times New Roman" w:eastAsia="Times New Roman" w:hAnsi="Times New Roman"/>
                <w:sz w:val="16"/>
                <w:szCs w:val="16"/>
                <w:color w:val="auto"/>
              </w:rPr>
              <w:t>Collectively evaluated</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for impairment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1,285,941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398,829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1,013,549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628,418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396,307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45,163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3,768,207</w:t>
            </w:r>
          </w:p>
        </w:tc>
        <w:tc>
          <w:tcPr>
            <w:tcW w:w="0" w:type="dxa"/>
            <w:vAlign w:val="bottom"/>
          </w:tcPr>
          <w:p>
            <w:pPr>
              <w:spacing w:after="0"/>
              <w:rPr>
                <w:sz w:val="1"/>
                <w:szCs w:val="1"/>
                <w:color w:val="auto"/>
              </w:rPr>
            </w:pPr>
          </w:p>
        </w:tc>
      </w:tr>
      <w:tr>
        <w:trPr>
          <w:trHeight w:val="26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1,356,817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408,573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1,024,041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628,418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398,695</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3,861,707</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0" w:name="page21"/>
    <w:bookmarkEnd w:id="20"/>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Credit Risk Profile</w:t>
      </w:r>
    </w:p>
    <w:p>
      <w:pPr>
        <w:spacing w:after="0" w:line="166" w:lineRule="exact"/>
        <w:rPr>
          <w:sz w:val="20"/>
          <w:szCs w:val="20"/>
          <w:color w:val="auto"/>
        </w:rPr>
      </w:pPr>
    </w:p>
    <w:p>
      <w:pPr>
        <w:ind w:left="180" w:right="320" w:firstLine="486"/>
        <w:spacing w:after="0" w:line="282" w:lineRule="auto"/>
        <w:rPr>
          <w:sz w:val="20"/>
          <w:szCs w:val="20"/>
          <w:color w:val="auto"/>
        </w:rPr>
      </w:pPr>
      <w:r>
        <w:rPr>
          <w:rFonts w:ascii="Times New Roman" w:cs="Times New Roman" w:eastAsia="Times New Roman" w:hAnsi="Times New Roman"/>
          <w:sz w:val="18"/>
          <w:szCs w:val="18"/>
          <w:color w:val="auto"/>
        </w:rPr>
        <w:t>The Company analyzes its loan portfolio based on internal rating categories (grades 1 - 8), portfolio segmentation and payment activity. These categories are utilized to develop the associated ALLL. A description of the loan grades and segments follows: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Loan Grades</w:t>
      </w:r>
    </w:p>
    <w:p>
      <w:pPr>
        <w:spacing w:after="0" w:line="169" w:lineRule="exact"/>
        <w:rPr>
          <w:sz w:val="20"/>
          <w:szCs w:val="20"/>
          <w:color w:val="auto"/>
        </w:rPr>
      </w:pPr>
    </w:p>
    <w:p>
      <w:pPr>
        <w:ind w:left="1300" w:right="80" w:hanging="644"/>
        <w:spacing w:after="0" w:line="268"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Pass (risk rating 1-4) </w:t>
      </w:r>
      <w:r>
        <w:rPr>
          <w:rFonts w:ascii="Times New Roman" w:cs="Times New Roman" w:eastAsia="Times New Roman" w:hAnsi="Times New Roman"/>
          <w:sz w:val="18"/>
          <w:szCs w:val="18"/>
          <w:color w:val="auto"/>
        </w:rPr>
        <w:t>- Considered satisfactory. Includes borrowers that generally maintain good liquidity and financial condition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is currently protected with sales trends remaining flat or declining. Most ratios compare favorably with industry norms and Company policies. Debt is programmed and timely repayment is expected.</w:t>
      </w:r>
    </w:p>
    <w:p>
      <w:pPr>
        <w:spacing w:after="0" w:line="62" w:lineRule="exact"/>
        <w:rPr>
          <w:rFonts w:ascii="Times New Roman" w:cs="Times New Roman" w:eastAsia="Times New Roman" w:hAnsi="Times New Roman"/>
          <w:sz w:val="18"/>
          <w:szCs w:val="18"/>
          <w:color w:val="auto"/>
        </w:rPr>
      </w:pPr>
    </w:p>
    <w:p>
      <w:pPr>
        <w:jc w:val="both"/>
        <w:ind w:left="1300" w:right="260" w:hanging="644"/>
        <w:spacing w:after="0" w:line="26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 Mention (risk rating 5) </w:t>
      </w:r>
      <w:r>
        <w:rPr>
          <w:rFonts w:ascii="Times New Roman" w:cs="Times New Roman" w:eastAsia="Times New Roman" w:hAnsi="Times New Roman"/>
          <w:sz w:val="18"/>
          <w:szCs w:val="18"/>
          <w:color w:val="auto"/>
        </w:rPr>
        <w:t>- Borrowers generally exhibit adverse trends in operations or an imbalanced position in their balance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sheet that has not reached a point where repayment is jeopardized. Credits are currently protected but, if left uncorrected, the potential weaknesses may result in deterioration of the repayment prospects for the credit or in the Company’s credit or lien position at a future date. These credits are not adversely classified and do not expose the Company to enough risk to warrant adverse classification.</w:t>
      </w:r>
    </w:p>
    <w:p>
      <w:pPr>
        <w:spacing w:after="0" w:line="68" w:lineRule="exact"/>
        <w:rPr>
          <w:rFonts w:ascii="Times New Roman" w:cs="Times New Roman" w:eastAsia="Times New Roman" w:hAnsi="Times New Roman"/>
          <w:sz w:val="18"/>
          <w:szCs w:val="18"/>
          <w:color w:val="auto"/>
        </w:rPr>
      </w:pPr>
    </w:p>
    <w:p>
      <w:pPr>
        <w:ind w:left="1300" w:right="160" w:hanging="644"/>
        <w:spacing w:after="0" w:line="259"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Substandard (risk rating 6) </w:t>
      </w:r>
      <w:r>
        <w:rPr>
          <w:rFonts w:ascii="Times New Roman" w:cs="Times New Roman" w:eastAsia="Times New Roman" w:hAnsi="Times New Roman"/>
          <w:sz w:val="18"/>
          <w:szCs w:val="18"/>
          <w:color w:val="auto"/>
        </w:rPr>
        <w:t>- Credits generally exhibit well-defined weakness(es) that jeopardize repayment. Credits are inadequately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protected by the current worth and paying capacity of the obligor or of the collateral pledged. A distinct possibility exists that the Company will sustain some loss if deficiencies are not corrected. Loss potential, while existing in the aggregate amount of substandard assets, does not have to exist in individual assets classified substandard. Substandard loans include both performing and nonperforming loans and are broken out in the table below.</w:t>
      </w:r>
    </w:p>
    <w:p>
      <w:pPr>
        <w:spacing w:after="0" w:line="71" w:lineRule="exact"/>
        <w:rPr>
          <w:rFonts w:ascii="Times New Roman" w:cs="Times New Roman" w:eastAsia="Times New Roman" w:hAnsi="Times New Roman"/>
          <w:sz w:val="18"/>
          <w:szCs w:val="18"/>
          <w:color w:val="auto"/>
        </w:rPr>
      </w:pPr>
    </w:p>
    <w:p>
      <w:pPr>
        <w:ind w:left="1300" w:right="80" w:hanging="644"/>
        <w:spacing w:after="0" w:line="26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Doubtful (risk rating 7) </w:t>
      </w:r>
      <w:r>
        <w:rPr>
          <w:rFonts w:ascii="Times New Roman" w:cs="Times New Roman" w:eastAsia="Times New Roman" w:hAnsi="Times New Roman"/>
          <w:sz w:val="18"/>
          <w:szCs w:val="18"/>
          <w:color w:val="auto"/>
        </w:rPr>
        <w:t>- Credits which exhibit weaknesses inherent in a substandard credit with the added characteristic that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weaknesses make collection or liquidation in full highly questionable or improbable based on existing facts, conditions and values. Because of reasonably specific pending factors, which may work to the advantage and strengthening of the assets, classification as a loss is deferred until its more exact status may be determined.</w:t>
      </w:r>
    </w:p>
    <w:p>
      <w:pPr>
        <w:spacing w:after="0" w:line="68" w:lineRule="exact"/>
        <w:rPr>
          <w:rFonts w:ascii="Times New Roman" w:cs="Times New Roman" w:eastAsia="Times New Roman" w:hAnsi="Times New Roman"/>
          <w:sz w:val="18"/>
          <w:szCs w:val="18"/>
          <w:color w:val="auto"/>
        </w:rPr>
      </w:pPr>
    </w:p>
    <w:p>
      <w:pPr>
        <w:ind w:left="1300" w:right="220" w:hanging="644"/>
        <w:spacing w:after="0" w:line="286"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 (risk rating 8) </w:t>
      </w:r>
      <w:r>
        <w:rPr>
          <w:rFonts w:ascii="Times New Roman" w:cs="Times New Roman" w:eastAsia="Times New Roman" w:hAnsi="Times New Roman"/>
          <w:sz w:val="18"/>
          <w:szCs w:val="18"/>
          <w:color w:val="auto"/>
        </w:rPr>
        <w:t>- Credits which are considered uncollectible or of such little value that their continuance as a bankable asset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Loan Portfolio Segments</w:t>
      </w:r>
    </w:p>
    <w:p>
      <w:pPr>
        <w:spacing w:after="0" w:line="169" w:lineRule="exact"/>
        <w:rPr>
          <w:sz w:val="20"/>
          <w:szCs w:val="20"/>
          <w:color w:val="auto"/>
        </w:rPr>
      </w:pPr>
    </w:p>
    <w:p>
      <w:pPr>
        <w:ind w:left="1300" w:right="300" w:hanging="644"/>
        <w:spacing w:after="0" w:line="268"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Commercial </w:t>
      </w:r>
      <w:r>
        <w:rPr>
          <w:rFonts w:ascii="Times New Roman" w:cs="Times New Roman" w:eastAsia="Times New Roman" w:hAnsi="Times New Roman"/>
          <w:sz w:val="18"/>
          <w:szCs w:val="18"/>
          <w:color w:val="auto"/>
        </w:rPr>
        <w:t>- Includes loans to commercial customers for use in financing working capital, equipment purchases and expansions.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Repayment is primarily from the cash flow of a borrower’s principal business operation. Credit risk is driven by creditworthiness of a borrower and the economic conditions that impact the cash flow stability from business operations.</w:t>
      </w:r>
    </w:p>
    <w:p>
      <w:pPr>
        <w:spacing w:after="0" w:line="62" w:lineRule="exact"/>
        <w:rPr>
          <w:rFonts w:ascii="Times New Roman" w:cs="Times New Roman" w:eastAsia="Times New Roman" w:hAnsi="Times New Roman"/>
          <w:sz w:val="18"/>
          <w:szCs w:val="18"/>
          <w:color w:val="auto"/>
        </w:rPr>
      </w:pPr>
    </w:p>
    <w:p>
      <w:pPr>
        <w:ind w:left="1300" w:hanging="644"/>
        <w:spacing w:after="0" w:line="262"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Energy </w:t>
      </w:r>
      <w:r>
        <w:rPr>
          <w:rFonts w:ascii="Times New Roman" w:cs="Times New Roman" w:eastAsia="Times New Roman" w:hAnsi="Times New Roman"/>
          <w:sz w:val="18"/>
          <w:szCs w:val="18"/>
          <w:color w:val="auto"/>
        </w:rPr>
        <w:t>- Includes loans to oil and natural gas customers for use in financing working capital needs, exploration and production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acquisitions. The loans are repaid primarily from the conversion of crude oil and natural gas to cash. Credit risk is driven by creditworthiness of a borrower and the economic conditions that impact the cash flow stability from business operations. Energy loans are typically collateralized with the underlying oil and gas reserves.</w:t>
      </w:r>
    </w:p>
    <w:p>
      <w:pPr>
        <w:spacing w:after="0" w:line="68" w:lineRule="exact"/>
        <w:rPr>
          <w:rFonts w:ascii="Times New Roman" w:cs="Times New Roman" w:eastAsia="Times New Roman" w:hAnsi="Times New Roman"/>
          <w:sz w:val="18"/>
          <w:szCs w:val="18"/>
          <w:color w:val="auto"/>
        </w:rPr>
      </w:pPr>
    </w:p>
    <w:p>
      <w:pPr>
        <w:ind w:left="1300" w:right="60" w:hanging="644"/>
        <w:spacing w:after="0" w:line="262"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Commercial Real Estate </w:t>
      </w:r>
      <w:r>
        <w:rPr>
          <w:rFonts w:ascii="Times New Roman" w:cs="Times New Roman" w:eastAsia="Times New Roman" w:hAnsi="Times New Roman"/>
          <w:sz w:val="18"/>
          <w:szCs w:val="18"/>
          <w:color w:val="auto"/>
        </w:rPr>
        <w:t>- Loans typically involve larger principal amounts, and repayment of these loans is generally dependent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successful operations of the property securing the loan or the business conducted on the property securing the loan. These are viewed primarily as cash flow loans and secondarily as loans secured by real estate. Credit risk may be impacted by the creditworthiness of a borrower, property values and the local economies in the borrower’s market areas.</w:t>
      </w:r>
    </w:p>
    <w:p>
      <w:pPr>
        <w:spacing w:after="0" w:line="68" w:lineRule="exact"/>
        <w:rPr>
          <w:rFonts w:ascii="Times New Roman" w:cs="Times New Roman" w:eastAsia="Times New Roman" w:hAnsi="Times New Roman"/>
          <w:sz w:val="18"/>
          <w:szCs w:val="18"/>
          <w:color w:val="auto"/>
        </w:rPr>
      </w:pPr>
    </w:p>
    <w:p>
      <w:pPr>
        <w:ind w:left="1300" w:right="80" w:hanging="644"/>
        <w:spacing w:after="0" w:line="257"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Construction and Land Development </w:t>
      </w:r>
      <w:r>
        <w:rPr>
          <w:rFonts w:ascii="Times New Roman" w:cs="Times New Roman" w:eastAsia="Times New Roman" w:hAnsi="Times New Roman"/>
          <w:sz w:val="18"/>
          <w:szCs w:val="18"/>
          <w:color w:val="auto"/>
        </w:rPr>
        <w:t>- Loans are usually based upon estimates of costs and estimated value of the completed project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include independent appraisal reviews and a financial analysis of the developers and property owners. Sources of repayment include permanent loans, sales of developed property or an interim loan commitment from the Company until permanent financing is obtained. These loans are higher risk than other real estate loans due to their ultimate repayment being sensitive to interest rate changes, general economic conditions and the availability of long-term financing. Credit risk may be impacted by the creditworthiness of a borrower, property values and the local economies in the borrower’s market areas.</w:t>
      </w:r>
    </w:p>
    <w:p>
      <w:pPr>
        <w:spacing w:after="0" w:line="74" w:lineRule="exact"/>
        <w:rPr>
          <w:rFonts w:ascii="Times New Roman" w:cs="Times New Roman" w:eastAsia="Times New Roman" w:hAnsi="Times New Roman"/>
          <w:sz w:val="18"/>
          <w:szCs w:val="18"/>
          <w:color w:val="auto"/>
        </w:rPr>
      </w:pPr>
    </w:p>
    <w:p>
      <w:pPr>
        <w:ind w:left="1300" w:right="100" w:hanging="644"/>
        <w:spacing w:after="0" w:line="262"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Residential Real Estate </w:t>
      </w:r>
      <w:r>
        <w:rPr>
          <w:rFonts w:ascii="Times New Roman" w:cs="Times New Roman" w:eastAsia="Times New Roman" w:hAnsi="Times New Roman"/>
          <w:sz w:val="18"/>
          <w:szCs w:val="18"/>
          <w:color w:val="auto"/>
        </w:rPr>
        <w:t>- The loans are generally secured by owner-occupied 1-4 family residences or multifamily properties.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Repayment of these loans is primarily dependent on the personal income and credit rating of the borrowers or underlying tenants. Credit risk in these loans can be impacted by economic conditions within or outside the borrower’s market areas that might impact either property values, a borrower’s personal income, or residents’ income.</w:t>
      </w:r>
    </w:p>
    <w:p>
      <w:pPr>
        <w:spacing w:after="0" w:line="68" w:lineRule="exact"/>
        <w:rPr>
          <w:rFonts w:ascii="Times New Roman" w:cs="Times New Roman" w:eastAsia="Times New Roman" w:hAnsi="Times New Roman"/>
          <w:sz w:val="18"/>
          <w:szCs w:val="18"/>
          <w:color w:val="auto"/>
        </w:rPr>
      </w:pPr>
    </w:p>
    <w:p>
      <w:pPr>
        <w:ind w:left="1300" w:right="480" w:hanging="644"/>
        <w:spacing w:after="0" w:line="286"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PPP </w:t>
      </w:r>
      <w:r>
        <w:rPr>
          <w:rFonts w:ascii="Times New Roman" w:cs="Times New Roman" w:eastAsia="Times New Roman" w:hAnsi="Times New Roman"/>
          <w:sz w:val="18"/>
          <w:szCs w:val="18"/>
          <w:color w:val="auto"/>
        </w:rPr>
        <w:t>- The loans were established by the CARES Act which authorized forgivable loans to small businesses to pay their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COVID-19 pandemic. The program requires all loan terms to be the same for everyone. The loans</w:t>
      </w:r>
    </w:p>
    <w:p>
      <w:pPr>
        <w:sectPr>
          <w:pgSz w:w="11900" w:h="16838" w:orient="portrait"/>
          <w:cols w:equalWidth="0" w:num="1">
            <w:col w:w="11220"/>
          </w:cols>
          <w:pgMar w:left="320" w:top="17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21" w:name="page22"/>
    <w:bookmarkEnd w:id="21"/>
    <w:p>
      <w:pPr>
        <w:spacing w:after="0"/>
        <w:tabs>
          <w:tab w:leader="none" w:pos="356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are 100 percent guaranteed by the SBA and repayment is primarily dependent on the borrower’s cash flow or SBA repayment approval.</w:t>
      </w:r>
    </w:p>
    <w:p>
      <w:pPr>
        <w:spacing w:after="0" w:line="113" w:lineRule="exact"/>
        <w:rPr>
          <w:sz w:val="20"/>
          <w:szCs w:val="20"/>
          <w:color w:val="auto"/>
        </w:rPr>
      </w:pPr>
    </w:p>
    <w:p>
      <w:pPr>
        <w:ind w:left="1280" w:right="140" w:hanging="644"/>
        <w:spacing w:after="0" w:line="262" w:lineRule="auto"/>
        <w:tabs>
          <w:tab w:leader="none" w:pos="1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Consumer </w:t>
      </w:r>
      <w:r>
        <w:rPr>
          <w:rFonts w:ascii="Times New Roman" w:cs="Times New Roman" w:eastAsia="Times New Roman" w:hAnsi="Times New Roman"/>
          <w:sz w:val="18"/>
          <w:szCs w:val="18"/>
          <w:color w:val="auto"/>
        </w:rPr>
        <w:t>- The loan portfolio consists of revolving lines of credit and various term loans such as automobile loans and loans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purposes. Repayment is primarily dependent on the personal income and credit rating of the borrowers. Credit risk is driven by consumer economic factors (such as unemployment and general economic conditions in the borrower’s market area) and the creditworthiness of a borrower.</w:t>
      </w:r>
    </w:p>
    <w:p>
      <w:pPr>
        <w:spacing w:after="0" w:line="126" w:lineRule="exact"/>
        <w:rPr>
          <w:sz w:val="20"/>
          <w:szCs w:val="20"/>
          <w:color w:val="auto"/>
        </w:rPr>
      </w:pPr>
    </w:p>
    <w:p>
      <w:pPr>
        <w:ind w:left="160" w:right="380" w:firstLine="486"/>
        <w:spacing w:after="0" w:line="279" w:lineRule="auto"/>
        <w:rPr>
          <w:sz w:val="20"/>
          <w:szCs w:val="20"/>
          <w:color w:val="auto"/>
        </w:rPr>
      </w:pPr>
      <w:r>
        <w:rPr>
          <w:rFonts w:ascii="Times New Roman" w:cs="Times New Roman" w:eastAsia="Times New Roman" w:hAnsi="Times New Roman"/>
          <w:sz w:val="18"/>
          <w:szCs w:val="18"/>
          <w:color w:val="auto"/>
        </w:rPr>
        <w:t>The following tables present the credit risk profile of the Company’s loan portfolio based on internal rating categories (grades 1 - 8), portfolio segmentation, and payment activity:</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Special</w:t>
            </w:r>
          </w:p>
        </w:tc>
        <w:tc>
          <w:tcPr>
            <w:tcW w:w="1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Substandard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Substandard</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Pass</w:t>
            </w:r>
          </w:p>
        </w:tc>
        <w:tc>
          <w:tcPr>
            <w:tcW w:w="18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Mention</w:t>
            </w:r>
          </w:p>
        </w:tc>
        <w:tc>
          <w:tcPr>
            <w:tcW w:w="10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18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Doubtful</w:t>
            </w:r>
          </w:p>
        </w:tc>
        <w:tc>
          <w:tcPr>
            <w:tcW w:w="2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1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7"/>
        </w:trPr>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1,291,572</w:t>
            </w:r>
          </w:p>
        </w:tc>
      </w:tr>
      <w:tr>
        <w:trPr>
          <w:trHeight w:val="27"/>
        </w:trPr>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384,181</w:t>
            </w: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1,195,631</w:t>
            </w:r>
          </w:p>
        </w:tc>
      </w:tr>
      <w:tr>
        <w:trPr>
          <w:trHeight w:val="27"/>
        </w:trPr>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1"/>
        </w:trPr>
        <w:tc>
          <w:tcPr>
            <w:tcW w:w="1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development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587,617</w:t>
            </w: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618,082</w:t>
            </w:r>
          </w:p>
        </w:tc>
      </w:tr>
      <w:tr>
        <w:trPr>
          <w:trHeight w:val="27"/>
        </w:trPr>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369,260</w:t>
            </w: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46,771</w:t>
            </w:r>
          </w:p>
        </w:tc>
      </w:tr>
      <w:tr>
        <w:trPr>
          <w:trHeight w:val="27"/>
        </w:trPr>
        <w:tc>
          <w:tcPr>
            <w:tcW w:w="1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19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4,015,875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177,328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224,352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4,493,114</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Special</w:t>
            </w:r>
          </w:p>
        </w:tc>
        <w:tc>
          <w:tcPr>
            <w:tcW w:w="1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Substandard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Substandard</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Pass</w:t>
            </w:r>
          </w:p>
        </w:tc>
        <w:tc>
          <w:tcPr>
            <w:tcW w:w="18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Mention</w:t>
            </w:r>
          </w:p>
        </w:tc>
        <w:tc>
          <w:tcPr>
            <w:tcW w:w="10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18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Doubtful</w:t>
            </w:r>
          </w:p>
        </w:tc>
        <w:tc>
          <w:tcPr>
            <w:tcW w:w="2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1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7"/>
        </w:trPr>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1,258,952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1,356,817</w:t>
            </w:r>
          </w:p>
        </w:tc>
      </w:tr>
      <w:tr>
        <w:trPr>
          <w:trHeight w:val="27"/>
        </w:trPr>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408,573</w:t>
            </w: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1,024,041</w:t>
            </w:r>
          </w:p>
        </w:tc>
      </w:tr>
      <w:tr>
        <w:trPr>
          <w:trHeight w:val="27"/>
        </w:trPr>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1"/>
        </w:trPr>
        <w:tc>
          <w:tcPr>
            <w:tcW w:w="1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development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628,418</w:t>
            </w: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398,695</w:t>
            </w:r>
          </w:p>
        </w:tc>
      </w:tr>
      <w:tr>
        <w:trPr>
          <w:trHeight w:val="27"/>
        </w:trPr>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45,163</w:t>
            </w:r>
          </w:p>
        </w:tc>
      </w:tr>
      <w:tr>
        <w:trPr>
          <w:trHeight w:val="27"/>
        </w:trPr>
        <w:tc>
          <w:tcPr>
            <w:tcW w:w="1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19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3,727,182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3,861,707</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75" w:right="339" w:bottom="1440" w:gutter="0" w:footer="0" w:header="0"/>
        </w:sectPr>
      </w:pPr>
    </w:p>
    <w:bookmarkStart w:id="22" w:name="page23"/>
    <w:bookmarkEnd w:id="22"/>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Loan Portfolio Aging Analysis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Company’s loan portfolio aging analysis as of September 30, 2020 and December 31, 2019:</w:t>
      </w:r>
    </w:p>
    <w:p>
      <w:pPr>
        <w:spacing w:after="0" w:line="185"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30-59 Days</w:t>
            </w:r>
          </w:p>
        </w:tc>
        <w:tc>
          <w:tcPr>
            <w:tcW w:w="140" w:type="dxa"/>
            <w:vAlign w:val="bottom"/>
          </w:tcPr>
          <w:p>
            <w:pPr>
              <w:spacing w:after="0"/>
              <w:rPr>
                <w:sz w:val="17"/>
                <w:szCs w:val="17"/>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60-89 Days</w:t>
            </w:r>
          </w:p>
        </w:tc>
        <w:tc>
          <w:tcPr>
            <w:tcW w:w="160" w:type="dxa"/>
            <w:vAlign w:val="bottom"/>
          </w:tcPr>
          <w:p>
            <w:pPr>
              <w:spacing w:after="0"/>
              <w:rPr>
                <w:sz w:val="17"/>
                <w:szCs w:val="17"/>
                <w:color w:val="auto"/>
              </w:rPr>
            </w:pP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 Days or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 Loans</w:t>
            </w:r>
          </w:p>
        </w:tc>
        <w:tc>
          <w:tcPr>
            <w:tcW w:w="100" w:type="dxa"/>
            <w:vAlign w:val="bottom"/>
          </w:tcPr>
          <w:p>
            <w:pPr>
              <w:spacing w:after="0"/>
              <w:rPr>
                <w:sz w:val="17"/>
                <w:szCs w:val="17"/>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Loans &gt;= 90</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Total Past Due</w:t>
            </w:r>
          </w:p>
        </w:tc>
        <w:tc>
          <w:tcPr>
            <w:tcW w:w="200" w:type="dxa"/>
            <w:vAlign w:val="bottom"/>
          </w:tcPr>
          <w:p>
            <w:pPr>
              <w:spacing w:after="0"/>
              <w:rPr>
                <w:sz w:val="15"/>
                <w:szCs w:val="15"/>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Days and</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More</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Accruing</w:t>
            </w:r>
          </w:p>
        </w:tc>
        <w:tc>
          <w:tcPr>
            <w:tcW w:w="0" w:type="dxa"/>
            <w:vAlign w:val="bottom"/>
          </w:tcPr>
          <w:p>
            <w:pPr>
              <w:spacing w:after="0"/>
              <w:rPr>
                <w:sz w:val="1"/>
                <w:szCs w:val="1"/>
                <w:color w:val="auto"/>
              </w:rPr>
            </w:pPr>
          </w:p>
        </w:tc>
      </w:tr>
      <w:tr>
        <w:trPr>
          <w:trHeight w:val="208"/>
        </w:trPr>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6"/>
          </w:tcPr>
          <w:p>
            <w:pPr>
              <w:jc w:val="right"/>
              <w:ind w:right="5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1,244,170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1,291,572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Construction and land</w:t>
            </w: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development</w:t>
            </w: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4,427,468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30-59 Days</w:t>
            </w:r>
          </w:p>
        </w:tc>
        <w:tc>
          <w:tcPr>
            <w:tcW w:w="140" w:type="dxa"/>
            <w:vAlign w:val="bottom"/>
          </w:tcPr>
          <w:p>
            <w:pPr>
              <w:spacing w:after="0"/>
              <w:rPr>
                <w:sz w:val="17"/>
                <w:szCs w:val="17"/>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60-89 Days</w:t>
            </w:r>
          </w:p>
        </w:tc>
        <w:tc>
          <w:tcPr>
            <w:tcW w:w="140" w:type="dxa"/>
            <w:vAlign w:val="bottom"/>
          </w:tcPr>
          <w:p>
            <w:pPr>
              <w:spacing w:after="0"/>
              <w:rPr>
                <w:sz w:val="17"/>
                <w:szCs w:val="17"/>
                <w:color w:val="auto"/>
              </w:rPr>
            </w:pPr>
          </w:p>
        </w:tc>
        <w:tc>
          <w:tcPr>
            <w:tcW w:w="10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90 Days or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 Loans</w:t>
            </w:r>
          </w:p>
        </w:tc>
        <w:tc>
          <w:tcPr>
            <w:tcW w:w="120" w:type="dxa"/>
            <w:vAlign w:val="bottom"/>
          </w:tcPr>
          <w:p>
            <w:pPr>
              <w:spacing w:after="0"/>
              <w:rPr>
                <w:sz w:val="17"/>
                <w:szCs w:val="17"/>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Loans &gt;= 90</w:t>
            </w: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Total Past Due</w:t>
            </w:r>
          </w:p>
        </w:tc>
        <w:tc>
          <w:tcPr>
            <w:tcW w:w="200" w:type="dxa"/>
            <w:vAlign w:val="bottom"/>
          </w:tcPr>
          <w:p>
            <w:pPr>
              <w:spacing w:after="0"/>
              <w:rPr>
                <w:sz w:val="15"/>
                <w:szCs w:val="15"/>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b w:val="1"/>
                <w:bCs w:val="1"/>
                <w:color w:val="auto"/>
              </w:rPr>
              <w:t>Days and</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More</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Accruing</w:t>
            </w:r>
          </w:p>
        </w:tc>
        <w:tc>
          <w:tcPr>
            <w:tcW w:w="0" w:type="dxa"/>
            <w:vAlign w:val="bottom"/>
          </w:tcPr>
          <w:p>
            <w:pPr>
              <w:spacing w:after="0"/>
              <w:rPr>
                <w:sz w:val="1"/>
                <w:szCs w:val="1"/>
                <w:color w:val="auto"/>
              </w:rPr>
            </w:pPr>
          </w:p>
        </w:tc>
      </w:tr>
      <w:tr>
        <w:trPr>
          <w:trHeight w:val="208"/>
        </w:trPr>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6"/>
          </w:tcPr>
          <w:p>
            <w:pPr>
              <w:jc w:val="right"/>
              <w:ind w:right="5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30,911</w:t>
            </w:r>
          </w:p>
        </w:tc>
        <w:tc>
          <w:tcPr>
            <w:tcW w:w="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1,324,539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Construction and land</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628,222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development</w:t>
            </w: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3,812,873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3,861,707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23" w:name="page24"/>
    <w:bookmarkEnd w:id="23"/>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Impaired Loans</w:t>
      </w:r>
    </w:p>
    <w:p>
      <w:pPr>
        <w:spacing w:after="0" w:line="166" w:lineRule="exact"/>
        <w:rPr>
          <w:sz w:val="20"/>
          <w:szCs w:val="20"/>
          <w:color w:val="auto"/>
        </w:rPr>
      </w:pPr>
    </w:p>
    <w:p>
      <w:pPr>
        <w:ind w:left="180" w:right="120" w:firstLine="486"/>
        <w:spacing w:after="0" w:line="261" w:lineRule="auto"/>
        <w:rPr>
          <w:sz w:val="20"/>
          <w:szCs w:val="20"/>
          <w:color w:val="auto"/>
        </w:rPr>
      </w:pPr>
      <w:r>
        <w:rPr>
          <w:rFonts w:ascii="Times New Roman" w:cs="Times New Roman" w:eastAsia="Times New Roman" w:hAnsi="Times New Roman"/>
          <w:sz w:val="18"/>
          <w:szCs w:val="18"/>
          <w:color w:val="auto"/>
        </w:rPr>
        <w:t>A loan is considered impaired, in accordance with the impairment accounting guidance (ASC 310-10-35-16), when based on current information and events, it is probable the Company will be unable to collect all amounts due from the borrower in accordance with the contractual terms of the loan. Impaired loans include nonperforming loans but also include loans modified in troubled debt restructurings where concessions have been granted to borrowers experiencing financial difficulties. The intent of concessions is to maximize collection.</w:t>
      </w:r>
    </w:p>
    <w:p>
      <w:pPr>
        <w:spacing w:after="0" w:line="126" w:lineRule="exact"/>
        <w:rPr>
          <w:sz w:val="20"/>
          <w:szCs w:val="20"/>
          <w:color w:val="auto"/>
        </w:rPr>
      </w:pPr>
    </w:p>
    <w:p>
      <w:pPr>
        <w:jc w:val="both"/>
        <w:ind w:left="180" w:right="80" w:firstLine="486"/>
        <w:spacing w:after="0" w:line="266" w:lineRule="auto"/>
        <w:rPr>
          <w:sz w:val="20"/>
          <w:szCs w:val="20"/>
          <w:color w:val="auto"/>
        </w:rPr>
      </w:pPr>
      <w:r>
        <w:rPr>
          <w:rFonts w:ascii="Times New Roman" w:cs="Times New Roman" w:eastAsia="Times New Roman" w:hAnsi="Times New Roman"/>
          <w:sz w:val="18"/>
          <w:szCs w:val="18"/>
          <w:color w:val="auto"/>
        </w:rPr>
        <w:t>Groups of loans with similar risk characteristics are collectively evaluated for impairment based on the group’s historical loss experience adjusted for changes in trends, conditions and other relevant factors that affect repayment of the loans. The following tables present loans individually evaluated for impairment, including all restructured and formerly restructured loans, for the periods ended September 30, 2020 and December 31, 2019:</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Unpaid</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8"/>
        </w:trPr>
        <w:tc>
          <w:tcPr>
            <w:tcW w:w="4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Recorded Balance</w:t>
            </w: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Principal Balance</w:t>
            </w: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Specific Allowance</w:t>
            </w:r>
          </w:p>
        </w:tc>
      </w:tr>
      <w:tr>
        <w:trPr>
          <w:trHeight w:val="208"/>
        </w:trPr>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Loans without a specific valuation</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PPP</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Loans with a specific valuation</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r>
      <w:tr>
        <w:trPr>
          <w:trHeight w:val="23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230"/>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3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PPP</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r>
      <w:tr>
        <w:trPr>
          <w:trHeight w:val="22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230"/>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3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PPP</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83,594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6,497</w:t>
            </w: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3240" w:type="dxa"/>
            <w:vAlign w:val="bottom"/>
            <w:gridSpan w:val="2"/>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584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788"/>
        </w:trPr>
        <w:tc>
          <w:tcPr>
            <w:tcW w:w="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Unpaid</w:t>
            </w: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8"/>
        </w:trPr>
        <w:tc>
          <w:tcPr>
            <w:tcW w:w="1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Recorded Balance</w:t>
            </w: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Principal Balance</w:t>
            </w: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Specific Allowance</w:t>
            </w:r>
          </w:p>
        </w:tc>
      </w:tr>
      <w:tr>
        <w:trPr>
          <w:trHeight w:val="208"/>
        </w:trPr>
        <w:tc>
          <w:tcPr>
            <w:tcW w:w="1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1"/>
        </w:trPr>
        <w:tc>
          <w:tcPr>
            <w:tcW w:w="140" w:type="dxa"/>
            <w:vAlign w:val="bottom"/>
          </w:tcPr>
          <w:p>
            <w:pPr>
              <w:spacing w:after="0"/>
              <w:rPr>
                <w:sz w:val="20"/>
                <w:szCs w:val="20"/>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229"/>
        </w:trPr>
        <w:tc>
          <w:tcPr>
            <w:tcW w:w="14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Loans without a specific valuation</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140" w:type="dxa"/>
            <w:vAlign w:val="bottom"/>
          </w:tcPr>
          <w:p>
            <w:pPr>
              <w:spacing w:after="0"/>
              <w:rPr>
                <w:sz w:val="19"/>
                <w:szCs w:val="19"/>
                <w:color w:val="auto"/>
              </w:rPr>
            </w:pPr>
          </w:p>
        </w:tc>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1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40" w:type="dxa"/>
            <w:vAlign w:val="bottom"/>
          </w:tcPr>
          <w:p>
            <w:pPr>
              <w:spacing w:after="0"/>
              <w:rPr>
                <w:sz w:val="19"/>
                <w:szCs w:val="19"/>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0" w:type="dxa"/>
            <w:vAlign w:val="bottom"/>
          </w:tcPr>
          <w:p>
            <w:pPr>
              <w:spacing w:after="0"/>
              <w:rPr>
                <w:sz w:val="19"/>
                <w:szCs w:val="19"/>
                <w:color w:val="auto"/>
              </w:rPr>
            </w:pPr>
          </w:p>
        </w:tc>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40" w:type="dxa"/>
            <w:vAlign w:val="bottom"/>
          </w:tcPr>
          <w:p>
            <w:pPr>
              <w:spacing w:after="0"/>
              <w:rPr>
                <w:sz w:val="19"/>
                <w:szCs w:val="19"/>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0" w:type="dxa"/>
            <w:vAlign w:val="bottom"/>
          </w:tcPr>
          <w:p>
            <w:pPr>
              <w:spacing w:after="0"/>
              <w:rPr>
                <w:sz w:val="19"/>
                <w:szCs w:val="19"/>
                <w:color w:val="auto"/>
              </w:rPr>
            </w:pPr>
          </w:p>
        </w:tc>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0" w:type="dxa"/>
            <w:vAlign w:val="bottom"/>
          </w:tcPr>
          <w:p>
            <w:pPr>
              <w:spacing w:after="0"/>
              <w:rPr>
                <w:sz w:val="19"/>
                <w:szCs w:val="19"/>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PPP</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40" w:type="dxa"/>
            <w:vAlign w:val="bottom"/>
          </w:tcPr>
          <w:p>
            <w:pPr>
              <w:spacing w:after="0"/>
              <w:rPr>
                <w:sz w:val="19"/>
                <w:szCs w:val="19"/>
                <w:color w:val="auto"/>
              </w:rPr>
            </w:pPr>
          </w:p>
        </w:tc>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w:t>
            </w: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Loans with a specific valuation</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140" w:type="dxa"/>
            <w:vAlign w:val="bottom"/>
          </w:tcPr>
          <w:p>
            <w:pPr>
              <w:spacing w:after="0"/>
              <w:rPr>
                <w:sz w:val="19"/>
                <w:szCs w:val="19"/>
                <w:color w:val="auto"/>
              </w:rPr>
            </w:pPr>
          </w:p>
        </w:tc>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19,942</w:t>
            </w:r>
          </w:p>
        </w:tc>
      </w:tr>
      <w:tr>
        <w:trPr>
          <w:trHeight w:val="230"/>
        </w:trPr>
        <w:tc>
          <w:tcPr>
            <w:tcW w:w="140" w:type="dxa"/>
            <w:vAlign w:val="bottom"/>
          </w:tcPr>
          <w:p>
            <w:pPr>
              <w:spacing w:after="0"/>
              <w:rPr>
                <w:sz w:val="19"/>
                <w:szCs w:val="19"/>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29"/>
        </w:trPr>
        <w:tc>
          <w:tcPr>
            <w:tcW w:w="140" w:type="dxa"/>
            <w:vAlign w:val="bottom"/>
          </w:tcPr>
          <w:p>
            <w:pPr>
              <w:spacing w:after="0"/>
              <w:rPr>
                <w:sz w:val="19"/>
                <w:szCs w:val="19"/>
                <w:color w:val="auto"/>
              </w:rPr>
            </w:pPr>
          </w:p>
        </w:tc>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140" w:type="dxa"/>
            <w:vAlign w:val="bottom"/>
          </w:tcPr>
          <w:p>
            <w:pPr>
              <w:spacing w:after="0"/>
              <w:rPr>
                <w:sz w:val="19"/>
                <w:szCs w:val="19"/>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0" w:type="dxa"/>
            <w:vAlign w:val="bottom"/>
          </w:tcPr>
          <w:p>
            <w:pPr>
              <w:spacing w:after="0"/>
              <w:rPr>
                <w:sz w:val="19"/>
                <w:szCs w:val="19"/>
                <w:color w:val="auto"/>
              </w:rPr>
            </w:pPr>
          </w:p>
        </w:tc>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140" w:type="dxa"/>
            <w:vAlign w:val="bottom"/>
          </w:tcPr>
          <w:p>
            <w:pPr>
              <w:spacing w:after="0"/>
              <w:rPr>
                <w:sz w:val="19"/>
                <w:szCs w:val="19"/>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PPP</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40" w:type="dxa"/>
            <w:vAlign w:val="bottom"/>
          </w:tcPr>
          <w:p>
            <w:pPr>
              <w:spacing w:after="0"/>
              <w:rPr>
                <w:sz w:val="19"/>
                <w:szCs w:val="19"/>
                <w:color w:val="auto"/>
              </w:rPr>
            </w:pPr>
          </w:p>
        </w:tc>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w:t>
            </w: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140" w:type="dxa"/>
            <w:vAlign w:val="bottom"/>
          </w:tcPr>
          <w:p>
            <w:pPr>
              <w:spacing w:after="0"/>
              <w:rPr>
                <w:sz w:val="19"/>
                <w:szCs w:val="19"/>
                <w:color w:val="auto"/>
              </w:rPr>
            </w:pPr>
          </w:p>
        </w:tc>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19,942</w:t>
            </w:r>
          </w:p>
        </w:tc>
      </w:tr>
      <w:tr>
        <w:trPr>
          <w:trHeight w:val="230"/>
        </w:trPr>
        <w:tc>
          <w:tcPr>
            <w:tcW w:w="140" w:type="dxa"/>
            <w:vAlign w:val="bottom"/>
          </w:tcPr>
          <w:p>
            <w:pPr>
              <w:spacing w:after="0"/>
              <w:rPr>
                <w:sz w:val="19"/>
                <w:szCs w:val="19"/>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29"/>
        </w:trPr>
        <w:tc>
          <w:tcPr>
            <w:tcW w:w="140" w:type="dxa"/>
            <w:vAlign w:val="bottom"/>
          </w:tcPr>
          <w:p>
            <w:pPr>
              <w:spacing w:after="0"/>
              <w:rPr>
                <w:sz w:val="19"/>
                <w:szCs w:val="19"/>
                <w:color w:val="auto"/>
              </w:rPr>
            </w:pPr>
          </w:p>
        </w:tc>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140" w:type="dxa"/>
            <w:vAlign w:val="bottom"/>
          </w:tcPr>
          <w:p>
            <w:pPr>
              <w:spacing w:after="0"/>
              <w:rPr>
                <w:sz w:val="19"/>
                <w:szCs w:val="19"/>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40" w:type="dxa"/>
            <w:vAlign w:val="bottom"/>
          </w:tcPr>
          <w:p>
            <w:pPr>
              <w:spacing w:after="0"/>
              <w:rPr>
                <w:sz w:val="19"/>
                <w:szCs w:val="19"/>
                <w:color w:val="auto"/>
              </w:rPr>
            </w:pPr>
          </w:p>
        </w:tc>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140" w:type="dxa"/>
            <w:vAlign w:val="bottom"/>
          </w:tcPr>
          <w:p>
            <w:pPr>
              <w:spacing w:after="0"/>
              <w:rPr>
                <w:sz w:val="19"/>
                <w:szCs w:val="19"/>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PPP</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40" w:type="dxa"/>
            <w:vAlign w:val="bottom"/>
          </w:tcPr>
          <w:p>
            <w:pPr>
              <w:spacing w:after="0"/>
              <w:rPr>
                <w:sz w:val="19"/>
                <w:szCs w:val="19"/>
                <w:color w:val="auto"/>
              </w:rPr>
            </w:pPr>
          </w:p>
        </w:tc>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w:t>
            </w: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101,500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22,298</w:t>
            </w:r>
          </w:p>
        </w:tc>
      </w:tr>
      <w:tr>
        <w:trPr>
          <w:trHeight w:val="20"/>
        </w:trPr>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160" w:right="420" w:firstLine="486"/>
        <w:spacing w:after="0" w:line="282" w:lineRule="auto"/>
        <w:rPr>
          <w:sz w:val="20"/>
          <w:szCs w:val="20"/>
          <w:color w:val="auto"/>
        </w:rPr>
      </w:pPr>
      <w:r>
        <w:rPr>
          <w:rFonts w:ascii="Times New Roman" w:cs="Times New Roman" w:eastAsia="Times New Roman" w:hAnsi="Times New Roman"/>
          <w:sz w:val="18"/>
          <w:szCs w:val="18"/>
          <w:color w:val="auto"/>
        </w:rPr>
        <w:t>The table below shows interest income recognized during the three and nine month periods ended September 30, 2020 and 2019 for impaired loans, including all restructured and formerly restructured loans, held at the end of each period:</w:t>
      </w:r>
    </w:p>
    <w:p>
      <w:pPr>
        <w:spacing w:after="0" w:line="144" w:lineRule="exact"/>
        <w:rPr>
          <w:sz w:val="20"/>
          <w:szCs w:val="20"/>
          <w:color w:val="auto"/>
        </w:rPr>
      </w:pPr>
    </w:p>
    <w:tbl>
      <w:tblPr>
        <w:tblLayout w:type="fixed"/>
        <w:tblInd w:w="140" w:type="dxa"/>
        <w:tblCellMar>
          <w:top w:w="0" w:type="dxa"/>
          <w:left w:w="0" w:type="dxa"/>
          <w:bottom w:w="0" w:type="dxa"/>
          <w:right w:w="0" w:type="dxa"/>
        </w:tblCellMar>
      </w:tblPr>
      <w:tr>
        <w:trPr>
          <w:trHeight w:val="229"/>
        </w:trPr>
        <w:tc>
          <w:tcPr>
            <w:tcW w:w="6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60" w:type="dxa"/>
            <w:vAlign w:val="bottom"/>
          </w:tcPr>
          <w:p>
            <w:pPr>
              <w:spacing w:after="0"/>
              <w:rPr>
                <w:sz w:val="19"/>
                <w:szCs w:val="19"/>
                <w:color w:val="auto"/>
              </w:rPr>
            </w:pPr>
          </w:p>
        </w:tc>
        <w:tc>
          <w:tcPr>
            <w:tcW w:w="18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18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69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8"/>
        </w:trPr>
        <w:tc>
          <w:tcPr>
            <w:tcW w:w="6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4"/>
          </w:tcPr>
          <w:p>
            <w:pPr>
              <w:jc w:val="right"/>
              <w:ind w:right="17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interest income recognized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3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r>
      <w:tr>
        <w:trPr>
          <w:trHeight w:val="20"/>
        </w:trPr>
        <w:tc>
          <w:tcPr>
            <w:tcW w:w="6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75" w:right="339" w:bottom="1440" w:gutter="0" w:footer="0" w:header="0"/>
        </w:sectPr>
      </w:pPr>
    </w:p>
    <w:bookmarkStart w:id="25" w:name="page26"/>
    <w:bookmarkEnd w:id="25"/>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right="240" w:firstLine="486"/>
        <w:spacing w:after="0" w:line="282" w:lineRule="auto"/>
        <w:rPr>
          <w:sz w:val="20"/>
          <w:szCs w:val="20"/>
          <w:color w:val="auto"/>
        </w:rPr>
      </w:pPr>
      <w:r>
        <w:rPr>
          <w:rFonts w:ascii="Times New Roman" w:cs="Times New Roman" w:eastAsia="Times New Roman" w:hAnsi="Times New Roman"/>
          <w:sz w:val="18"/>
          <w:szCs w:val="18"/>
          <w:color w:val="auto"/>
        </w:rPr>
        <w:t>The table below shows the three and nine month average balance of impaired loans for the periods ended September 30, 2020 and 2019 by loan category for impaired loans, including all restructured and formerly restructured loans, held at the end of each period:</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60" w:type="dxa"/>
            <w:vAlign w:val="bottom"/>
          </w:tcPr>
          <w:p>
            <w:pPr>
              <w:spacing w:after="0"/>
              <w:rPr>
                <w:sz w:val="19"/>
                <w:szCs w:val="19"/>
                <w:color w:val="auto"/>
              </w:rPr>
            </w:pPr>
          </w:p>
        </w:tc>
        <w:tc>
          <w:tcPr>
            <w:tcW w:w="18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18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69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8"/>
        </w:trPr>
        <w:tc>
          <w:tcPr>
            <w:tcW w:w="6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5"/>
          </w:tcPr>
          <w:p>
            <w:pPr>
              <w:ind w:left="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49,265</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16,528</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average impaired loans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91,482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87,261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97,447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83,238</w:t>
            </w:r>
          </w:p>
        </w:tc>
      </w:tr>
      <w:tr>
        <w:trPr>
          <w:trHeight w:val="21"/>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Non-accrual Loans</w:t>
      </w:r>
    </w:p>
    <w:p>
      <w:pPr>
        <w:spacing w:after="0" w:line="166" w:lineRule="exact"/>
        <w:rPr>
          <w:sz w:val="20"/>
          <w:szCs w:val="20"/>
          <w:color w:val="auto"/>
        </w:rPr>
      </w:pPr>
    </w:p>
    <w:p>
      <w:pPr>
        <w:jc w:val="both"/>
        <w:ind w:left="180" w:right="180" w:firstLine="486"/>
        <w:spacing w:after="0" w:line="266" w:lineRule="auto"/>
        <w:rPr>
          <w:sz w:val="20"/>
          <w:szCs w:val="20"/>
          <w:color w:val="auto"/>
        </w:rPr>
      </w:pPr>
      <w:r>
        <w:rPr>
          <w:rFonts w:ascii="Times New Roman" w:cs="Times New Roman" w:eastAsia="Times New Roman" w:hAnsi="Times New Roman"/>
          <w:sz w:val="18"/>
          <w:szCs w:val="18"/>
          <w:color w:val="auto"/>
        </w:rPr>
        <w:t>Non-accrual loans are loans for which the Company does not record interest income. The accrual of interest on loans is discontinued at the time the loan is 90 days past due unless the credit is well secured and in process of collection. Past due status is based on contractual terms of the loan. In all cases, loans are placed on non-accrual or charged off at an earlier date, if collection of principal or interest is considered doubtful.</w:t>
      </w:r>
    </w:p>
    <w:p>
      <w:pPr>
        <w:spacing w:after="0" w:line="122" w:lineRule="exact"/>
        <w:rPr>
          <w:sz w:val="20"/>
          <w:szCs w:val="20"/>
          <w:color w:val="auto"/>
        </w:rPr>
      </w:pPr>
    </w:p>
    <w:p>
      <w:pPr>
        <w:ind w:left="180" w:right="40" w:firstLine="486"/>
        <w:spacing w:after="0" w:line="261" w:lineRule="auto"/>
        <w:rPr>
          <w:sz w:val="20"/>
          <w:szCs w:val="20"/>
          <w:color w:val="auto"/>
        </w:rPr>
      </w:pPr>
      <w:r>
        <w:rPr>
          <w:rFonts w:ascii="Times New Roman" w:cs="Times New Roman" w:eastAsia="Times New Roman" w:hAnsi="Times New Roman"/>
          <w:sz w:val="18"/>
          <w:szCs w:val="18"/>
          <w:color w:val="auto"/>
        </w:rPr>
        <w:t>All interest accrued but not collected for loans that are placed on non-accrual or charged off are reversed against interest income. The interest on these loans is accounted for on the cash basis or cost-recovery method, until qualifying for return to accrual. Loans are returned to accrual status when all the principal and interest amounts contractually due are brought current and future payments are reasonably assured. The following table presents the Company’s non-accrual loans by loan category at September 30, 2020 and December 31, 2019:</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08"/>
        </w:trPr>
        <w:tc>
          <w:tcPr>
            <w:tcW w:w="7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60" w:type="dxa"/>
            <w:vAlign w:val="bottom"/>
            <w:gridSpan w:val="4"/>
          </w:tcPr>
          <w:p>
            <w:pPr>
              <w:jc w:val="right"/>
              <w:ind w:right="119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23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32,130</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8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18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non-accrual loans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39,675</w:t>
            </w:r>
          </w:p>
        </w:tc>
      </w:tr>
      <w:tr>
        <w:trPr>
          <w:trHeight w:val="20"/>
        </w:trPr>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Troubled Debt Restructurings</w:t>
      </w:r>
    </w:p>
    <w:p>
      <w:pPr>
        <w:spacing w:after="0" w:line="166" w:lineRule="exact"/>
        <w:rPr>
          <w:sz w:val="20"/>
          <w:szCs w:val="20"/>
          <w:color w:val="auto"/>
        </w:rPr>
      </w:pPr>
    </w:p>
    <w:p>
      <w:pPr>
        <w:ind w:left="180" w:right="40" w:firstLine="486"/>
        <w:spacing w:after="0" w:line="266" w:lineRule="auto"/>
        <w:rPr>
          <w:sz w:val="20"/>
          <w:szCs w:val="20"/>
          <w:color w:val="auto"/>
        </w:rPr>
      </w:pPr>
      <w:r>
        <w:rPr>
          <w:rFonts w:ascii="Times New Roman" w:cs="Times New Roman" w:eastAsia="Times New Roman" w:hAnsi="Times New Roman"/>
          <w:sz w:val="18"/>
          <w:szCs w:val="18"/>
          <w:color w:val="auto"/>
        </w:rPr>
        <w:t>Restructured loans are those extended to borrowers who are experiencing financial difficulty and who have been granted a concession, excluding loan modifications as a result of the COVID-19 pandemic. The modification of terms typically includes the extension of maturity, reduction or deferment of monthly payment, or reduction of the stated interest rate.</w:t>
      </w:r>
    </w:p>
    <w:p>
      <w:pPr>
        <w:spacing w:after="0" w:line="122" w:lineRule="exact"/>
        <w:rPr>
          <w:sz w:val="20"/>
          <w:szCs w:val="20"/>
          <w:color w:val="auto"/>
        </w:rPr>
      </w:pPr>
    </w:p>
    <w:p>
      <w:pPr>
        <w:ind w:left="180" w:right="200" w:firstLine="486"/>
        <w:spacing w:after="0" w:line="282" w:lineRule="auto"/>
        <w:rPr>
          <w:sz w:val="20"/>
          <w:szCs w:val="20"/>
          <w:color w:val="auto"/>
        </w:rPr>
      </w:pPr>
      <w:r>
        <w:rPr>
          <w:rFonts w:ascii="Times New Roman" w:cs="Times New Roman" w:eastAsia="Times New Roman" w:hAnsi="Times New Roman"/>
          <w:sz w:val="18"/>
          <w:szCs w:val="18"/>
          <w:color w:val="auto"/>
        </w:rPr>
        <w:t>For the three and nine-month periods ended September 30, 2020, the modifications related to the TDRs below did not impact the ALLL because the loans were previously impaired and evaluated on an individual basis or enough collateral was obtained.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ind w:left="180" w:right="4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loans restructured, excluding loans restructured as a result of the COVID-19 pandemic, during the three and nine months ended September 30, 2020 and 2019, including the post-modification outstanding balance and the type of concession made:</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7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4"/>
        </w:trPr>
        <w:tc>
          <w:tcPr>
            <w:tcW w:w="5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8"/>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ind w:left="5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Interest rate reduction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Reduction of monthly payment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Extension of maturity date</w:t>
            </w:r>
          </w:p>
        </w:tc>
        <w:tc>
          <w:tcPr>
            <w:tcW w:w="1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30,005</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Extension of maturity date</w:t>
            </w:r>
          </w:p>
        </w:tc>
        <w:tc>
          <w:tcPr>
            <w:tcW w:w="1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Reduction of monthly payment</w:t>
            </w:r>
          </w:p>
        </w:tc>
        <w:tc>
          <w:tcPr>
            <w:tcW w:w="1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Payment deferral</w:t>
            </w:r>
          </w:p>
        </w:tc>
        <w:tc>
          <w:tcPr>
            <w:tcW w:w="1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troubled debt restructurings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180" w:right="100" w:firstLine="486"/>
        <w:spacing w:after="0" w:line="266" w:lineRule="auto"/>
        <w:rPr>
          <w:sz w:val="20"/>
          <w:szCs w:val="20"/>
          <w:color w:val="auto"/>
        </w:rPr>
      </w:pPr>
      <w:r>
        <w:rPr>
          <w:rFonts w:ascii="Times New Roman" w:cs="Times New Roman" w:eastAsia="Times New Roman" w:hAnsi="Times New Roman"/>
          <w:sz w:val="18"/>
          <w:szCs w:val="18"/>
          <w:color w:val="auto"/>
        </w:rPr>
        <w:t>The balance of restructured loans, excluding loans restructured as a result of the COVID-19 pandemic, is provided below as of September 30, 2020 and December 31, 2019. In addition, the balance of those loans that are in default at any time during the past twelve months at September 30, 2020 and December 31, 2019 is provided below:</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Balance 90 days</w:t>
            </w:r>
          </w:p>
        </w:tc>
        <w:tc>
          <w:tcPr>
            <w:tcW w:w="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Balance 90 days</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past due at any</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past due at any</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5"/>
                <w:szCs w:val="15"/>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Pr>
          <w:p>
            <w:pPr>
              <w:spacing w:after="0"/>
              <w:rPr>
                <w:sz w:val="15"/>
                <w:szCs w:val="15"/>
                <w:color w:val="auto"/>
              </w:rPr>
            </w:pPr>
          </w:p>
        </w:tc>
        <w:tc>
          <w:tcPr>
            <w:tcW w:w="13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time during</w:t>
            </w: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15"/>
                <w:szCs w:val="15"/>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5"/>
                <w:szCs w:val="15"/>
                <w:color w:val="auto"/>
              </w:rPr>
            </w:pPr>
          </w:p>
        </w:tc>
        <w:tc>
          <w:tcPr>
            <w:tcW w:w="13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time during</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previous 12</w:t>
            </w: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previous 12</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of Loans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20"/>
              <w:spacing w:after="0" w:line="230" w:lineRule="exact"/>
              <w:rPr>
                <w:sz w:val="20"/>
                <w:szCs w:val="20"/>
                <w:color w:val="auto"/>
              </w:rPr>
            </w:pPr>
            <w:r>
              <w:rPr>
                <w:rFonts w:ascii="Times New Roman" w:cs="Times New Roman" w:eastAsia="Times New Roman" w:hAnsi="Times New Roman"/>
                <w:sz w:val="18"/>
                <w:szCs w:val="18"/>
                <w:b w:val="1"/>
                <w:bCs w:val="1"/>
                <w:color w:val="auto"/>
                <w:w w:val="96"/>
              </w:rPr>
              <w:t>months</w:t>
            </w:r>
            <w:r>
              <w:rPr>
                <w:rFonts w:ascii="Times New Roman" w:cs="Times New Roman" w:eastAsia="Times New Roman" w:hAnsi="Times New Roman"/>
                <w:sz w:val="23"/>
                <w:szCs w:val="23"/>
                <w:b w:val="1"/>
                <w:bCs w:val="1"/>
                <w:color w:val="auto"/>
                <w:w w:val="96"/>
                <w:vertAlign w:val="superscript"/>
              </w:rPr>
              <w:t>(1)</w:t>
            </w: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of Loans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30"/>
              <w:spacing w:after="0" w:line="230" w:lineRule="exact"/>
              <w:rPr>
                <w:sz w:val="20"/>
                <w:szCs w:val="20"/>
                <w:color w:val="auto"/>
              </w:rPr>
            </w:pPr>
            <w:r>
              <w:rPr>
                <w:rFonts w:ascii="Times New Roman" w:cs="Times New Roman" w:eastAsia="Times New Roman" w:hAnsi="Times New Roman"/>
                <w:sz w:val="18"/>
                <w:szCs w:val="18"/>
                <w:b w:val="1"/>
                <w:bCs w:val="1"/>
                <w:color w:val="auto"/>
                <w:w w:val="93"/>
              </w:rPr>
              <w:t>months</w:t>
            </w:r>
            <w:r>
              <w:rPr>
                <w:rFonts w:ascii="Times New Roman" w:cs="Times New Roman" w:eastAsia="Times New Roman" w:hAnsi="Times New Roman"/>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08"/>
        </w:trPr>
        <w:tc>
          <w:tcPr>
            <w:tcW w:w="3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4"/>
          </w:tcPr>
          <w:p>
            <w:pPr>
              <w:ind w:left="6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troubled debt restructured loans</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19,198</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80" w:type="dxa"/>
            <w:vAlign w:val="bottom"/>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-2540</wp:posOffset>
            </wp:positionV>
            <wp:extent cx="49803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ind w:left="360" w:hanging="172"/>
        <w:spacing w:after="0" w:line="230" w:lineRule="auto"/>
        <w:tabs>
          <w:tab w:leader="none" w:pos="36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Default is considered to mean 90 days or more past due as to interest or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-123825</wp:posOffset>
            </wp:positionV>
            <wp:extent cx="49803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TDRs above had an allowance of $3 million and $18 million as of September 30, 2020 and December 31, 2019, respectively.</w:t>
      </w:r>
    </w:p>
    <w:p>
      <w:pPr>
        <w:spacing w:after="0" w:line="200" w:lineRule="exact"/>
        <w:rPr>
          <w:sz w:val="20"/>
          <w:szCs w:val="20"/>
          <w:color w:val="auto"/>
        </w:rPr>
      </w:pPr>
    </w:p>
    <w:p>
      <w:pPr>
        <w:spacing w:after="0" w:line="3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Note 5:</w:t>
      </w:r>
      <w:r>
        <w:rPr>
          <w:sz w:val="20"/>
          <w:szCs w:val="20"/>
          <w:color w:val="auto"/>
        </w:rPr>
        <w:tab/>
      </w:r>
      <w:r>
        <w:rPr>
          <w:rFonts w:ascii="Times New Roman" w:cs="Times New Roman" w:eastAsia="Times New Roman" w:hAnsi="Times New Roman"/>
          <w:sz w:val="21"/>
          <w:szCs w:val="21"/>
          <w:b w:val="1"/>
          <w:bCs w:val="1"/>
          <w:color w:val="auto"/>
        </w:rPr>
        <w:t>Derivatives and Hedging</w:t>
      </w:r>
    </w:p>
    <w:p>
      <w:pPr>
        <w:spacing w:after="0" w:line="165" w:lineRule="exact"/>
        <w:rPr>
          <w:sz w:val="20"/>
          <w:szCs w:val="20"/>
          <w:color w:val="auto"/>
        </w:rPr>
      </w:pPr>
    </w:p>
    <w:p>
      <w:pPr>
        <w:ind w:left="180" w:right="120" w:firstLine="486"/>
        <w:spacing w:after="0" w:line="256" w:lineRule="auto"/>
        <w:rPr>
          <w:sz w:val="20"/>
          <w:szCs w:val="20"/>
          <w:color w:val="auto"/>
        </w:rPr>
      </w:pPr>
      <w:r>
        <w:rPr>
          <w:rFonts w:ascii="Times New Roman" w:cs="Times New Roman" w:eastAsia="Times New Roman" w:hAnsi="Times New Roman"/>
          <w:sz w:val="18"/>
          <w:szCs w:val="18"/>
          <w:color w:val="auto"/>
        </w:rPr>
        <w:t>Derivatives not designated as hedges are not speculative and result from a service the Company provides to clients. The Company executes interest rate swaps with customers to facilitate their respective risk management strategies. Those interest rate swaps are simultaneously hedged by offsetting derivatives that the Company executes with a third party, such that the Company minimizes its net risk exposure resulting from such transactions. As the interest rate derivatives associated with this program do not meet the strict hedge accounting requirements, changes in the fair value of both the customer derivatives and the offsetting derivatives are recognized directly in earnings. The gains and losses are included in “other assets” on the Statements of Cash Flows.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right="20" w:firstLine="486"/>
        <w:spacing w:after="0" w:line="261" w:lineRule="auto"/>
        <w:rPr>
          <w:sz w:val="20"/>
          <w:szCs w:val="20"/>
          <w:color w:val="auto"/>
        </w:rPr>
      </w:pPr>
      <w:r>
        <w:rPr>
          <w:rFonts w:ascii="Times New Roman" w:cs="Times New Roman" w:eastAsia="Times New Roman" w:hAnsi="Times New Roman"/>
          <w:sz w:val="18"/>
          <w:szCs w:val="18"/>
          <w:color w:val="auto"/>
        </w:rPr>
        <w:t>During 2019, the Company changed an input associated with the fair market value related to derivatives not designated as hedges. The model utilized to calculate the non-performance risk, also known as the credit valuation adjustment, or CVA, was adjusted from a more conservative default methodology to a review of the historical defaults recognized by the Company. Management believes this change better aligns with the Company’s credit methodology and underwriting standards.</w:t>
      </w:r>
    </w:p>
    <w:p>
      <w:pPr>
        <w:spacing w:after="0" w:line="126" w:lineRule="exact"/>
        <w:rPr>
          <w:sz w:val="20"/>
          <w:szCs w:val="20"/>
          <w:color w:val="auto"/>
        </w:rPr>
      </w:pPr>
    </w:p>
    <w:p>
      <w:pPr>
        <w:ind w:left="180" w:right="12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2020 and December 31, 2019, the Company had the following outstanding derivatives that were not designated as hedges in qualifying hedging relationships:</w:t>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243"/>
        </w:trPr>
        <w:tc>
          <w:tcPr>
            <w:tcW w:w="2500" w:type="dxa"/>
            <w:vAlign w:val="bottom"/>
          </w:tcPr>
          <w:p>
            <w:pPr>
              <w:spacing w:after="0"/>
              <w:rPr>
                <w:sz w:val="21"/>
                <w:szCs w:val="21"/>
                <w:color w:val="auto"/>
              </w:rPr>
            </w:pPr>
          </w:p>
        </w:tc>
        <w:tc>
          <w:tcPr>
            <w:tcW w:w="4240" w:type="dxa"/>
            <w:vAlign w:val="bottom"/>
            <w:tcBorders>
              <w:top w:val="single" w:sz="8" w:color="auto"/>
              <w:bottom w:val="single" w:sz="8" w:color="auto"/>
            </w:tcBorders>
            <w:gridSpan w:val="3"/>
          </w:tcPr>
          <w:p>
            <w:pPr>
              <w:jc w:val="right"/>
              <w:ind w:right="1273"/>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00" w:type="dxa"/>
            <w:vAlign w:val="bottom"/>
          </w:tcPr>
          <w:p>
            <w:pPr>
              <w:spacing w:after="0"/>
              <w:rPr>
                <w:sz w:val="21"/>
                <w:szCs w:val="21"/>
                <w:color w:val="auto"/>
              </w:rPr>
            </w:pPr>
          </w:p>
        </w:tc>
        <w:tc>
          <w:tcPr>
            <w:tcW w:w="4240" w:type="dxa"/>
            <w:vAlign w:val="bottom"/>
            <w:tcBorders>
              <w:top w:val="single" w:sz="8" w:color="auto"/>
              <w:bottom w:val="single" w:sz="8" w:color="auto"/>
            </w:tcBorders>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2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Instruments</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Instruments</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Notional Amount</w:t>
            </w:r>
          </w:p>
        </w:tc>
      </w:tr>
      <w:tr>
        <w:trPr>
          <w:trHeight w:val="208"/>
        </w:trPr>
        <w:tc>
          <w:tcPr>
            <w:tcW w:w="2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0" w:type="dxa"/>
            <w:vAlign w:val="bottom"/>
            <w:gridSpan w:val="3"/>
          </w:tcPr>
          <w:p>
            <w:pPr>
              <w:ind w:left="10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Back-to-back swaps</w:t>
            </w:r>
          </w:p>
        </w:tc>
        <w:tc>
          <w:tcPr>
            <w:tcW w:w="21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545,559</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380,050</w:t>
            </w: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and their classification on the Balance Sheet as of</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September 30, 2020 and December 31, 2019:</w:t>
      </w:r>
    </w:p>
    <w:p>
      <w:pPr>
        <w:spacing w:after="0" w:line="189"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14"/>
        </w:trPr>
        <w:tc>
          <w:tcPr>
            <w:tcW w:w="2260" w:type="dxa"/>
            <w:vAlign w:val="bottom"/>
          </w:tcPr>
          <w:p>
            <w:pPr>
              <w:spacing w:after="0"/>
              <w:rPr>
                <w:sz w:val="18"/>
                <w:szCs w:val="18"/>
                <w:color w:val="auto"/>
              </w:rPr>
            </w:pPr>
          </w:p>
        </w:tc>
        <w:tc>
          <w:tcPr>
            <w:tcW w:w="14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34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8"/>
                <w:szCs w:val="18"/>
                <w:color w:val="auto"/>
              </w:rPr>
            </w:pPr>
          </w:p>
        </w:tc>
        <w:tc>
          <w:tcPr>
            <w:tcW w:w="11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4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2260" w:type="dxa"/>
            <w:vAlign w:val="bottom"/>
          </w:tcPr>
          <w:p>
            <w:pPr>
              <w:spacing w:after="0"/>
              <w:rPr>
                <w:sz w:val="20"/>
                <w:szCs w:val="20"/>
                <w:color w:val="auto"/>
              </w:rPr>
            </w:pPr>
          </w:p>
        </w:tc>
        <w:tc>
          <w:tcPr>
            <w:tcW w:w="14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8"/>
        </w:trPr>
        <w:tc>
          <w:tcPr>
            <w:tcW w:w="2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3"/>
          </w:tcPr>
          <w:p>
            <w:pPr>
              <w:ind w:left="5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1"/>
        </w:trPr>
        <w:tc>
          <w:tcPr>
            <w:tcW w:w="40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4"/>
        </w:trPr>
        <w:tc>
          <w:tcPr>
            <w:tcW w:w="2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products</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100" w:type="dxa"/>
            <w:vAlign w:val="bottom"/>
          </w:tcPr>
          <w:p>
            <w:pPr>
              <w:spacing w:after="0"/>
              <w:rPr>
                <w:sz w:val="20"/>
                <w:szCs w:val="20"/>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27,949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w:t>
            </w:r>
          </w:p>
        </w:tc>
      </w:tr>
    </w:tbl>
    <w:p>
      <w:pPr>
        <w:spacing w:after="0" w:line="139" w:lineRule="exact"/>
        <w:rPr>
          <w:sz w:val="20"/>
          <w:szCs w:val="20"/>
          <w:color w:val="auto"/>
        </w:rPr>
      </w:pPr>
    </w:p>
    <w:p>
      <w:pPr>
        <w:ind w:left="180" w:right="80" w:firstLine="486"/>
        <w:spacing w:after="0" w:line="266" w:lineRule="auto"/>
        <w:rPr>
          <w:sz w:val="20"/>
          <w:szCs w:val="20"/>
          <w:color w:val="auto"/>
        </w:rPr>
      </w:pPr>
      <w:r>
        <w:rPr>
          <w:rFonts w:ascii="Times New Roman" w:cs="Times New Roman" w:eastAsia="Times New Roman" w:hAnsi="Times New Roman"/>
          <w:sz w:val="18"/>
          <w:szCs w:val="18"/>
          <w:color w:val="auto"/>
        </w:rPr>
        <w:t>The effect of the Company’s derivative financial instruments that are not designated as hedging instruments are reported on the Consolidated Statements of Income as swap fee income, net. The effect of the Company’s derivative financial instruments gain (loss) are reported on the Consolidated Statements of Cash Flows within other assets and other liabilities.</w:t>
      </w:r>
    </w:p>
    <w:p>
      <w:pPr>
        <w:spacing w:after="0" w:line="36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Note 6:</w:t>
      </w:r>
      <w:r>
        <w:rPr>
          <w:sz w:val="20"/>
          <w:szCs w:val="20"/>
          <w:color w:val="auto"/>
        </w:rPr>
        <w:tab/>
      </w:r>
      <w:r>
        <w:rPr>
          <w:rFonts w:ascii="Times New Roman" w:cs="Times New Roman" w:eastAsia="Times New Roman" w:hAnsi="Times New Roman"/>
          <w:sz w:val="21"/>
          <w:szCs w:val="21"/>
          <w:b w:val="1"/>
          <w:bCs w:val="1"/>
          <w:color w:val="auto"/>
        </w:rPr>
        <w:t>Goodwill and Other Intangible Assets</w:t>
      </w:r>
    </w:p>
    <w:p>
      <w:pPr>
        <w:spacing w:after="0" w:line="165" w:lineRule="exact"/>
        <w:rPr>
          <w:sz w:val="20"/>
          <w:szCs w:val="20"/>
          <w:color w:val="auto"/>
        </w:rPr>
      </w:pPr>
    </w:p>
    <w:p>
      <w:pPr>
        <w:ind w:left="180" w:right="100" w:firstLine="486"/>
        <w:spacing w:after="0" w:line="266" w:lineRule="auto"/>
        <w:rPr>
          <w:sz w:val="20"/>
          <w:szCs w:val="20"/>
          <w:color w:val="auto"/>
        </w:rPr>
      </w:pPr>
      <w:r>
        <w:rPr>
          <w:rFonts w:ascii="Times New Roman" w:cs="Times New Roman" w:eastAsia="Times New Roman" w:hAnsi="Times New Roman"/>
          <w:sz w:val="18"/>
          <w:szCs w:val="18"/>
          <w:color w:val="auto"/>
        </w:rPr>
        <w:t>In accordance with GAAP, the Company performs annual tests to identify impairment of goodwill and more frequently if events or circumstances indicate a potential impairment may exist. The Company compares the reporting unit’s fair value with its carrying amount, including goodwill. If the carrying amount exceeds fair value, an impairment loss is recognized in an amount equal to that excess.</w:t>
      </w:r>
    </w:p>
    <w:p>
      <w:pPr>
        <w:spacing w:after="0" w:line="122" w:lineRule="exact"/>
        <w:rPr>
          <w:sz w:val="20"/>
          <w:szCs w:val="20"/>
          <w:color w:val="auto"/>
        </w:rPr>
      </w:pPr>
    </w:p>
    <w:p>
      <w:pPr>
        <w:ind w:left="180" w:right="20" w:firstLine="486"/>
        <w:spacing w:after="0" w:line="256" w:lineRule="auto"/>
        <w:rPr>
          <w:sz w:val="20"/>
          <w:szCs w:val="20"/>
          <w:color w:val="auto"/>
        </w:rPr>
      </w:pPr>
      <w:r>
        <w:rPr>
          <w:rFonts w:ascii="Times New Roman" w:cs="Times New Roman" w:eastAsia="Times New Roman" w:hAnsi="Times New Roman"/>
          <w:sz w:val="18"/>
          <w:szCs w:val="18"/>
          <w:color w:val="auto"/>
        </w:rPr>
        <w:t>As a result of the recent economic conditions resulting from the COVID-19 pandemic and oil market volatility, the Company conducted a June 30, 2020 goodwill impairment test. The test required a goodwill impairment charge of $7 million, representing full impairment of goodwill. The primary causes of the goodwill impairment were economic conditions, volatility in the market capitalization of the Company, increased loan provision in light of the COVID-19 pandemic, and other changes in key variables driven by the uncertain macro-environment that when combined, resulted in the reporting unit’s fair value being less than the carrying value. The Tulsa, Oklahoma market represented the reporting unit and included all goodwill previously recorded.</w:t>
      </w:r>
    </w:p>
    <w:p>
      <w:pPr>
        <w:spacing w:after="0" w:line="133" w:lineRule="exact"/>
        <w:rPr>
          <w:sz w:val="20"/>
          <w:szCs w:val="20"/>
          <w:color w:val="auto"/>
        </w:rPr>
      </w:pPr>
    </w:p>
    <w:p>
      <w:pPr>
        <w:ind w:left="180" w:right="160" w:firstLine="486"/>
        <w:spacing w:after="0" w:line="261" w:lineRule="auto"/>
        <w:rPr>
          <w:sz w:val="20"/>
          <w:szCs w:val="20"/>
          <w:color w:val="auto"/>
        </w:rPr>
      </w:pPr>
      <w:r>
        <w:rPr>
          <w:rFonts w:ascii="Times New Roman" w:cs="Times New Roman" w:eastAsia="Times New Roman" w:hAnsi="Times New Roman"/>
          <w:sz w:val="18"/>
          <w:szCs w:val="18"/>
          <w:color w:val="auto"/>
        </w:rPr>
        <w:t>The reporting unit’s fair value was determined using a combination of: (i) the capitalization of earnings method, an income approach, and (ii) the public company method, a market approach. The income approach estimated fair value by determining the cash flow in a single period, adjusted for growth that is adjusted by a capitalization rate. The market approach estimated fair value by averaging the price-to-book multiples from peer, public banks and adding a control premium.</w:t>
      </w:r>
    </w:p>
    <w:p>
      <w:pPr>
        <w:spacing w:after="0" w:line="126" w:lineRule="exact"/>
        <w:rPr>
          <w:sz w:val="20"/>
          <w:szCs w:val="20"/>
          <w:color w:val="auto"/>
        </w:rPr>
      </w:pPr>
    </w:p>
    <w:p>
      <w:pPr>
        <w:ind w:left="180" w:right="60" w:firstLine="486"/>
        <w:spacing w:after="0" w:line="282" w:lineRule="auto"/>
        <w:rPr>
          <w:sz w:val="20"/>
          <w:szCs w:val="20"/>
          <w:color w:val="auto"/>
        </w:rPr>
      </w:pPr>
      <w:r>
        <w:rPr>
          <w:rFonts w:ascii="Times New Roman" w:cs="Times New Roman" w:eastAsia="Times New Roman" w:hAnsi="Times New Roman"/>
          <w:sz w:val="18"/>
          <w:szCs w:val="18"/>
          <w:color w:val="auto"/>
        </w:rPr>
        <w:t>The Company conducted an impairment test of its core deposit intangible (“CDI”) as of June 30, 2020. The Company used an income approach to calculate a CDI fair market value. The results indicated the CDI was not impaired as of June 30, 2020.</w:t>
      </w:r>
    </w:p>
    <w:p>
      <w:pPr>
        <w:spacing w:after="0" w:line="108" w:lineRule="exact"/>
        <w:rPr>
          <w:sz w:val="20"/>
          <w:szCs w:val="20"/>
          <w:color w:val="auto"/>
        </w:rPr>
      </w:pPr>
    </w:p>
    <w:p>
      <w:pPr>
        <w:ind w:left="180" w:right="60" w:firstLine="486"/>
        <w:spacing w:after="0" w:line="261" w:lineRule="auto"/>
        <w:rPr>
          <w:sz w:val="20"/>
          <w:szCs w:val="20"/>
          <w:color w:val="auto"/>
        </w:rPr>
      </w:pPr>
      <w:r>
        <w:rPr>
          <w:rFonts w:ascii="Times New Roman" w:cs="Times New Roman" w:eastAsia="Times New Roman" w:hAnsi="Times New Roman"/>
          <w:sz w:val="18"/>
          <w:szCs w:val="18"/>
          <w:color w:val="auto"/>
        </w:rPr>
        <w:t>Fair value determinations require considerable judgment and are sensitive to changes in underlying assumptions, estimates, and market factors. Estimating the fair value of individual reporting units requires management to make assumptions and estimates regarding the Company’s future plans, as well as industry, economic, and regulatory conditions. These assumptions and estimates include estimated future cash flows, income tax rates, discount rates, growth rates, and other market factors.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 in the Company’s goodwill and CDI for the nine-months ended September 30,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Core Deposit Intangible</w:t>
            </w:r>
          </w:p>
        </w:tc>
        <w:tc>
          <w:tcPr>
            <w:tcW w:w="160" w:type="dxa"/>
            <w:vAlign w:val="bottom"/>
          </w:tcPr>
          <w:p>
            <w:pPr>
              <w:spacing w:after="0"/>
              <w:rPr>
                <w:sz w:val="20"/>
                <w:szCs w:val="20"/>
                <w:color w:val="auto"/>
              </w:rPr>
            </w:pPr>
          </w:p>
        </w:tc>
        <w:tc>
          <w:tcPr>
            <w:tcW w:w="2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r>
      <w:tr>
        <w:trPr>
          <w:trHeight w:val="27"/>
        </w:trPr>
        <w:tc>
          <w:tcPr>
            <w:tcW w:w="44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7"/>
        </w:trPr>
        <w:tc>
          <w:tcPr>
            <w:tcW w:w="4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6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540" w:type="dxa"/>
            <w:vAlign w:val="bottom"/>
            <w:tcBorders>
              <w:bottom w:val="single" w:sz="8" w:color="CCEEFF"/>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r>
      <w:tr>
        <w:trPr>
          <w:trHeight w:val="243"/>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15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w:t>
            </w:r>
          </w:p>
        </w:tc>
      </w:tr>
      <w:tr>
        <w:trPr>
          <w:trHeight w:val="27"/>
        </w:trPr>
        <w:tc>
          <w:tcPr>
            <w:tcW w:w="4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5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6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540" w:type="dxa"/>
            <w:vAlign w:val="bottom"/>
            <w:tcBorders>
              <w:top w:val="single" w:sz="8" w:color="auto"/>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0"/>
        </w:trPr>
        <w:tc>
          <w:tcPr>
            <w:tcW w:w="44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Note 7:</w:t>
      </w:r>
      <w:r>
        <w:rPr>
          <w:sz w:val="20"/>
          <w:szCs w:val="20"/>
          <w:color w:val="auto"/>
        </w:rPr>
        <w:tab/>
      </w:r>
      <w:r>
        <w:rPr>
          <w:rFonts w:ascii="Times New Roman" w:cs="Times New Roman" w:eastAsia="Times New Roman" w:hAnsi="Times New Roman"/>
          <w:sz w:val="21"/>
          <w:szCs w:val="21"/>
          <w:b w:val="1"/>
          <w:bCs w:val="1"/>
          <w:color w:val="auto"/>
        </w:rPr>
        <w:t>Time Deposits and Borrowings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scheduled maturities, excluding interest, of the Company’s borrowings at September 30, 2020 were as follows:</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ind w:left="100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rPr>
              <w:t>Within One</w:t>
            </w:r>
          </w:p>
        </w:tc>
        <w:tc>
          <w:tcPr>
            <w:tcW w:w="120" w:type="dxa"/>
            <w:vAlign w:val="bottom"/>
          </w:tcPr>
          <w:p>
            <w:pPr>
              <w:spacing w:after="0"/>
              <w:rPr>
                <w:sz w:val="14"/>
                <w:szCs w:val="14"/>
                <w:color w:val="auto"/>
              </w:rPr>
            </w:pPr>
          </w:p>
        </w:tc>
        <w:tc>
          <w:tcPr>
            <w:tcW w:w="112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7"/>
              </w:rPr>
              <w:t>One to Two</w:t>
            </w:r>
          </w:p>
        </w:tc>
        <w:tc>
          <w:tcPr>
            <w:tcW w:w="100" w:type="dxa"/>
            <w:vAlign w:val="bottom"/>
          </w:tcPr>
          <w:p>
            <w:pPr>
              <w:spacing w:after="0"/>
              <w:rPr>
                <w:sz w:val="14"/>
                <w:szCs w:val="14"/>
                <w:color w:val="auto"/>
              </w:rPr>
            </w:pPr>
          </w:p>
        </w:tc>
        <w:tc>
          <w:tcPr>
            <w:tcW w:w="124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Two to Three</w:t>
            </w:r>
          </w:p>
        </w:tc>
        <w:tc>
          <w:tcPr>
            <w:tcW w:w="1260" w:type="dxa"/>
            <w:vAlign w:val="bottom"/>
            <w:gridSpan w:val="4"/>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Three to Four</w:t>
            </w:r>
          </w:p>
        </w:tc>
        <w:tc>
          <w:tcPr>
            <w:tcW w:w="1200" w:type="dxa"/>
            <w:vAlign w:val="bottom"/>
            <w:gridSpan w:val="3"/>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rPr>
              <w:t>Four to Five</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After Five</w:t>
            </w:r>
          </w:p>
        </w:tc>
        <w:tc>
          <w:tcPr>
            <w:tcW w:w="220" w:type="dxa"/>
            <w:vAlign w:val="bottom"/>
          </w:tcPr>
          <w:p>
            <w:pPr>
              <w:spacing w:after="0"/>
              <w:rPr>
                <w:sz w:val="14"/>
                <w:szCs w:val="14"/>
                <w:color w:val="auto"/>
              </w:rPr>
            </w:pPr>
          </w:p>
        </w:tc>
        <w:tc>
          <w:tcPr>
            <w:tcW w:w="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6"/>
          </w:tcPr>
          <w:p>
            <w:pPr>
              <w:ind w:left="10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948,251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1,140,686</w:t>
            </w: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Fed funds purchased &amp;</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0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0" w:type="dxa"/>
            <w:vAlign w:val="bottom"/>
          </w:tcPr>
          <w:p>
            <w:pPr>
              <w:spacing w:after="0"/>
              <w:rPr>
                <w:sz w:val="1"/>
                <w:szCs w:val="1"/>
                <w:color w:val="auto"/>
              </w:rPr>
            </w:pPr>
          </w:p>
        </w:tc>
      </w:tr>
      <w:tr>
        <w:trPr>
          <w:trHeight w:val="229"/>
        </w:trPr>
        <w:tc>
          <w:tcPr>
            <w:tcW w:w="2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agreements</w:t>
            </w: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 borrowings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336,100</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Trust preferred securities</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48"/>
        </w:trPr>
        <w:tc>
          <w:tcPr>
            <w:tcW w:w="24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1,491,269</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320" w:hanging="150"/>
        <w:spacing w:after="0"/>
        <w:tabs>
          <w:tab w:leader="none" w:pos="32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contract value of the trust preferred securities is $2.6 million and is currently being accreted to the maturity date of 2035.</w:t>
      </w:r>
    </w:p>
    <w:p>
      <w:pPr>
        <w:spacing w:after="0" w:line="200" w:lineRule="exact"/>
        <w:rPr>
          <w:sz w:val="20"/>
          <w:szCs w:val="20"/>
          <w:color w:val="auto"/>
        </w:rPr>
      </w:pPr>
    </w:p>
    <w:p>
      <w:pPr>
        <w:spacing w:after="0" w:line="2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Note 8:</w:t>
      </w:r>
      <w:r>
        <w:rPr>
          <w:sz w:val="20"/>
          <w:szCs w:val="20"/>
          <w:color w:val="auto"/>
        </w:rPr>
        <w:tab/>
      </w:r>
      <w:r>
        <w:rPr>
          <w:rFonts w:ascii="Times New Roman" w:cs="Times New Roman" w:eastAsia="Times New Roman" w:hAnsi="Times New Roman"/>
          <w:sz w:val="21"/>
          <w:szCs w:val="21"/>
          <w:b w:val="1"/>
          <w:bCs w:val="1"/>
          <w:color w:val="auto"/>
        </w:rPr>
        <w:t>Change in Accumulated Other Comprehensive Income (“AOCI”)</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Amounts reclassified from AOCI and the affected line items in the consolidated Statements of Operations during the three and nine months ended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September 30, 2020 and 2019, were as follows:</w:t>
      </w:r>
    </w:p>
    <w:p>
      <w:pPr>
        <w:spacing w:after="0" w:line="189"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Affected Line Item in the</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0" w:type="dxa"/>
            <w:vAlign w:val="bottom"/>
          </w:tcPr>
          <w:p>
            <w:pPr>
              <w:spacing w:after="0"/>
              <w:rPr>
                <w:sz w:val="1"/>
                <w:szCs w:val="1"/>
                <w:color w:val="auto"/>
              </w:rPr>
            </w:pPr>
          </w:p>
        </w:tc>
      </w:tr>
      <w:tr>
        <w:trPr>
          <w:trHeight w:val="208"/>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4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2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Unrealized gains on available-for-sale</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5"/>
                <w:szCs w:val="15"/>
                <w:color w:val="auto"/>
              </w:rPr>
            </w:pPr>
          </w:p>
        </w:tc>
        <w:tc>
          <w:tcPr>
            <w:tcW w:w="28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Gain on sale of available-for-sale debt</w:t>
            </w:r>
          </w:p>
        </w:tc>
        <w:tc>
          <w:tcPr>
            <w:tcW w:w="0" w:type="dxa"/>
            <w:vAlign w:val="bottom"/>
          </w:tcPr>
          <w:p>
            <w:pPr>
              <w:spacing w:after="0"/>
              <w:rPr>
                <w:sz w:val="1"/>
                <w:szCs w:val="1"/>
                <w:color w:val="auto"/>
              </w:rPr>
            </w:pPr>
          </w:p>
        </w:tc>
      </w:tr>
      <w:tr>
        <w:trPr>
          <w:trHeight w:val="235"/>
        </w:trPr>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tax effect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CEEFF"/>
            </w:tcBorders>
          </w:tcPr>
          <w:p>
            <w:pPr>
              <w:spacing w:after="0"/>
              <w:rPr>
                <w:sz w:val="19"/>
                <w:szCs w:val="19"/>
                <w:color w:val="auto"/>
              </w:rPr>
            </w:pPr>
          </w:p>
        </w:tc>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reclassified amount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Note 9:</w:t>
      </w:r>
      <w:r>
        <w:rPr>
          <w:sz w:val="20"/>
          <w:szCs w:val="20"/>
          <w:color w:val="auto"/>
        </w:rPr>
        <w:tab/>
      </w:r>
      <w:r>
        <w:rPr>
          <w:rFonts w:ascii="Times New Roman" w:cs="Times New Roman" w:eastAsia="Times New Roman" w:hAnsi="Times New Roman"/>
          <w:sz w:val="21"/>
          <w:szCs w:val="21"/>
          <w:b w:val="1"/>
          <w:bCs w:val="1"/>
          <w:color w:val="auto"/>
        </w:rPr>
        <w:t>Regulatory Matters</w:t>
      </w:r>
    </w:p>
    <w:p>
      <w:pPr>
        <w:spacing w:after="0" w:line="165" w:lineRule="exact"/>
        <w:rPr>
          <w:sz w:val="20"/>
          <w:szCs w:val="20"/>
          <w:color w:val="auto"/>
        </w:rPr>
      </w:pPr>
    </w:p>
    <w:p>
      <w:pPr>
        <w:ind w:left="180" w:right="80" w:firstLine="486"/>
        <w:spacing w:after="0" w:line="261"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Management believes that, as of September 30, 2020, the Company and the Bank met all capital adequacy requirements to which they are subject.</w:t>
      </w:r>
    </w:p>
    <w:p>
      <w:pPr>
        <w:spacing w:after="0" w:line="126" w:lineRule="exact"/>
        <w:rPr>
          <w:sz w:val="20"/>
          <w:szCs w:val="20"/>
          <w:color w:val="auto"/>
        </w:rPr>
      </w:pPr>
    </w:p>
    <w:p>
      <w:pPr>
        <w:ind w:left="180" w:right="120" w:firstLine="486"/>
        <w:spacing w:after="0" w:line="261" w:lineRule="auto"/>
        <w:rPr>
          <w:sz w:val="20"/>
          <w:szCs w:val="20"/>
          <w:color w:val="auto"/>
        </w:rPr>
      </w:pPr>
      <w:r>
        <w:rPr>
          <w:rFonts w:ascii="Times New Roman" w:cs="Times New Roman" w:eastAsia="Times New Roman" w:hAnsi="Times New Roman"/>
          <w:sz w:val="18"/>
          <w:szCs w:val="18"/>
          <w:color w:val="auto"/>
        </w:rPr>
        <w:t>The capital rules require the Company to maintain a 2.5% capital conservation buffer with respect to Common Equity Tier I capital, Tier I capital to risk-weighted assets, and total capital to risk-weighted assets, which is included in the column “Minimum Capital Required - Basel III Fully Phased-In” within the table below. A financial institution with a conservation buffer of less than the required amount is subject to limitations on capital distributions, including dividend payments and stock repurchases, as well as certain discretionary bonus payments to executive officers.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9" w:name="page30"/>
    <w:bookmarkEnd w:id="29"/>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and the Bank’s actual capital amounts and ratios as of September 30, 2020 and December 31, 2019 are presented in the following</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table:</w:t>
      </w:r>
    </w:p>
    <w:p>
      <w:pPr>
        <w:spacing w:after="0" w:line="200" w:lineRule="exact"/>
        <w:rPr>
          <w:sz w:val="20"/>
          <w:szCs w:val="20"/>
          <w:color w:val="auto"/>
        </w:rPr>
      </w:pPr>
    </w:p>
    <w:p>
      <w:pPr>
        <w:spacing w:after="0" w:line="372"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Minimum Capital Required -</w:t>
            </w:r>
          </w:p>
        </w:tc>
        <w:tc>
          <w:tcPr>
            <w:tcW w:w="140" w:type="dxa"/>
            <w:vAlign w:val="bottom"/>
          </w:tcPr>
          <w:p>
            <w:pPr>
              <w:spacing w:after="0"/>
              <w:rPr>
                <w:sz w:val="17"/>
                <w:szCs w:val="17"/>
                <w:color w:val="auto"/>
              </w:rPr>
            </w:pPr>
          </w:p>
        </w:tc>
        <w:tc>
          <w:tcPr>
            <w:tcW w:w="2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Required to be Considered</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Basel III Fully Phased-In</w:t>
            </w:r>
          </w:p>
        </w:tc>
        <w:tc>
          <w:tcPr>
            <w:tcW w:w="140" w:type="dxa"/>
            <w:vAlign w:val="bottom"/>
          </w:tcPr>
          <w:p>
            <w:pPr>
              <w:spacing w:after="0"/>
              <w:rPr>
                <w:sz w:val="19"/>
                <w:szCs w:val="19"/>
                <w:color w:val="auto"/>
              </w:rPr>
            </w:pPr>
          </w:p>
        </w:tc>
        <w:tc>
          <w:tcPr>
            <w:tcW w:w="22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Well Capitalized</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208"/>
        </w:trPr>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652,827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518,259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w:t>
            </w:r>
          </w:p>
        </w:tc>
        <w:tc>
          <w:tcPr>
            <w:tcW w:w="16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601,491</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518,063</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493,393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590,952</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419,543</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Bank</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539,639</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419,384</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394,714</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Equity Tier 1 to Risk-Weighted Assets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590,000</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345,506</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w:t>
            </w:r>
          </w:p>
        </w:tc>
        <w:tc>
          <w:tcPr>
            <w:tcW w:w="16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539,639</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345,375</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320,706</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590,952</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217,932</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Bank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539,639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217,994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272,492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633,228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495,095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Bank</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581,600</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494,954</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471,385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576,332</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400,791</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w:t>
            </w:r>
          </w:p>
        </w:tc>
        <w:tc>
          <w:tcPr>
            <w:tcW w:w="16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524,704</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400,677</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377,108</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to Risk-Weighted Assets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575,411</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330,063</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Bank</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524,704</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329,970</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306,400</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576,332</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191,099</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524,704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191,170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238,963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Note 10:</w:t>
      </w:r>
      <w:r>
        <w:rPr>
          <w:sz w:val="20"/>
          <w:szCs w:val="20"/>
          <w:color w:val="auto"/>
        </w:rPr>
        <w:tab/>
      </w:r>
      <w:r>
        <w:rPr>
          <w:rFonts w:ascii="Times New Roman" w:cs="Times New Roman" w:eastAsia="Times New Roman" w:hAnsi="Times New Roman"/>
          <w:sz w:val="21"/>
          <w:szCs w:val="21"/>
          <w:b w:val="1"/>
          <w:bCs w:val="1"/>
          <w:color w:val="auto"/>
        </w:rPr>
        <w:t>Stock-Based Compensation</w:t>
      </w:r>
    </w:p>
    <w:p>
      <w:pPr>
        <w:spacing w:after="0" w:line="165" w:lineRule="exact"/>
        <w:rPr>
          <w:sz w:val="20"/>
          <w:szCs w:val="20"/>
          <w:color w:val="auto"/>
        </w:rPr>
      </w:pPr>
    </w:p>
    <w:p>
      <w:pPr>
        <w:ind w:left="180" w:right="220" w:firstLine="486"/>
        <w:spacing w:after="0" w:line="261" w:lineRule="auto"/>
        <w:rPr>
          <w:sz w:val="20"/>
          <w:szCs w:val="20"/>
          <w:color w:val="auto"/>
        </w:rPr>
      </w:pPr>
      <w:r>
        <w:rPr>
          <w:rFonts w:ascii="Times New Roman" w:cs="Times New Roman" w:eastAsia="Times New Roman" w:hAnsi="Times New Roman"/>
          <w:sz w:val="18"/>
          <w:szCs w:val="18"/>
          <w:color w:val="auto"/>
        </w:rPr>
        <w:t>The Company issues stock-based compensation in the form of nonvested restricted stock and stock appreciation rights under the 2018 Omnibus Equity Incentive Plan (“Omnibus Plan”). The Omnibus Plan will expire on the tenth anniversary of its effective date. In addition, the Company has an Employee Stock Purchase Plan that was suspended effective April 1, 2019 and was subsequently reinstated during the third quarter of 2020. The aggregate number of shares authorized for future issuance under the Omnibus Plan is 1,982,634 shares as of September 30, 2020.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0" w:name="page31"/>
    <w:bookmarkEnd w:id="30"/>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stock-based compensation for the three and nine-months ended September 30, 2020 and 2019:</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5140" w:type="dxa"/>
            <w:vAlign w:val="bottom"/>
          </w:tcPr>
          <w:p>
            <w:pPr>
              <w:spacing w:after="0"/>
              <w:rPr>
                <w:sz w:val="19"/>
                <w:szCs w:val="19"/>
                <w:color w:val="auto"/>
              </w:rPr>
            </w:pPr>
          </w:p>
        </w:tc>
        <w:tc>
          <w:tcPr>
            <w:tcW w:w="2420" w:type="dxa"/>
            <w:vAlign w:val="bottom"/>
            <w:gridSpan w:val="4"/>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00" w:type="dxa"/>
            <w:vAlign w:val="bottom"/>
          </w:tcPr>
          <w:p>
            <w:pPr>
              <w:spacing w:after="0"/>
              <w:rPr>
                <w:sz w:val="19"/>
                <w:szCs w:val="19"/>
                <w:color w:val="auto"/>
              </w:rPr>
            </w:pPr>
          </w:p>
        </w:tc>
      </w:tr>
      <w:tr>
        <w:trPr>
          <w:trHeight w:val="238"/>
        </w:trPr>
        <w:tc>
          <w:tcPr>
            <w:tcW w:w="51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500" w:type="dxa"/>
            <w:vAlign w:val="bottom"/>
            <w:tcBorders>
              <w:bottom w:val="single" w:sz="8" w:color="auto"/>
            </w:tcBorders>
          </w:tcPr>
          <w:p>
            <w:pPr>
              <w:spacing w:after="0"/>
              <w:rPr>
                <w:sz w:val="20"/>
                <w:szCs w:val="20"/>
                <w:color w:val="auto"/>
              </w:rPr>
            </w:pPr>
          </w:p>
        </w:tc>
      </w:tr>
      <w:tr>
        <w:trPr>
          <w:trHeight w:val="223"/>
        </w:trPr>
        <w:tc>
          <w:tcPr>
            <w:tcW w:w="5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r>
      <w:tr>
        <w:trPr>
          <w:trHeight w:val="208"/>
        </w:trPr>
        <w:tc>
          <w:tcPr>
            <w:tcW w:w="5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4"/>
          </w:tcPr>
          <w:p>
            <w:pPr>
              <w:jc w:val="right"/>
              <w:ind w:right="13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stock awards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and awards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2,184</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8"/>
        </w:trPr>
        <w:tc>
          <w:tcPr>
            <w:tcW w:w="51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3,606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Performance Based Stock Awards (“PBSAs”)</w:t>
      </w:r>
    </w:p>
    <w:p>
      <w:pPr>
        <w:spacing w:after="0" w:line="166" w:lineRule="exact"/>
        <w:rPr>
          <w:sz w:val="20"/>
          <w:szCs w:val="20"/>
          <w:color w:val="auto"/>
        </w:rPr>
      </w:pPr>
    </w:p>
    <w:p>
      <w:pPr>
        <w:ind w:left="180" w:right="60" w:firstLine="486"/>
        <w:spacing w:after="0" w:line="261" w:lineRule="auto"/>
        <w:rPr>
          <w:sz w:val="20"/>
          <w:szCs w:val="20"/>
          <w:color w:val="auto"/>
        </w:rPr>
      </w:pPr>
      <w:r>
        <w:rPr>
          <w:rFonts w:ascii="Times New Roman" w:cs="Times New Roman" w:eastAsia="Times New Roman" w:hAnsi="Times New Roman"/>
          <w:sz w:val="18"/>
          <w:szCs w:val="18"/>
          <w:color w:val="auto"/>
        </w:rPr>
        <w:t>The Company awards PBSAs to key officers of the Company. The performance-based shares typically cliff-vest at the end of three years based on attainment of certain performance metrics developed by the Compensation Committee. The ultimate number of shares issuable under each performance award is the product of the award target and the award payout percentage given the level of achievement. The award payout percentages by level of achievement range between 0% of target and 150% of target.</w:t>
      </w:r>
    </w:p>
    <w:p>
      <w:pPr>
        <w:spacing w:after="0" w:line="126" w:lineRule="exact"/>
        <w:rPr>
          <w:sz w:val="20"/>
          <w:szCs w:val="20"/>
          <w:color w:val="auto"/>
        </w:rPr>
      </w:pPr>
    </w:p>
    <w:p>
      <w:pPr>
        <w:ind w:left="180" w:right="100"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granted 41,283 PBSAs. The performance metrics include three year cumulative net income and return on average assets.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status of and changes in the performance-based awards:</w:t>
      </w:r>
    </w:p>
    <w:p>
      <w:pPr>
        <w:spacing w:after="0" w:line="46"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450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Performance Based Stock Awards</w:t>
            </w: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22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Weighted-Average Grant</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19"/>
                <w:szCs w:val="19"/>
                <w:color w:val="auto"/>
              </w:rPr>
            </w:pPr>
          </w:p>
        </w:tc>
        <w:tc>
          <w:tcPr>
            <w:tcW w:w="2280" w:type="dxa"/>
            <w:vAlign w:val="bottom"/>
            <w:gridSpan w:val="2"/>
            <w:vMerge w:val="continue"/>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0" w:type="dxa"/>
            <w:vAlign w:val="bottom"/>
          </w:tcPr>
          <w:p>
            <w:pPr>
              <w:spacing w:after="0"/>
              <w:rPr>
                <w:sz w:val="1"/>
                <w:szCs w:val="1"/>
                <w:color w:val="auto"/>
              </w:rPr>
            </w:pPr>
          </w:p>
        </w:tc>
      </w:tr>
      <w:tr>
        <w:trPr>
          <w:trHeight w:val="223"/>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2020</w:t>
            </w: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192,248</w:t>
            </w:r>
          </w:p>
        </w:tc>
        <w:tc>
          <w:tcPr>
            <w:tcW w:w="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$9.88</w:t>
            </w:r>
          </w:p>
        </w:tc>
        <w:tc>
          <w:tcPr>
            <w:tcW w:w="0" w:type="dxa"/>
            <w:vAlign w:val="bottom"/>
          </w:tcPr>
          <w:p>
            <w:pPr>
              <w:spacing w:after="0"/>
              <w:rPr>
                <w:sz w:val="1"/>
                <w:szCs w:val="1"/>
                <w:color w:val="auto"/>
              </w:rPr>
            </w:pPr>
          </w:p>
        </w:tc>
      </w:tr>
      <w:tr>
        <w:trPr>
          <w:trHeight w:val="230"/>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41,283</w:t>
            </w:r>
          </w:p>
        </w:tc>
        <w:tc>
          <w:tcPr>
            <w:tcW w:w="8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13.55</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September 30, 2020</w:t>
            </w:r>
          </w:p>
        </w:tc>
        <w:tc>
          <w:tcPr>
            <w:tcW w:w="2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233,531</w:t>
            </w:r>
          </w:p>
        </w:tc>
        <w:tc>
          <w:tcPr>
            <w:tcW w:w="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80" w:right="660" w:firstLine="486"/>
        <w:spacing w:after="0" w:line="282" w:lineRule="auto"/>
        <w:rPr>
          <w:sz w:val="20"/>
          <w:szCs w:val="20"/>
          <w:color w:val="auto"/>
        </w:rPr>
      </w:pPr>
      <w:r>
        <w:rPr>
          <w:rFonts w:ascii="Times New Roman" w:cs="Times New Roman" w:eastAsia="Times New Roman" w:hAnsi="Times New Roman"/>
          <w:sz w:val="18"/>
          <w:szCs w:val="18"/>
          <w:color w:val="auto"/>
        </w:rPr>
        <w:t>Unrecognized stock-based compensation related to the performance awards issued through September 30, 2020 was $531 thousand and is expected to be recognized over 2.1 years.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Restricted Stock Units (“RSUs”) and Restricted Stock Awards (“RSAs”)</w:t>
      </w:r>
    </w:p>
    <w:p>
      <w:pPr>
        <w:spacing w:after="0" w:line="166" w:lineRule="exact"/>
        <w:rPr>
          <w:sz w:val="20"/>
          <w:szCs w:val="20"/>
          <w:color w:val="auto"/>
        </w:rPr>
      </w:pPr>
    </w:p>
    <w:p>
      <w:pPr>
        <w:ind w:left="180" w:right="340" w:firstLine="486"/>
        <w:spacing w:after="0" w:line="289" w:lineRule="auto"/>
        <w:rPr>
          <w:sz w:val="20"/>
          <w:szCs w:val="20"/>
          <w:color w:val="auto"/>
        </w:rPr>
      </w:pPr>
      <w:r>
        <w:rPr>
          <w:rFonts w:ascii="Times New Roman" w:cs="Times New Roman" w:eastAsia="Times New Roman" w:hAnsi="Times New Roman"/>
          <w:sz w:val="17"/>
          <w:szCs w:val="17"/>
          <w:color w:val="auto"/>
        </w:rPr>
        <w:t>The Company issues RSUs and RSAs to provide additional incentives to key officers, employees, and nonemployee directors. Awards are typically granted annually as determined by the Compensation Committee. The service based RSUs typically cliff-vest at the end of three years for awards issued prior to 2019 and vest in equal amounts over three years for all other RSUs. The service based RSAs typically cliff-vest after one year.</w:t>
      </w:r>
    </w:p>
    <w:p>
      <w:pPr>
        <w:spacing w:after="0" w:line="104"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status of and changes in the RSUs and RSAs:</w:t>
            </w: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580" w:type="dxa"/>
            <w:vAlign w:val="bottom"/>
          </w:tcPr>
          <w:p>
            <w:pPr>
              <w:spacing w:after="0"/>
              <w:rPr>
                <w:sz w:val="22"/>
                <w:szCs w:val="22"/>
                <w:color w:val="auto"/>
              </w:rPr>
            </w:pPr>
          </w:p>
        </w:tc>
        <w:tc>
          <w:tcPr>
            <w:tcW w:w="450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Restricted Stock Units and Awards</w:t>
            </w: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22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Weighted-Average Grant</w:t>
            </w:r>
          </w:p>
        </w:tc>
        <w:tc>
          <w:tcPr>
            <w:tcW w:w="0" w:type="dxa"/>
            <w:vAlign w:val="bottom"/>
          </w:tcPr>
          <w:p>
            <w:pPr>
              <w:spacing w:after="0"/>
              <w:rPr>
                <w:sz w:val="1"/>
                <w:szCs w:val="1"/>
                <w:color w:val="auto"/>
              </w:rPr>
            </w:pPr>
          </w:p>
        </w:tc>
      </w:tr>
      <w:tr>
        <w:trPr>
          <w:trHeight w:val="229"/>
        </w:trPr>
        <w:tc>
          <w:tcPr>
            <w:tcW w:w="6580" w:type="dxa"/>
            <w:vAlign w:val="bottom"/>
          </w:tcPr>
          <w:p>
            <w:pPr>
              <w:spacing w:after="0"/>
              <w:rPr>
                <w:sz w:val="19"/>
                <w:szCs w:val="19"/>
                <w:color w:val="auto"/>
              </w:rPr>
            </w:pPr>
          </w:p>
        </w:tc>
        <w:tc>
          <w:tcPr>
            <w:tcW w:w="2280" w:type="dxa"/>
            <w:vAlign w:val="bottom"/>
            <w:gridSpan w:val="2"/>
            <w:vMerge w:val="continue"/>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0" w:type="dxa"/>
            <w:vAlign w:val="bottom"/>
          </w:tcPr>
          <w:p>
            <w:pPr>
              <w:spacing w:after="0"/>
              <w:rPr>
                <w:sz w:val="1"/>
                <w:szCs w:val="1"/>
                <w:color w:val="auto"/>
              </w:rPr>
            </w:pPr>
          </w:p>
        </w:tc>
      </w:tr>
      <w:tr>
        <w:trPr>
          <w:trHeight w:val="223"/>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2020</w:t>
            </w: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340,780</w:t>
            </w:r>
          </w:p>
        </w:tc>
        <w:tc>
          <w:tcPr>
            <w:tcW w:w="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30"/>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293,297</w:t>
            </w:r>
          </w:p>
        </w:tc>
        <w:tc>
          <w:tcPr>
            <w:tcW w:w="8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11.84</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(106,146)</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12.58</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(15,086)</w:t>
            </w:r>
          </w:p>
        </w:tc>
        <w:tc>
          <w:tcPr>
            <w:tcW w:w="8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14.54</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September 30, 2020</w:t>
            </w:r>
          </w:p>
        </w:tc>
        <w:tc>
          <w:tcPr>
            <w:tcW w:w="2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512,845</w:t>
            </w:r>
          </w:p>
        </w:tc>
        <w:tc>
          <w:tcPr>
            <w:tcW w:w="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180" w:right="160" w:firstLine="486"/>
        <w:spacing w:after="0" w:line="282" w:lineRule="auto"/>
        <w:rPr>
          <w:sz w:val="20"/>
          <w:szCs w:val="20"/>
          <w:color w:val="auto"/>
        </w:rPr>
      </w:pPr>
      <w:r>
        <w:rPr>
          <w:rFonts w:ascii="Times New Roman" w:cs="Times New Roman" w:eastAsia="Times New Roman" w:hAnsi="Times New Roman"/>
          <w:sz w:val="18"/>
          <w:szCs w:val="18"/>
          <w:color w:val="auto"/>
        </w:rPr>
        <w:t>Unrecognized stock-based compensation related to the RSUs and RSAs issued through September 30, 2020 was $4 million and is expected to be recognized over 1.7 years.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1" w:name="page32"/>
    <w:bookmarkEnd w:id="31"/>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b w:val="1"/>
          <w:bCs w:val="1"/>
          <w:color w:val="auto"/>
        </w:rPr>
        <w:t>Note 11:</w:t>
      </w:r>
      <w:r>
        <w:rPr>
          <w:sz w:val="20"/>
          <w:szCs w:val="20"/>
          <w:color w:val="auto"/>
        </w:rPr>
        <w:tab/>
      </w:r>
      <w:r>
        <w:rPr>
          <w:rFonts w:ascii="Times New Roman" w:cs="Times New Roman" w:eastAsia="Times New Roman" w:hAnsi="Times New Roman"/>
          <w:sz w:val="21"/>
          <w:szCs w:val="21"/>
          <w:b w:val="1"/>
          <w:bCs w:val="1"/>
          <w:color w:val="auto"/>
        </w:rPr>
        <w:t>Income Tax</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income tax expense reconciliation at the statutory rate to the Company’s actual income tax expense is shown below:</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2920" w:type="dxa"/>
            <w:vAlign w:val="bottom"/>
            <w:gridSpan w:val="6"/>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1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r>
      <w:tr>
        <w:trPr>
          <w:trHeight w:val="223"/>
        </w:trPr>
        <w:tc>
          <w:tcPr>
            <w:tcW w:w="514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208"/>
        </w:trPr>
        <w:tc>
          <w:tcPr>
            <w:tcW w:w="5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gridSpan w:val="7"/>
          </w:tcPr>
          <w:p>
            <w:pPr>
              <w:ind w:left="2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Computed at the statutory rate (21%)</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Tax-exempt income</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r>
      <w:tr>
        <w:trPr>
          <w:trHeight w:val="229"/>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Nondeductible expenses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tax credit</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29"/>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income taxes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6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tax expense</w:t>
            </w: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5,308</w:t>
            </w:r>
          </w:p>
        </w:tc>
      </w:tr>
      <w:tr>
        <w:trPr>
          <w:trHeight w:val="20"/>
        </w:trPr>
        <w:tc>
          <w:tcPr>
            <w:tcW w:w="5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99"/>
        </w:trPr>
        <w:tc>
          <w:tcPr>
            <w:tcW w:w="10180" w:type="dxa"/>
            <w:vAlign w:val="bottom"/>
            <w:gridSpan w:val="14"/>
          </w:tcPr>
          <w:p>
            <w:pPr>
              <w:ind w:left="500"/>
              <w:spacing w:after="0"/>
              <w:rPr>
                <w:sz w:val="20"/>
                <w:szCs w:val="20"/>
                <w:color w:val="auto"/>
              </w:rPr>
            </w:pPr>
            <w:r>
              <w:rPr>
                <w:rFonts w:ascii="Times New Roman" w:cs="Times New Roman" w:eastAsia="Times New Roman" w:hAnsi="Times New Roman"/>
                <w:sz w:val="18"/>
                <w:szCs w:val="18"/>
                <w:color w:val="auto"/>
              </w:rPr>
              <w:t>The tax effects of temporary differences related to deferred taxes shown on the consolidated Balance Sheets are presented below:</w:t>
            </w:r>
          </w:p>
        </w:tc>
        <w:tc>
          <w:tcPr>
            <w:tcW w:w="900" w:type="dxa"/>
            <w:vAlign w:val="bottom"/>
          </w:tcPr>
          <w:p>
            <w:pPr>
              <w:spacing w:after="0"/>
              <w:rPr>
                <w:sz w:val="24"/>
                <w:szCs w:val="24"/>
                <w:color w:val="auto"/>
              </w:rPr>
            </w:pPr>
          </w:p>
        </w:tc>
      </w:tr>
      <w:tr>
        <w:trPr>
          <w:trHeight w:val="351"/>
        </w:trPr>
        <w:tc>
          <w:tcPr>
            <w:tcW w:w="5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08"/>
        </w:trPr>
        <w:tc>
          <w:tcPr>
            <w:tcW w:w="5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gridSpan w:val="7"/>
          </w:tcPr>
          <w:p>
            <w:pPr>
              <w:ind w:left="5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13,928</w:t>
            </w:r>
          </w:p>
        </w:tc>
      </w:tr>
      <w:tr>
        <w:trPr>
          <w:trHeight w:val="230"/>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incentive</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9"/>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of available-for-sale securities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30"/>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Valuation allowance on real estate</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 fees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r>
      <w:tr>
        <w:trPr>
          <w:trHeight w:val="230"/>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carryover</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30"/>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30"/>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tax credit</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r>
      <w:tr>
        <w:trPr>
          <w:trHeight w:val="230"/>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asset</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25,314</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liability</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market value adjustments - trust preferred securities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30"/>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unrealized gain on securities available-for-sale</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r>
      <w:tr>
        <w:trPr>
          <w:trHeight w:val="230"/>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FHLB stock basis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30"/>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Premises and equipment</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r>
      <w:tr>
        <w:trPr>
          <w:trHeight w:val="229"/>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23"/>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6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r>
      <w:tr>
        <w:trPr>
          <w:trHeight w:val="223"/>
        </w:trPr>
        <w:tc>
          <w:tcPr>
            <w:tcW w:w="5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deferred tax asset</w:t>
            </w:r>
          </w:p>
        </w:tc>
        <w:tc>
          <w:tcPr>
            <w:tcW w:w="6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15,864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13,782</w:t>
            </w:r>
          </w:p>
        </w:tc>
      </w:tr>
      <w:tr>
        <w:trPr>
          <w:trHeight w:val="20"/>
        </w:trPr>
        <w:tc>
          <w:tcPr>
            <w:tcW w:w="5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CARES Act</w:t>
      </w:r>
    </w:p>
    <w:p>
      <w:pPr>
        <w:spacing w:after="0" w:line="166" w:lineRule="exact"/>
        <w:rPr>
          <w:sz w:val="20"/>
          <w:szCs w:val="20"/>
          <w:color w:val="auto"/>
        </w:rPr>
      </w:pPr>
    </w:p>
    <w:p>
      <w:pPr>
        <w:jc w:val="both"/>
        <w:ind w:left="180" w:right="40" w:firstLine="486"/>
        <w:spacing w:after="0" w:line="266" w:lineRule="auto"/>
        <w:rPr>
          <w:sz w:val="20"/>
          <w:szCs w:val="20"/>
          <w:color w:val="auto"/>
        </w:rPr>
      </w:pPr>
      <w:r>
        <w:rPr>
          <w:rFonts w:ascii="Times New Roman" w:cs="Times New Roman" w:eastAsia="Times New Roman" w:hAnsi="Times New Roman"/>
          <w:sz w:val="18"/>
          <w:szCs w:val="18"/>
          <w:color w:val="auto"/>
        </w:rPr>
        <w:t>The CARES Act, enacted on March 27, 2020 in the U.S., includes measures to assist companies, including temporary changes to income and non-income-based tax laws. As a result of the CARES Act, the Company would be able to carry back a portion of a net operating loss if incurred during 2020 to offset income from the prior year.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Note 12:</w:t>
      </w:r>
      <w:r>
        <w:rPr>
          <w:sz w:val="20"/>
          <w:szCs w:val="20"/>
          <w:color w:val="auto"/>
        </w:rPr>
        <w:tab/>
      </w:r>
      <w:r>
        <w:rPr>
          <w:rFonts w:ascii="Times New Roman" w:cs="Times New Roman" w:eastAsia="Times New Roman" w:hAnsi="Times New Roman"/>
          <w:sz w:val="21"/>
          <w:szCs w:val="21"/>
          <w:b w:val="1"/>
          <w:bCs w:val="1"/>
          <w:color w:val="auto"/>
        </w:rPr>
        <w:t>Disclosures about Fair Value of Financial Instruments</w:t>
      </w:r>
    </w:p>
    <w:p>
      <w:pPr>
        <w:spacing w:after="0" w:line="165" w:lineRule="exact"/>
        <w:rPr>
          <w:sz w:val="20"/>
          <w:szCs w:val="20"/>
          <w:color w:val="auto"/>
        </w:rPr>
      </w:pPr>
    </w:p>
    <w:p>
      <w:pPr>
        <w:ind w:left="180" w:right="160" w:firstLine="486"/>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Fair value measurements must maximize the use of observable inputs and minimize the use of unobservable inputs. There is a hierarchy of three levels of inputs that may be used to measure fair value:</w:t>
      </w:r>
    </w:p>
    <w:p>
      <w:pPr>
        <w:spacing w:after="0" w:line="118"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7"/>
          <w:szCs w:val="17"/>
          <w:color w:val="auto"/>
        </w:rPr>
        <w:t>Quoted prices in active markets for identical assets or liabilities.</w:t>
      </w:r>
    </w:p>
    <w:p>
      <w:pPr>
        <w:spacing w:after="0" w:line="117" w:lineRule="exact"/>
        <w:rPr>
          <w:sz w:val="20"/>
          <w:szCs w:val="20"/>
          <w:color w:val="auto"/>
        </w:rPr>
      </w:pPr>
    </w:p>
    <w:p>
      <w:pPr>
        <w:ind w:left="1300" w:right="8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8"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7"/>
          <w:szCs w:val="17"/>
          <w:color w:val="auto"/>
        </w:rPr>
        <w:t>Unobservable inputs supported by little or no market activity and significant to the fair value of the assets or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Recurring Measurements</w:t>
      </w:r>
    </w:p>
    <w:p>
      <w:pPr>
        <w:spacing w:after="0" w:line="166" w:lineRule="exact"/>
        <w:rPr>
          <w:sz w:val="20"/>
          <w:szCs w:val="20"/>
          <w:color w:val="auto"/>
        </w:rPr>
      </w:pPr>
    </w:p>
    <w:p>
      <w:pPr>
        <w:ind w:left="180" w:right="320" w:firstLine="486"/>
        <w:spacing w:after="0" w:line="312" w:lineRule="auto"/>
        <w:rPr>
          <w:sz w:val="20"/>
          <w:szCs w:val="20"/>
          <w:color w:val="auto"/>
        </w:rPr>
      </w:pPr>
      <w:r>
        <w:rPr>
          <w:rFonts w:ascii="Times New Roman" w:cs="Times New Roman" w:eastAsia="Times New Roman" w:hAnsi="Times New Roman"/>
          <w:sz w:val="17"/>
          <w:szCs w:val="17"/>
          <w:color w:val="auto"/>
        </w:rPr>
        <w:t>The following list presents the assets and liabilities recognized in the accompanying consolidated Balance Sheets measured at fair value on a recurring basis and the level within the fair value hierarchy in which the fair value measurements fall at September 30, 2020 and December 31, 2019:</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360" w:hanging="161"/>
        <w:spacing w:after="0" w:line="237" w:lineRule="auto"/>
        <w:rPr>
          <w:sz w:val="20"/>
          <w:szCs w:val="20"/>
          <w:color w:val="auto"/>
        </w:rPr>
      </w:pPr>
      <w:r>
        <w:rPr>
          <w:rFonts w:ascii="Times New Roman" w:cs="Times New Roman" w:eastAsia="Times New Roman" w:hAnsi="Times New Roman"/>
          <w:sz w:val="18"/>
          <w:szCs w:val="18"/>
          <w:color w:val="auto"/>
        </w:rPr>
        <w:t>Available-for-Sale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Derivatives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02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Fair Value Description</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Where Fair Value</w:t>
            </w:r>
          </w:p>
        </w:tc>
        <w:tc>
          <w:tcPr>
            <w:tcW w:w="0" w:type="dxa"/>
            <w:vAlign w:val="bottom"/>
          </w:tcPr>
          <w:p>
            <w:pPr>
              <w:spacing w:after="0"/>
              <w:rPr>
                <w:sz w:val="1"/>
                <w:szCs w:val="1"/>
                <w:color w:val="auto"/>
              </w:rPr>
            </w:pPr>
          </w:p>
        </w:tc>
      </w:tr>
      <w:tr>
        <w:trPr>
          <w:trHeight w:val="230"/>
        </w:trPr>
        <w:tc>
          <w:tcPr>
            <w:tcW w:w="6020" w:type="dxa"/>
            <w:vAlign w:val="bottom"/>
            <w:gridSpan w:val="2"/>
            <w:vMerge w:val="continue"/>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Hierarchy Level</w:t>
            </w: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Can Be Found</w:t>
            </w:r>
          </w:p>
        </w:tc>
        <w:tc>
          <w:tcPr>
            <w:tcW w:w="0" w:type="dxa"/>
            <w:vAlign w:val="bottom"/>
          </w:tcPr>
          <w:p>
            <w:pPr>
              <w:spacing w:after="0"/>
              <w:rPr>
                <w:sz w:val="1"/>
                <w:szCs w:val="1"/>
                <w:color w:val="auto"/>
              </w:rPr>
            </w:pPr>
          </w:p>
        </w:tc>
      </w:tr>
      <w:tr>
        <w:trPr>
          <w:trHeight w:val="169"/>
        </w:trPr>
        <w:tc>
          <w:tcPr>
            <w:tcW w:w="59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Where quoted market prices are available in an active market, securities are</w:t>
            </w:r>
          </w:p>
        </w:tc>
        <w:tc>
          <w:tcPr>
            <w:tcW w:w="80" w:type="dxa"/>
            <w:vAlign w:val="bottom"/>
          </w:tcPr>
          <w:p>
            <w:pPr>
              <w:spacing w:after="0"/>
              <w:rPr>
                <w:sz w:val="14"/>
                <w:szCs w:val="14"/>
                <w:color w:val="auto"/>
              </w:rPr>
            </w:pPr>
          </w:p>
        </w:tc>
        <w:tc>
          <w:tcPr>
            <w:tcW w:w="1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4"/>
                <w:szCs w:val="14"/>
                <w:color w:val="auto"/>
              </w:rPr>
            </w:pPr>
          </w:p>
        </w:tc>
        <w:tc>
          <w:tcPr>
            <w:tcW w:w="1840" w:type="dxa"/>
            <w:vAlign w:val="bottom"/>
            <w:tcBorders>
              <w:top w:val="single" w:sz="8" w:color="auto"/>
            </w:tcBorders>
            <w:gridSpan w:val="3"/>
          </w:tcPr>
          <w:p>
            <w:pPr>
              <w:spacing w:after="0" w:line="169" w:lineRule="exact"/>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Note 3: Securities</w:t>
              </w:r>
            </w:hyperlink>
          </w:p>
        </w:tc>
        <w:tc>
          <w:tcPr>
            <w:tcW w:w="0" w:type="dxa"/>
            <w:vAlign w:val="bottom"/>
          </w:tcPr>
          <w:p>
            <w:pPr>
              <w:spacing w:after="0"/>
              <w:rPr>
                <w:sz w:val="1"/>
                <w:szCs w:val="1"/>
                <w:color w:val="auto"/>
              </w:rPr>
            </w:pPr>
          </w:p>
        </w:tc>
      </w:tr>
      <w:tr>
        <w:trPr>
          <w:trHeight w:val="176"/>
        </w:trPr>
        <w:tc>
          <w:tcPr>
            <w:tcW w:w="6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classified within Level 1 of the valuation hierarchy. If quoted market prices are</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not available, then fair values are estimated by using quoted prices of securities</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with similar characteristics or independent asset pricing services and pricing</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models, the inputs of which are market-based or independently sourced market</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parameters, including, but not limited to, yield curves, interest rates, volatilities,</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prepayments, defaults, cumulative loss projections and cash flows.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60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Fair value of the interest rate swaps is obtained from independent pricing services</w:t>
            </w:r>
          </w:p>
        </w:tc>
        <w:tc>
          <w:tcPr>
            <w:tcW w:w="15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rPr>
              <w:t>Level 2</w:t>
            </w:r>
          </w:p>
        </w:tc>
        <w:tc>
          <w:tcPr>
            <w:tcW w:w="1840" w:type="dxa"/>
            <w:vAlign w:val="bottom"/>
            <w:gridSpan w:val="3"/>
          </w:tcPr>
          <w:p>
            <w:pPr>
              <w:spacing w:after="0" w:line="194" w:lineRule="exact"/>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Note 5: Derivatives and</w:t>
              </w:r>
            </w:hyperlink>
          </w:p>
        </w:tc>
        <w:tc>
          <w:tcPr>
            <w:tcW w:w="0" w:type="dxa"/>
            <w:vAlign w:val="bottom"/>
          </w:tcPr>
          <w:p>
            <w:pPr>
              <w:spacing w:after="0"/>
              <w:rPr>
                <w:sz w:val="1"/>
                <w:szCs w:val="1"/>
                <w:color w:val="auto"/>
              </w:rPr>
            </w:pPr>
          </w:p>
        </w:tc>
      </w:tr>
      <w:tr>
        <w:trPr>
          <w:trHeight w:val="155"/>
        </w:trPr>
        <w:tc>
          <w:tcPr>
            <w:tcW w:w="60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based on quoted market prices for similar derivative contracts.</w:t>
            </w: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Hedging</w:t>
              </w:r>
            </w:hyperlink>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-1062355</wp:posOffset>
            </wp:positionV>
            <wp:extent cx="7029450" cy="8229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29450" cy="82296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1500" w:space="380"/>
            <w:col w:w="9360"/>
          </w:cols>
          <w:pgMar w:left="320" w:top="17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u w:val="single" w:color="auto"/>
          <w:color w:val="auto"/>
        </w:rPr>
        <w:t>Nonrecurring Measurements</w:t>
      </w:r>
    </w:p>
    <w:p>
      <w:pPr>
        <w:spacing w:after="0" w:line="166" w:lineRule="exact"/>
        <w:rPr>
          <w:sz w:val="20"/>
          <w:szCs w:val="20"/>
          <w:color w:val="auto"/>
        </w:rPr>
      </w:pPr>
    </w:p>
    <w:p>
      <w:pPr>
        <w:ind w:left="180" w:right="2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assets measured at fair value on a nonrecurring basis and the level within the fair value hierarchy in which the fair value measurements fall at September 30, 2020 and December 31, 2019:</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4"/>
          </w:tcPr>
          <w:p>
            <w:pPr>
              <w:jc w:val="center"/>
              <w:ind w:left="1211"/>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ind w:right="71"/>
              <w:spacing w:after="0" w:line="169"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220" w:type="dxa"/>
            <w:vAlign w:val="bottom"/>
          </w:tcPr>
          <w:p>
            <w:pPr>
              <w:spacing w:after="0"/>
              <w:rPr>
                <w:sz w:val="14"/>
                <w:szCs w:val="14"/>
                <w:color w:val="auto"/>
              </w:rPr>
            </w:pPr>
          </w:p>
        </w:tc>
        <w:tc>
          <w:tcPr>
            <w:tcW w:w="17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jc w:val="center"/>
              <w:ind w:right="91"/>
              <w:spacing w:after="0" w:line="176" w:lineRule="exact"/>
              <w:rPr>
                <w:sz w:val="20"/>
                <w:szCs w:val="20"/>
                <w:color w:val="auto"/>
              </w:rPr>
            </w:pPr>
            <w:r>
              <w:rPr>
                <w:rFonts w:ascii="Times New Roman" w:cs="Times New Roman" w:eastAsia="Times New Roman" w:hAnsi="Times New Roman"/>
                <w:sz w:val="18"/>
                <w:szCs w:val="18"/>
                <w:b w:val="1"/>
                <w:bCs w:val="1"/>
                <w:color w:val="auto"/>
              </w:rPr>
              <w:t>Active Markets for</w:t>
            </w:r>
          </w:p>
        </w:tc>
        <w:tc>
          <w:tcPr>
            <w:tcW w:w="22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15"/>
                <w:szCs w:val="15"/>
                <w:color w:val="auto"/>
              </w:rPr>
            </w:pPr>
          </w:p>
        </w:tc>
        <w:tc>
          <w:tcPr>
            <w:tcW w:w="1720" w:type="dxa"/>
            <w:vAlign w:val="bottom"/>
          </w:tcPr>
          <w:p>
            <w:pPr>
              <w:jc w:val="center"/>
              <w:ind w:right="131"/>
              <w:spacing w:after="0" w:line="176" w:lineRule="exact"/>
              <w:rPr>
                <w:sz w:val="20"/>
                <w:szCs w:val="20"/>
                <w:color w:val="auto"/>
              </w:rPr>
            </w:pPr>
            <w:r>
              <w:rPr>
                <w:rFonts w:ascii="Times New Roman" w:cs="Times New Roman" w:eastAsia="Times New Roman" w:hAnsi="Times New Roman"/>
                <w:sz w:val="18"/>
                <w:szCs w:val="18"/>
                <w:b w:val="1"/>
                <w:bCs w:val="1"/>
                <w:color w:val="auto"/>
              </w:rPr>
              <w:t>Identical Assets</w:t>
            </w:r>
          </w:p>
        </w:tc>
        <w:tc>
          <w:tcPr>
            <w:tcW w:w="220" w:type="dxa"/>
            <w:vAlign w:val="bottom"/>
          </w:tcPr>
          <w:p>
            <w:pPr>
              <w:spacing w:after="0"/>
              <w:rPr>
                <w:sz w:val="15"/>
                <w:szCs w:val="15"/>
                <w:color w:val="auto"/>
              </w:rPr>
            </w:pPr>
          </w:p>
        </w:tc>
        <w:tc>
          <w:tcPr>
            <w:tcW w:w="17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gridSpan w:val="3"/>
          </w:tcPr>
          <w:p>
            <w:pPr>
              <w:ind w:left="10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Collateral-dependent impaired loans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36,378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36,378</w:t>
            </w:r>
          </w:p>
        </w:tc>
        <w:tc>
          <w:tcPr>
            <w:tcW w:w="0" w:type="dxa"/>
            <w:vAlign w:val="bottom"/>
          </w:tcPr>
          <w:p>
            <w:pPr>
              <w:spacing w:after="0"/>
              <w:rPr>
                <w:sz w:val="1"/>
                <w:szCs w:val="1"/>
                <w:color w:val="auto"/>
              </w:rPr>
            </w:pPr>
          </w:p>
        </w:tc>
      </w:t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Foreclosed assets held-for-sale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2,349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810"/>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December 31, 2019</w:t>
            </w: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4"/>
          </w:tcPr>
          <w:p>
            <w:pPr>
              <w:jc w:val="center"/>
              <w:ind w:left="1211"/>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ind w:right="71"/>
              <w:spacing w:after="0" w:line="169"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220" w:type="dxa"/>
            <w:vAlign w:val="bottom"/>
          </w:tcPr>
          <w:p>
            <w:pPr>
              <w:spacing w:after="0"/>
              <w:rPr>
                <w:sz w:val="14"/>
                <w:szCs w:val="14"/>
                <w:color w:val="auto"/>
              </w:rPr>
            </w:pPr>
          </w:p>
        </w:tc>
        <w:tc>
          <w:tcPr>
            <w:tcW w:w="17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jc w:val="center"/>
              <w:ind w:right="91"/>
              <w:spacing w:after="0" w:line="176" w:lineRule="exact"/>
              <w:rPr>
                <w:sz w:val="20"/>
                <w:szCs w:val="20"/>
                <w:color w:val="auto"/>
              </w:rPr>
            </w:pPr>
            <w:r>
              <w:rPr>
                <w:rFonts w:ascii="Times New Roman" w:cs="Times New Roman" w:eastAsia="Times New Roman" w:hAnsi="Times New Roman"/>
                <w:sz w:val="18"/>
                <w:szCs w:val="18"/>
                <w:b w:val="1"/>
                <w:bCs w:val="1"/>
                <w:color w:val="auto"/>
              </w:rPr>
              <w:t>Active Markets for</w:t>
            </w:r>
          </w:p>
        </w:tc>
        <w:tc>
          <w:tcPr>
            <w:tcW w:w="22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15"/>
                <w:szCs w:val="15"/>
                <w:color w:val="auto"/>
              </w:rPr>
            </w:pPr>
          </w:p>
        </w:tc>
        <w:tc>
          <w:tcPr>
            <w:tcW w:w="1720" w:type="dxa"/>
            <w:vAlign w:val="bottom"/>
          </w:tcPr>
          <w:p>
            <w:pPr>
              <w:jc w:val="center"/>
              <w:ind w:right="131"/>
              <w:spacing w:after="0" w:line="176" w:lineRule="exact"/>
              <w:rPr>
                <w:sz w:val="20"/>
                <w:szCs w:val="20"/>
                <w:color w:val="auto"/>
              </w:rPr>
            </w:pPr>
            <w:r>
              <w:rPr>
                <w:rFonts w:ascii="Times New Roman" w:cs="Times New Roman" w:eastAsia="Times New Roman" w:hAnsi="Times New Roman"/>
                <w:sz w:val="18"/>
                <w:szCs w:val="18"/>
                <w:b w:val="1"/>
                <w:bCs w:val="1"/>
                <w:color w:val="auto"/>
              </w:rPr>
              <w:t>Identical Assets</w:t>
            </w:r>
          </w:p>
        </w:tc>
        <w:tc>
          <w:tcPr>
            <w:tcW w:w="220" w:type="dxa"/>
            <w:vAlign w:val="bottom"/>
          </w:tcPr>
          <w:p>
            <w:pPr>
              <w:spacing w:after="0"/>
              <w:rPr>
                <w:sz w:val="15"/>
                <w:szCs w:val="15"/>
                <w:color w:val="auto"/>
              </w:rPr>
            </w:pPr>
          </w:p>
        </w:tc>
        <w:tc>
          <w:tcPr>
            <w:tcW w:w="17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gridSpan w:val="3"/>
          </w:tcPr>
          <w:p>
            <w:pPr>
              <w:ind w:left="10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Collateral-dependent impaired loans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20,889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3" w:name="page34"/>
    <w:bookmarkEnd w:id="33"/>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ind w:left="180" w:right="40" w:firstLine="486"/>
        <w:spacing w:after="0" w:line="282" w:lineRule="auto"/>
        <w:rPr>
          <w:sz w:val="20"/>
          <w:szCs w:val="20"/>
          <w:color w:val="auto"/>
        </w:rPr>
      </w:pPr>
      <w:r>
        <w:rPr>
          <w:rFonts w:ascii="Times New Roman" w:cs="Times New Roman" w:eastAsia="Times New Roman" w:hAnsi="Times New Roman"/>
          <w:sz w:val="18"/>
          <w:szCs w:val="18"/>
          <w:color w:val="auto"/>
        </w:rPr>
        <w:t>Following is a description of the valuation methodologies and inputs used for assets measured at fair value on a nonrecurring basis and recognized in the accompanying consolidated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Collateral-dependent Impaired Loans, Net of ALLL</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fair value of collateral-dependent impaired loans is based on the appraised fair value of the collateral, less estimated cost to sell.</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Collateral-dependent impaired loans are classified within Level 3 of the fair value hierarchy.</w:t>
      </w:r>
    </w:p>
    <w:p>
      <w:pPr>
        <w:spacing w:after="0" w:line="153" w:lineRule="exact"/>
        <w:rPr>
          <w:sz w:val="20"/>
          <w:szCs w:val="20"/>
          <w:color w:val="auto"/>
        </w:rPr>
      </w:pPr>
    </w:p>
    <w:p>
      <w:pPr>
        <w:ind w:left="180" w:right="200" w:firstLine="486"/>
        <w:spacing w:after="0" w:line="266" w:lineRule="auto"/>
        <w:rPr>
          <w:sz w:val="20"/>
          <w:szCs w:val="20"/>
          <w:color w:val="auto"/>
        </w:rPr>
      </w:pPr>
      <w:r>
        <w:rPr>
          <w:rFonts w:ascii="Times New Roman" w:cs="Times New Roman" w:eastAsia="Times New Roman" w:hAnsi="Times New Roman"/>
          <w:sz w:val="18"/>
          <w:szCs w:val="18"/>
          <w:color w:val="auto"/>
        </w:rPr>
        <w:t>The Company considers the appraisal or evaluation as the starting point for determining fair value and then considers other factors and events in the environment that may affect the fair value. Appraisals of the collateral underlying collateral-dependent loans are obtained when the loan is determined to be collateral-dependent and subsequently as deemed necessary by the Office of the Chief Credit Officer.</w:t>
      </w:r>
    </w:p>
    <w:p>
      <w:pPr>
        <w:spacing w:after="0" w:line="122" w:lineRule="exact"/>
        <w:rPr>
          <w:sz w:val="20"/>
          <w:szCs w:val="20"/>
          <w:color w:val="auto"/>
        </w:rPr>
      </w:pPr>
    </w:p>
    <w:p>
      <w:pPr>
        <w:ind w:left="180" w:right="180" w:firstLine="486"/>
        <w:spacing w:after="0" w:line="261" w:lineRule="auto"/>
        <w:rPr>
          <w:sz w:val="20"/>
          <w:szCs w:val="20"/>
          <w:color w:val="auto"/>
        </w:rPr>
      </w:pPr>
      <w:r>
        <w:rPr>
          <w:rFonts w:ascii="Times New Roman" w:cs="Times New Roman" w:eastAsia="Times New Roman" w:hAnsi="Times New Roman"/>
          <w:sz w:val="18"/>
          <w:szCs w:val="18"/>
          <w:color w:val="auto"/>
        </w:rPr>
        <w:t>Appraisals are reviewed for accuracy and consistency by the Office of the Chief Credit Officer. Appraisers are selected from the list of approved appraisers maintained by management. The appraised values are reduced by discounts to consider lack of marketability and estimated cost to sell if repayment or satisfaction of the loan is dependent on the sale of the collateral. These discounts and estimates are developed by the Office of the Chief Credit Officer by comparison to historical results.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Foreclosed Assets Held-for-Sale</w:t>
      </w:r>
    </w:p>
    <w:p>
      <w:pPr>
        <w:spacing w:after="0" w:line="173" w:lineRule="exact"/>
        <w:rPr>
          <w:sz w:val="20"/>
          <w:szCs w:val="20"/>
          <w:color w:val="auto"/>
        </w:rPr>
      </w:pPr>
    </w:p>
    <w:p>
      <w:pPr>
        <w:jc w:val="both"/>
        <w:ind w:left="180" w:right="200" w:firstLine="486"/>
        <w:spacing w:after="0" w:line="266" w:lineRule="auto"/>
        <w:rPr>
          <w:sz w:val="20"/>
          <w:szCs w:val="20"/>
          <w:color w:val="auto"/>
        </w:rPr>
      </w:pPr>
      <w:r>
        <w:rPr>
          <w:rFonts w:ascii="Times New Roman" w:cs="Times New Roman" w:eastAsia="Times New Roman" w:hAnsi="Times New Roman"/>
          <w:sz w:val="18"/>
          <w:szCs w:val="18"/>
          <w:color w:val="auto"/>
        </w:rPr>
        <w:t>The estimated fair value of foreclosed assets held-for-sale is based on the appraised fair value of the collateral, less estimated cost to sell and are classified within Level 3 of the fair value hierarchy. The Company considers the appraisal or evaluation as the starting point for determining fair value and then considers other factors and events in the environment that may affect the fair value.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Unobservable (Level 3) Inputs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quantitative information about unobservable inputs used in nonrecurring Level 3 fair value measurements at</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September 30, 2020 and December 31, 2019:</w:t>
      </w:r>
    </w:p>
    <w:p>
      <w:pPr>
        <w:spacing w:after="0" w:line="189"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 Techniques</w:t>
            </w:r>
          </w:p>
        </w:tc>
        <w:tc>
          <w:tcPr>
            <w:tcW w:w="20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20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Range</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08"/>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100" w:type="dxa"/>
            <w:vAlign w:val="bottom"/>
            <w:gridSpan w:val="2"/>
          </w:tcPr>
          <w:p>
            <w:pPr>
              <w:ind w:left="15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Collateral-dependent impaired loans</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36,378</w:t>
            </w:r>
          </w:p>
        </w:tc>
        <w:tc>
          <w:tcPr>
            <w:tcW w:w="204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Market comparable</w:t>
            </w:r>
          </w:p>
        </w:tc>
        <w:tc>
          <w:tcPr>
            <w:tcW w:w="20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Marketability discount</w:t>
            </w:r>
          </w:p>
        </w:tc>
        <w:tc>
          <w:tcPr>
            <w:tcW w:w="202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10% - 15%</w:t>
            </w:r>
          </w:p>
        </w:tc>
        <w:tc>
          <w:tcPr>
            <w:tcW w:w="0" w:type="dxa"/>
            <w:vAlign w:val="bottom"/>
          </w:tcPr>
          <w:p>
            <w:pPr>
              <w:spacing w:after="0"/>
              <w:rPr>
                <w:sz w:val="1"/>
                <w:szCs w:val="1"/>
                <w:color w:val="auto"/>
              </w:rPr>
            </w:pPr>
          </w:p>
        </w:tc>
      </w:tr>
      <w:tr>
        <w:trPr>
          <w:trHeight w:val="229"/>
        </w:trPr>
        <w:tc>
          <w:tcPr>
            <w:tcW w:w="336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properties</w:t>
            </w:r>
          </w:p>
        </w:tc>
        <w:tc>
          <w:tcPr>
            <w:tcW w:w="2060" w:type="dxa"/>
            <w:vAlign w:val="bottom"/>
            <w:vMerge w:val="continue"/>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0" w:type="dxa"/>
            <w:vAlign w:val="bottom"/>
          </w:tcPr>
          <w:p>
            <w:pPr>
              <w:spacing w:after="0"/>
              <w:rPr>
                <w:sz w:val="1"/>
                <w:szCs w:val="1"/>
                <w:color w:val="auto"/>
              </w:rPr>
            </w:pPr>
          </w:p>
        </w:tc>
      </w:tr>
      <w:tr>
        <w:trPr>
          <w:trHeight w:val="176"/>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Foreclosed assets held-for-sale</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2,349</w:t>
            </w:r>
          </w:p>
        </w:tc>
        <w:tc>
          <w:tcPr>
            <w:tcW w:w="2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Market comparable</w:t>
            </w:r>
          </w:p>
        </w:tc>
        <w:tc>
          <w:tcPr>
            <w:tcW w:w="20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Marketability discount</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34"/>
        </w:trPr>
        <w:tc>
          <w:tcPr>
            <w:tcW w:w="33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properties</w:t>
            </w:r>
          </w:p>
        </w:tc>
        <w:tc>
          <w:tcPr>
            <w:tcW w:w="2060" w:type="dxa"/>
            <w:vAlign w:val="bottom"/>
            <w:vMerge w:val="continue"/>
          </w:tcPr>
          <w:p>
            <w:pPr>
              <w:spacing w:after="0"/>
              <w:rPr>
                <w:sz w:val="20"/>
                <w:szCs w:val="20"/>
                <w:color w:val="auto"/>
              </w:rPr>
            </w:pPr>
          </w:p>
        </w:tc>
        <w:tc>
          <w:tcPr>
            <w:tcW w:w="2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 Techniques</w:t>
            </w:r>
          </w:p>
        </w:tc>
        <w:tc>
          <w:tcPr>
            <w:tcW w:w="20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20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Range</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100" w:type="dxa"/>
            <w:vAlign w:val="bottom"/>
            <w:gridSpan w:val="2"/>
          </w:tcPr>
          <w:p>
            <w:pPr>
              <w:ind w:left="15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3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Collateral-dependent impaired loans</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20,889</w:t>
            </w:r>
          </w:p>
        </w:tc>
        <w:tc>
          <w:tcPr>
            <w:tcW w:w="204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Market comparable</w:t>
            </w:r>
          </w:p>
        </w:tc>
        <w:tc>
          <w:tcPr>
            <w:tcW w:w="20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Marketability discount</w:t>
            </w:r>
          </w:p>
        </w:tc>
        <w:tc>
          <w:tcPr>
            <w:tcW w:w="2020" w:type="dxa"/>
            <w:vAlign w:val="bottom"/>
            <w:shd w:val="clear" w:color="auto" w:fill="CCEEFF"/>
          </w:tcPr>
          <w:p>
            <w:pPr>
              <w:jc w:val="right"/>
              <w:ind w:right="550"/>
              <w:spacing w:after="0" w:line="177" w:lineRule="exact"/>
              <w:rPr>
                <w:sz w:val="20"/>
                <w:szCs w:val="20"/>
                <w:color w:val="auto"/>
              </w:rPr>
            </w:pPr>
            <w:r>
              <w:rPr>
                <w:rFonts w:ascii="Times New Roman" w:cs="Times New Roman" w:eastAsia="Times New Roman" w:hAnsi="Times New Roman"/>
                <w:sz w:val="18"/>
                <w:szCs w:val="18"/>
                <w:color w:val="auto"/>
              </w:rPr>
              <w:t>10% - 15%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36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properties</w:t>
            </w:r>
          </w:p>
        </w:tc>
        <w:tc>
          <w:tcPr>
            <w:tcW w:w="2060" w:type="dxa"/>
            <w:vAlign w:val="bottom"/>
            <w:vMerge w:val="continue"/>
            <w:shd w:val="clear" w:color="auto" w:fill="CCEEFF"/>
          </w:tcPr>
          <w:p>
            <w:pPr>
              <w:spacing w:after="0"/>
              <w:rPr>
                <w:sz w:val="19"/>
                <w:szCs w:val="19"/>
                <w:color w:val="auto"/>
              </w:rPr>
            </w:pPr>
          </w:p>
        </w:tc>
        <w:tc>
          <w:tcPr>
            <w:tcW w:w="20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972"/>
        </w:trPr>
        <w:tc>
          <w:tcPr>
            <w:tcW w:w="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40" w:type="dxa"/>
            <w:vAlign w:val="bottom"/>
          </w:tcPr>
          <w:p>
            <w:pPr>
              <w:jc w:val="right"/>
              <w:ind w:right="1352"/>
              <w:spacing w:after="0"/>
              <w:rPr>
                <w:sz w:val="20"/>
                <w:szCs w:val="20"/>
                <w:color w:val="auto"/>
              </w:rPr>
            </w:pPr>
            <w:r>
              <w:rPr>
                <w:rFonts w:ascii="Times New Roman" w:cs="Times New Roman" w:eastAsia="Times New Roman" w:hAnsi="Times New Roman"/>
                <w:sz w:val="18"/>
                <w:szCs w:val="18"/>
                <w:color w:val="auto"/>
              </w:rPr>
              <w:t>34</w:t>
            </w:r>
          </w:p>
        </w:tc>
        <w:tc>
          <w:tcPr>
            <w:tcW w:w="2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4" w:name="page35"/>
    <w:bookmarkEnd w:id="34"/>
    <w:p>
      <w:pPr>
        <w:spacing w:after="0"/>
        <w:tabs>
          <w:tab w:leader="none" w:pos="356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present the estimated fair values of the Company’s financial instruments at September 30, 2020 and December 31, 2019:</w:t>
      </w:r>
    </w:p>
    <w:p>
      <w:pPr>
        <w:spacing w:after="0" w:line="208"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4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23"/>
        </w:trPr>
        <w:tc>
          <w:tcPr>
            <w:tcW w:w="4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8"/>
        </w:trPr>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223,636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223,636</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223,636</w:t>
            </w:r>
          </w:p>
        </w:tc>
      </w:tr>
      <w:tr>
        <w:trPr>
          <w:trHeight w:val="22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652,146</w:t>
            </w:r>
          </w:p>
        </w:tc>
      </w:tr>
      <w:tr>
        <w:trPr>
          <w:trHeight w:val="229"/>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net of allowance for loan losses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4,401,774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4,386,027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4,386,027</w:t>
            </w:r>
          </w:p>
        </w:tc>
      </w:tr>
      <w:tr>
        <w:trPr>
          <w:trHeight w:val="23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equity securities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20,923</w:t>
            </w:r>
          </w:p>
        </w:tc>
      </w:tr>
      <w:tr>
        <w:trPr>
          <w:trHeight w:val="229"/>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receivable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w:t>
            </w:r>
          </w:p>
        </w:tc>
      </w:tr>
      <w:tr>
        <w:trPr>
          <w:trHeight w:val="23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27,873</w:t>
            </w:r>
          </w:p>
        </w:tc>
      </w:tr>
      <w:tr>
        <w:trPr>
          <w:trHeight w:val="223"/>
        </w:trPr>
        <w:tc>
          <w:tcPr>
            <w:tcW w:w="40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5,345,355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223,636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699,022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4,406,950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5,329,608</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4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4,492,549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754,172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3,784,666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4,538,838</w:t>
            </w:r>
          </w:p>
        </w:tc>
      </w:tr>
      <w:tr>
        <w:trPr>
          <w:trHeight w:val="23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funds purchased and repurchase agreements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w:t>
            </w:r>
          </w:p>
        </w:tc>
      </w:tr>
      <w:tr>
        <w:trPr>
          <w:trHeight w:val="229"/>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353,309</w:t>
            </w:r>
          </w:p>
        </w:tc>
      </w:tr>
      <w:tr>
        <w:trPr>
          <w:trHeight w:val="23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borrowings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29"/>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payable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2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27,949</w:t>
            </w:r>
          </w:p>
        </w:tc>
      </w:tr>
      <w:tr>
        <w:trPr>
          <w:trHeight w:val="223"/>
        </w:trPr>
        <w:tc>
          <w:tcPr>
            <w:tcW w:w="40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4,873,631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754,172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399,236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3,784,666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4,938,074</w:t>
            </w:r>
          </w:p>
        </w:tc>
      </w:tr>
      <w:tr>
        <w:trPr>
          <w:trHeight w:val="20"/>
        </w:trPr>
        <w:tc>
          <w:tcPr>
            <w:tcW w:w="4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4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23"/>
        </w:trPr>
        <w:tc>
          <w:tcPr>
            <w:tcW w:w="4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8"/>
        </w:trPr>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187,320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187,320</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187,320</w:t>
            </w:r>
          </w:p>
        </w:tc>
      </w:tr>
      <w:tr>
        <w:trPr>
          <w:trHeight w:val="23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741,634</w:t>
            </w:r>
          </w:p>
        </w:tc>
      </w:tr>
      <w:tr>
        <w:trPr>
          <w:trHeight w:val="230"/>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net of allowance for loan losses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3,795,348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3,810,818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3,810,818</w:t>
            </w:r>
          </w:p>
        </w:tc>
      </w:tr>
      <w:tr>
        <w:trPr>
          <w:trHeight w:val="22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equity securities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17,278</w:t>
            </w:r>
          </w:p>
        </w:tc>
      </w:tr>
      <w:tr>
        <w:trPr>
          <w:trHeight w:val="230"/>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receivable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15,716</w:t>
            </w:r>
          </w:p>
        </w:tc>
      </w:tr>
      <w:tr>
        <w:trPr>
          <w:trHeight w:val="23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w:t>
            </w:r>
          </w:p>
        </w:tc>
      </w:tr>
      <w:tr>
        <w:trPr>
          <w:trHeight w:val="223"/>
        </w:trPr>
        <w:tc>
          <w:tcPr>
            <w:tcW w:w="40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4,767,134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187,320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767,188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3,828,096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4,782,604</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4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3,923,759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521,826</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3,407,012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3,928,838</w:t>
            </w:r>
          </w:p>
        </w:tc>
      </w:tr>
      <w:tr>
        <w:trPr>
          <w:trHeight w:val="23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funds purchased and repurchase agreements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w:t>
            </w:r>
          </w:p>
        </w:tc>
      </w:tr>
      <w:tr>
        <w:trPr>
          <w:trHeight w:val="230"/>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357,859</w:t>
            </w:r>
          </w:p>
        </w:tc>
      </w:tr>
      <w:tr>
        <w:trPr>
          <w:trHeight w:val="23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borrowings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r>
      <w:tr>
        <w:trPr>
          <w:trHeight w:val="229"/>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payable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w:t>
            </w:r>
          </w:p>
        </w:tc>
      </w:tr>
      <w:tr>
        <w:trPr>
          <w:trHeight w:val="23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w:t>
            </w:r>
          </w:p>
        </w:tc>
      </w:tr>
      <w:tr>
        <w:trPr>
          <w:trHeight w:val="223"/>
        </w:trPr>
        <w:tc>
          <w:tcPr>
            <w:tcW w:w="40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4,312,835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521,826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389,418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3,407,012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4,318,256</w:t>
            </w:r>
          </w:p>
        </w:tc>
      </w:tr>
      <w:tr>
        <w:trPr>
          <w:trHeight w:val="20"/>
        </w:trPr>
        <w:tc>
          <w:tcPr>
            <w:tcW w:w="4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75" w:right="339" w:bottom="1440" w:gutter="0" w:footer="0" w:header="0"/>
        </w:sectPr>
      </w:pPr>
    </w:p>
    <w:bookmarkStart w:id="35" w:name="page36"/>
    <w:bookmarkEnd w:id="35"/>
    <w:p>
      <w:pPr>
        <w:ind w:left="20"/>
        <w:spacing w:after="0"/>
        <w:tabs>
          <w:tab w:leader="none" w:pos="3580" w:val="left"/>
        </w:tabs>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 Contents</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Notes to Consolidated Financial Statements (unaudited)</w:t>
      </w:r>
    </w:p>
    <w:p>
      <w:pPr>
        <w:spacing w:after="0" w:line="200" w:lineRule="exact"/>
        <w:rPr>
          <w:sz w:val="20"/>
          <w:szCs w:val="20"/>
          <w:color w:val="auto"/>
        </w:rPr>
      </w:pPr>
    </w:p>
    <w:p>
      <w:pPr>
        <w:spacing w:after="0" w:line="3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Note 13:</w:t>
      </w:r>
      <w:r>
        <w:rPr>
          <w:sz w:val="20"/>
          <w:szCs w:val="20"/>
          <w:color w:val="auto"/>
        </w:rPr>
        <w:tab/>
      </w:r>
      <w:r>
        <w:rPr>
          <w:rFonts w:ascii="Times New Roman" w:cs="Times New Roman" w:eastAsia="Times New Roman" w:hAnsi="Times New Roman"/>
          <w:sz w:val="21"/>
          <w:szCs w:val="21"/>
          <w:b w:val="1"/>
          <w:bCs w:val="1"/>
          <w:color w:val="auto"/>
        </w:rPr>
        <w:t>Commitments and Credit Risk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Commitments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the following commitments at September 30, 2020 and December 31, 2019:</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3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gridSpan w:val="4"/>
          </w:tcPr>
          <w:p>
            <w:pPr>
              <w:jc w:val="right"/>
              <w:ind w:right="167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23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originate loans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188,347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134,652</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39,035</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Lines of credit</w:t>
            </w:r>
          </w:p>
        </w:tc>
        <w:tc>
          <w:tcPr>
            <w:tcW w:w="2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1,351,873</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lease commitments</w:t>
            </w:r>
          </w:p>
        </w:tc>
        <w:tc>
          <w:tcPr>
            <w:tcW w:w="280" w:type="dxa"/>
            <w:vAlign w:val="bottom"/>
          </w:tcPr>
          <w:p>
            <w:pPr>
              <w:spacing w:after="0"/>
              <w:rPr>
                <w:sz w:val="19"/>
                <w:szCs w:val="19"/>
                <w:color w:val="auto"/>
              </w:rPr>
            </w:pPr>
          </w:p>
        </w:tc>
        <w:tc>
          <w:tcPr>
            <w:tcW w:w="2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20,935</w:t>
            </w:r>
          </w:p>
        </w:tc>
      </w:tr>
      <w:tr>
        <w:trPr>
          <w:trHeight w:val="248"/>
        </w:trPr>
        <w:tc>
          <w:tcPr>
            <w:tcW w:w="6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1,546,495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Note 14:</w:t>
      </w:r>
      <w:r>
        <w:rPr>
          <w:sz w:val="20"/>
          <w:szCs w:val="20"/>
          <w:color w:val="auto"/>
        </w:rPr>
        <w:tab/>
      </w:r>
      <w:r>
        <w:rPr>
          <w:rFonts w:ascii="Times New Roman" w:cs="Times New Roman" w:eastAsia="Times New Roman" w:hAnsi="Times New Roman"/>
          <w:sz w:val="21"/>
          <w:szCs w:val="21"/>
          <w:b w:val="1"/>
          <w:bCs w:val="1"/>
          <w:color w:val="auto"/>
        </w:rPr>
        <w:t>Legal and Regulatory Proceedings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General Litigation</w:t>
      </w:r>
    </w:p>
    <w:p>
      <w:pPr>
        <w:spacing w:after="0" w:line="166" w:lineRule="exact"/>
        <w:rPr>
          <w:sz w:val="20"/>
          <w:szCs w:val="20"/>
          <w:color w:val="auto"/>
        </w:rPr>
      </w:pPr>
    </w:p>
    <w:p>
      <w:pPr>
        <w:ind w:left="180" w:right="380" w:firstLine="486"/>
        <w:spacing w:after="0" w:line="266" w:lineRule="auto"/>
        <w:rPr>
          <w:sz w:val="20"/>
          <w:szCs w:val="20"/>
          <w:color w:val="auto"/>
        </w:rPr>
      </w:pPr>
      <w:r>
        <w:rPr>
          <w:rFonts w:ascii="Times New Roman" w:cs="Times New Roman" w:eastAsia="Times New Roman" w:hAnsi="Times New Roman"/>
          <w:sz w:val="18"/>
          <w:szCs w:val="18"/>
          <w:color w:val="auto"/>
        </w:rPr>
        <w:t>The Company is subject to claims and lawsuits that arise primarily in the ordinary course of business. It is the opinion of management the disposition or ultimate resolution of such claims and lawsuits will not have a material adverse effect on the consolidated financial position, results of operations and cash flows of the Company.</w:t>
      </w:r>
    </w:p>
    <w:p>
      <w:pPr>
        <w:spacing w:after="0" w:line="36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Note 15:</w:t>
      </w:r>
      <w:r>
        <w:rPr>
          <w:sz w:val="20"/>
          <w:szCs w:val="20"/>
          <w:color w:val="auto"/>
        </w:rPr>
        <w:tab/>
      </w:r>
      <w:r>
        <w:rPr>
          <w:rFonts w:ascii="Times New Roman" w:cs="Times New Roman" w:eastAsia="Times New Roman" w:hAnsi="Times New Roman"/>
          <w:sz w:val="21"/>
          <w:szCs w:val="21"/>
          <w:b w:val="1"/>
          <w:bCs w:val="1"/>
          <w:color w:val="auto"/>
        </w:rPr>
        <w:t>Subsequent Events</w:t>
      </w:r>
    </w:p>
    <w:p>
      <w:pPr>
        <w:spacing w:after="0" w:line="165" w:lineRule="exact"/>
        <w:rPr>
          <w:sz w:val="20"/>
          <w:szCs w:val="20"/>
          <w:color w:val="auto"/>
        </w:rPr>
      </w:pPr>
    </w:p>
    <w:p>
      <w:pPr>
        <w:ind w:left="180" w:right="640" w:firstLine="486"/>
        <w:spacing w:after="0" w:line="282" w:lineRule="auto"/>
        <w:rPr>
          <w:sz w:val="20"/>
          <w:szCs w:val="20"/>
          <w:color w:val="auto"/>
        </w:rPr>
      </w:pPr>
      <w:r>
        <w:rPr>
          <w:rFonts w:ascii="Times New Roman" w:cs="Times New Roman" w:eastAsia="Times New Roman" w:hAnsi="Times New Roman"/>
          <w:sz w:val="18"/>
          <w:szCs w:val="18"/>
          <w:color w:val="auto"/>
        </w:rPr>
        <w:t>On October 20, 2020, the Company announced that its Board of Directors adopted a new stock repurchase program. Under the repurchase program, the Company may repurchase Company common stock with up to $20 million in value.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80"/>
        <w:spacing w:after="0" w:line="271" w:lineRule="auto"/>
        <w:rPr>
          <w:sz w:val="20"/>
          <w:szCs w:val="20"/>
          <w:color w:val="auto"/>
        </w:rPr>
      </w:pPr>
      <w:r>
        <w:rPr>
          <w:rFonts w:ascii="Times New Roman" w:cs="Times New Roman" w:eastAsia="Times New Roman" w:hAnsi="Times New Roman"/>
          <w:sz w:val="22"/>
          <w:szCs w:val="22"/>
          <w:color w:val="auto"/>
        </w:rPr>
        <w:t>ITEM 2. MANAGEMENT’S DISCUSSION AND ANALYSIS OF FINANCIAL CONDITION AND RESULTS OF OPERATIONS</w:t>
      </w:r>
    </w:p>
    <w:p>
      <w:pPr>
        <w:spacing w:after="0" w:line="99" w:lineRule="exact"/>
        <w:rPr>
          <w:sz w:val="20"/>
          <w:szCs w:val="20"/>
          <w:color w:val="auto"/>
        </w:rPr>
      </w:pPr>
    </w:p>
    <w:p>
      <w:pPr>
        <w:ind w:left="180" w:right="40" w:firstLine="486"/>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consolidated financial statements and related notes and with the statistical information and financial data appearing in this report as well as in the Company’s Annual Report on Form 10-K for the fiscal year ended December 31, 2019 filed with the Securities and Exchange Commission (“SEC”) on March 10, 2020 (the “2019 Form 10-K”). Results of operations for the three and nine month periods ended September 30, 2020 are not necessarily indicative of results to be attained for any other period. Certain statements in this report contain forward-looking statements regarding our future plans, objectives, beliefs, expectations, representations and projections. See "Forward-Looking Information" which is incorporated herein by reference. Actual results could differ materially from the anticipated results and other expectations expressed in our forward-looking statements as a result of a number of factors, including but not limited to those discussed in Item 1A – "Risk Factors" in the 2019 Form 10-K, as supplemented by Item 1A – "Risk Factors" in this report.</w:t>
      </w:r>
    </w:p>
    <w:p>
      <w:pPr>
        <w:spacing w:after="0" w:line="138" w:lineRule="exact"/>
        <w:rPr>
          <w:sz w:val="20"/>
          <w:szCs w:val="20"/>
          <w:color w:val="auto"/>
        </w:rPr>
      </w:pPr>
    </w:p>
    <w:p>
      <w:pPr>
        <w:ind w:left="180" w:right="20" w:firstLine="486"/>
        <w:spacing w:after="0" w:line="266" w:lineRule="auto"/>
        <w:rPr>
          <w:sz w:val="20"/>
          <w:szCs w:val="20"/>
          <w:color w:val="auto"/>
        </w:rPr>
      </w:pPr>
      <w:r>
        <w:rPr>
          <w:rFonts w:ascii="Times New Roman" w:cs="Times New Roman" w:eastAsia="Times New Roman" w:hAnsi="Times New Roman"/>
          <w:sz w:val="18"/>
          <w:szCs w:val="18"/>
          <w:color w:val="auto"/>
        </w:rPr>
        <w:t>Unless we state otherwise or the context otherwise requires, references in the below section to “we,” “our,” “us,” “ourselves,” “our company,” and the “Company” refer to CrossFirst Bankshares, Inc., and its consolidated subsidiaries. References to “CrossFirst Bank” and the “Bank” refer to CrossFirst Bank, our wholly-owned consolidated bank subsidiary.</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Third Quarter 2020 Highlights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third quarter ended September 30, 2020, we accomplished the following:</w:t>
      </w:r>
    </w:p>
    <w:p>
      <w:pPr>
        <w:spacing w:after="0" w:line="171"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billion of assets, an increase of 12% from December 31, 2019;</w:t>
      </w:r>
    </w:p>
    <w:p>
      <w:pPr>
        <w:spacing w:after="0" w:line="171"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Efficiency ratio of 53% for the third quarter of 2020 as we optimized staffing levels, invested in technology and controlled discretionary spending;</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million of loan growth from the previous quarter and $854 million or 23% over the last twelve months;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million of deposit growth from the previous quarter and $834 million or 23% over the last twelve months;</w:t>
      </w:r>
    </w:p>
    <w:p>
      <w:pPr>
        <w:spacing w:after="0" w:line="171" w:lineRule="exact"/>
        <w:rPr>
          <w:rFonts w:ascii="Times New Roman" w:cs="Times New Roman" w:eastAsia="Times New Roman" w:hAnsi="Times New Roman"/>
          <w:sz w:val="18"/>
          <w:szCs w:val="18"/>
          <w:color w:val="auto"/>
        </w:rPr>
      </w:pPr>
    </w:p>
    <w:p>
      <w:pPr>
        <w:ind w:left="1300" w:right="60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our second full-service bank in the Dallas metropolitan area and moved the Kansas City team into its new location on the Country Club Plaza, in the heart of Kansas City;</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share of $11.84 at September 30, 2020 compared to $11.59 at September 30, 2019;</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 $20 million common stock buyback program.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Update on the COVID-19 Global Pandemic (“COVID-19”) Impact</w:t>
      </w:r>
    </w:p>
    <w:p>
      <w:pPr>
        <w:spacing w:after="0" w:line="165" w:lineRule="exact"/>
        <w:rPr>
          <w:sz w:val="20"/>
          <w:szCs w:val="20"/>
          <w:color w:val="auto"/>
        </w:rPr>
      </w:pPr>
    </w:p>
    <w:p>
      <w:pPr>
        <w:ind w:left="180" w:right="300" w:firstLine="486"/>
        <w:spacing w:after="0" w:line="266" w:lineRule="auto"/>
        <w:rPr>
          <w:sz w:val="20"/>
          <w:szCs w:val="20"/>
          <w:color w:val="auto"/>
        </w:rPr>
      </w:pPr>
      <w:r>
        <w:rPr>
          <w:rFonts w:ascii="Times New Roman" w:cs="Times New Roman" w:eastAsia="Times New Roman" w:hAnsi="Times New Roman"/>
          <w:sz w:val="18"/>
          <w:szCs w:val="18"/>
          <w:color w:val="auto"/>
        </w:rPr>
        <w:t>The COVID-19 pandemic has caused, and is expected to continue to cause, economic uncertainty and a disruption to the financial markets, the duration and extent of which is not currently known. A discussion of the impact of the COVID-19 pandemic on the Company and its operations and measures undertaken by the Company in response thereto is provided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Bank Operations</w:t>
      </w:r>
    </w:p>
    <w:p>
      <w:pPr>
        <w:spacing w:after="0" w:line="166" w:lineRule="exact"/>
        <w:rPr>
          <w:sz w:val="20"/>
          <w:szCs w:val="20"/>
          <w:color w:val="auto"/>
        </w:rPr>
      </w:pPr>
    </w:p>
    <w:p>
      <w:pPr>
        <w:ind w:left="180" w:firstLine="486"/>
        <w:spacing w:after="0" w:line="266" w:lineRule="auto"/>
        <w:rPr>
          <w:sz w:val="20"/>
          <w:szCs w:val="20"/>
          <w:color w:val="auto"/>
        </w:rPr>
      </w:pPr>
      <w:r>
        <w:rPr>
          <w:rFonts w:ascii="Times New Roman" w:cs="Times New Roman" w:eastAsia="Times New Roman" w:hAnsi="Times New Roman"/>
          <w:sz w:val="18"/>
          <w:szCs w:val="18"/>
          <w:color w:val="auto"/>
        </w:rPr>
        <w:t>The Company implemented its business continuity procedures in March 2020 as a result of the COVID-19 pandemic. As of September 30, 2020, team members continued to work in the office as needed to limit exposure risk to our employees and customers. No material interruptions to our business operations have occurred to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Paycheck Protection Program (“PPP”) Lending Facility and Loans</w:t>
      </w:r>
    </w:p>
    <w:p>
      <w:pPr>
        <w:spacing w:after="0" w:line="166" w:lineRule="exact"/>
        <w:rPr>
          <w:sz w:val="20"/>
          <w:szCs w:val="20"/>
          <w:color w:val="auto"/>
        </w:rPr>
      </w:pPr>
    </w:p>
    <w:p>
      <w:pPr>
        <w:ind w:left="180" w:right="40" w:firstLine="486"/>
        <w:spacing w:after="0" w:line="258" w:lineRule="auto"/>
        <w:rPr>
          <w:sz w:val="20"/>
          <w:szCs w:val="20"/>
          <w:color w:val="auto"/>
        </w:rPr>
      </w:pPr>
      <w:r>
        <w:rPr>
          <w:rFonts w:ascii="Times New Roman" w:cs="Times New Roman" w:eastAsia="Times New Roman" w:hAnsi="Times New Roman"/>
          <w:sz w:val="18"/>
          <w:szCs w:val="18"/>
          <w:color w:val="auto"/>
        </w:rPr>
        <w:t>The PPP was established by the CARES Act and authorized forgivable loans to small businesses. The Bank provided PPP loans to support current customers and foster relationships with new customers. The loans earn interest at 1%, include fees between 1% and 5% and typically mature in two years. The loans originated under the PPP received a 0% risk weight under the regulatory capital rules which resulted in increased Common Equity Tier 1, Tier 1, and Tier 2 capital ratios, but the PPP loans are included in the calculation of our Leverage ratio. The following table summarizes the impact of the PPP loans on our financials:</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30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As of or For the Period Ended September 30, 2020</w:t>
            </w: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1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6"/>
        </w:trPr>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440" w:type="dxa"/>
            <w:vAlign w:val="bottom"/>
          </w:tcPr>
          <w:p>
            <w:pPr>
              <w:spacing w:after="0"/>
              <w:rPr>
                <w:sz w:val="20"/>
                <w:szCs w:val="20"/>
                <w:color w:val="auto"/>
              </w:rPr>
            </w:pPr>
          </w:p>
        </w:tc>
        <w:tc>
          <w:tcPr>
            <w:tcW w:w="208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Total Origination Fees</w:t>
            </w:r>
          </w:p>
        </w:tc>
        <w:tc>
          <w:tcPr>
            <w:tcW w:w="340" w:type="dxa"/>
            <w:vAlign w:val="bottom"/>
          </w:tcPr>
          <w:p>
            <w:pPr>
              <w:spacing w:after="0"/>
              <w:rPr>
                <w:sz w:val="20"/>
                <w:szCs w:val="20"/>
                <w:color w:val="auto"/>
              </w:rPr>
            </w:pP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Earned Fees</w:t>
            </w:r>
          </w:p>
        </w:tc>
        <w:tc>
          <w:tcPr>
            <w:tcW w:w="32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Unearned Fees</w:t>
            </w:r>
          </w:p>
        </w:tc>
      </w:tr>
      <w:tr>
        <w:trPr>
          <w:trHeight w:val="27"/>
        </w:trPr>
        <w:tc>
          <w:tcPr>
            <w:tcW w:w="1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7"/>
        </w:trPr>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gridSpan w:val="2"/>
          </w:tcPr>
          <w:p>
            <w:pPr>
              <w:jc w:val="center"/>
              <w:ind w:left="553"/>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3"/>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PPP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369,260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9,946</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3,172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w:t>
            </w:r>
          </w:p>
        </w:tc>
      </w:tr>
      <w:tr>
        <w:trPr>
          <w:trHeight w:val="27"/>
        </w:trPr>
        <w:tc>
          <w:tcPr>
            <w:tcW w:w="1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Loan Modifications</w:t>
      </w:r>
    </w:p>
    <w:p>
      <w:pPr>
        <w:spacing w:after="0" w:line="166" w:lineRule="exact"/>
        <w:rPr>
          <w:sz w:val="20"/>
          <w:szCs w:val="20"/>
          <w:color w:val="auto"/>
        </w:rPr>
      </w:pPr>
    </w:p>
    <w:p>
      <w:pPr>
        <w:ind w:left="180" w:right="20" w:firstLine="486"/>
        <w:spacing w:after="0" w:line="261" w:lineRule="auto"/>
        <w:rPr>
          <w:sz w:val="20"/>
          <w:szCs w:val="20"/>
          <w:color w:val="auto"/>
        </w:rPr>
      </w:pPr>
      <w:r>
        <w:rPr>
          <w:rFonts w:ascii="Times New Roman" w:cs="Times New Roman" w:eastAsia="Times New Roman" w:hAnsi="Times New Roman"/>
          <w:sz w:val="18"/>
          <w:szCs w:val="18"/>
          <w:color w:val="auto"/>
        </w:rPr>
        <w:t>The CARES Act allows financial institutions to elect to suspend GAAP principles and regulatory determinations for loan modifications relating to COVID-19 that would otherwise be categorized as TDRs from March 1, 2020 to the earlier of December 31, 2020 or 60 days after the national emergency related to the COVID-19 pandemic ends as long as the loan was not more than 30 days past due as of December 31, 2019. The Company elected to use this guidance.</w:t>
      </w:r>
    </w:p>
    <w:p>
      <w:pPr>
        <w:spacing w:after="0" w:line="126" w:lineRule="exact"/>
        <w:rPr>
          <w:sz w:val="20"/>
          <w:szCs w:val="20"/>
          <w:color w:val="auto"/>
        </w:rPr>
      </w:pPr>
    </w:p>
    <w:p>
      <w:pPr>
        <w:ind w:left="180" w:firstLine="486"/>
        <w:spacing w:after="0" w:line="261" w:lineRule="auto"/>
        <w:rPr>
          <w:sz w:val="20"/>
          <w:szCs w:val="20"/>
          <w:color w:val="auto"/>
        </w:rPr>
      </w:pPr>
      <w:r>
        <w:rPr>
          <w:rFonts w:ascii="Times New Roman" w:cs="Times New Roman" w:eastAsia="Times New Roman" w:hAnsi="Times New Roman"/>
          <w:sz w:val="18"/>
          <w:szCs w:val="18"/>
          <w:color w:val="auto"/>
        </w:rPr>
        <w:t>Deferred loan interest accrues on loans modified as a result of the COVID-19 pandemic until determined that it is more likely than not that we will be unable to collect the accrued interest balance. After the deferral period, the modified loan terms require all accrued interest to be paid or capitalized and amortized over the original loan term. The Company may provide an additional deferral period to customers on an as needed basis. Information regarding all loan modifications outstanding at September 30, 2020 is provided below:</w:t>
      </w:r>
    </w:p>
    <w:p>
      <w:pPr>
        <w:spacing w:after="0" w:line="17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Total Loan Modifications by Category Impacted by the COVID-19 Pandemic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63779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77940" cy="8255"/>
                    </a:xfrm>
                    <a:prstGeom prst="rect">
                      <a:avLst/>
                    </a:prstGeom>
                    <a:noFill/>
                  </pic:spPr>
                </pic:pic>
              </a:graphicData>
            </a:graphic>
          </wp:anchor>
        </w:drawing>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 Loans</w:t>
            </w:r>
          </w:p>
        </w:tc>
        <w:tc>
          <w:tcPr>
            <w:tcW w:w="180" w:type="dxa"/>
            <w:vAlign w:val="bottom"/>
          </w:tcPr>
          <w:p>
            <w:pPr>
              <w:spacing w:after="0"/>
              <w:rPr>
                <w:sz w:val="20"/>
                <w:szCs w:val="20"/>
                <w:color w:val="auto"/>
              </w:rPr>
            </w:pPr>
          </w:p>
        </w:tc>
        <w:tc>
          <w:tcPr>
            <w:tcW w:w="150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Value of Loans</w:t>
            </w:r>
          </w:p>
        </w:tc>
        <w:tc>
          <w:tcPr>
            <w:tcW w:w="34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 of Gross Loans in Category</w:t>
            </w:r>
          </w:p>
        </w:tc>
      </w:tr>
      <w:tr>
        <w:trPr>
          <w:trHeight w:val="27"/>
        </w:trPr>
        <w:tc>
          <w:tcPr>
            <w:tcW w:w="29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gridSpan w:val="2"/>
          </w:tcPr>
          <w:p>
            <w:pPr>
              <w:spacing w:after="0"/>
              <w:rPr>
                <w:sz w:val="2"/>
                <w:szCs w:val="2"/>
                <w:color w:val="auto"/>
              </w:rPr>
            </w:pPr>
          </w:p>
        </w:tc>
      </w:tr>
      <w:tr>
        <w:trPr>
          <w:trHeight w:val="227"/>
        </w:trPr>
        <w:tc>
          <w:tcPr>
            <w:tcW w:w="29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00" w:type="dxa"/>
            <w:vAlign w:val="bottom"/>
            <w:gridSpan w:val="2"/>
          </w:tcPr>
          <w:p>
            <w:pPr>
              <w:jc w:val="right"/>
              <w:ind w:right="271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26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73,894</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34,683</w:t>
            </w:r>
          </w:p>
        </w:tc>
        <w:tc>
          <w:tcPr>
            <w:tcW w:w="3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2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176,096</w:t>
            </w:r>
          </w:p>
        </w:tc>
        <w:tc>
          <w:tcPr>
            <w:tcW w:w="3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14,899</w:t>
            </w:r>
          </w:p>
        </w:tc>
        <w:tc>
          <w:tcPr>
            <w:tcW w:w="3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2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3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64"/>
        </w:trPr>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Loan Modifications</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317,700</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0"/>
        </w:trPr>
        <w:tc>
          <w:tcPr>
            <w:tcW w:w="29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bl>
    <w:p>
      <w:pPr>
        <w:spacing w:after="0" w:line="1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Total Loan Modifications by Type of Modification Impacted by the COVID-19 Pandemic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63779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77940" cy="8890"/>
                    </a:xfrm>
                    <a:prstGeom prst="rect">
                      <a:avLst/>
                    </a:prstGeom>
                    <a:noFill/>
                  </pic:spPr>
                </pic:pic>
              </a:graphicData>
            </a:graphic>
          </wp:anchor>
        </w:drawing>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20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Number of Loans</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Value of Loans</w:t>
            </w:r>
          </w:p>
        </w:tc>
      </w:tr>
      <w:tr>
        <w:trPr>
          <w:trHeight w:val="27"/>
        </w:trPr>
        <w:tc>
          <w:tcPr>
            <w:tcW w:w="45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0"/>
        </w:trPr>
        <w:tc>
          <w:tcPr>
            <w:tcW w:w="4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40" w:type="dxa"/>
            <w:vAlign w:val="bottom"/>
          </w:tcPr>
          <w:p>
            <w:pPr>
              <w:spacing w:after="0"/>
              <w:rPr>
                <w:sz w:val="20"/>
                <w:szCs w:val="20"/>
                <w:color w:val="auto"/>
              </w:rPr>
            </w:pPr>
          </w:p>
        </w:tc>
      </w:tr>
      <w:tr>
        <w:trPr>
          <w:trHeight w:val="26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deferral</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97,692</w:t>
            </w:r>
          </w:p>
        </w:tc>
      </w:tr>
      <w:tr>
        <w:trPr>
          <w:trHeight w:val="24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Interest-only payments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135,765</w:t>
            </w:r>
          </w:p>
        </w:tc>
      </w:tr>
      <w:tr>
        <w:trPr>
          <w:trHeight w:val="27"/>
        </w:trPr>
        <w:tc>
          <w:tcPr>
            <w:tcW w:w="4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(multiple modifications, change in rate and/or payment)</w:t>
            </w:r>
          </w:p>
        </w:tc>
        <w:tc>
          <w:tcPr>
            <w:tcW w:w="2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84,243</w:t>
            </w:r>
          </w:p>
        </w:tc>
      </w:tr>
      <w:tr>
        <w:trPr>
          <w:trHeight w:val="263"/>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Loan Modifications</w:t>
            </w:r>
          </w:p>
        </w:tc>
        <w:tc>
          <w:tcPr>
            <w:tcW w:w="20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317,700</w:t>
            </w:r>
          </w:p>
        </w:tc>
      </w:tr>
      <w:tr>
        <w:trPr>
          <w:trHeight w:val="20"/>
        </w:trPr>
        <w:tc>
          <w:tcPr>
            <w:tcW w:w="45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180" w:right="60" w:firstLine="486"/>
        <w:spacing w:after="0" w:line="256" w:lineRule="auto"/>
        <w:rPr>
          <w:sz w:val="20"/>
          <w:szCs w:val="20"/>
          <w:color w:val="auto"/>
        </w:rPr>
      </w:pPr>
      <w:r>
        <w:rPr>
          <w:rFonts w:ascii="Times New Roman" w:cs="Times New Roman" w:eastAsia="Times New Roman" w:hAnsi="Times New Roman"/>
          <w:sz w:val="18"/>
          <w:szCs w:val="18"/>
          <w:color w:val="auto"/>
        </w:rPr>
        <w:t>During the third quarter of 2020, the Company assessed and approved a second round of modifications. These modifications were based on a customer’s business condition, evaluation of near and long term recovery potential and level of support from the owners and guarantors. The Company expects modified loans to recover from the pandemic, but uncertainty regarding the short-term and long-term effects of the COVID-19 pandemic remain that may require the Company to (i) downgrade modified loans that may increase our ALLL, (ii) reverse interest income previously recognized but not received, and (iii) charge-off modified loans. Information regarding loans that received a second modification as of September 30, 2020 is provided below:</w:t>
      </w:r>
    </w:p>
    <w:p>
      <w:pPr>
        <w:spacing w:after="0" w:line="18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Second Loan Modifications by Category Impacted by the COVID-19 Pandemic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63779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77940" cy="8255"/>
                    </a:xfrm>
                    <a:prstGeom prst="rect">
                      <a:avLst/>
                    </a:prstGeom>
                    <a:noFill/>
                  </pic:spPr>
                </pic:pic>
              </a:graphicData>
            </a:graphic>
          </wp:anchor>
        </w:drawing>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Number of Loans</w:t>
            </w:r>
          </w:p>
        </w:tc>
        <w:tc>
          <w:tcPr>
            <w:tcW w:w="180" w:type="dxa"/>
            <w:vAlign w:val="bottom"/>
          </w:tcPr>
          <w:p>
            <w:pPr>
              <w:spacing w:after="0"/>
              <w:rPr>
                <w:sz w:val="20"/>
                <w:szCs w:val="20"/>
                <w:color w:val="auto"/>
              </w:rPr>
            </w:pPr>
          </w:p>
        </w:tc>
        <w:tc>
          <w:tcPr>
            <w:tcW w:w="150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Value of Loans</w:t>
            </w:r>
          </w:p>
        </w:tc>
        <w:tc>
          <w:tcPr>
            <w:tcW w:w="3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 of Gross Loans in Category</w:t>
            </w:r>
          </w:p>
        </w:tc>
      </w:tr>
      <w:tr>
        <w:trPr>
          <w:trHeight w:val="27"/>
        </w:trPr>
        <w:tc>
          <w:tcPr>
            <w:tcW w:w="29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gridSpan w:val="2"/>
          </w:tcPr>
          <w:p>
            <w:pPr>
              <w:spacing w:after="0"/>
              <w:rPr>
                <w:sz w:val="2"/>
                <w:szCs w:val="2"/>
                <w:color w:val="auto"/>
              </w:rPr>
            </w:pPr>
          </w:p>
        </w:tc>
      </w:tr>
      <w:tr>
        <w:trPr>
          <w:trHeight w:val="227"/>
        </w:trPr>
        <w:tc>
          <w:tcPr>
            <w:tcW w:w="29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00" w:type="dxa"/>
            <w:vAlign w:val="bottom"/>
            <w:gridSpan w:val="2"/>
          </w:tcPr>
          <w:p>
            <w:pPr>
              <w:jc w:val="right"/>
              <w:ind w:right="271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26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Recreation (subcategory)</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3400" w:type="dxa"/>
            <w:vAlign w:val="bottom"/>
            <w:tcBorders>
              <w:bottom w:val="single" w:sz="8" w:color="CCEEFF"/>
            </w:tcBorders>
            <w:shd w:val="clear" w:color="auto" w:fill="CCEEFF"/>
          </w:tcPr>
          <w:p>
            <w:pPr>
              <w:spacing w:after="0"/>
              <w:rPr>
                <w:sz w:val="22"/>
                <w:szCs w:val="22"/>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Restaurants (subcategory)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340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(subcategory)</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3400" w:type="dxa"/>
            <w:vAlign w:val="bottom"/>
            <w:tcBorders>
              <w:bottom w:val="single" w:sz="8" w:color="CCEEFF"/>
            </w:tcBorders>
            <w:shd w:val="clear" w:color="auto" w:fill="CCEEFF"/>
          </w:tcPr>
          <w:p>
            <w:pPr>
              <w:spacing w:after="0"/>
              <w:rPr>
                <w:sz w:val="23"/>
                <w:szCs w:val="23"/>
                <w:color w:val="auto"/>
              </w:rPr>
            </w:pPr>
          </w:p>
        </w:tc>
      </w:tr>
      <w:tr>
        <w:trPr>
          <w:trHeight w:val="237"/>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Commercial</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29,048</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r>
      <w:tr>
        <w:trPr>
          <w:trHeight w:val="27"/>
        </w:trPr>
        <w:tc>
          <w:tcPr>
            <w:tcW w:w="2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 and Lodging (subcategory)</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53,928</w:t>
            </w:r>
          </w:p>
        </w:tc>
        <w:tc>
          <w:tcPr>
            <w:tcW w:w="3400" w:type="dxa"/>
            <w:vAlign w:val="bottom"/>
            <w:tcBorders>
              <w:bottom w:val="single" w:sz="8" w:color="CCEEFF"/>
            </w:tcBorders>
            <w:shd w:val="clear" w:color="auto" w:fill="CCEEFF"/>
          </w:tcPr>
          <w:p>
            <w:pPr>
              <w:spacing w:after="0"/>
              <w:rPr>
                <w:sz w:val="21"/>
                <w:szCs w:val="21"/>
                <w:color w:val="auto"/>
              </w:rPr>
            </w:pPr>
          </w:p>
        </w:tc>
      </w:tr>
      <w:tr>
        <w:trPr>
          <w:trHeight w:val="225"/>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and Senior Living</w:t>
            </w:r>
          </w:p>
        </w:tc>
        <w:tc>
          <w:tcPr>
            <w:tcW w:w="1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23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(subcategory)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18,612</w:t>
            </w:r>
          </w:p>
        </w:tc>
        <w:tc>
          <w:tcPr>
            <w:tcW w:w="340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Owner Occupied (subcategory)</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3400" w:type="dxa"/>
            <w:vAlign w:val="bottom"/>
            <w:tcBorders>
              <w:bottom w:val="single" w:sz="8" w:color="CCEEFF"/>
            </w:tcBorders>
            <w:shd w:val="clear" w:color="auto" w:fill="CCEEFF"/>
          </w:tcPr>
          <w:p>
            <w:pPr>
              <w:spacing w:after="0"/>
              <w:rPr>
                <w:sz w:val="23"/>
                <w:szCs w:val="23"/>
                <w:color w:val="auto"/>
              </w:rPr>
            </w:pPr>
          </w:p>
        </w:tc>
      </w:tr>
      <w:tr>
        <w:trPr>
          <w:trHeight w:val="236"/>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Commercial Real Estate</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84,402</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r>
      <w:tr>
        <w:trPr>
          <w:trHeight w:val="27"/>
        </w:trPr>
        <w:tc>
          <w:tcPr>
            <w:tcW w:w="2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Energy</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43"/>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Residential Real Estate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17,220</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r>
      <w:tr>
        <w:trPr>
          <w:trHeight w:val="27"/>
        </w:trPr>
        <w:tc>
          <w:tcPr>
            <w:tcW w:w="29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r>
      <w:tr>
        <w:trPr>
          <w:trHeight w:val="289"/>
        </w:trPr>
        <w:tc>
          <w:tcPr>
            <w:tcW w:w="2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Second Loan Modifications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3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132,529</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Loan Portfolio and Credit Quality</w:t>
      </w:r>
    </w:p>
    <w:p>
      <w:pPr>
        <w:spacing w:after="0" w:line="166" w:lineRule="exact"/>
        <w:rPr>
          <w:sz w:val="20"/>
          <w:szCs w:val="20"/>
          <w:color w:val="auto"/>
        </w:rPr>
      </w:pPr>
    </w:p>
    <w:p>
      <w:pPr>
        <w:ind w:left="180" w:right="40" w:firstLine="486"/>
        <w:spacing w:after="0" w:line="289" w:lineRule="auto"/>
        <w:rPr>
          <w:sz w:val="20"/>
          <w:szCs w:val="20"/>
          <w:color w:val="auto"/>
        </w:rPr>
      </w:pPr>
      <w:r>
        <w:rPr>
          <w:rFonts w:ascii="Times New Roman" w:cs="Times New Roman" w:eastAsia="Times New Roman" w:hAnsi="Times New Roman"/>
          <w:sz w:val="17"/>
          <w:szCs w:val="17"/>
          <w:color w:val="auto"/>
        </w:rPr>
        <w:t>The COVID-19 pandemic impacted our borrowers resulting in credit migration and increased provisions. As a result of the COVID-19 pandemic, the Company plans to moderate loan growth to focus on current customers, implement floors on loans and monitor unfunded credit lines. Listed below are categories in our loan portfolio that have been or may be significantly impacted by the COVID-19 pandemic, resulting in increased monitoring.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Energy Loans</w:t>
      </w:r>
    </w:p>
    <w:p>
      <w:pPr>
        <w:spacing w:after="0" w:line="173" w:lineRule="exact"/>
        <w:rPr>
          <w:sz w:val="20"/>
          <w:szCs w:val="20"/>
          <w:color w:val="auto"/>
        </w:rPr>
      </w:pPr>
    </w:p>
    <w:p>
      <w:pPr>
        <w:ind w:left="180" w:right="60" w:firstLine="486"/>
        <w:spacing w:after="0" w:line="261" w:lineRule="auto"/>
        <w:rPr>
          <w:sz w:val="20"/>
          <w:szCs w:val="20"/>
          <w:color w:val="auto"/>
        </w:rPr>
      </w:pPr>
      <w:r>
        <w:rPr>
          <w:rFonts w:ascii="Times New Roman" w:cs="Times New Roman" w:eastAsia="Times New Roman" w:hAnsi="Times New Roman"/>
          <w:sz w:val="18"/>
          <w:szCs w:val="18"/>
          <w:color w:val="auto"/>
        </w:rPr>
        <w:t>Energy loans were comprised of 64% predominately oil backed loans and 36% predominately natural gas backed loans. Our customer base has significant experience in the energy sector and the Company has an experienced group of energy lenders and credit officers that are proactively monitoring the portfolio. 70% of the energy portfolio has been downgraded since December 31, 2019, resulting in a $14 million or 263% increase in the energy ALLL balance at September 30, 2020. We plan to support our current customers and decrease our overall energy exposure.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Real Estate Loans</w:t>
      </w:r>
    </w:p>
    <w:p>
      <w:pPr>
        <w:spacing w:after="0" w:line="173" w:lineRule="exact"/>
        <w:rPr>
          <w:sz w:val="20"/>
          <w:szCs w:val="20"/>
          <w:color w:val="auto"/>
        </w:rPr>
      </w:pPr>
    </w:p>
    <w:p>
      <w:pPr>
        <w:ind w:left="180" w:right="20" w:firstLine="486"/>
        <w:spacing w:after="0" w:line="312" w:lineRule="auto"/>
        <w:rPr>
          <w:sz w:val="20"/>
          <w:szCs w:val="20"/>
          <w:color w:val="auto"/>
        </w:rPr>
      </w:pPr>
      <w:r>
        <w:rPr>
          <w:rFonts w:ascii="Times New Roman" w:cs="Times New Roman" w:eastAsia="Times New Roman" w:hAnsi="Times New Roman"/>
          <w:sz w:val="17"/>
          <w:szCs w:val="17"/>
          <w:color w:val="auto"/>
        </w:rPr>
        <w:t>Our real estate loans are comprised of construction and development loans, 1-4 family loans and commercial real estate loans. There is significant uncertainty regarding the impact of the COVID-19 pandemic on our real estate loan portfolio, but we continue to monitor the following industries:</w:t>
      </w:r>
    </w:p>
    <w:p>
      <w:pPr>
        <w:spacing w:after="0" w:line="13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Real Estate Industries with Increased Monitoring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63779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77940" cy="8255"/>
                    </a:xfrm>
                    <a:prstGeom prst="rect">
                      <a:avLst/>
                    </a:prstGeom>
                    <a:noFill/>
                  </pic:spPr>
                </pic:pic>
              </a:graphicData>
            </a:graphic>
          </wp:anchor>
        </w:drawing>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450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280" w:type="dxa"/>
            <w:vAlign w:val="bottom"/>
          </w:tcPr>
          <w:p>
            <w:pPr>
              <w:spacing w:after="0"/>
              <w:rPr>
                <w:sz w:val="20"/>
                <w:szCs w:val="20"/>
                <w:color w:val="auto"/>
              </w:rPr>
            </w:pPr>
          </w:p>
        </w:tc>
        <w:tc>
          <w:tcPr>
            <w:tcW w:w="264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26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Percent of Gross Loans</w:t>
            </w:r>
          </w:p>
        </w:tc>
      </w:tr>
      <w:tr>
        <w:trPr>
          <w:trHeight w:val="27"/>
        </w:trPr>
        <w:tc>
          <w:tcPr>
            <w:tcW w:w="4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gridSpan w:val="2"/>
          </w:tcPr>
          <w:p>
            <w:pPr>
              <w:spacing w:after="0"/>
              <w:rPr>
                <w:sz w:val="2"/>
                <w:szCs w:val="2"/>
                <w:color w:val="auto"/>
              </w:rPr>
            </w:pPr>
          </w:p>
        </w:tc>
      </w:tr>
      <w:tr>
        <w:trPr>
          <w:trHeight w:val="240"/>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60" w:type="dxa"/>
            <w:vAlign w:val="bottom"/>
            <w:gridSpan w:val="2"/>
          </w:tcPr>
          <w:p>
            <w:pPr>
              <w:ind w:left="17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260"/>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tcBorders>
              <w:bottom w:val="single" w:sz="8" w:color="CCEEFF"/>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187,140</w:t>
            </w:r>
          </w:p>
        </w:tc>
        <w:tc>
          <w:tcPr>
            <w:tcW w:w="2620" w:type="dxa"/>
            <w:vAlign w:val="bottom"/>
            <w:tcBorders>
              <w:bottom w:val="single" w:sz="8" w:color="CCEEFF"/>
            </w:tcBorders>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w w:val="99"/>
              </w:rPr>
              <w:t>4.2 %</w:t>
            </w:r>
          </w:p>
        </w:tc>
      </w:tr>
      <w:tr>
        <w:trPr>
          <w:trHeight w:val="243"/>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Hotel and Lodging</w:t>
            </w:r>
          </w:p>
        </w:tc>
        <w:tc>
          <w:tcPr>
            <w:tcW w:w="280" w:type="dxa"/>
            <w:vAlign w:val="bottom"/>
          </w:tcPr>
          <w:p>
            <w:pPr>
              <w:spacing w:after="0"/>
              <w:rPr>
                <w:sz w:val="21"/>
                <w:szCs w:val="21"/>
                <w:color w:val="auto"/>
              </w:rPr>
            </w:pPr>
          </w:p>
        </w:tc>
        <w:tc>
          <w:tcPr>
            <w:tcW w:w="26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170,953</w:t>
            </w:r>
          </w:p>
        </w:tc>
        <w:tc>
          <w:tcPr>
            <w:tcW w:w="26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3"/>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and Senior Living</w:t>
            </w:r>
          </w:p>
        </w:tc>
        <w:tc>
          <w:tcPr>
            <w:tcW w:w="280" w:type="dxa"/>
            <w:vAlign w:val="bottom"/>
            <w:shd w:val="clear" w:color="auto" w:fill="CCEEFF"/>
          </w:tcPr>
          <w:p>
            <w:pPr>
              <w:spacing w:after="0"/>
              <w:rPr>
                <w:sz w:val="21"/>
                <w:szCs w:val="21"/>
                <w:color w:val="auto"/>
              </w:rPr>
            </w:pPr>
          </w:p>
        </w:tc>
        <w:tc>
          <w:tcPr>
            <w:tcW w:w="26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183,890</w:t>
            </w:r>
          </w:p>
        </w:tc>
        <w:tc>
          <w:tcPr>
            <w:tcW w:w="262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4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left="180" w:firstLine="486"/>
        <w:spacing w:after="0" w:line="266" w:lineRule="auto"/>
        <w:rPr>
          <w:sz w:val="20"/>
          <w:szCs w:val="20"/>
          <w:color w:val="auto"/>
        </w:rPr>
      </w:pPr>
      <w:r>
        <w:rPr>
          <w:rFonts w:ascii="Times New Roman" w:cs="Times New Roman" w:eastAsia="Times New Roman" w:hAnsi="Times New Roman"/>
          <w:sz w:val="18"/>
          <w:szCs w:val="18"/>
          <w:color w:val="auto"/>
        </w:rPr>
        <w:t>These industries were identified due to travel restrictions, cancellation of events and large gatherings, reduction in demand for senior living housing and furlough of workers and an increase in unemployment numbers. The Bank has worked with business owners in these industries by deferring loan payments and funding the PPP loans.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Loans</w:t>
      </w:r>
    </w:p>
    <w:p>
      <w:pPr>
        <w:spacing w:after="0" w:line="173" w:lineRule="exact"/>
        <w:rPr>
          <w:sz w:val="20"/>
          <w:szCs w:val="20"/>
          <w:color w:val="auto"/>
        </w:rPr>
      </w:pPr>
    </w:p>
    <w:p>
      <w:pPr>
        <w:ind w:left="180" w:right="100" w:firstLine="486"/>
        <w:spacing w:after="0" w:line="266" w:lineRule="auto"/>
        <w:rPr>
          <w:sz w:val="20"/>
          <w:szCs w:val="20"/>
          <w:color w:val="auto"/>
        </w:rPr>
      </w:pPr>
      <w:r>
        <w:rPr>
          <w:rFonts w:ascii="Times New Roman" w:cs="Times New Roman" w:eastAsia="Times New Roman" w:hAnsi="Times New Roman"/>
          <w:sz w:val="18"/>
          <w:szCs w:val="18"/>
          <w:color w:val="auto"/>
        </w:rPr>
        <w:t>The Company provides a mix of variable-rate and fixed-rate commercial loans across various industries. We extend commercial loans on an unsecured and secured basis. There is significant uncertainty regarding the impact the COVID-19 pandemic will have on our commercial loan portfolio as well, but we identified the following industries that received an increase in monitoring:</w:t>
      </w:r>
    </w:p>
    <w:p>
      <w:pPr>
        <w:spacing w:after="0" w:line="1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Commercial Industries with Increased Monitoring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36830</wp:posOffset>
            </wp:positionV>
            <wp:extent cx="63690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69050" cy="8890"/>
                    </a:xfrm>
                    <a:prstGeom prst="rect">
                      <a:avLst/>
                    </a:prstGeom>
                    <a:noFill/>
                  </pic:spPr>
                </pic:pic>
              </a:graphicData>
            </a:graphic>
          </wp:anchor>
        </w:drawing>
      </w:r>
    </w:p>
    <w:p>
      <w:pPr>
        <w:spacing w:after="0" w:line="57"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450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300" w:type="dxa"/>
            <w:vAlign w:val="bottom"/>
          </w:tcPr>
          <w:p>
            <w:pPr>
              <w:spacing w:after="0"/>
              <w:rPr>
                <w:sz w:val="20"/>
                <w:szCs w:val="20"/>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26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Percent of Gross Loans</w:t>
            </w:r>
          </w:p>
        </w:tc>
      </w:tr>
      <w:tr>
        <w:trPr>
          <w:trHeight w:val="27"/>
        </w:trPr>
        <w:tc>
          <w:tcPr>
            <w:tcW w:w="4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gridSpan w:val="2"/>
          </w:tcPr>
          <w:p>
            <w:pPr>
              <w:spacing w:after="0"/>
              <w:rPr>
                <w:sz w:val="2"/>
                <w:szCs w:val="2"/>
                <w:color w:val="auto"/>
              </w:rPr>
            </w:pPr>
          </w:p>
        </w:tc>
      </w:tr>
      <w:tr>
        <w:trPr>
          <w:trHeight w:val="227"/>
        </w:trPr>
        <w:tc>
          <w:tcPr>
            <w:tcW w:w="4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20" w:type="dxa"/>
            <w:vAlign w:val="bottom"/>
            <w:gridSpan w:val="2"/>
          </w:tcPr>
          <w:p>
            <w:pPr>
              <w:ind w:left="17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260"/>
        </w:trPr>
        <w:tc>
          <w:tcPr>
            <w:tcW w:w="4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Recreation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Borders>
              <w:bottom w:val="single" w:sz="8" w:color="CCEEFF"/>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86,086</w:t>
            </w:r>
          </w:p>
        </w:tc>
        <w:tc>
          <w:tcPr>
            <w:tcW w:w="2620" w:type="dxa"/>
            <w:vAlign w:val="bottom"/>
            <w:tcBorders>
              <w:bottom w:val="single" w:sz="8" w:color="CCEEFF"/>
            </w:tcBorders>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w w:val="99"/>
              </w:rPr>
              <w:t>1.9 %</w:t>
            </w:r>
          </w:p>
        </w:tc>
      </w:tr>
      <w:tr>
        <w:trPr>
          <w:trHeight w:val="24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Restaurants</w:t>
            </w:r>
          </w:p>
        </w:tc>
        <w:tc>
          <w:tcPr>
            <w:tcW w:w="300" w:type="dxa"/>
            <w:vAlign w:val="bottom"/>
          </w:tcPr>
          <w:p>
            <w:pPr>
              <w:spacing w:after="0"/>
              <w:rPr>
                <w:sz w:val="21"/>
                <w:szCs w:val="21"/>
                <w:color w:val="auto"/>
              </w:rPr>
            </w:pPr>
          </w:p>
        </w:tc>
        <w:tc>
          <w:tcPr>
            <w:tcW w:w="26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63,270</w:t>
            </w:r>
          </w:p>
        </w:tc>
        <w:tc>
          <w:tcPr>
            <w:tcW w:w="26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3"/>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and Aviation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64,248</w:t>
            </w:r>
          </w:p>
        </w:tc>
        <w:tc>
          <w:tcPr>
            <w:tcW w:w="262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w w:val="99"/>
              </w:rPr>
              <w:t>1.4 %</w:t>
            </w:r>
          </w:p>
        </w:tc>
      </w:tr>
      <w:tr>
        <w:trPr>
          <w:trHeight w:val="27"/>
        </w:trPr>
        <w:tc>
          <w:tcPr>
            <w:tcW w:w="4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left="180" w:right="160" w:firstLine="486"/>
        <w:spacing w:after="0" w:line="282" w:lineRule="auto"/>
        <w:rPr>
          <w:sz w:val="20"/>
          <w:szCs w:val="20"/>
          <w:color w:val="auto"/>
        </w:rPr>
      </w:pPr>
      <w:r>
        <w:rPr>
          <w:rFonts w:ascii="Times New Roman" w:cs="Times New Roman" w:eastAsia="Times New Roman" w:hAnsi="Times New Roman"/>
          <w:sz w:val="18"/>
          <w:szCs w:val="18"/>
          <w:color w:val="auto"/>
        </w:rPr>
        <w:t>These industries were identified based on travel, entertainment, and restaurant restrictions. Cancellation of events and large gatherings, business closures and furlough of workers and an increase in unemployment numbers have also impacted these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Net Interest Income</w:t>
      </w:r>
    </w:p>
    <w:p>
      <w:pPr>
        <w:spacing w:after="0" w:line="200" w:lineRule="exact"/>
        <w:rPr>
          <w:sz w:val="20"/>
          <w:szCs w:val="20"/>
          <w:color w:val="auto"/>
        </w:rPr>
      </w:pPr>
    </w:p>
    <w:p>
      <w:pPr>
        <w:spacing w:after="0" w:line="209" w:lineRule="exact"/>
        <w:rPr>
          <w:sz w:val="20"/>
          <w:szCs w:val="20"/>
          <w:color w:val="auto"/>
        </w:rPr>
      </w:pPr>
    </w:p>
    <w:p>
      <w:pPr>
        <w:ind w:left="180" w:right="20" w:firstLine="486"/>
        <w:spacing w:after="0" w:line="261" w:lineRule="auto"/>
        <w:rPr>
          <w:sz w:val="20"/>
          <w:szCs w:val="20"/>
          <w:color w:val="auto"/>
        </w:rPr>
      </w:pPr>
      <w:r>
        <w:rPr>
          <w:rFonts w:ascii="Times New Roman" w:cs="Times New Roman" w:eastAsia="Times New Roman" w:hAnsi="Times New Roman"/>
          <w:sz w:val="18"/>
          <w:szCs w:val="18"/>
          <w:color w:val="auto"/>
        </w:rPr>
        <w:t>Net interest income is presented on a tax-equivalent basis below. A tax-equivalent basis makes all income taxable at the same rate. For example, $100 of tax-exempt income would be presented as $126.58, an amount that, if taxed at the statutory federal income tax rate of 21% would yield $100. We believe a tax-equivalent basis provides for improved comparability between the various earning assets. The following tables present, for the periods indicated, average balance sheet information, interest income, interest expense and the corresponding average yield and rates paid:</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3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Income /</w:t>
            </w: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Income /</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80" w:type="dxa"/>
            <w:vAlign w:val="bottom"/>
            <w:tcBorders>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18"/>
                <w:szCs w:val="18"/>
                <w:b w:val="1"/>
                <w:bCs w:val="1"/>
                <w:color w:val="auto"/>
                <w:w w:val="95"/>
              </w:rPr>
              <w:t>Yield / Rate</w:t>
            </w:r>
            <w:r>
              <w:rPr>
                <w:rFonts w:ascii="Times New Roman" w:cs="Times New Roman" w:eastAsia="Times New Roman" w:hAnsi="Times New Roman"/>
                <w:sz w:val="23"/>
                <w:szCs w:val="23"/>
                <w:b w:val="1"/>
                <w:bCs w:val="1"/>
                <w:color w:val="auto"/>
                <w:w w:val="95"/>
                <w:vertAlign w:val="superscript"/>
              </w:rPr>
              <w:t>(4)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80" w:type="dxa"/>
            <w:vAlign w:val="bottom"/>
            <w:tcBorders>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18"/>
                <w:szCs w:val="18"/>
                <w:b w:val="1"/>
                <w:bCs w:val="1"/>
                <w:color w:val="auto"/>
                <w:w w:val="95"/>
              </w:rPr>
              <w:t>Yield / Rate</w:t>
            </w:r>
            <w:r>
              <w:rPr>
                <w:rFonts w:ascii="Times New Roman" w:cs="Times New Roman" w:eastAsia="Times New Roman" w:hAnsi="Times New Roman"/>
                <w:sz w:val="23"/>
                <w:szCs w:val="23"/>
                <w:b w:val="1"/>
                <w:bCs w:val="1"/>
                <w:color w:val="auto"/>
                <w:w w:val="95"/>
                <w:vertAlign w:val="superscript"/>
              </w:rPr>
              <w:t>(4)</w:t>
            </w:r>
          </w:p>
        </w:tc>
        <w:tc>
          <w:tcPr>
            <w:tcW w:w="0" w:type="dxa"/>
            <w:vAlign w:val="bottom"/>
          </w:tcPr>
          <w:p>
            <w:pPr>
              <w:spacing w:after="0"/>
              <w:rPr>
                <w:sz w:val="1"/>
                <w:szCs w:val="1"/>
                <w:color w:val="auto"/>
              </w:rPr>
            </w:pPr>
          </w:p>
        </w:tc>
      </w:tr>
      <w:tr>
        <w:trPr>
          <w:trHeight w:val="208"/>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 taxable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257,637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Securities - tax-exempt</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30"/>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funds sold</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Interest-bearing deposits in other banks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00"/>
              <w:spacing w:after="0" w:line="230" w:lineRule="exact"/>
              <w:rPr>
                <w:sz w:val="20"/>
                <w:szCs w:val="20"/>
                <w:color w:val="auto"/>
              </w:rPr>
            </w:pPr>
            <w:r>
              <w:rPr>
                <w:rFonts w:ascii="Times New Roman" w:cs="Times New Roman" w:eastAsia="Times New Roman" w:hAnsi="Times New Roman"/>
                <w:sz w:val="18"/>
                <w:szCs w:val="18"/>
                <w:color w:val="auto"/>
              </w:rPr>
              <w:t>Gross loans, net of unearned income</w:t>
            </w:r>
            <w:r>
              <w:rPr>
                <w:rFonts w:ascii="Times New Roman" w:cs="Times New Roman" w:eastAsia="Times New Roman" w:hAnsi="Times New Roman"/>
                <w:sz w:val="23"/>
                <w:szCs w:val="23"/>
                <w:color w:val="auto"/>
                <w:vertAlign w:val="superscript"/>
              </w:rPr>
              <w:t>(2)(3)</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4,477,211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43,929</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3,540,707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49,327</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0"/>
              <w:spacing w:after="0" w:line="223" w:lineRule="exact"/>
              <w:rPr>
                <w:sz w:val="20"/>
                <w:szCs w:val="20"/>
                <w:color w:val="auto"/>
              </w:rPr>
            </w:pPr>
            <w:r>
              <w:rPr>
                <w:rFonts w:ascii="Times New Roman" w:cs="Times New Roman" w:eastAsia="Times New Roman" w:hAnsi="Times New Roman"/>
                <w:sz w:val="18"/>
                <w:szCs w:val="18"/>
                <w:color w:val="auto"/>
              </w:rPr>
              <w:t>Total interest-earning assets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5,341,940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4,456,624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0"/>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non-interest-earning assets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5,486,252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4,610,958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deposits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Savings and money market deposits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1,995,307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1,174,555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1,276,571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FHLB and short-term borrowings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Trust preferred securities, net of fair value</w:t>
            </w: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funds</w:t>
            </w: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4,825,038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4,037,298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29"/>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5,486,252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4,610,958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9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3960" w:type="dxa"/>
            <w:vAlign w:val="bottom"/>
            <w:tcBorders>
              <w:top w:val="single" w:sz="8" w:color="CCEEFF"/>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Net interest income</w:t>
            </w:r>
            <w:r>
              <w:rPr>
                <w:rFonts w:ascii="Times New Roman" w:cs="Times New Roman" w:eastAsia="Times New Roman" w:hAnsi="Times New Roman"/>
                <w:sz w:val="22"/>
                <w:szCs w:val="22"/>
                <w:color w:val="auto"/>
                <w:vertAlign w:val="superscript"/>
              </w:rPr>
              <w:t>(1)</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39,996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36,409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960" w:type="dxa"/>
            <w:vAlign w:val="bottom"/>
            <w:tcBorders>
              <w:top w:val="single" w:sz="8" w:color="CCEEFF"/>
            </w:tcBorders>
          </w:tcPr>
          <w:p>
            <w:pPr>
              <w:ind w:left="20"/>
              <w:spacing w:after="0" w:line="190" w:lineRule="exact"/>
              <w:rPr>
                <w:sz w:val="20"/>
                <w:szCs w:val="20"/>
                <w:color w:val="auto"/>
              </w:rPr>
            </w:pPr>
            <w:r>
              <w:rPr>
                <w:rFonts w:ascii="Times New Roman" w:cs="Times New Roman" w:eastAsia="Times New Roman" w:hAnsi="Times New Roman"/>
                <w:sz w:val="17"/>
                <w:szCs w:val="17"/>
                <w:color w:val="auto"/>
              </w:rPr>
              <w:t>Net interest spread</w:t>
            </w:r>
            <w:r>
              <w:rPr>
                <w:rFonts w:ascii="Times New Roman" w:cs="Times New Roman" w:eastAsia="Times New Roman" w:hAnsi="Times New Roman"/>
                <w:sz w:val="22"/>
                <w:szCs w:val="22"/>
                <w:color w:val="auto"/>
                <w:vertAlign w:val="superscript"/>
              </w:rPr>
              <w:t>(1)</w:t>
            </w:r>
          </w:p>
        </w:tc>
        <w:tc>
          <w:tcPr>
            <w:tcW w:w="20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2.91 %</w:t>
            </w: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3.06 %</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interest margin</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0" w:type="dxa"/>
            <w:vAlign w:val="bottom"/>
          </w:tcPr>
          <w:p>
            <w:pPr>
              <w:spacing w:after="0"/>
              <w:rPr>
                <w:sz w:val="1"/>
                <w:szCs w:val="1"/>
                <w:color w:val="auto"/>
              </w:rPr>
            </w:pPr>
          </w:p>
        </w:tc>
      </w:tr>
    </w:tbl>
    <w:p>
      <w:pPr>
        <w:ind w:left="400" w:hanging="158"/>
        <w:spacing w:after="0" w:line="187" w:lineRule="auto"/>
        <w:tabs>
          <w:tab w:leader="none" w:pos="40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Tax exempt income is calculated on a tax equivalent basis. Tax-free municipal securities are exempt from Federal income taxes. The incremental tax rate used is</w:t>
      </w:r>
    </w:p>
    <w:p>
      <w:pPr>
        <w:ind w:left="24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21.0%.</w:t>
      </w:r>
    </w:p>
    <w:p>
      <w:pPr>
        <w:spacing w:after="0" w:line="8" w:lineRule="exact"/>
        <w:rPr>
          <w:rFonts w:ascii="Times New Roman" w:cs="Times New Roman" w:eastAsia="Times New Roman" w:hAnsi="Times New Roman"/>
          <w:sz w:val="20"/>
          <w:szCs w:val="20"/>
          <w:color w:val="auto"/>
          <w:vertAlign w:val="superscript"/>
        </w:rPr>
      </w:pPr>
    </w:p>
    <w:p>
      <w:pPr>
        <w:ind w:left="400" w:hanging="158"/>
        <w:spacing w:after="0" w:line="225" w:lineRule="auto"/>
        <w:tabs>
          <w:tab w:leader="none" w:pos="40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Loans, net of unearned income includes non-accrual loans of $76 million and $44 million as of September 30, 2020 and 2019, respectively.</w:t>
      </w:r>
    </w:p>
    <w:p>
      <w:pPr>
        <w:spacing w:after="0" w:line="24" w:lineRule="exact"/>
        <w:rPr>
          <w:rFonts w:ascii="Times New Roman" w:cs="Times New Roman" w:eastAsia="Times New Roman" w:hAnsi="Times New Roman"/>
          <w:sz w:val="20"/>
          <w:szCs w:val="20"/>
          <w:color w:val="auto"/>
          <w:vertAlign w:val="superscript"/>
        </w:rPr>
      </w:pPr>
    </w:p>
    <w:p>
      <w:pPr>
        <w:ind w:left="400" w:hanging="158"/>
        <w:spacing w:after="0" w:line="200" w:lineRule="auto"/>
        <w:tabs>
          <w:tab w:leader="none" w:pos="40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Loan interest income includes loan fees of $3 million and $2 million for the three months ended September 30, 2020 and 2019, respectively.</w:t>
      </w:r>
    </w:p>
    <w:p>
      <w:pPr>
        <w:spacing w:after="0" w:line="24" w:lineRule="exact"/>
        <w:rPr>
          <w:rFonts w:ascii="Times New Roman" w:cs="Times New Roman" w:eastAsia="Times New Roman" w:hAnsi="Times New Roman"/>
          <w:sz w:val="20"/>
          <w:szCs w:val="20"/>
          <w:color w:val="auto"/>
          <w:vertAlign w:val="superscript"/>
        </w:rPr>
      </w:pPr>
    </w:p>
    <w:p>
      <w:pPr>
        <w:ind w:left="240" w:right="400" w:firstLine="2"/>
        <w:spacing w:after="0" w:line="231" w:lineRule="auto"/>
        <w:tabs>
          <w:tab w:leader="none" w:pos="389"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Actual unrounded values are used to calculate the reported yield or rate disclosed. Accordingly, recalculations using the amounts in thousands as disclosed in this report may not produce the same amounts.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3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Income /</w:t>
            </w: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Income /</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80" w:type="dxa"/>
            <w:vAlign w:val="bottom"/>
            <w:tcBorders>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18"/>
                <w:szCs w:val="18"/>
                <w:b w:val="1"/>
                <w:bCs w:val="1"/>
                <w:color w:val="auto"/>
                <w:w w:val="95"/>
              </w:rPr>
              <w:t>Yield / Rate</w:t>
            </w:r>
            <w:r>
              <w:rPr>
                <w:rFonts w:ascii="Times New Roman" w:cs="Times New Roman" w:eastAsia="Times New Roman" w:hAnsi="Times New Roman"/>
                <w:sz w:val="23"/>
                <w:szCs w:val="23"/>
                <w:b w:val="1"/>
                <w:bCs w:val="1"/>
                <w:color w:val="auto"/>
                <w:w w:val="95"/>
                <w:vertAlign w:val="superscript"/>
              </w:rPr>
              <w:t>(4)</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80" w:type="dxa"/>
            <w:vAlign w:val="bottom"/>
            <w:tcBorders>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18"/>
                <w:szCs w:val="18"/>
                <w:b w:val="1"/>
                <w:bCs w:val="1"/>
                <w:color w:val="auto"/>
                <w:w w:val="95"/>
              </w:rPr>
              <w:t>Yield / Rate</w:t>
            </w:r>
            <w:r>
              <w:rPr>
                <w:rFonts w:ascii="Times New Roman" w:cs="Times New Roman" w:eastAsia="Times New Roman" w:hAnsi="Times New Roman"/>
                <w:sz w:val="23"/>
                <w:szCs w:val="23"/>
                <w:b w:val="1"/>
                <w:bCs w:val="1"/>
                <w:color w:val="auto"/>
                <w:w w:val="95"/>
                <w:vertAlign w:val="superscript"/>
              </w:rPr>
              <w:t>(4)</w:t>
            </w: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 taxable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285,363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334,272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Securities - tax-exempt</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funds sold</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Interest-bearing deposits in other banks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Gross loans, net of unearned income</w:t>
            </w:r>
            <w:r>
              <w:rPr>
                <w:rFonts w:ascii="Times New Roman" w:cs="Times New Roman" w:eastAsia="Times New Roman" w:hAnsi="Times New Roman"/>
                <w:sz w:val="23"/>
                <w:szCs w:val="23"/>
                <w:color w:val="auto"/>
                <w:vertAlign w:val="superscript"/>
              </w:rPr>
              <w:t>(2)(3)</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4,248,520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138,591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3,373,118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142,319</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Total interest-earning assets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5,149,069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4,239,785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162,890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0" w:type="dxa"/>
            <w:vAlign w:val="bottom"/>
          </w:tcPr>
          <w:p>
            <w:pPr>
              <w:spacing w:after="0"/>
              <w:rPr>
                <w:sz w:val="1"/>
                <w:szCs w:val="1"/>
                <w:color w:val="auto"/>
              </w:rPr>
            </w:pPr>
          </w:p>
        </w:tc>
      </w:tr>
      <w:tr>
        <w:trPr>
          <w:trHeight w:val="229"/>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non-interest-earning assets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5,302,970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4,395,356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deposits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404,967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0.46 %</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127,785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Savings and money market deposits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1,938,669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1,616,558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1,178,632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1,249,219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3,522,268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2,993,562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FHLB and short-term borrowings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Trust preferred securities, net of fair value</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16.74</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funds</w:t>
            </w: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4,647,457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35,202</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3,870,053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5,302,970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4,395,356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7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3760" w:type="dxa"/>
            <w:vAlign w:val="bottom"/>
            <w:tcBorders>
              <w:top w:val="single" w:sz="8" w:color="CCEEFF"/>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Net interest income</w:t>
            </w:r>
            <w:r>
              <w:rPr>
                <w:rFonts w:ascii="Times New Roman" w:cs="Times New Roman" w:eastAsia="Times New Roman" w:hAnsi="Times New Roman"/>
                <w:sz w:val="22"/>
                <w:szCs w:val="22"/>
                <w:color w:val="auto"/>
                <w:vertAlign w:val="superscript"/>
              </w:rPr>
              <w:t>(1)</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120,762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106,117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760" w:type="dxa"/>
            <w:vAlign w:val="bottom"/>
            <w:tcBorders>
              <w:top w:val="single" w:sz="8" w:color="CCEEFF"/>
            </w:tcBorders>
          </w:tcPr>
          <w:p>
            <w:pPr>
              <w:ind w:left="20"/>
              <w:spacing w:after="0" w:line="190" w:lineRule="exact"/>
              <w:rPr>
                <w:sz w:val="20"/>
                <w:szCs w:val="20"/>
                <w:color w:val="auto"/>
              </w:rPr>
            </w:pPr>
            <w:r>
              <w:rPr>
                <w:rFonts w:ascii="Times New Roman" w:cs="Times New Roman" w:eastAsia="Times New Roman" w:hAnsi="Times New Roman"/>
                <w:sz w:val="17"/>
                <w:szCs w:val="17"/>
                <w:color w:val="auto"/>
              </w:rPr>
              <w:t>Net interest spread</w:t>
            </w:r>
            <w:r>
              <w:rPr>
                <w:rFonts w:ascii="Times New Roman" w:cs="Times New Roman" w:eastAsia="Times New Roman" w:hAnsi="Times New Roman"/>
                <w:sz w:val="22"/>
                <w:szCs w:val="22"/>
                <w:color w:val="auto"/>
                <w:vertAlign w:val="superscript"/>
              </w:rPr>
              <w:t>(1)</w:t>
            </w:r>
          </w:p>
        </w:tc>
        <w:tc>
          <w:tcPr>
            <w:tcW w:w="2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3.04 %</w:t>
            </w: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3.18 %</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interest margin</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0" w:type="dxa"/>
            <w:vAlign w:val="bottom"/>
          </w:tcPr>
          <w:p>
            <w:pPr>
              <w:spacing w:after="0"/>
              <w:rPr>
                <w:sz w:val="1"/>
                <w:szCs w:val="1"/>
                <w:color w:val="auto"/>
              </w:rPr>
            </w:pPr>
          </w:p>
        </w:tc>
      </w:tr>
    </w:tbl>
    <w:p>
      <w:pPr>
        <w:ind w:left="360" w:right="160" w:hanging="10"/>
        <w:spacing w:after="0"/>
        <w:tabs>
          <w:tab w:leader="none" w:pos="509"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Tax exempt income is calculated on a tax equivalent basis. Tax-free municipal securities are exempt from Federal income taxes. The incremental tax rate used is 21.0%.</w:t>
      </w:r>
    </w:p>
    <w:p>
      <w:pPr>
        <w:spacing w:after="0" w:line="142" w:lineRule="exact"/>
        <w:rPr>
          <w:rFonts w:ascii="Times New Roman" w:cs="Times New Roman" w:eastAsia="Times New Roman" w:hAnsi="Times New Roman"/>
          <w:sz w:val="20"/>
          <w:szCs w:val="20"/>
          <w:color w:val="auto"/>
          <w:vertAlign w:val="superscript"/>
        </w:rPr>
      </w:pPr>
    </w:p>
    <w:p>
      <w:pPr>
        <w:ind w:left="500" w:hanging="150"/>
        <w:spacing w:after="0" w:line="237" w:lineRule="auto"/>
        <w:tabs>
          <w:tab w:leader="none" w:pos="50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Loans, net of unearned income includes non-accrual loans of $76 million and $44 million as of September 30, 2020 and 2019, respectively.</w:t>
      </w:r>
    </w:p>
    <w:p>
      <w:pPr>
        <w:spacing w:after="0" w:line="23" w:lineRule="exact"/>
        <w:rPr>
          <w:rFonts w:ascii="Times New Roman" w:cs="Times New Roman" w:eastAsia="Times New Roman" w:hAnsi="Times New Roman"/>
          <w:sz w:val="19"/>
          <w:szCs w:val="19"/>
          <w:color w:val="auto"/>
          <w:vertAlign w:val="superscript"/>
        </w:rPr>
      </w:pPr>
    </w:p>
    <w:p>
      <w:pPr>
        <w:ind w:left="520" w:hanging="170"/>
        <w:spacing w:after="0" w:line="191" w:lineRule="auto"/>
        <w:tabs>
          <w:tab w:leader="none" w:pos="5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Loan interest income includes loan fees of $10 million and $7 million for the nine-months ended September 30, 2020 and 2019, respectively.</w:t>
      </w:r>
    </w:p>
    <w:p>
      <w:pPr>
        <w:spacing w:after="0" w:line="23" w:lineRule="exact"/>
        <w:rPr>
          <w:rFonts w:ascii="Times New Roman" w:cs="Times New Roman" w:eastAsia="Times New Roman" w:hAnsi="Times New Roman"/>
          <w:sz w:val="21"/>
          <w:szCs w:val="21"/>
          <w:color w:val="auto"/>
          <w:vertAlign w:val="superscript"/>
        </w:rPr>
      </w:pPr>
    </w:p>
    <w:p>
      <w:pPr>
        <w:ind w:left="360" w:right="80" w:hanging="10"/>
        <w:spacing w:after="0" w:line="199" w:lineRule="auto"/>
        <w:tabs>
          <w:tab w:leader="none" w:pos="523"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Actual unrounded values are used to calculate the reported yield or rate disclosed. Accordingly, recalculations using the amounts in thousands as disclosed in this report may not produce the same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-740410</wp:posOffset>
            </wp:positionV>
            <wp:extent cx="6858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-740410</wp:posOffset>
            </wp:positionV>
            <wp:extent cx="6858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right="60" w:firstLine="486"/>
        <w:spacing w:after="0" w:line="261" w:lineRule="auto"/>
        <w:rPr>
          <w:sz w:val="20"/>
          <w:szCs w:val="20"/>
          <w:color w:val="auto"/>
        </w:rPr>
      </w:pPr>
      <w:r>
        <w:rPr>
          <w:rFonts w:ascii="Times New Roman" w:cs="Times New Roman" w:eastAsia="Times New Roman" w:hAnsi="Times New Roman"/>
          <w:sz w:val="18"/>
          <w:szCs w:val="18"/>
          <w:color w:val="auto"/>
        </w:rPr>
        <w:t>Changes in interest income and interest expense result from changes in average balances (volume) of interest earning assets and interest-bearing liabilities, as well as changes in average interest rates. The following table sets forth the effects of changing rates and volumes on our net interest income during the periods shown. Information is provided with respect to: (i) changes in volume (change in volume times old rate); (ii) changes in rates (change in rate times old volume); and (iii) changes in rate/volume (change in rate times the change in volume).</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gridSpan w:val="6"/>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September 30, 2020 over 2019</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September 30, 2020 over 2019</w:t>
            </w: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0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Change</w:t>
            </w:r>
            <w:r>
              <w:rPr>
                <w:rFonts w:ascii="Times New Roman" w:cs="Times New Roman" w:eastAsia="Times New Roman" w:hAnsi="Times New Roman"/>
                <w:sz w:val="23"/>
                <w:szCs w:val="23"/>
                <w:b w:val="1"/>
                <w:bCs w:val="1"/>
                <w:color w:val="auto"/>
                <w:vertAlign w:val="superscript"/>
              </w:rPr>
              <w:t>(2)</w:t>
            </w:r>
          </w:p>
        </w:tc>
        <w:tc>
          <w:tcPr>
            <w:tcW w:w="180" w:type="dxa"/>
            <w:vAlign w:val="bottom"/>
          </w:tcPr>
          <w:p>
            <w:pPr>
              <w:spacing w:after="0"/>
              <w:rPr>
                <w:sz w:val="14"/>
                <w:szCs w:val="14"/>
                <w:color w:val="auto"/>
              </w:rPr>
            </w:pPr>
          </w:p>
        </w:tc>
        <w:tc>
          <w:tcPr>
            <w:tcW w:w="102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Net Change</w:t>
            </w:r>
            <w:r>
              <w:rPr>
                <w:rFonts w:ascii="Times New Roman" w:cs="Times New Roman" w:eastAsia="Times New Roman" w:hAnsi="Times New Roman"/>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vMerge w:val="continue"/>
          </w:tcPr>
          <w:p>
            <w:pPr>
              <w:spacing w:after="0"/>
              <w:rPr>
                <w:sz w:val="19"/>
                <w:szCs w:val="19"/>
                <w:color w:val="auto"/>
              </w:rPr>
            </w:pPr>
          </w:p>
        </w:tc>
        <w:tc>
          <w:tcPr>
            <w:tcW w:w="11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 taxable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Securities - tax-exempt</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30"/>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funds sold</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Interest-bearing deposits in other banks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Gross loans, net of unearned income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(16,567)</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Total interest income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deposits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9"/>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Savings and money market deposits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(15,637)</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0" w:type="dxa"/>
            <w:vAlign w:val="bottom"/>
          </w:tcPr>
          <w:p>
            <w:pPr>
              <w:spacing w:after="0"/>
              <w:rPr>
                <w:sz w:val="1"/>
                <w:szCs w:val="1"/>
                <w:color w:val="auto"/>
              </w:rPr>
            </w:pPr>
          </w:p>
        </w:tc>
      </w:tr>
      <w:tr>
        <w:trPr>
          <w:trHeight w:val="223"/>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FHLB and short-term borrowings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76"/>
        </w:trPr>
        <w:tc>
          <w:tcPr>
            <w:tcW w:w="3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Trust preferred securities, net of fair value</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(21,571)</w:t>
            </w:r>
          </w:p>
        </w:tc>
        <w:tc>
          <w:tcPr>
            <w:tcW w:w="0" w:type="dxa"/>
            <w:vAlign w:val="bottom"/>
          </w:tcPr>
          <w:p>
            <w:pPr>
              <w:spacing w:after="0"/>
              <w:rPr>
                <w:sz w:val="1"/>
                <w:szCs w:val="1"/>
                <w:color w:val="auto"/>
              </w:rPr>
            </w:pPr>
          </w:p>
        </w:tc>
      </w:tr>
      <w:tr>
        <w:trPr>
          <w:trHeight w:val="223"/>
        </w:trPr>
        <w:tc>
          <w:tcPr>
            <w:tcW w:w="3440" w:type="dxa"/>
            <w:vAlign w:val="bottom"/>
          </w:tcPr>
          <w:p>
            <w:pPr>
              <w:ind w:left="360"/>
              <w:spacing w:after="0" w:line="223" w:lineRule="exact"/>
              <w:rPr>
                <w:sz w:val="20"/>
                <w:szCs w:val="20"/>
                <w:color w:val="auto"/>
              </w:rPr>
            </w:pPr>
            <w:r>
              <w:rPr>
                <w:rFonts w:ascii="Times New Roman" w:cs="Times New Roman" w:eastAsia="Times New Roman" w:hAnsi="Times New Roman"/>
                <w:sz w:val="18"/>
                <w:szCs w:val="18"/>
                <w:color w:val="auto"/>
              </w:rPr>
              <w:t>Net interest income</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20" w:hanging="170"/>
        <w:spacing w:after="0" w:line="205" w:lineRule="auto"/>
        <w:tabs>
          <w:tab w:leader="none" w:pos="5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Tax exempt income is calculated on a tax equivalent basis. Tax-free municipal securities are exempt from Federal income taxes. The incremental tax rate used is</w:t>
      </w:r>
    </w:p>
    <w:p>
      <w:pPr>
        <w:ind w:left="3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21.0%.</w:t>
      </w:r>
    </w:p>
    <w:p>
      <w:pPr>
        <w:spacing w:after="0" w:line="8" w:lineRule="exact"/>
        <w:rPr>
          <w:rFonts w:ascii="Times New Roman" w:cs="Times New Roman" w:eastAsia="Times New Roman" w:hAnsi="Times New Roman"/>
          <w:sz w:val="21"/>
          <w:szCs w:val="21"/>
          <w:color w:val="auto"/>
          <w:vertAlign w:val="superscript"/>
        </w:rPr>
      </w:pPr>
    </w:p>
    <w:p>
      <w:pPr>
        <w:ind w:left="520" w:hanging="170"/>
        <w:spacing w:after="0" w:line="214" w:lineRule="auto"/>
        <w:tabs>
          <w:tab w:leader="none" w:pos="5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change in interest not due solely to volume or rate has been allocated in proportion to the respective absolute dollar amounts of the change in volume or rate.</w:t>
      </w:r>
    </w:p>
    <w:p>
      <w:pPr>
        <w:spacing w:after="0" w:line="20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Interest income</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Interest income declined for the three and nine months ended September 30, 2020 compared to the same periods in 2019. Lower yields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earning assets were the result of a lower interest rate environment, PPP loan funding during the second quarter of 2020, and changes in nonaccrual loans. The decline in asset yields was partially offset by year-over-year loan growth. We anticipate our fourth quarter yield on earning assets to remain flat or increase slightly when compared to the quarter ended September 30, 2020.</w:t>
      </w:r>
    </w:p>
    <w:p>
      <w:pPr>
        <w:spacing w:after="0" w:line="12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Interest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Interest expense declined for the three and nine months ended September 30, 2020 compared to the same periods in 2019. The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interest-bearing deposits declined due to strategic rate changes in our deposit products driven by the declining rate environment. The cost of FHLB and other borrowings declined due to shorter term funding in 2020 compared to 2019 and the declining rate environment. The rates on interest-bearing liabilities were offset by an increase in average volume to support our asset growth. We anticipate our fourth quarter cost of funds to remain flat or slightly decline as time deposits and other borrowings mature.</w:t>
      </w:r>
    </w:p>
    <w:p>
      <w:pPr>
        <w:spacing w:after="0" w:line="12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Net interest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Net interest income increased for the three and nine months ended September 30, 2020 compared to the same periods in 2019.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was driven by growth in average earning assets, offset by compression in net interest margin as earning assets repriced quicker than interest-bearing liabilities. During the quarter, a nonaccrual loan impacted the net interest margin by 7 basis points. This nonaccrual loan was restructured in the fourth quarter of 2020 and placed back on accrual. We anticipate net interest margin to improve to around 3.05% during the fourth quarter of 2020 if we can maintain our nonaccrual loans and reduce our cost of funds.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Impact of Transition Away from LIBOR</w:t>
      </w:r>
    </w:p>
    <w:p>
      <w:pPr>
        <w:spacing w:after="0" w:line="173" w:lineRule="exact"/>
        <w:rPr>
          <w:sz w:val="20"/>
          <w:szCs w:val="20"/>
          <w:color w:val="auto"/>
        </w:rPr>
      </w:pPr>
    </w:p>
    <w:p>
      <w:pPr>
        <w:ind w:left="180" w:right="120" w:firstLine="486"/>
        <w:spacing w:after="0" w:line="282" w:lineRule="auto"/>
        <w:rPr>
          <w:sz w:val="20"/>
          <w:szCs w:val="20"/>
          <w:color w:val="auto"/>
        </w:rPr>
      </w:pPr>
      <w:r>
        <w:rPr>
          <w:rFonts w:ascii="Times New Roman" w:cs="Times New Roman" w:eastAsia="Times New Roman" w:hAnsi="Times New Roman"/>
          <w:sz w:val="18"/>
          <w:szCs w:val="18"/>
          <w:color w:val="auto"/>
        </w:rPr>
        <w:t>Refer to Note 1: Nature of Operations and Summary of Significant Accounting Policies under the Recent Accounting Pronouncements within the Unaudited Notes to the Consolidated Financial Statements for information regarding the impact of the LIBOR transition on the Company.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Non-Interest Income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non-interest income were as follows for the periods shown:</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8"/>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5"/>
          </w:tcPr>
          <w:p>
            <w:pPr>
              <w:ind w:left="3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charges and fees on customer accounts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available-for-sale debt securities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Impairment of premises and equipment held-for-</w:t>
            </w:r>
          </w:p>
        </w:tc>
        <w:tc>
          <w:tcPr>
            <w:tcW w:w="16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w:t>
            </w:r>
          </w:p>
        </w:tc>
        <w:tc>
          <w:tcPr>
            <w:tcW w:w="16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loans</w:t>
            </w:r>
          </w:p>
        </w:tc>
        <w:tc>
          <w:tcPr>
            <w:tcW w:w="1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bank-owned life insurance</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Swap fee income, net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ATM and credit card interchange income</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non-interest income</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non-interest income were driven by the following:</w:t>
      </w:r>
    </w:p>
    <w:p>
      <w:pPr>
        <w:spacing w:after="0" w:line="16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Service Charges and Fees on Customer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category includes a rebate program that attracted additional funding for the Bank and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analysis fees that continue to grow with our customer base, including their outstanding balances. The increase for both the three and nine month periods ended September 30, 2020 compared to the same corresponding periods in 2019 was driven by customer growth that resulted in increased analysis fees and reduction in the costs associated with the rebate program.</w:t>
      </w:r>
    </w:p>
    <w:p>
      <w:pPr>
        <w:spacing w:after="0" w:line="12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Gain on Sale of Available-for-Sale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increase in the gain for both the three and nine month periods ended September 30, 2020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the declining rate environment, which increased the value of the Company’s securities sold in 2020 compared to the same periods in 2019. The 2020 sales were a strategic decision by management to capitalize on attractive market conditions and improve credit quality.</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Impairment of Premises and Equipment Held-for-Sale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Company sold an administration building during the second quarter of 2019 as our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support members relocated to our new corporate headquarters.</w:t>
      </w:r>
    </w:p>
    <w:p>
      <w:pPr>
        <w:spacing w:after="0" w:line="10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Swap Fee Income,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Swap fee income, net includes both swap fees from the execution of new swaps and the credit valuation adjustment (“CVA”).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decline in swap fee income for both the three and nine month periods ended September 30, 2020 compared to the same corresponding periods in 2019 was driven by: (i) a change in the default methodology during the quarter ended September 30, 2019 that resulted in approximately $800 thousand of additional income during that quarter, (ii) management’s loan and pricing strategy and (iii) lower loan originations, excluding PPP loans, as a result of the COVID-19 pandemic.</w:t>
      </w:r>
    </w:p>
    <w:p>
      <w:pPr>
        <w:spacing w:after="0" w:line="12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ATM and Credit Card Interchange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increase in ATM and credit card interchange income for the three and nine month periods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2020 compared to the same corresponding periods in 2019 was primarily the result of customers that mobilized their workforce directly impacted by the COVID-19 pandemic. The Company anticipates the credit card activity will decline slightly in connection with a decline in COVID-19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Non-Interest Expense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non-interest expense were as follows for the periods indicated:</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6"/>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80" w:type="dxa"/>
            <w:vAlign w:val="bottom"/>
          </w:tcPr>
          <w:p>
            <w:pPr>
              <w:spacing w:after="0"/>
              <w:rPr>
                <w:sz w:val="19"/>
                <w:szCs w:val="19"/>
                <w:color w:val="auto"/>
              </w:rPr>
            </w:pPr>
          </w:p>
        </w:tc>
      </w:tr>
      <w:tr>
        <w:trPr>
          <w:trHeight w:val="238"/>
        </w:trPr>
        <w:tc>
          <w:tcPr>
            <w:tcW w:w="2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80" w:type="dxa"/>
            <w:vAlign w:val="bottom"/>
            <w:tcBorders>
              <w:bottom w:val="single" w:sz="8" w:color="auto"/>
            </w:tcBorders>
          </w:tcPr>
          <w:p>
            <w:pPr>
              <w:spacing w:after="0"/>
              <w:rPr>
                <w:sz w:val="20"/>
                <w:szCs w:val="20"/>
                <w:color w:val="auto"/>
              </w:rPr>
            </w:pPr>
          </w:p>
        </w:tc>
      </w:tr>
      <w:tr>
        <w:trPr>
          <w:trHeight w:val="223"/>
        </w:trPr>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Borders>
              <w:bottom w:val="single" w:sz="8" w:color="auto"/>
            </w:tcBorders>
          </w:tcPr>
          <w:p>
            <w:pPr>
              <w:spacing w:after="0"/>
              <w:rPr>
                <w:sz w:val="19"/>
                <w:szCs w:val="19"/>
                <w:color w:val="auto"/>
              </w:rPr>
            </w:pPr>
          </w:p>
        </w:tc>
      </w:tr>
      <w:tr>
        <w:trPr>
          <w:trHeight w:val="223"/>
        </w:trPr>
        <w:tc>
          <w:tcPr>
            <w:tcW w:w="2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8"/>
        </w:trPr>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5"/>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1"/>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 insurance premiums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processing</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and communication</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Foreclosed assets, net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3,458</w:t>
            </w:r>
          </w:p>
        </w:tc>
      </w:tr>
      <w:tr>
        <w:trPr>
          <w:trHeight w:val="27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2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non-interest expenses were driven by the following:</w:t>
      </w:r>
    </w:p>
    <w:p>
      <w:pPr>
        <w:spacing w:after="0" w:line="1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Salary and Employee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Salary and employee benefit costs increased for the three months ended September 30, 2020 compared to the same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2019 primarily due to the overall increase in employee count. Salary and employee benefit costs decreased slightly for the nine month periods ended September 30, 2020 compared to the same corresponding period in 2019 primarily due to lower incentive compensation expenses. The reduction was partially offset by a slight increase in full-time equivalent employees. As a result of the COVID-19 pandemic, the Company focused on optimizing staffing levels. As a result, the Company anticipates salary costs will decrease slightly during the remainder of the year.</w:t>
      </w:r>
    </w:p>
    <w:p>
      <w:pPr>
        <w:spacing w:after="0" w:line="12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Professional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Professional fees increased for both the three and nine month periods ended September 30, 2020 compared to the same corresponding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periods in 2019 primarily from an increase in legal fees as a result of PPP loans and loan workouts. In addition, the Company incurred fees related to the CEO transition that increased the expense for the three and nine month periods ended September 30, 2020. The Company’s accounting fees increased in 2020 compared to 2019 due to asset growth and the transition from private to a public company.</w:t>
      </w:r>
    </w:p>
    <w:p>
      <w:pPr>
        <w:spacing w:after="0" w:line="12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Deposit Insurance Premiums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FDIC uses a risk-based premium system to calculate the quarterly fee. Our premiums increased for both the three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nine month periods ended September 30, 2020 compared to the same corresponding periods in 2019 as a result of strong asset growth, changes to loan mix, and changes in capital ratios, all of which increased our quarterly fee.</w:t>
      </w:r>
    </w:p>
    <w:p>
      <w:pPr>
        <w:spacing w:after="0" w:line="117"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Advertising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decline in advertising costs for the three and nine month periods ended September 30, 2020 primarily resulted from the COVID-19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pandemic. In addition, the year-to-date decline resulted from the Company’s completion of its rebranding campaign that increased the 2019 expense by approximately $184 thousand.</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Foreclosed Assets,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increase in foreclosed assets, net for the three and nine month periods ended September 30, 2020 compared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periods in 2019 primarily resulted from new appraisals obtained that resulted in a $1 million valuation adjustment during the second quarter of 2020.</w:t>
      </w:r>
    </w:p>
    <w:p>
      <w:pPr>
        <w:spacing w:after="0" w:line="117"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Goodwill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Company performed an interim review for goodwill impairment at June 30, 2020. A quantitative review was performed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Tulsa market reporting unit, using a combination of income and market based approaches. The capitalization of earnings, an income approach, used a single period of cash flows, adjusted for growth and a capitalization rate. The market approach used price-to-book multiples of peer banks and included a control premium. The reporting unit’s fair value was less than its book value and resulted in a $7 million impairment, representing the total value of goodwill previously reported during the quarter ended June 30, 2020. See “Note 6: Goodwill and Core Deposit Intangible” within the Unaudited Notes to the Financial Statements for more information.</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66" w:lineRule="exact"/>
        <w:rPr>
          <w:sz w:val="20"/>
          <w:szCs w:val="20"/>
          <w:color w:val="auto"/>
        </w:rPr>
      </w:pPr>
    </w:p>
    <w:p>
      <w:pPr>
        <w:ind w:left="180" w:right="60" w:firstLine="486"/>
        <w:spacing w:after="0" w:line="261" w:lineRule="auto"/>
        <w:rPr>
          <w:sz w:val="20"/>
          <w:szCs w:val="20"/>
          <w:color w:val="auto"/>
        </w:rPr>
      </w:pPr>
      <w:r>
        <w:rPr>
          <w:rFonts w:ascii="Times New Roman" w:cs="Times New Roman" w:eastAsia="Times New Roman" w:hAnsi="Times New Roman"/>
          <w:sz w:val="18"/>
          <w:szCs w:val="18"/>
          <w:color w:val="auto"/>
        </w:rPr>
        <w:t>Our income tax expense (benefit) differs from the amount that would be calculated using the federal statutory tax rate, primarily from investments in tax advantaged assets, including bank-owned life insurance, tax-exempt municipal securities and tax credit bonds; state tax credits; and permanent tax differences from goodwill impairment and equity-based compensation. Refer to Note 11: Income Tax within the Notes to the Unaudited Financial Statements for more information.</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Analysis of Financial Condition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Securities Portfolio</w:t>
      </w:r>
    </w:p>
    <w:p>
      <w:pPr>
        <w:spacing w:after="0" w:line="166" w:lineRule="exact"/>
        <w:rPr>
          <w:sz w:val="20"/>
          <w:szCs w:val="20"/>
          <w:color w:val="auto"/>
        </w:rPr>
      </w:pPr>
    </w:p>
    <w:p>
      <w:pPr>
        <w:ind w:left="180" w:right="120" w:firstLine="486"/>
        <w:spacing w:after="0" w:line="258" w:lineRule="auto"/>
        <w:rPr>
          <w:sz w:val="20"/>
          <w:szCs w:val="20"/>
          <w:color w:val="auto"/>
        </w:rPr>
      </w:pPr>
      <w:r>
        <w:rPr>
          <w:rFonts w:ascii="Times New Roman" w:cs="Times New Roman" w:eastAsia="Times New Roman" w:hAnsi="Times New Roman"/>
          <w:sz w:val="18"/>
          <w:szCs w:val="18"/>
          <w:color w:val="auto"/>
        </w:rPr>
        <w:t>The securities portfolio is maintained to serve as a contingent, on-balance sheet source of liquidity. The objective of the investment portfolio is to optimize earnings, manage credit and interest rate risk, ensure adequate liquidity, and meet pledging and regulatory capital requirements. As of September 30, 2020, available-for-sale investments totaled $652 million, an $89 million decrease from December 31, 2019. Our securities portfolio declined due to the sale of securities showing signs of credit stress, faster prepayments and low reinvestment yield options. For additional information, see “Note 3: Securities” in the Notes to the Unaudited Consolidated Financial Statements.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Loan Portfolio</w:t>
      </w:r>
    </w:p>
    <w:p>
      <w:pPr>
        <w:spacing w:after="0" w:line="166" w:lineRule="exact"/>
        <w:rPr>
          <w:sz w:val="20"/>
          <w:szCs w:val="20"/>
          <w:color w:val="auto"/>
        </w:rPr>
      </w:pPr>
    </w:p>
    <w:p>
      <w:pPr>
        <w:ind w:left="180" w:right="20" w:firstLine="486"/>
        <w:spacing w:after="0" w:line="266" w:lineRule="auto"/>
        <w:rPr>
          <w:sz w:val="20"/>
          <w:szCs w:val="20"/>
          <w:color w:val="auto"/>
        </w:rPr>
      </w:pPr>
      <w:r>
        <w:rPr>
          <w:rFonts w:ascii="Times New Roman" w:cs="Times New Roman" w:eastAsia="Times New Roman" w:hAnsi="Times New Roman"/>
          <w:sz w:val="18"/>
          <w:szCs w:val="18"/>
          <w:color w:val="auto"/>
        </w:rPr>
        <w:t>Refer to “Note 4: Loans and Allowance for Loan Losses (“ALLL”)” within the Unaudited Notes to the Consolidated Financial Statements for additional information regarding the Company’s loan portfolio. As of September 30, 2020 gross loans increased $631 million or 16% from December 31, 2019 and was driven by the following:</w:t>
      </w:r>
    </w:p>
    <w:p>
      <w:pPr>
        <w:spacing w:after="0" w:line="122" w:lineRule="exact"/>
        <w:rPr>
          <w:sz w:val="20"/>
          <w:szCs w:val="20"/>
          <w:color w:val="auto"/>
        </w:rPr>
      </w:pPr>
    </w:p>
    <w:p>
      <w:pPr>
        <w:ind w:left="180" w:right="260" w:hanging="10"/>
        <w:spacing w:after="0" w:line="266" w:lineRule="auto"/>
        <w:tabs>
          <w:tab w:leader="none" w:pos="555" w:val="left"/>
        </w:tabs>
        <w:numPr>
          <w:ilvl w:val="0"/>
          <w:numId w:val="1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 The Company funded PPP loans in the second quarter of 2020 as a result of the COVID-19 pandemic. At September 30, 2020 PPP loans represented 58% of the net loan growth from December 31, 2019. The loans are guaranteed by the SBA, earn interest at 1.00%, and include a fee. The PPP loans will decline as the SBA forgives the loans and provides repayment to the Bank.</w:t>
      </w:r>
    </w:p>
    <w:p>
      <w:pPr>
        <w:spacing w:after="0" w:line="118" w:lineRule="exact"/>
        <w:rPr>
          <w:sz w:val="20"/>
          <w:szCs w:val="20"/>
          <w:color w:val="auto"/>
        </w:rPr>
      </w:pPr>
    </w:p>
    <w:p>
      <w:pPr>
        <w:ind w:left="180" w:right="26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Residential Real Estate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$219 million or 55% increase between December 31, 2019 and September 30, 2020 was from developing relationships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key residential and multifamily real estate developers in our markets. The increase from December 31, 2019 included new loan funding of approximately $113 million with the remaining growth coming from existing loan relationships.</w:t>
      </w:r>
    </w:p>
    <w:p>
      <w:pPr>
        <w:spacing w:after="0" w:line="117" w:lineRule="exact"/>
        <w:rPr>
          <w:sz w:val="20"/>
          <w:szCs w:val="20"/>
          <w:color w:val="auto"/>
        </w:rPr>
      </w:pPr>
    </w:p>
    <w:p>
      <w:pPr>
        <w:jc w:val="both"/>
        <w:ind w:left="180" w:right="120"/>
        <w:spacing w:after="0" w:line="291" w:lineRule="auto"/>
        <w:rPr>
          <w:sz w:val="20"/>
          <w:szCs w:val="20"/>
          <w:color w:val="auto"/>
        </w:rPr>
      </w:pPr>
      <w:r>
        <w:rPr>
          <w:rFonts w:ascii="Times New Roman" w:cs="Times New Roman" w:eastAsia="Times New Roman" w:hAnsi="Times New Roman"/>
          <w:sz w:val="17"/>
          <w:szCs w:val="17"/>
          <w:b w:val="1"/>
          <w:bCs w:val="1"/>
          <w:u w:val="single" w:color="auto"/>
          <w:color w:val="auto"/>
        </w:rPr>
        <w:t>Commercial Real Estate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The $172 million or 17% increase was driven by activity in our Dallas and Kansas City markets. Approximately 75%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portfolio is located in Kansas, Missouri, Oklahoma, and Texas. Texas, our largest state concentration, represented approximately 29% of the portfolio as of September 30, 2020. The portfolio remains well diversified with growth in the office space, industrial, and senior living sectors, among others.</w:t>
      </w:r>
    </w:p>
    <w:p>
      <w:pPr>
        <w:spacing w:after="0" w:line="45" w:lineRule="exact"/>
        <w:rPr>
          <w:sz w:val="20"/>
          <w:szCs w:val="20"/>
          <w:color w:val="auto"/>
        </w:rPr>
      </w:pPr>
    </w:p>
    <w:p>
      <w:pPr>
        <w:ind w:left="180" w:right="1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Our energy portfolio declined $24 million or 6% from December 31, 2019 to September 30, 2020. The Company expects the energy portfolio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decline further as part of management’s strategy to lower our oil and gas loan concentrations.</w:t>
      </w:r>
    </w:p>
    <w:p>
      <w:pPr>
        <w:spacing w:after="0" w:line="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Declines resulted from increased pay downs and charge-offs.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Provision and Allowance for Loan Losses (“ALLL”)</w:t>
      </w:r>
    </w:p>
    <w:p>
      <w:pPr>
        <w:spacing w:after="0" w:line="166" w:lineRule="exact"/>
        <w:rPr>
          <w:sz w:val="20"/>
          <w:szCs w:val="20"/>
          <w:color w:val="auto"/>
        </w:rPr>
      </w:pPr>
    </w:p>
    <w:p>
      <w:pPr>
        <w:ind w:left="180" w:firstLine="486"/>
        <w:spacing w:after="0" w:line="258" w:lineRule="auto"/>
        <w:rPr>
          <w:sz w:val="20"/>
          <w:szCs w:val="20"/>
          <w:color w:val="auto"/>
        </w:rPr>
      </w:pPr>
      <w:r>
        <w:rPr>
          <w:rFonts w:ascii="Times New Roman" w:cs="Times New Roman" w:eastAsia="Times New Roman" w:hAnsi="Times New Roman"/>
          <w:sz w:val="18"/>
          <w:szCs w:val="18"/>
          <w:color w:val="auto"/>
        </w:rPr>
        <w:t>There are significant uncertainties regarding the ultimate effects of the COVID-19 pandemic. Depending upon the extent and duration of the future impact of the COVID-19 pandemic, we may need to make additional increases to our provision for loan losses in future periods. To the extent the pandemic continues to cause a recession or decrease economic activity for an extended time period, we expect our business and operations will be negatively impacted. Customers may seek additional loan modifications or restructuring, or we may experience adverse movement in risk classifications, any of which could potentially result in the need to increase provisions and impact the ALLL.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right="300" w:firstLine="486"/>
        <w:spacing w:after="0" w:line="261" w:lineRule="auto"/>
        <w:rPr>
          <w:sz w:val="20"/>
          <w:szCs w:val="20"/>
          <w:color w:val="auto"/>
        </w:rPr>
      </w:pPr>
      <w:r>
        <w:rPr>
          <w:rFonts w:ascii="Times New Roman" w:cs="Times New Roman" w:eastAsia="Times New Roman" w:hAnsi="Times New Roman"/>
          <w:sz w:val="18"/>
          <w:szCs w:val="18"/>
          <w:color w:val="auto"/>
        </w:rPr>
        <w:t>Refer to “Note 4: Loans and Allowance for Loan Losses (“ALLL”)” within the Unaudited Notes to the Consolidated Financial Statements for information regarding the Company’s ALLL process. The ALLL at September 30, 2020, represents our best estimate of the incurred credit losses inherent in the loan portfolio at that date. The allocation in one portfolio segment does not preclude its availability to absorb losses in other segments. The table below presents the allocation of the allowance for loan losses as of the dates indicated:</w:t>
      </w:r>
    </w:p>
    <w:tbl>
      <w:tblPr>
        <w:tblLayout w:type="fixed"/>
        <w:tblInd w:w="16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0" w:type="dxa"/>
            <w:vAlign w:val="bottom"/>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340" w:type="dxa"/>
            <w:vAlign w:val="bottom"/>
          </w:tcPr>
          <w:p>
            <w:pPr>
              <w:spacing w:after="0"/>
              <w:rPr>
                <w:sz w:val="20"/>
                <w:szCs w:val="20"/>
                <w:color w:val="auto"/>
              </w:rPr>
            </w:pPr>
          </w:p>
        </w:tc>
        <w:tc>
          <w:tcPr>
            <w:tcW w:w="3720" w:type="dxa"/>
            <w:vAlign w:val="bottom"/>
            <w:gridSpan w:val="3"/>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Percent of Allowance to</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2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Percent of Allowance to</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vMerge w:val="continue"/>
          </w:tcPr>
          <w:p>
            <w:pPr>
              <w:spacing w:after="0"/>
              <w:rPr>
                <w:sz w:val="19"/>
                <w:szCs w:val="19"/>
                <w:color w:val="auto"/>
              </w:rPr>
            </w:pPr>
          </w:p>
        </w:tc>
        <w:tc>
          <w:tcPr>
            <w:tcW w:w="23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Total Allowance</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vMerge w:val="continue"/>
          </w:tcPr>
          <w:p>
            <w:pPr>
              <w:spacing w:after="0"/>
              <w:rPr>
                <w:sz w:val="19"/>
                <w:szCs w:val="19"/>
                <w:color w:val="auto"/>
              </w:rPr>
            </w:pPr>
          </w:p>
        </w:tc>
        <w:tc>
          <w:tcPr>
            <w:tcW w:w="2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 Allowance</w:t>
            </w:r>
          </w:p>
        </w:tc>
        <w:tc>
          <w:tcPr>
            <w:tcW w:w="0" w:type="dxa"/>
            <w:vAlign w:val="bottom"/>
          </w:tcPr>
          <w:p>
            <w:pPr>
              <w:spacing w:after="0"/>
              <w:rPr>
                <w:sz w:val="1"/>
                <w:szCs w:val="1"/>
                <w:color w:val="auto"/>
              </w:rPr>
            </w:pPr>
          </w:p>
        </w:tc>
      </w:tr>
      <w:tr>
        <w:trPr>
          <w:trHeight w:val="208"/>
        </w:trPr>
        <w:tc>
          <w:tcPr>
            <w:tcW w:w="2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60" w:type="dxa"/>
            <w:vAlign w:val="bottom"/>
            <w:gridSpan w:val="5"/>
          </w:tcPr>
          <w:p>
            <w:pPr>
              <w:ind w:left="15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28,203</w:t>
            </w:r>
          </w:p>
        </w:tc>
        <w:tc>
          <w:tcPr>
            <w:tcW w:w="8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35,864</w:t>
            </w:r>
          </w:p>
        </w:tc>
        <w:tc>
          <w:tcPr>
            <w:tcW w:w="100" w:type="dxa"/>
            <w:vAlign w:val="bottom"/>
            <w:shd w:val="clear" w:color="auto" w:fill="CCEEFF"/>
          </w:tcPr>
          <w:p>
            <w:pPr>
              <w:spacing w:after="0"/>
              <w:rPr>
                <w:sz w:val="20"/>
                <w:szCs w:val="20"/>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19,540</w:t>
            </w:r>
          </w:p>
        </w:tc>
        <w:tc>
          <w:tcPr>
            <w:tcW w:w="80" w:type="dxa"/>
            <w:vAlign w:val="bottom"/>
          </w:tcPr>
          <w:p>
            <w:pPr>
              <w:spacing w:after="0"/>
              <w:rPr>
                <w:sz w:val="19"/>
                <w:szCs w:val="19"/>
                <w:color w:val="auto"/>
              </w:rPr>
            </w:pPr>
          </w:p>
        </w:tc>
        <w:tc>
          <w:tcPr>
            <w:tcW w:w="2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00" w:type="dxa"/>
            <w:vAlign w:val="bottom"/>
          </w:tcPr>
          <w:p>
            <w:pPr>
              <w:spacing w:after="0"/>
              <w:rPr>
                <w:sz w:val="19"/>
                <w:szCs w:val="19"/>
                <w:color w:val="auto"/>
              </w:rPr>
            </w:pPr>
          </w:p>
        </w:tc>
        <w:tc>
          <w:tcPr>
            <w:tcW w:w="2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80" w:type="dxa"/>
            <w:vAlign w:val="bottom"/>
          </w:tcPr>
          <w:p>
            <w:pPr>
              <w:spacing w:after="0"/>
              <w:rPr>
                <w:sz w:val="19"/>
                <w:szCs w:val="19"/>
                <w:color w:val="auto"/>
              </w:rPr>
            </w:pPr>
          </w:p>
        </w:tc>
        <w:tc>
          <w:tcPr>
            <w:tcW w:w="2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Pr>
          <w:p>
            <w:pPr>
              <w:spacing w:after="0"/>
              <w:rPr>
                <w:sz w:val="19"/>
                <w:szCs w:val="19"/>
                <w:color w:val="auto"/>
              </w:rPr>
            </w:pPr>
          </w:p>
        </w:tc>
        <w:tc>
          <w:tcPr>
            <w:tcW w:w="2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3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shd w:val="clear" w:color="auto" w:fill="CCEEFF"/>
          </w:tcPr>
          <w:p>
            <w:pPr>
              <w:spacing w:after="0"/>
              <w:rPr>
                <w:sz w:val="23"/>
                <w:szCs w:val="23"/>
                <w:color w:val="auto"/>
              </w:rPr>
            </w:pPr>
          </w:p>
        </w:tc>
        <w:tc>
          <w:tcPr>
            <w:tcW w:w="22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23"/>
                <w:szCs w:val="23"/>
                <w:color w:val="auto"/>
              </w:rPr>
            </w:pPr>
          </w:p>
        </w:tc>
        <w:tc>
          <w:tcPr>
            <w:tcW w:w="2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loans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76,035</w:t>
            </w:r>
          </w:p>
        </w:tc>
        <w:tc>
          <w:tcPr>
            <w:tcW w:w="80" w:type="dxa"/>
            <w:vAlign w:val="bottom"/>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56,896</w:t>
            </w:r>
          </w:p>
        </w:tc>
        <w:tc>
          <w:tcPr>
            <w:tcW w:w="100" w:type="dxa"/>
            <w:vAlign w:val="bottom"/>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Activity in the allowance for loan losses is presented in the following table:</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342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9"/>
                <w:szCs w:val="19"/>
                <w:color w:val="auto"/>
              </w:rPr>
            </w:pPr>
          </w:p>
        </w:tc>
        <w:tc>
          <w:tcPr>
            <w:tcW w:w="296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3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23"/>
        </w:trPr>
        <w:tc>
          <w:tcPr>
            <w:tcW w:w="43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8"/>
        </w:trPr>
        <w:tc>
          <w:tcPr>
            <w:tcW w:w="4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60" w:type="dxa"/>
            <w:vAlign w:val="bottom"/>
            <w:gridSpan w:val="5"/>
          </w:tcPr>
          <w:p>
            <w:pPr>
              <w:ind w:left="3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loan losses:</w:t>
            </w: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71,185</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56,896</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37,826</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r>
      <w:tr>
        <w:trPr>
          <w:trHeight w:val="230"/>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10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w:t>
            </w:r>
          </w:p>
        </w:tc>
        <w:tc>
          <w:tcPr>
            <w:tcW w:w="10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charge-offs</w:t>
            </w:r>
          </w:p>
        </w:tc>
        <w:tc>
          <w:tcPr>
            <w:tcW w:w="10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(26,773)</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10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30"/>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recoveries</w:t>
            </w:r>
          </w:p>
        </w:tc>
        <w:tc>
          <w:tcPr>
            <w:tcW w:w="10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(charge-offs) recoveries</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76,035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76,035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42,995</w:t>
            </w:r>
          </w:p>
        </w:tc>
      </w:tr>
      <w:tr>
        <w:trPr>
          <w:trHeight w:val="20"/>
        </w:trPr>
        <w:tc>
          <w:tcPr>
            <w:tcW w:w="4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discussion of the changes in the ALLL is provided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Charge-offs and Recoveries:</w:t>
      </w:r>
    </w:p>
    <w:p>
      <w:pPr>
        <w:spacing w:after="0" w:line="166" w:lineRule="exact"/>
        <w:rPr>
          <w:sz w:val="20"/>
          <w:szCs w:val="20"/>
          <w:color w:val="auto"/>
        </w:rPr>
      </w:pPr>
    </w:p>
    <w:p>
      <w:pPr>
        <w:ind w:left="180" w:firstLine="486"/>
        <w:spacing w:after="0" w:line="256" w:lineRule="auto"/>
        <w:rPr>
          <w:sz w:val="20"/>
          <w:szCs w:val="20"/>
          <w:color w:val="auto"/>
        </w:rPr>
      </w:pPr>
      <w:r>
        <w:rPr>
          <w:rFonts w:ascii="Times New Roman" w:cs="Times New Roman" w:eastAsia="Times New Roman" w:hAnsi="Times New Roman"/>
          <w:sz w:val="18"/>
          <w:szCs w:val="18"/>
          <w:color w:val="auto"/>
        </w:rPr>
        <w:t>During the quarter ended September 30, 2020, the Company charged-off $6 million related to a commercial loan as part of a restructuring plan. The majority of the charge-off was not previously reserved for resulting in an increase to the quarterly provision. For the quarter ended June 30, 2020, the Company charged-off one energy loan that was classified for several years. During the quarter ended March 31, 2020, net charge-offs included an $18 million charge-off related to a previously disclosed non-performing, commercial loan. The commercial loan had a specific reserve associated with it as of December 31, 2019, resulting in a limited impact to the first quarter 2020 provision. In addition, the Company charged off $1 million related to one oil exploration and production credit.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right="100" w:firstLine="486"/>
        <w:spacing w:after="0" w:line="282" w:lineRule="auto"/>
        <w:rPr>
          <w:sz w:val="20"/>
          <w:szCs w:val="20"/>
          <w:color w:val="auto"/>
        </w:rPr>
      </w:pPr>
      <w:r>
        <w:rPr>
          <w:rFonts w:ascii="Times New Roman" w:cs="Times New Roman" w:eastAsia="Times New Roman" w:hAnsi="Times New Roman"/>
          <w:sz w:val="18"/>
          <w:szCs w:val="18"/>
          <w:color w:val="auto"/>
        </w:rPr>
        <w:t>For the three and nine month periods ended September 30, 2019, net charge-offs primarily related to one energy relationship and one commercial loan relationship.</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Substandard, Accruing Loans:</w:t>
      </w:r>
    </w:p>
    <w:p>
      <w:pPr>
        <w:spacing w:after="0" w:line="166" w:lineRule="exact"/>
        <w:rPr>
          <w:sz w:val="20"/>
          <w:szCs w:val="20"/>
          <w:color w:val="auto"/>
        </w:rPr>
      </w:pPr>
    </w:p>
    <w:p>
      <w:pPr>
        <w:ind w:left="180" w:right="180" w:firstLine="486"/>
        <w:spacing w:after="0" w:line="261" w:lineRule="auto"/>
        <w:rPr>
          <w:sz w:val="20"/>
          <w:szCs w:val="20"/>
          <w:color w:val="auto"/>
        </w:rPr>
      </w:pPr>
      <w:r>
        <w:rPr>
          <w:rFonts w:ascii="Times New Roman" w:cs="Times New Roman" w:eastAsia="Times New Roman" w:hAnsi="Times New Roman"/>
          <w:sz w:val="18"/>
          <w:szCs w:val="18"/>
          <w:color w:val="auto"/>
        </w:rPr>
        <w:t>Prior to June 30, 2020, loans risk rated substandard or lower were considered impaired and evaluated on an individual basis. Subsequent to June 30, 2020 loans risk rated substandard and on accrual were evaluated collectively. The change in approach provided a better estimate of potential losses inherent in the substandard portfolio. Substandard, accruing loans totaled $200 million at June 30, 2020 and $224 million at September 30, 2020. The linked quarter change increased the ALLL by approximately $2 million.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Grade Migration:</w:t>
      </w:r>
    </w:p>
    <w:p>
      <w:pPr>
        <w:spacing w:after="0" w:line="166" w:lineRule="exact"/>
        <w:rPr>
          <w:sz w:val="20"/>
          <w:szCs w:val="20"/>
          <w:color w:val="auto"/>
        </w:rPr>
      </w:pPr>
    </w:p>
    <w:p>
      <w:pPr>
        <w:jc w:val="both"/>
        <w:ind w:left="180" w:right="120" w:firstLine="486"/>
        <w:spacing w:after="0" w:line="266" w:lineRule="auto"/>
        <w:rPr>
          <w:sz w:val="20"/>
          <w:szCs w:val="20"/>
          <w:color w:val="auto"/>
        </w:rPr>
      </w:pPr>
      <w:r>
        <w:rPr>
          <w:rFonts w:ascii="Times New Roman" w:cs="Times New Roman" w:eastAsia="Times New Roman" w:hAnsi="Times New Roman"/>
          <w:sz w:val="18"/>
          <w:szCs w:val="18"/>
          <w:color w:val="auto"/>
        </w:rPr>
        <w:t>The Company downgraded approximately $833 million of loans between December 31, 2019 and September 30, 2020, including $731 million in the second quarter of 2020, representing 17% of the June 30, 2020 loan portfolio. Downgrades primarily resulted from the COVID-19 pandemic, lower economic activity, and lower oil and gas prices. Loan categories significantly impacted by downgrades are discussed below.</w:t>
      </w:r>
    </w:p>
    <w:p>
      <w:pPr>
        <w:spacing w:after="0" w:line="118" w:lineRule="exact"/>
        <w:rPr>
          <w:sz w:val="20"/>
          <w:szCs w:val="20"/>
          <w:color w:val="auto"/>
        </w:rPr>
      </w:pPr>
    </w:p>
    <w:p>
      <w:pPr>
        <w:ind w:left="180" w:right="40"/>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increase in supply realized during the first quarter and decrease in demand for oil and natural gas created by the COVID-19 pandemic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placed considerable pricing volatility and uncertainty in the market during the first quarter of 2020. As a result, a qualitative adjustment was made on the energy portfolio that increased the ALLL by $2 million from December 31, 2019 to March 31, 2020. The Company monitored borrowers’ reactions to the lower oil and gas prices during the second quarter of 2020. As a result, $239 million of energy loans were downgraded, including $85 million downgraded to substandard and accruing in the second quarter of 2020. The downgrades increased the ALLL by approximately $9 million during the second quarter of 2020. The downgrades were partially offset by removing energy’s qualitative factor added in the first quarter of 2020. In the third quarter of 2020, the Company downgraded $75 million of energy loans that increased the ALLL by $2 million.</w:t>
      </w:r>
    </w:p>
    <w:p>
      <w:pPr>
        <w:spacing w:after="0" w:line="75" w:lineRule="exact"/>
        <w:rPr>
          <w:sz w:val="20"/>
          <w:szCs w:val="20"/>
          <w:color w:val="auto"/>
        </w:rPr>
      </w:pPr>
    </w:p>
    <w:p>
      <w:pPr>
        <w:ind w:left="180" w:right="12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Commercial Real Estate (“CRE”)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decline in economic activity in the first half of 2020 impacted our CRE borrowers. During the second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2020, the Company downgraded $300 million of commercial real estate loans, including $240 million downgraded to watch, within our pass rated loan category, and $22 million downgraded to substandard and accruing. The downgrades increased the ALLL by approximately $4 million during the second quarter of 2020. During the third quarter of 2020, the Company downgraded $34 million of CRE loans that had a limited impact on the ALLL. The remaining increase in the ALLL during 2020 was primarily the result of changes in impaired loan reserves and increases in quantitative and qualitative factors on pass-rated loans.</w:t>
      </w:r>
    </w:p>
    <w:p>
      <w:pPr>
        <w:spacing w:after="0" w:line="74" w:lineRule="exact"/>
        <w:rPr>
          <w:sz w:val="20"/>
          <w:szCs w:val="20"/>
          <w:color w:val="auto"/>
        </w:rPr>
      </w:pPr>
    </w:p>
    <w:p>
      <w:pPr>
        <w:ind w:left="18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decline in economic activity in the first half of 2020 significantly impacted supply and demand for products and services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portfolio. As a result, $35 million of commercial loans were downgraded in the first quarter of 2020. $170 million of loans were downgraded in the second quarter of 2020, including $41 million of loans listed as substandard and accruing. The downgrades increased the ALLL by approximately $3 million from December 31, 2019 to June 30, 2020. In addition, substandard, accruing loans evaluated on an individual basis at March 31, 2020 that were evaluated collectively at June 30, 2020, increased the ALLL by $3 million. During the third quarter of 2020, $80 million of commercial loans were downgraded that increased the ALLL by $1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Impaired Loans and Other Factors:</w:t>
      </w:r>
    </w:p>
    <w:p>
      <w:pPr>
        <w:spacing w:after="0" w:line="166" w:lineRule="exact"/>
        <w:rPr>
          <w:sz w:val="20"/>
          <w:szCs w:val="20"/>
          <w:color w:val="auto"/>
        </w:rPr>
      </w:pPr>
    </w:p>
    <w:p>
      <w:pPr>
        <w:ind w:left="180" w:right="60" w:firstLine="486"/>
        <w:spacing w:after="0" w:line="266" w:lineRule="auto"/>
        <w:rPr>
          <w:sz w:val="20"/>
          <w:szCs w:val="20"/>
          <w:color w:val="auto"/>
        </w:rPr>
      </w:pPr>
      <w:r>
        <w:rPr>
          <w:rFonts w:ascii="Times New Roman" w:cs="Times New Roman" w:eastAsia="Times New Roman" w:hAnsi="Times New Roman"/>
          <w:sz w:val="18"/>
          <w:szCs w:val="18"/>
          <w:color w:val="auto"/>
        </w:rPr>
        <w:t>For the nine month period ended September 30, 2020, the impaired loan portfolio increased the ALLL by $2 million after taking out the impact of the charge-offs mentioned above. For the nine months ended September 30, 2020, changes in qualitative and quantitative rates on pass rated loans increased the ALLL by $5 million due to declines in economic activity and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Nonperforming Assets and Other Asset Quality Metrics</w:t>
      </w:r>
    </w:p>
    <w:p>
      <w:pPr>
        <w:spacing w:after="0" w:line="166" w:lineRule="exact"/>
        <w:rPr>
          <w:sz w:val="20"/>
          <w:szCs w:val="20"/>
          <w:color w:val="auto"/>
        </w:rPr>
      </w:pPr>
    </w:p>
    <w:p>
      <w:pPr>
        <w:jc w:val="both"/>
        <w:ind w:left="180" w:right="240" w:firstLine="486"/>
        <w:spacing w:after="0" w:line="266" w:lineRule="auto"/>
        <w:rPr>
          <w:sz w:val="20"/>
          <w:szCs w:val="20"/>
          <w:color w:val="auto"/>
        </w:rPr>
      </w:pPr>
      <w:r>
        <w:rPr>
          <w:rFonts w:ascii="Times New Roman" w:cs="Times New Roman" w:eastAsia="Times New Roman" w:hAnsi="Times New Roman"/>
          <w:sz w:val="18"/>
          <w:szCs w:val="18"/>
          <w:color w:val="auto"/>
        </w:rPr>
        <w:t>Nonperforming assets include: (i) Nonperforming loans - includes non-accrual loans, loans past due 90 days or more and still accruing interest, and loans modified under troubled debt restructurings (“TDRs”) that are not performing in accordance with their modified terms; (ii) foreclosed assets held for sale; (iii) repossessed assets; and (iv) impaired securities.</w:t>
      </w:r>
    </w:p>
    <w:p>
      <w:pPr>
        <w:spacing w:after="0" w:line="122" w:lineRule="exact"/>
        <w:rPr>
          <w:sz w:val="20"/>
          <w:szCs w:val="20"/>
          <w:color w:val="auto"/>
        </w:rPr>
      </w:pPr>
    </w:p>
    <w:p>
      <w:pPr>
        <w:ind w:left="180" w:right="60" w:firstLine="486"/>
        <w:spacing w:after="0" w:line="255" w:lineRule="auto"/>
        <w:rPr>
          <w:sz w:val="20"/>
          <w:szCs w:val="20"/>
          <w:color w:val="auto"/>
        </w:rPr>
      </w:pPr>
      <w:r>
        <w:rPr>
          <w:rFonts w:ascii="Times New Roman" w:cs="Times New Roman" w:eastAsia="Times New Roman" w:hAnsi="Times New Roman"/>
          <w:sz w:val="18"/>
          <w:szCs w:val="18"/>
          <w:color w:val="auto"/>
        </w:rPr>
        <w:t>Nonaccrual loans increased $38 million during the quarter ended September 30, 2020. The increase included a commercial loan participation restructured in the fourth quarter of 2020, a commercial real estate loan impacted by the COVID-19 pandemic, and an energy loan impacted by low oil prices. As part of the commercial loan restructured in the fourth quarter of 2020, the Company took an ownership position in the borrower that reduced the overall loan balance. The reduction in the loan balance should allow the borrower to pay all principal and interest when due and was placed back on accrual status during the fourth quarter of 2020. During the second quarter of 2020, nonaccrual loans increased primarily from energy loans that did not meet the criteria to be modified under the CARES Act. The $4 million increase in loans past due 90 days or more and still accruing primarily related to a residential real estate loan that was in the process of refinancing.</w:t>
      </w:r>
    </w:p>
    <w:p>
      <w:pPr>
        <w:spacing w:after="0" w:line="135" w:lineRule="exact"/>
        <w:rPr>
          <w:sz w:val="20"/>
          <w:szCs w:val="20"/>
          <w:color w:val="auto"/>
        </w:rPr>
      </w:pPr>
    </w:p>
    <w:p>
      <w:pPr>
        <w:ind w:left="180" w:right="20" w:firstLine="486"/>
        <w:spacing w:after="0" w:line="282" w:lineRule="auto"/>
        <w:rPr>
          <w:sz w:val="20"/>
          <w:szCs w:val="20"/>
          <w:color w:val="auto"/>
        </w:rPr>
      </w:pPr>
      <w:r>
        <w:rPr>
          <w:rFonts w:ascii="Times New Roman" w:cs="Times New Roman" w:eastAsia="Times New Roman" w:hAnsi="Times New Roman"/>
          <w:sz w:val="18"/>
          <w:szCs w:val="18"/>
          <w:color w:val="auto"/>
        </w:rPr>
        <w:t>Our nonperforming assets at September 30, 2020 increased by $35 million, as compared to September 30, 2019 primarily related to the nonaccrual loan changes mentioned above, offset by an $18 million charge-off on a commercial loan that occurred in the first quarter of 2020.</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our nonperforming assets and related ratios as of the dates indicated:</w:t>
      </w:r>
    </w:p>
    <w:p>
      <w:pPr>
        <w:spacing w:after="0" w:line="185"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7"/>
                <w:szCs w:val="17"/>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7"/>
                <w:szCs w:val="17"/>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5"/>
        </w:trPr>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75,560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37,534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26,255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39,675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43,626</w:t>
            </w:r>
          </w:p>
        </w:tc>
        <w:tc>
          <w:tcPr>
            <w:tcW w:w="0" w:type="dxa"/>
            <w:vAlign w:val="bottom"/>
          </w:tcPr>
          <w:p>
            <w:pPr>
              <w:spacing w:after="0"/>
              <w:rPr>
                <w:sz w:val="1"/>
                <w:szCs w:val="1"/>
                <w:color w:val="auto"/>
              </w:rPr>
            </w:pPr>
          </w:p>
        </w:tc>
      </w:tr>
      <w:tr>
        <w:trPr>
          <w:trHeight w:val="176"/>
        </w:trPr>
        <w:tc>
          <w:tcPr>
            <w:tcW w:w="3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Loans past due 90 days or more and still</w:t>
            </w: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accruing</w:t>
            </w:r>
          </w:p>
        </w:tc>
        <w:tc>
          <w:tcPr>
            <w:tcW w:w="1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79,884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37,754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26,255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44,266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44,268</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Foreclosed assets held for sale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82,233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40,256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29,874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47,885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46,739</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Nonaccrual loans to total loans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ALLL to nonaccrual loans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98.55 %</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Nonperforming loans to total loans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ALLL to nonperforming loans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right="40" w:firstLine="486"/>
        <w:spacing w:after="0" w:line="261" w:lineRule="auto"/>
        <w:rPr>
          <w:sz w:val="20"/>
          <w:szCs w:val="20"/>
          <w:color w:val="auto"/>
        </w:rPr>
      </w:pPr>
      <w:r>
        <w:rPr>
          <w:rFonts w:ascii="Times New Roman" w:cs="Times New Roman" w:eastAsia="Times New Roman" w:hAnsi="Times New Roman"/>
          <w:sz w:val="18"/>
          <w:szCs w:val="18"/>
          <w:color w:val="auto"/>
        </w:rPr>
        <w:t>Other asset quality metrics management reviews include loans past due 30 - 89 days and classified loans. The Company defines classified loans as loans categorized as substandard - performing, substandard - nonperforming, doubtful, or loss. The definitions of substandard, doubtful and loss are provided in “Note 4 - Loans and Allowance for Loan Losses” in the Notes to Unaudited Consolidated Financial Statements. The following table summarizes our loans past due 30 - 89 days, classified assets and related ratios as of the dates indicated:</w:t>
      </w:r>
    </w:p>
    <w:p>
      <w:pPr>
        <w:spacing w:after="0" w:line="139"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7"/>
                <w:szCs w:val="17"/>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8"/>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Loan Past Due Detail</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30 - 59 days past due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15,324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14,205</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6,292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61,941</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60 - 89 days past due</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223"/>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30 - 89 days past due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45,351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34,881</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19,538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6,822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64,726</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Loans 30 - 89 days past due / gross loans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Classified Loans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Substandard - performing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224,352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199,595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80,876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47,221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41,546</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Substandard - nonperforming</w:t>
            </w:r>
          </w:p>
        </w:tc>
        <w:tc>
          <w:tcPr>
            <w:tcW w:w="14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67,765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19,555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34,192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37,990</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Doubtful</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5,637</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classified loans</w:t>
            </w: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299,911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237,129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104,519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86,896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85,173</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Foreclosed assets held for sale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3,619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classified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302,260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239,631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108,138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90,515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87,644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Classified loans / (total capital + ALLL)</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34.9 %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13.2 %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Classified assets / (total capital + ALLL)</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ALLL to total loans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Net charge-offs to average loans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0.53 %</w:t>
            </w:r>
          </w:p>
        </w:tc>
        <w:tc>
          <w:tcPr>
            <w:tcW w:w="0" w:type="dxa"/>
            <w:vAlign w:val="bottom"/>
          </w:tcPr>
          <w:p>
            <w:pPr>
              <w:spacing w:after="0"/>
              <w:rPr>
                <w:sz w:val="1"/>
                <w:szCs w:val="1"/>
                <w:color w:val="auto"/>
              </w:rPr>
            </w:pPr>
          </w:p>
        </w:tc>
      </w:tr>
      <w:tr>
        <w:trPr>
          <w:trHeight w:val="306"/>
        </w:trPr>
        <w:tc>
          <w:tcPr>
            <w:tcW w:w="3500" w:type="dxa"/>
            <w:vAlign w:val="bottom"/>
          </w:tcPr>
          <w:p>
            <w:pPr>
              <w:ind w:left="2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interim periods are annualized.</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180" w:right="80" w:firstLine="486"/>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2020, past due loans between 30 to 89 days primarily included a $28 million commercial loan placed on nonaccrual. The remainder is driven by an $8 million commercial loan in the process of renewal. For the first half of 2020, the increase in past due loans was driven by energy loans impacted by lower oil and gas prices and a commercial real estate loan.</w:t>
      </w:r>
    </w:p>
    <w:p>
      <w:pPr>
        <w:spacing w:after="0" w:line="122" w:lineRule="exact"/>
        <w:rPr>
          <w:sz w:val="20"/>
          <w:szCs w:val="20"/>
          <w:color w:val="auto"/>
        </w:rPr>
      </w:pPr>
    </w:p>
    <w:p>
      <w:pPr>
        <w:ind w:left="180" w:right="700" w:firstLine="486"/>
        <w:spacing w:after="0" w:line="282" w:lineRule="auto"/>
        <w:rPr>
          <w:sz w:val="20"/>
          <w:szCs w:val="20"/>
          <w:color w:val="auto"/>
        </w:rPr>
      </w:pPr>
      <w:r>
        <w:rPr>
          <w:rFonts w:ascii="Times New Roman" w:cs="Times New Roman" w:eastAsia="Times New Roman" w:hAnsi="Times New Roman"/>
          <w:sz w:val="18"/>
          <w:szCs w:val="18"/>
          <w:color w:val="auto"/>
        </w:rPr>
        <w:t>The Company's classified assets as of September 30, 2020 increased $212 million or 234% since December 31, 2019. Grade migration as discussed above is driving the change.</w:t>
      </w:r>
    </w:p>
    <w:p>
      <w:pPr>
        <w:spacing w:after="0" w:line="108" w:lineRule="exact"/>
        <w:rPr>
          <w:sz w:val="20"/>
          <w:szCs w:val="20"/>
          <w:color w:val="auto"/>
        </w:rPr>
      </w:pPr>
    </w:p>
    <w:p>
      <w:pPr>
        <w:ind w:left="180" w:right="140" w:firstLine="486"/>
        <w:spacing w:after="0" w:line="258" w:lineRule="auto"/>
        <w:rPr>
          <w:sz w:val="20"/>
          <w:szCs w:val="20"/>
          <w:color w:val="auto"/>
        </w:rPr>
      </w:pPr>
      <w:r>
        <w:rPr>
          <w:rFonts w:ascii="Times New Roman" w:cs="Times New Roman" w:eastAsia="Times New Roman" w:hAnsi="Times New Roman"/>
          <w:sz w:val="18"/>
          <w:szCs w:val="18"/>
          <w:color w:val="auto"/>
        </w:rPr>
        <w:t>Potential problem loans consist of loans that are performing in accordance with contractual terms, but for which we have concerns about the borrower’s ability to comply with repayment terms and may result in disclosure as an impaired loan next quarter. At September 30, 2020, the Company had approximately $39 million of potential problem loans that were either criticized or a performing, substandard loan. The Company monitors these loans through communication with the borrower(s) and regular performance reviews. Although these loans are generally identified as potential problem loans, they may never become nonperforming.</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Deposits and Other Borrowings</w:t>
      </w:r>
    </w:p>
    <w:p>
      <w:pPr>
        <w:spacing w:after="0" w:line="166" w:lineRule="exact"/>
        <w:rPr>
          <w:sz w:val="20"/>
          <w:szCs w:val="20"/>
          <w:color w:val="auto"/>
        </w:rPr>
      </w:pPr>
    </w:p>
    <w:p>
      <w:pPr>
        <w:ind w:left="180" w:right="40" w:firstLine="486"/>
        <w:spacing w:after="0" w:line="261" w:lineRule="auto"/>
        <w:rPr>
          <w:sz w:val="20"/>
          <w:szCs w:val="20"/>
          <w:color w:val="auto"/>
        </w:rPr>
      </w:pPr>
      <w:r>
        <w:rPr>
          <w:rFonts w:ascii="Times New Roman" w:cs="Times New Roman" w:eastAsia="Times New Roman" w:hAnsi="Times New Roman"/>
          <w:sz w:val="18"/>
          <w:szCs w:val="18"/>
          <w:color w:val="auto"/>
        </w:rPr>
        <w:t>At September 30, 2020, our deposits totaled $4 billion, an increase of $569 million or 14% from December 31, 2019. Of this increase, $232 million were noninterest-bearing deposits driven by proceeds from PPP loans during the second quarter of 2020. In addition, customers transitioned from time deposits to savings and interest checking deposits due to the declining interest rate environment that resulted in a $99 million decline in time deposits and a $436 million increase in money market, NOW, and savings deposits.</w:t>
      </w:r>
    </w:p>
    <w:p>
      <w:pPr>
        <w:spacing w:after="0" w:line="126" w:lineRule="exact"/>
        <w:rPr>
          <w:sz w:val="20"/>
          <w:szCs w:val="20"/>
          <w:color w:val="auto"/>
        </w:rPr>
      </w:pPr>
    </w:p>
    <w:p>
      <w:pPr>
        <w:jc w:val="both"/>
        <w:ind w:left="180" w:right="60" w:firstLine="486"/>
        <w:spacing w:after="0" w:line="266" w:lineRule="auto"/>
        <w:rPr>
          <w:sz w:val="20"/>
          <w:szCs w:val="20"/>
          <w:color w:val="auto"/>
        </w:rPr>
      </w:pPr>
      <w:r>
        <w:rPr>
          <w:rFonts w:ascii="Times New Roman" w:cs="Times New Roman" w:eastAsia="Times New Roman" w:hAnsi="Times New Roman"/>
          <w:sz w:val="18"/>
          <w:szCs w:val="18"/>
          <w:color w:val="auto"/>
        </w:rPr>
        <w:t>Other borrowings include repurchase agreements, fed funds purchased, FHLB advances, and our trust preferred security. At September 30, 2020, other borrowings totaled $351 million, a $24 million or 6% decrease from December 31, 2019. The decline was driven by short-term funds maturing and borrowing payoffs due to increased Company liquidity from security sales, loan payoffs and deposit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w:t>
      </w:r>
    </w:p>
    <w:p>
      <w:pPr>
        <w:spacing w:after="0" w:line="165" w:lineRule="exact"/>
        <w:rPr>
          <w:sz w:val="20"/>
          <w:szCs w:val="20"/>
          <w:color w:val="auto"/>
        </w:rPr>
      </w:pPr>
    </w:p>
    <w:p>
      <w:pPr>
        <w:ind w:left="180" w:right="220" w:firstLine="486"/>
        <w:spacing w:after="0" w:line="272" w:lineRule="auto"/>
        <w:rPr>
          <w:sz w:val="20"/>
          <w:szCs w:val="20"/>
          <w:color w:val="auto"/>
        </w:rPr>
      </w:pPr>
      <w:r>
        <w:rPr>
          <w:rFonts w:ascii="Times New Roman" w:cs="Times New Roman" w:eastAsia="Times New Roman" w:hAnsi="Times New Roman"/>
          <w:sz w:val="17"/>
          <w:szCs w:val="17"/>
          <w:color w:val="auto"/>
        </w:rPr>
        <w:t>The Company’s liquidity strategy is to maintain adequate, but not excessive, liquidity to meet the daily cash flow needs of its clients while attempting to achieve adequate earnings for its stockholders. The liquidity position is monitored continuously by the Company’s finance department. Liquidity resources can be derived from two sources: (i) on-balance sheet liquidity resources, which represent funds currently on the balance sheet and</w:t>
      </w:r>
    </w:p>
    <w:p>
      <w:pPr>
        <w:spacing w:after="0" w:line="2" w:lineRule="exact"/>
        <w:rPr>
          <w:sz w:val="20"/>
          <w:szCs w:val="20"/>
          <w:color w:val="auto"/>
        </w:rPr>
      </w:pPr>
    </w:p>
    <w:p>
      <w:pPr>
        <w:ind w:left="180" w:right="180" w:hanging="10"/>
        <w:spacing w:after="0" w:line="260" w:lineRule="auto"/>
        <w:tabs>
          <w:tab w:leader="none" w:pos="4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liquidity resources, which represent funds available from third party sources. Our on-balance sheet and off-balance sheet liquidity resources consisted of the following as of the dates indicated:</w:t>
      </w:r>
    </w:p>
    <w:p>
      <w:pPr>
        <w:spacing w:after="0" w:line="164"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08"/>
        </w:trPr>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gridSpan w:val="4"/>
          </w:tcPr>
          <w:p>
            <w:pPr>
              <w:jc w:val="right"/>
              <w:ind w:right="159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0" w:type="dxa"/>
            <w:vAlign w:val="bottom"/>
          </w:tcPr>
          <w:p>
            <w:pPr>
              <w:spacing w:after="0"/>
              <w:rPr>
                <w:sz w:val="1"/>
                <w:szCs w:val="1"/>
                <w:color w:val="auto"/>
              </w:rPr>
            </w:pPr>
          </w:p>
        </w:tc>
      </w:tr>
      <w:tr>
        <w:trPr>
          <w:trHeight w:val="23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on-balance sheet liquidity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847,706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888,080</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off-balance sheet liquidity</w:t>
            </w: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656,602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524,332</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liquidity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1,504,308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1,412,412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On-balance sheet liquidity as a percent of assets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liquidity as a percent of assets</w:t>
            </w:r>
          </w:p>
        </w:tc>
        <w:tc>
          <w:tcPr>
            <w:tcW w:w="26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Contractual Obligations</w:t>
      </w:r>
    </w:p>
    <w:p>
      <w:pPr>
        <w:spacing w:after="0" w:line="165" w:lineRule="exact"/>
        <w:rPr>
          <w:sz w:val="20"/>
          <w:szCs w:val="20"/>
          <w:color w:val="auto"/>
        </w:rPr>
      </w:pPr>
    </w:p>
    <w:p>
      <w:pPr>
        <w:ind w:left="180" w:right="20" w:firstLine="486"/>
        <w:spacing w:after="0" w:line="261" w:lineRule="auto"/>
        <w:rPr>
          <w:sz w:val="20"/>
          <w:szCs w:val="20"/>
          <w:color w:val="auto"/>
        </w:rPr>
      </w:pPr>
      <w:r>
        <w:rPr>
          <w:rFonts w:ascii="Times New Roman" w:cs="Times New Roman" w:eastAsia="Times New Roman" w:hAnsi="Times New Roman"/>
          <w:sz w:val="18"/>
          <w:szCs w:val="18"/>
          <w:color w:val="auto"/>
        </w:rPr>
        <w:t>Refer to “Note 7: Time Deposits and Borrowings” within the Unaudited Notes to Consolidated Financial Statements for our significant contractual cash obligations to third parties. In addition, our future lease obligations totaled $31 million at September 30, 2020 and included our Frisco, Texas and Kansas City, Missouri leases established in 2020. Contractual obligations may be satisfied through our on-balance sheet and off-balance sheet liquidity discussed above.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Capital Resources and Off-Balance Sheet Arrangements</w:t>
      </w:r>
    </w:p>
    <w:p>
      <w:pPr>
        <w:spacing w:after="0" w:line="165" w:lineRule="exact"/>
        <w:rPr>
          <w:sz w:val="20"/>
          <w:szCs w:val="20"/>
          <w:color w:val="auto"/>
        </w:rPr>
      </w:pPr>
    </w:p>
    <w:p>
      <w:pPr>
        <w:ind w:left="180"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Management believes that, as of September 30, 2020, the Company and the Bank met all capital adequacy requirements to which they are subject. For additional information, see “Note 9: Regulatory Matters” in the Unaudited Notes to Consolidated Financial Statements.</w:t>
      </w:r>
    </w:p>
    <w:p>
      <w:pPr>
        <w:spacing w:after="0" w:line="129" w:lineRule="exact"/>
        <w:rPr>
          <w:sz w:val="20"/>
          <w:szCs w:val="20"/>
          <w:color w:val="auto"/>
        </w:rPr>
      </w:pPr>
    </w:p>
    <w:p>
      <w:pPr>
        <w:ind w:left="180" w:firstLine="486"/>
        <w:spacing w:after="0" w:line="258" w:lineRule="auto"/>
        <w:rPr>
          <w:sz w:val="20"/>
          <w:szCs w:val="20"/>
          <w:color w:val="auto"/>
        </w:rPr>
      </w:pPr>
      <w:r>
        <w:rPr>
          <w:rFonts w:ascii="Times New Roman" w:cs="Times New Roman" w:eastAsia="Times New Roman" w:hAnsi="Times New Roman"/>
          <w:sz w:val="18"/>
          <w:szCs w:val="18"/>
          <w:color w:val="auto"/>
        </w:rPr>
        <w:t>The Company aggressively stress-tested its credit and capital during the second quarter of 2020 using Federal Reserve-defined and other more stressful COVID-19 pandemic recessionary scenarios. We modeled an immediate absorption to our capital of 13 quarters of losses utilizing historical loss factors provided by the Federal Reserve for banks between $1 billion and $10 billion. The second quarter common equity tier 1 ratio stress test results showed that the Company is well-capitalized under these pandemic scenarios. The Company’s actual capital levels in future periods are subject to the uncertain impact of the pandemic and related economic conditions.</w:t>
      </w:r>
    </w:p>
    <w:p>
      <w:pPr>
        <w:spacing w:after="0" w:line="129" w:lineRule="exact"/>
        <w:rPr>
          <w:sz w:val="20"/>
          <w:szCs w:val="20"/>
          <w:color w:val="auto"/>
        </w:rPr>
      </w:pPr>
    </w:p>
    <w:p>
      <w:pPr>
        <w:ind w:left="180" w:firstLine="486"/>
        <w:spacing w:after="0" w:line="258" w:lineRule="auto"/>
        <w:rPr>
          <w:sz w:val="20"/>
          <w:szCs w:val="20"/>
          <w:color w:val="auto"/>
        </w:rPr>
      </w:pPr>
      <w:r>
        <w:rPr>
          <w:rFonts w:ascii="Times New Roman" w:cs="Times New Roman" w:eastAsia="Times New Roman" w:hAnsi="Times New Roman"/>
          <w:sz w:val="18"/>
          <w:szCs w:val="18"/>
          <w:color w:val="auto"/>
        </w:rPr>
        <w:t>The Company is subject to off-balance sheet risk in the normal course of business to meet the needs of its clients that have, or are reasonably likely to have, a current or future effect on our financial condition, changes in financial condition, revenues or expenses, results of operations, liquidity, capital expenditures or capital resources. Refer to “Note 13: Commitments and Credit Risk” in the Unaudited Notes to Consolidated Financial Statements for a breakout of our off-balance sheet arrangements. As of September 30, 2020, the Company believes it has sufficient access to liquid assets to support the funding of these commitments.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w:t>
      </w:r>
    </w:p>
    <w:p>
      <w:pPr>
        <w:spacing w:after="0" w:line="165" w:lineRule="exact"/>
        <w:rPr>
          <w:sz w:val="20"/>
          <w:szCs w:val="20"/>
          <w:color w:val="auto"/>
        </w:rPr>
      </w:pPr>
    </w:p>
    <w:p>
      <w:pPr>
        <w:ind w:left="180"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 identified several accounting policies that are critical to an understanding of our financial condition and results of operations. These policies require difficult, subjective or complex judgments and assumptions that create potential sensitivity of our financial statements to those judgments and assumptions. These policies relate to the allowance for loan and lease losses, investment securities impairment, deferred tax assets, and the fair value of financial instruments. A discussion of these policies can be found in the section captioned “Critical Accounting Policies and Estimates” in Management’s Discussion and Analysis of Financial Condition and Results of Operations included in the 2019 Form 10-K.</w:t>
      </w:r>
    </w:p>
    <w:p>
      <w:pPr>
        <w:spacing w:after="0" w:line="127" w:lineRule="exact"/>
        <w:rPr>
          <w:sz w:val="20"/>
          <w:szCs w:val="20"/>
          <w:color w:val="auto"/>
        </w:rPr>
      </w:pPr>
    </w:p>
    <w:p>
      <w:pPr>
        <w:ind w:left="180" w:right="100" w:firstLine="486"/>
        <w:spacing w:after="0" w:line="261" w:lineRule="auto"/>
        <w:rPr>
          <w:sz w:val="20"/>
          <w:szCs w:val="20"/>
          <w:color w:val="auto"/>
        </w:rPr>
      </w:pPr>
      <w:r>
        <w:rPr>
          <w:rFonts w:ascii="Times New Roman" w:cs="Times New Roman" w:eastAsia="Times New Roman" w:hAnsi="Times New Roman"/>
          <w:sz w:val="18"/>
          <w:szCs w:val="18"/>
          <w:color w:val="auto"/>
        </w:rPr>
        <w:t xml:space="preserve">During the first quarter of 2020, the Company adopted </w:t>
      </w:r>
      <w:r>
        <w:rPr>
          <w:rFonts w:ascii="Times New Roman" w:cs="Times New Roman" w:eastAsia="Times New Roman" w:hAnsi="Times New Roman"/>
          <w:sz w:val="18"/>
          <w:szCs w:val="18"/>
          <w:i w:val="1"/>
          <w:iCs w:val="1"/>
          <w:color w:val="auto"/>
        </w:rPr>
        <w:t>ASU 2017-04: Intangibles—Goodwill and Other (Topic 350): Simplifying the Test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Impairment</w:t>
      </w:r>
      <w:r>
        <w:rPr>
          <w:rFonts w:ascii="Times New Roman" w:cs="Times New Roman" w:eastAsia="Times New Roman" w:hAnsi="Times New Roman"/>
          <w:sz w:val="18"/>
          <w:szCs w:val="18"/>
          <w:color w:val="auto"/>
        </w:rPr>
        <w:t>. The ASU simplified the methodology to calculate goodwill impairment by removing a second step required under the old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determine if goodwill was impaired. The Company believed the updated methodology significantly reduced the complexity to calculate goodwill impairment during the second quarter of 2020 when goodwill was fully impaired.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right="20" w:firstLine="486"/>
        <w:spacing w:after="0" w:line="258" w:lineRule="auto"/>
        <w:rPr>
          <w:sz w:val="20"/>
          <w:szCs w:val="20"/>
          <w:color w:val="auto"/>
        </w:rPr>
      </w:pPr>
      <w:r>
        <w:rPr>
          <w:rFonts w:ascii="Times New Roman" w:cs="Times New Roman" w:eastAsia="Times New Roman" w:hAnsi="Times New Roman"/>
          <w:sz w:val="18"/>
          <w:szCs w:val="18"/>
          <w:color w:val="auto"/>
        </w:rPr>
        <w:t>The CARES Act allows financial institutions to elect not to consider whether loan modifications relating to the COVID-19 pandemic that they make between March 1, 2020 and the earlier of December 31, 2020 or 60 days after the national emergency related to the COVID-19 pandemic ends are TDRs that would require additional disclosures. The relief can be applied to modifications of loans to borrowers that were not more than 30 days past due as of December 31, 2019. The Company elected to apply the guidance during the first quarter of 2020 and for periods thereafter. The review of loans that meet the criteria is overseen by the Office of the Chief Credit Officer.</w:t>
      </w:r>
    </w:p>
    <w:p>
      <w:pPr>
        <w:spacing w:after="0" w:line="129" w:lineRule="exact"/>
        <w:rPr>
          <w:sz w:val="20"/>
          <w:szCs w:val="20"/>
          <w:color w:val="auto"/>
        </w:rPr>
      </w:pPr>
    </w:p>
    <w:p>
      <w:pPr>
        <w:ind w:left="180" w:right="760" w:firstLine="486"/>
        <w:spacing w:after="0" w:line="282" w:lineRule="auto"/>
        <w:rPr>
          <w:sz w:val="20"/>
          <w:szCs w:val="20"/>
          <w:color w:val="auto"/>
        </w:rPr>
      </w:pPr>
      <w:r>
        <w:rPr>
          <w:rFonts w:ascii="Times New Roman" w:cs="Times New Roman" w:eastAsia="Times New Roman" w:hAnsi="Times New Roman"/>
          <w:sz w:val="18"/>
          <w:szCs w:val="18"/>
          <w:color w:val="auto"/>
        </w:rPr>
        <w:t>Besides the accounting policy changes mentioned above, there have been no additional changes in the Company’s application of critical accounting policies since December 31, 2019.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Accounting Pronouncements</w:t>
      </w:r>
    </w:p>
    <w:p>
      <w:pPr>
        <w:spacing w:after="0" w:line="165" w:lineRule="exact"/>
        <w:rPr>
          <w:sz w:val="20"/>
          <w:szCs w:val="20"/>
          <w:color w:val="auto"/>
        </w:rPr>
      </w:pPr>
    </w:p>
    <w:p>
      <w:pPr>
        <w:ind w:left="180" w:right="300" w:firstLine="486"/>
        <w:spacing w:after="0" w:line="282" w:lineRule="auto"/>
        <w:rPr>
          <w:sz w:val="20"/>
          <w:szCs w:val="20"/>
          <w:color w:val="auto"/>
        </w:rPr>
      </w:pPr>
      <w:r>
        <w:rPr>
          <w:rFonts w:ascii="Times New Roman" w:cs="Times New Roman" w:eastAsia="Times New Roman" w:hAnsi="Times New Roman"/>
          <w:sz w:val="18"/>
          <w:szCs w:val="18"/>
          <w:color w:val="auto"/>
        </w:rPr>
        <w:t>Refer to “Note 1: Nature of Operations and Summary of Significant Accounting Policies” included in the unaudited Notes to the Consolidated Financial Statements included elsewhere in this Form 10-Q.</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QUANTITATIVE AND QUALITATIVE DISCLOSURES ABOUT MARKET RISK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Interest Rate Risk</w:t>
      </w:r>
    </w:p>
    <w:p>
      <w:pPr>
        <w:spacing w:after="0" w:line="166" w:lineRule="exact"/>
        <w:rPr>
          <w:sz w:val="20"/>
          <w:szCs w:val="20"/>
          <w:color w:val="auto"/>
        </w:rPr>
      </w:pPr>
    </w:p>
    <w:p>
      <w:pPr>
        <w:ind w:left="180" w:right="40" w:firstLine="486"/>
        <w:spacing w:after="0" w:line="256" w:lineRule="auto"/>
        <w:rPr>
          <w:sz w:val="20"/>
          <w:szCs w:val="20"/>
          <w:color w:val="auto"/>
        </w:rPr>
      </w:pPr>
      <w:r>
        <w:rPr>
          <w:rFonts w:ascii="Times New Roman" w:cs="Times New Roman" w:eastAsia="Times New Roman" w:hAnsi="Times New Roman"/>
          <w:sz w:val="18"/>
          <w:szCs w:val="18"/>
          <w:color w:val="auto"/>
        </w:rPr>
        <w:t>A primary component of market risk is interest rate volatility. Interest rate risk management is a key element of the Company’s balance sheet management. Interest rate risk is the risk that NIM will erode over time due to changing market conditions. Many factors can cause margins to erode: (i) lower loan demand; (ii) increased competition for funds; (iii) weak pricing policies; (iv) balance sheet mismatches; and (v) changing liquidity demands. The objective is to maximize income while minimizing interest rate risk. The Company manages its sensitivity position using its interest rate risk policy. The management of interest rate risk is a three-step process and involves: (i) measuring the interest rate risk position; (ii) policy constraints; and (iii) strategic review and implementation.</w:t>
      </w:r>
    </w:p>
    <w:p>
      <w:pPr>
        <w:spacing w:after="0" w:line="133" w:lineRule="exact"/>
        <w:rPr>
          <w:sz w:val="20"/>
          <w:szCs w:val="20"/>
          <w:color w:val="auto"/>
        </w:rPr>
      </w:pPr>
    </w:p>
    <w:p>
      <w:pPr>
        <w:ind w:left="180" w:right="60" w:firstLine="486"/>
        <w:spacing w:after="0" w:line="261" w:lineRule="auto"/>
        <w:rPr>
          <w:sz w:val="20"/>
          <w:szCs w:val="20"/>
          <w:color w:val="auto"/>
        </w:rPr>
      </w:pPr>
      <w:r>
        <w:rPr>
          <w:rFonts w:ascii="Times New Roman" w:cs="Times New Roman" w:eastAsia="Times New Roman" w:hAnsi="Times New Roman"/>
          <w:sz w:val="18"/>
          <w:szCs w:val="18"/>
          <w:color w:val="auto"/>
        </w:rPr>
        <w:t>Our exposure to interest rate risk is managed by the Funds Management Committee (“FMC”). The FMC uses a combination of three systems to measure the balance sheet’s interest rate risk position. The three systems in combination are expected to provide a better overall result than a single system alone. The three systems include: (i) gap reports; (ii) earnings simulation; and (iii) economic value of equity. The FMC’s primary tools to change the interest rate risk position are: (i) investment portfolio duration; (ii) deposit and borrowing mix; and (iii) on balance sheet derivatives.</w:t>
      </w:r>
    </w:p>
    <w:p>
      <w:pPr>
        <w:spacing w:after="0" w:line="126" w:lineRule="exact"/>
        <w:rPr>
          <w:sz w:val="20"/>
          <w:szCs w:val="20"/>
          <w:color w:val="auto"/>
        </w:rPr>
      </w:pPr>
    </w:p>
    <w:p>
      <w:pPr>
        <w:jc w:val="both"/>
        <w:ind w:left="180" w:right="20" w:firstLine="486"/>
        <w:spacing w:after="0" w:line="280" w:lineRule="auto"/>
        <w:rPr>
          <w:sz w:val="20"/>
          <w:szCs w:val="20"/>
          <w:color w:val="auto"/>
        </w:rPr>
      </w:pPr>
      <w:r>
        <w:rPr>
          <w:rFonts w:ascii="Times New Roman" w:cs="Times New Roman" w:eastAsia="Times New Roman" w:hAnsi="Times New Roman"/>
          <w:sz w:val="17"/>
          <w:szCs w:val="17"/>
          <w:color w:val="auto"/>
        </w:rPr>
        <w:t>The FMC evaluates interest rate risk using a rate shock method and rate ramp method. In a rate shock analysis, rates change immediately and the change is sustained over the time horizon. In a rate ramp analysis, rate changes occur gradually over time. The following tables summarize the simulated changes in net interest income and fair value of equity over a 12-month horizon using a rate shock and rate ramp method as of the dates indicated:</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Hypothetical Change in Interest Rate - Rate Shock</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2460" w:type="dxa"/>
            <w:vAlign w:val="bottom"/>
            <w:tcBorders>
              <w:top w:val="single" w:sz="8" w:color="auto"/>
            </w:tcBorders>
          </w:tcPr>
          <w:p>
            <w:pPr>
              <w:spacing w:after="0"/>
              <w:rPr>
                <w:sz w:val="19"/>
                <w:szCs w:val="19"/>
                <w:color w:val="auto"/>
              </w:rPr>
            </w:pPr>
          </w:p>
        </w:tc>
        <w:tc>
          <w:tcPr>
            <w:tcW w:w="4340" w:type="dxa"/>
            <w:vAlign w:val="bottom"/>
            <w:tcBorders>
              <w:top w:val="single" w:sz="8" w:color="auto"/>
            </w:tcBorders>
            <w:gridSpan w:val="4"/>
          </w:tcPr>
          <w:p>
            <w:pPr>
              <w:ind w:left="138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4240" w:type="dxa"/>
            <w:vAlign w:val="bottom"/>
            <w:tcBorders>
              <w:top w:val="single" w:sz="8" w:color="auto"/>
            </w:tcBorders>
            <w:gridSpan w:val="3"/>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September 30, 2019</w:t>
            </w:r>
          </w:p>
        </w:tc>
      </w:tr>
      <w:tr>
        <w:trPr>
          <w:trHeight w:val="169"/>
        </w:trPr>
        <w:tc>
          <w:tcPr>
            <w:tcW w:w="24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Change in Interest Rate</w:t>
            </w:r>
          </w:p>
        </w:tc>
        <w:tc>
          <w:tcPr>
            <w:tcW w:w="2160" w:type="dxa"/>
            <w:vAlign w:val="bottom"/>
            <w:tcBorders>
              <w:top w:val="single" w:sz="8" w:color="auto"/>
            </w:tcBorders>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Percent change in net</w:t>
            </w:r>
          </w:p>
        </w:tc>
        <w:tc>
          <w:tcPr>
            <w:tcW w:w="20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Percent change in fair</w:t>
            </w:r>
          </w:p>
        </w:tc>
        <w:tc>
          <w:tcPr>
            <w:tcW w:w="100" w:type="dxa"/>
            <w:vAlign w:val="bottom"/>
          </w:tcPr>
          <w:p>
            <w:pPr>
              <w:spacing w:after="0"/>
              <w:rPr>
                <w:sz w:val="14"/>
                <w:szCs w:val="14"/>
                <w:color w:val="auto"/>
              </w:rPr>
            </w:pPr>
          </w:p>
        </w:tc>
        <w:tc>
          <w:tcPr>
            <w:tcW w:w="2160" w:type="dxa"/>
            <w:vAlign w:val="bottom"/>
            <w:tcBorders>
              <w:top w:val="single" w:sz="8" w:color="auto"/>
            </w:tcBorders>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rPr>
              <w:t>Percent change in net</w:t>
            </w:r>
          </w:p>
        </w:tc>
        <w:tc>
          <w:tcPr>
            <w:tcW w:w="208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Percent change in fair</w:t>
            </w: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(Basis Points)</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interest income</w:t>
            </w: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value of equity</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value of equity</w:t>
            </w:r>
          </w:p>
        </w:tc>
      </w:tr>
      <w:tr>
        <w:trPr>
          <w:trHeight w:val="223"/>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08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w:t>
            </w:r>
          </w:p>
        </w:tc>
        <w:tc>
          <w:tcPr>
            <w:tcW w:w="20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08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0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w:t>
            </w:r>
          </w:p>
        </w:tc>
        <w:tc>
          <w:tcPr>
            <w:tcW w:w="20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w:t>
            </w:r>
          </w:p>
        </w:tc>
        <w:tc>
          <w:tcPr>
            <w:tcW w:w="2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w:t>
            </w:r>
          </w:p>
        </w:tc>
        <w:tc>
          <w:tcPr>
            <w:tcW w:w="2160" w:type="dxa"/>
            <w:vAlign w:val="bottom"/>
            <w:gridSpan w:val="2"/>
            <w:shd w:val="clear" w:color="auto" w:fill="CCEEFF"/>
          </w:tcPr>
          <w:p>
            <w:pPr>
              <w:jc w:val="right"/>
              <w:ind w:right="100"/>
              <w:spacing w:after="0" w:line="230" w:lineRule="exact"/>
              <w:rPr>
                <w:sz w:val="20"/>
                <w:szCs w:val="20"/>
                <w:color w:val="auto"/>
              </w:rPr>
            </w:pPr>
            <w:r>
              <w:rPr>
                <w:rFonts w:ascii="Times New Roman" w:cs="Times New Roman" w:eastAsia="Times New Roman" w:hAnsi="Times New Roman"/>
                <w:sz w:val="26"/>
                <w:szCs w:val="26"/>
                <w:color w:val="auto"/>
                <w:vertAlign w:val="subscript"/>
              </w:rPr>
              <w:t>NA</w:t>
            </w:r>
            <w:r>
              <w:rPr>
                <w:rFonts w:ascii="Times New Roman" w:cs="Times New Roman" w:eastAsia="Times New Roman" w:hAnsi="Times New Roman"/>
                <w:sz w:val="10"/>
                <w:szCs w:val="10"/>
                <w:color w:val="auto"/>
              </w:rPr>
              <w:t>(1)</w:t>
            </w:r>
          </w:p>
        </w:tc>
        <w:tc>
          <w:tcPr>
            <w:tcW w:w="2180" w:type="dxa"/>
            <w:vAlign w:val="bottom"/>
            <w:gridSpan w:val="2"/>
            <w:shd w:val="clear" w:color="auto" w:fill="CCEEFF"/>
          </w:tcPr>
          <w:p>
            <w:pPr>
              <w:ind w:left="1680"/>
              <w:spacing w:after="0" w:line="230" w:lineRule="exact"/>
              <w:rPr>
                <w:sz w:val="20"/>
                <w:szCs w:val="20"/>
                <w:color w:val="auto"/>
              </w:rPr>
            </w:pPr>
            <w:r>
              <w:rPr>
                <w:rFonts w:ascii="Times New Roman" w:cs="Times New Roman" w:eastAsia="Times New Roman" w:hAnsi="Times New Roman"/>
                <w:sz w:val="26"/>
                <w:szCs w:val="26"/>
                <w:color w:val="auto"/>
                <w:vertAlign w:val="subscript"/>
              </w:rPr>
              <w:t>NA</w:t>
            </w:r>
            <w:r>
              <w:rPr>
                <w:rFonts w:ascii="Times New Roman" w:cs="Times New Roman" w:eastAsia="Times New Roman" w:hAnsi="Times New Roman"/>
                <w:sz w:val="10"/>
                <w:szCs w:val="10"/>
                <w:color w:val="auto"/>
              </w:rPr>
              <w:t>(1)</w:t>
            </w:r>
          </w:p>
        </w:tc>
        <w:tc>
          <w:tcPr>
            <w:tcW w:w="2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4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w:t>
            </w:r>
          </w:p>
        </w:tc>
        <w:tc>
          <w:tcPr>
            <w:tcW w:w="21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8"/>
                <w:szCs w:val="28"/>
                <w:color w:val="auto"/>
                <w:vertAlign w:val="subscript"/>
              </w:rPr>
              <w:t>NA</w:t>
            </w:r>
            <w:r>
              <w:rPr>
                <w:rFonts w:ascii="Times New Roman" w:cs="Times New Roman" w:eastAsia="Times New Roman" w:hAnsi="Times New Roman"/>
                <w:sz w:val="11"/>
                <w:szCs w:val="11"/>
                <w:color w:val="auto"/>
              </w:rPr>
              <w:t>(1)</w:t>
            </w:r>
          </w:p>
        </w:tc>
        <w:tc>
          <w:tcPr>
            <w:tcW w:w="2180" w:type="dxa"/>
            <w:vAlign w:val="bottom"/>
            <w:gridSpan w:val="2"/>
          </w:tcPr>
          <w:p>
            <w:pPr>
              <w:ind w:left="1680"/>
              <w:spacing w:after="0" w:line="243" w:lineRule="exact"/>
              <w:rPr>
                <w:sz w:val="20"/>
                <w:szCs w:val="20"/>
                <w:color w:val="auto"/>
              </w:rPr>
            </w:pPr>
            <w:r>
              <w:rPr>
                <w:rFonts w:ascii="Times New Roman" w:cs="Times New Roman" w:eastAsia="Times New Roman" w:hAnsi="Times New Roman"/>
                <w:sz w:val="28"/>
                <w:szCs w:val="28"/>
                <w:color w:val="auto"/>
                <w:vertAlign w:val="subscript"/>
              </w:rPr>
              <w:t>NA</w:t>
            </w:r>
            <w:r>
              <w:rPr>
                <w:rFonts w:ascii="Times New Roman" w:cs="Times New Roman" w:eastAsia="Times New Roman" w:hAnsi="Times New Roman"/>
                <w:sz w:val="11"/>
                <w:szCs w:val="11"/>
                <w:color w:val="auto"/>
              </w:rPr>
              <w:t>(1)</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ind w:left="360" w:right="800" w:hanging="172"/>
        <w:spacing w:after="0" w:line="201" w:lineRule="auto"/>
        <w:tabs>
          <w:tab w:leader="none" w:pos="361"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decided to exclude the down rate environment from its analysis for the period ended September 30, 2020 due to the already low interest rate environment.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Hypothetical Change in Interest Rate - Rate Ramp</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512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tc>
      </w:tr>
      <w:tr>
        <w:trPr>
          <w:trHeight w:val="169"/>
        </w:trPr>
        <w:tc>
          <w:tcPr>
            <w:tcW w:w="51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Change in Interest Rate</w:t>
            </w:r>
          </w:p>
        </w:tc>
        <w:tc>
          <w:tcPr>
            <w:tcW w:w="28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Percent change in net interest</w:t>
            </w:r>
          </w:p>
        </w:tc>
        <w:tc>
          <w:tcPr>
            <w:tcW w:w="100" w:type="dxa"/>
            <w:vAlign w:val="bottom"/>
          </w:tcPr>
          <w:p>
            <w:pPr>
              <w:spacing w:after="0"/>
              <w:rPr>
                <w:sz w:val="14"/>
                <w:szCs w:val="14"/>
                <w:color w:val="auto"/>
              </w:rPr>
            </w:pPr>
          </w:p>
        </w:tc>
        <w:tc>
          <w:tcPr>
            <w:tcW w:w="28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Percent change in net interest</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(Basis Points)</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income</w:t>
            </w:r>
          </w:p>
        </w:tc>
      </w:tr>
      <w:tr>
        <w:trPr>
          <w:trHeight w:val="223"/>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w:t>
            </w:r>
          </w:p>
        </w:tc>
        <w:tc>
          <w:tcPr>
            <w:tcW w:w="28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w:t>
            </w:r>
          </w:p>
        </w:tc>
        <w:tc>
          <w:tcPr>
            <w:tcW w:w="28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w:t>
            </w:r>
          </w:p>
        </w:tc>
        <w:tc>
          <w:tcPr>
            <w:tcW w:w="2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w:t>
            </w:r>
          </w:p>
        </w:tc>
        <w:tc>
          <w:tcPr>
            <w:tcW w:w="2920" w:type="dxa"/>
            <w:vAlign w:val="bottom"/>
            <w:gridSpan w:val="2"/>
            <w:shd w:val="clear" w:color="auto" w:fill="CCEEFF"/>
          </w:tcPr>
          <w:p>
            <w:pPr>
              <w:ind w:left="2420"/>
              <w:spacing w:after="0" w:line="230" w:lineRule="exact"/>
              <w:rPr>
                <w:sz w:val="20"/>
                <w:szCs w:val="20"/>
                <w:color w:val="auto"/>
              </w:rPr>
            </w:pPr>
            <w:r>
              <w:rPr>
                <w:rFonts w:ascii="Times New Roman" w:cs="Times New Roman" w:eastAsia="Times New Roman" w:hAnsi="Times New Roman"/>
                <w:sz w:val="26"/>
                <w:szCs w:val="26"/>
                <w:color w:val="auto"/>
                <w:vertAlign w:val="subscript"/>
              </w:rPr>
              <w:t>NA</w:t>
            </w:r>
            <w:r>
              <w:rPr>
                <w:rFonts w:ascii="Times New Roman" w:cs="Times New Roman" w:eastAsia="Times New Roman" w:hAnsi="Times New Roman"/>
                <w:sz w:val="10"/>
                <w:szCs w:val="10"/>
                <w:color w:val="auto"/>
              </w:rPr>
              <w:t>(1)</w:t>
            </w:r>
          </w:p>
        </w:tc>
        <w:tc>
          <w:tcPr>
            <w:tcW w:w="284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(2.8)</w:t>
            </w:r>
          </w:p>
        </w:tc>
      </w:tr>
      <w:tr>
        <w:trPr>
          <w:trHeight w:val="24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w:t>
            </w:r>
          </w:p>
        </w:tc>
        <w:tc>
          <w:tcPr>
            <w:tcW w:w="2920" w:type="dxa"/>
            <w:vAlign w:val="bottom"/>
            <w:gridSpan w:val="2"/>
          </w:tcPr>
          <w:p>
            <w:pPr>
              <w:ind w:left="2420"/>
              <w:spacing w:after="0" w:line="243" w:lineRule="exact"/>
              <w:rPr>
                <w:sz w:val="20"/>
                <w:szCs w:val="20"/>
                <w:color w:val="auto"/>
              </w:rPr>
            </w:pPr>
            <w:r>
              <w:rPr>
                <w:rFonts w:ascii="Times New Roman" w:cs="Times New Roman" w:eastAsia="Times New Roman" w:hAnsi="Times New Roman"/>
                <w:sz w:val="28"/>
                <w:szCs w:val="28"/>
                <w:color w:val="auto"/>
                <w:vertAlign w:val="subscript"/>
              </w:rPr>
              <w:t>NA</w:t>
            </w:r>
            <w:r>
              <w:rPr>
                <w:rFonts w:ascii="Times New Roman" w:cs="Times New Roman" w:eastAsia="Times New Roman" w:hAnsi="Times New Roman"/>
                <w:sz w:val="11"/>
                <w:szCs w:val="11"/>
                <w:color w:val="auto"/>
              </w:rPr>
              <w:t>(1)</w:t>
            </w:r>
          </w:p>
        </w:tc>
        <w:tc>
          <w:tcPr>
            <w:tcW w:w="28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(6.2)%</w:t>
            </w:r>
          </w:p>
        </w:tc>
      </w:tr>
    </w:tbl>
    <w:p>
      <w:pPr>
        <w:ind w:left="360" w:right="820" w:hanging="172"/>
        <w:spacing w:after="0" w:line="201" w:lineRule="auto"/>
        <w:tabs>
          <w:tab w:leader="none" w:pos="361"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decided to exclude the down rate environment from its analysis for the period ended September 30, 2020 due to the already low interest rate environment.</w:t>
      </w:r>
    </w:p>
    <w:p>
      <w:pPr>
        <w:spacing w:after="0" w:line="151" w:lineRule="exact"/>
        <w:rPr>
          <w:sz w:val="20"/>
          <w:szCs w:val="20"/>
          <w:color w:val="auto"/>
        </w:rPr>
      </w:pPr>
    </w:p>
    <w:p>
      <w:pPr>
        <w:jc w:val="both"/>
        <w:ind w:left="180" w:right="120" w:firstLine="486"/>
        <w:spacing w:after="0" w:line="261" w:lineRule="auto"/>
        <w:rPr>
          <w:sz w:val="20"/>
          <w:szCs w:val="20"/>
          <w:color w:val="auto"/>
        </w:rPr>
      </w:pPr>
      <w:r>
        <w:rPr>
          <w:rFonts w:ascii="Times New Roman" w:cs="Times New Roman" w:eastAsia="Times New Roman" w:hAnsi="Times New Roman"/>
          <w:sz w:val="18"/>
          <w:szCs w:val="18"/>
          <w:color w:val="auto"/>
        </w:rPr>
        <w:t>The hypothetical change in net interest income as of September 30, 2020 in an up 100 basis point shock is mainly due to approximately 70% of earning assets repricing or maturing over the next 12 months. Loans remain the largest portion of our adjustable earning assets, as the mix of adjustable loans or loans maturing in one year or less to total loans was 71%. The amount of adjustable loans causes the Company to see an increase in net interest income in a rising rate environment.</w:t>
      </w:r>
    </w:p>
    <w:p>
      <w:pPr>
        <w:spacing w:after="0" w:line="126" w:lineRule="exact"/>
        <w:rPr>
          <w:sz w:val="20"/>
          <w:szCs w:val="20"/>
          <w:color w:val="auto"/>
        </w:rPr>
      </w:pPr>
    </w:p>
    <w:p>
      <w:pPr>
        <w:ind w:left="180" w:right="160" w:firstLine="486"/>
        <w:spacing w:after="0" w:line="261" w:lineRule="auto"/>
        <w:rPr>
          <w:sz w:val="20"/>
          <w:szCs w:val="20"/>
          <w:color w:val="auto"/>
        </w:rPr>
      </w:pPr>
      <w:r>
        <w:rPr>
          <w:rFonts w:ascii="Times New Roman" w:cs="Times New Roman" w:eastAsia="Times New Roman" w:hAnsi="Times New Roman"/>
          <w:sz w:val="18"/>
          <w:szCs w:val="18"/>
          <w:color w:val="auto"/>
        </w:rPr>
        <w:t>The models the Company uses include assumptions regarding interest rates while balances remain unchanged. These assumptions are inherently uncertain and, as a result, the model cannot precisely estimate net interest income or precisely predict the impact of higher or lower interest rates on net interest income. Actual results will differ from simulated results due to timing, magnitude and frequency of interest rate changes as well as changes in market conditions, customer behavior and management strategies, among other factors.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Evaluation of Disclosure Controls and Procedures</w:t>
      </w:r>
    </w:p>
    <w:p>
      <w:pPr>
        <w:spacing w:after="0" w:line="165" w:lineRule="exact"/>
        <w:rPr>
          <w:sz w:val="20"/>
          <w:szCs w:val="20"/>
          <w:color w:val="auto"/>
        </w:rPr>
      </w:pPr>
    </w:p>
    <w:p>
      <w:pPr>
        <w:ind w:left="180" w:right="80" w:firstLine="486"/>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defined in Rule 13a-15(e) under the Securities Exchange Act of 1934 (“Exchange Act”)) as of September 30, 2020. Based on that evaluation, the Company’s Chief Executive Officer and Chief Financial Officer concluded that the Company’s disclosure controls and procedures were effective as of September 30, 2020.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Changes in Internal Control over Financial Reporting</w:t>
      </w:r>
    </w:p>
    <w:p>
      <w:pPr>
        <w:spacing w:after="0" w:line="165" w:lineRule="exact"/>
        <w:rPr>
          <w:sz w:val="20"/>
          <w:szCs w:val="20"/>
          <w:color w:val="auto"/>
        </w:rPr>
      </w:pPr>
    </w:p>
    <w:p>
      <w:pPr>
        <w:ind w:left="180"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(as such term is defined in Rule 13a-15(f) under the Exchange Act) that occurred during the third quarter of 2020 that has materially affected, or is reasonably likely to materially affect, the Company’s internal control over financial reporting.</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 II -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65" w:lineRule="exact"/>
        <w:rPr>
          <w:sz w:val="20"/>
          <w:szCs w:val="20"/>
          <w:color w:val="auto"/>
        </w:rPr>
      </w:pPr>
    </w:p>
    <w:p>
      <w:pPr>
        <w:ind w:left="180" w:right="20" w:firstLine="486"/>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are named or threatened to be named as a defendant in various lawsuits. Management, following consultation with legal counsel, does not expect the ultimate disposition of any or a combination of these matters to have a material adverse effect on our business, financial condition, results of operations, cash flows or growth prospects. However, given the nature, scope and complexity of the extensive legal and regulatory landscape applicable to our business (including laws and regulations governing consumer protection, fair lending, fair labor, privacy, information security and anti-money laundering and anti-terrorism laws), we, like all banking organizations, are subject to heightened legal and regulatory compliance and litigation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65" w:lineRule="exact"/>
        <w:rPr>
          <w:sz w:val="20"/>
          <w:szCs w:val="20"/>
          <w:color w:val="auto"/>
        </w:rPr>
      </w:pPr>
    </w:p>
    <w:p>
      <w:pPr>
        <w:ind w:left="180" w:firstLine="486"/>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2019, as updated and supplemented in Part II, "Item 1A. Risk Factors" in our Quarterly Report on Form 10-Q for the quarter ended March 31, 2020, which could materially affect our business, financial condition or results of operations in future periods. These risks are not the only risks facing our Company. Additional risks and uncertainties not currently known to us or that we currently deem to be immaterial also may materially adversely affect our business, financial condition or results of operations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0"/>
                <w:szCs w:val="20"/>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96"/>
        </w:trPr>
        <w:tc>
          <w:tcPr>
            <w:tcW w:w="1340" w:type="dxa"/>
            <w:vAlign w:val="bottom"/>
            <w:tcBorders>
              <w:top w:val="single" w:sz="8" w:color="auto"/>
            </w:tcBorders>
          </w:tcPr>
          <w:p>
            <w:pPr>
              <w:ind w:left="20"/>
              <w:spacing w:after="0" w:line="196" w:lineRule="exact"/>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3.1</w:t>
              </w:r>
            </w:hyperlink>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640" w:type="dxa"/>
            <w:vAlign w:val="bottom"/>
            <w:tcBorders>
              <w:top w:val="single" w:sz="8" w:color="auto"/>
            </w:tcBorders>
            <w:gridSpan w:val="9"/>
          </w:tcPr>
          <w:p>
            <w:pPr>
              <w:spacing w:after="0" w:line="19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Articles of Incorporation of CrossFirst Bankshares, Inc. (incorporated by reference to Exhibit 3.1 to the Company's Registration</w:t>
              </w:r>
            </w:hyperlink>
          </w:p>
        </w:tc>
      </w:tr>
      <w:tr>
        <w:trPr>
          <w:trHeight w:val="183"/>
        </w:trPr>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Statement on Form S-1 as filed with the SEC on July 18, 2019, File No. 333-232704).</w:t>
              </w:r>
            </w:hyperlink>
          </w:p>
        </w:tc>
        <w:tc>
          <w:tcPr>
            <w:tcW w:w="3020" w:type="dxa"/>
            <w:vAlign w:val="bottom"/>
            <w:tcBorders>
              <w:top w:val="single" w:sz="8" w:color="0000FF"/>
            </w:tcBorders>
            <w:gridSpan w:val="2"/>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5"/>
        </w:trPr>
        <w:tc>
          <w:tcPr>
            <w:tcW w:w="1340" w:type="dxa"/>
            <w:vAlign w:val="bottom"/>
          </w:tcPr>
          <w:p>
            <w:pPr>
              <w:ind w:left="20"/>
              <w:spacing w:after="0"/>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3.2</w:t>
              </w:r>
            </w:hyperlink>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gridSpan w:val="9"/>
          </w:tcPr>
          <w:p>
            <w:pPr>
              <w:spacing w:after="0"/>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Amendment to Articles of Incorporation of CrossFirst Bankshares, Inc. (incorporated by reference to Exhibit 3.2 to the Company’s</w:t>
              </w:r>
            </w:hyperlink>
          </w:p>
        </w:tc>
      </w:tr>
      <w:tr>
        <w:trPr>
          <w:trHeight w:val="234"/>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9"/>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u w:val="single" w:color="auto"/>
                  <w:color w:val="0000FF"/>
                </w:rPr>
                <w:t>Registration Statement on Form S-1 as filed with the SEC on July 18, 2019, File No. 333-232704)</w:t>
              </w:r>
              <w:r>
                <w:rPr>
                  <w:rFonts w:ascii="Times New Roman" w:cs="Times New Roman" w:eastAsia="Times New Roman" w:hAnsi="Times New Roman"/>
                  <w:sz w:val="18"/>
                  <w:szCs w:val="18"/>
                  <w:color w:val="0000FF"/>
                </w:rPr>
                <w:t>.</w:t>
              </w:r>
            </w:hyperlink>
          </w:p>
        </w:tc>
      </w:tr>
      <w:tr>
        <w:trPr>
          <w:trHeight w:val="202"/>
        </w:trPr>
        <w:tc>
          <w:tcPr>
            <w:tcW w:w="1340" w:type="dxa"/>
            <w:vAlign w:val="bottom"/>
          </w:tcPr>
          <w:p>
            <w:pPr>
              <w:ind w:left="20"/>
              <w:spacing w:after="0" w:line="202" w:lineRule="exact"/>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3.3</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9"/>
          </w:tcPr>
          <w:p>
            <w:pPr>
              <w:spacing w:after="0" w:line="202"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u w:val="single" w:color="auto"/>
                  <w:color w:val="0000FF"/>
                </w:rPr>
                <w:t>Bylaws of CrossFirst Bankshares, Inc. (incorporated by reference to Exhibit 3.3 to the Company's</w:t>
              </w:r>
              <w:r>
                <w:rPr>
                  <w:rFonts w:ascii="Times New Roman" w:cs="Times New Roman" w:eastAsia="Times New Roman" w:hAnsi="Times New Roman"/>
                  <w:sz w:val="18"/>
                  <w:szCs w:val="18"/>
                  <w:color w:val="0000FF"/>
                </w:rPr>
                <w:t xml:space="preserve"> Registration Statement on Form S-</w:t>
              </w:r>
            </w:hyperlink>
          </w:p>
        </w:tc>
      </w:tr>
      <w:tr>
        <w:trPr>
          <w:trHeight w:val="156"/>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1 as filed with the SEC on July 18, 2019, File No. 333-232704).</w:t>
              </w:r>
            </w:hyperlink>
          </w:p>
        </w:tc>
        <w:tc>
          <w:tcPr>
            <w:tcW w:w="2460" w:type="dxa"/>
            <w:vAlign w:val="bottom"/>
            <w:gridSpan w:val="2"/>
          </w:tcPr>
          <w:p>
            <w:pPr>
              <w:spacing w:after="0"/>
              <w:rPr>
                <w:sz w:val="13"/>
                <w:szCs w:val="13"/>
                <w:color w:val="auto"/>
              </w:rPr>
            </w:pPr>
          </w:p>
        </w:tc>
        <w:tc>
          <w:tcPr>
            <w:tcW w:w="230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r>
      <w:tr>
        <w:trPr>
          <w:trHeight w:val="209"/>
        </w:trPr>
        <w:tc>
          <w:tcPr>
            <w:tcW w:w="1340" w:type="dxa"/>
            <w:vAlign w:val="bottom"/>
          </w:tcPr>
          <w:p>
            <w:pPr>
              <w:ind w:left="2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31.1*</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9"/>
          </w:tcPr>
          <w:p>
            <w:pPr>
              <w:spacing w:after="0"/>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Certification of Principal Executive Officer pursuant to Rule 13a-14(a) of the Exchange Act, as adopted pursuant to Section 302 of</w:t>
              </w:r>
            </w:hyperlink>
          </w:p>
        </w:tc>
      </w:tr>
      <w:tr>
        <w:trPr>
          <w:trHeight w:val="156"/>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the Sarbanes-Oxley Act of 2002</w:t>
              </w:r>
            </w:hyperlink>
          </w:p>
        </w:tc>
        <w:tc>
          <w:tcPr>
            <w:tcW w:w="22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09"/>
        </w:trPr>
        <w:tc>
          <w:tcPr>
            <w:tcW w:w="1340" w:type="dxa"/>
            <w:vAlign w:val="bottom"/>
          </w:tcPr>
          <w:p>
            <w:pPr>
              <w:ind w:left="20"/>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31.2*</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9"/>
          </w:tcPr>
          <w:p>
            <w:pPr>
              <w:spacing w:after="0"/>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Certification of Principal Financial Officer pursuant to Rule 13a-14(a) of the Exchange Act, as adopted pursuant to Section 302 of</w:t>
              </w:r>
            </w:hyperlink>
          </w:p>
        </w:tc>
      </w:tr>
      <w:tr>
        <w:trPr>
          <w:trHeight w:val="156"/>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the Sarbanes-Oxley Act of 2002</w:t>
              </w:r>
            </w:hyperlink>
          </w:p>
        </w:tc>
        <w:tc>
          <w:tcPr>
            <w:tcW w:w="260" w:type="dxa"/>
            <w:vAlign w:val="bottom"/>
            <w:gridSpan w:val="3"/>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7320" w:type="dxa"/>
            <w:vAlign w:val="bottom"/>
            <w:gridSpan w:val="8"/>
          </w:tcPr>
          <w:p>
            <w:pPr>
              <w:spacing w:after="0" w:line="20" w:lineRule="exact"/>
              <w:rPr>
                <w:sz w:val="1"/>
                <w:szCs w:val="1"/>
                <w:color w:val="auto"/>
              </w:rPr>
            </w:pPr>
          </w:p>
        </w:tc>
      </w:tr>
      <w:tr>
        <w:trPr>
          <w:trHeight w:val="245"/>
        </w:trPr>
        <w:tc>
          <w:tcPr>
            <w:tcW w:w="1340" w:type="dxa"/>
            <w:vAlign w:val="bottom"/>
          </w:tcPr>
          <w:p>
            <w:pPr>
              <w:ind w:left="2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32.1**</w:t>
              </w:r>
            </w:hyperlink>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gridSpan w:val="9"/>
          </w:tcPr>
          <w:p>
            <w:pPr>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w:t>
              </w:r>
            </w:hyperlink>
          </w:p>
        </w:tc>
      </w:tr>
      <w:tr>
        <w:trPr>
          <w:trHeight w:val="180"/>
        </w:trPr>
        <w:tc>
          <w:tcPr>
            <w:tcW w:w="14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5"/>
                <w:szCs w:val="15"/>
                <w:color w:val="auto"/>
              </w:rPr>
            </w:pPr>
          </w:p>
        </w:tc>
        <w:tc>
          <w:tcPr>
            <w:tcW w:w="964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25"/>
        </w:trPr>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9"/>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29"/>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29"/>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34"/>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(formation in Inline XBRL and contained in Exhibit 101)</w:t>
            </w:r>
          </w:p>
        </w:tc>
      </w:tr>
    </w:tbl>
    <w:p>
      <w:pPr>
        <w:spacing w:after="0" w:line="200" w:lineRule="exact"/>
        <w:rPr>
          <w:sz w:val="20"/>
          <w:szCs w:val="20"/>
          <w:color w:val="auto"/>
        </w:rPr>
      </w:pPr>
    </w:p>
    <w:p>
      <w:pPr>
        <w:spacing w:after="0" w:line="349"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71" w:lineRule="exact"/>
        <w:rPr>
          <w:sz w:val="20"/>
          <w:szCs w:val="20"/>
          <w:color w:val="auto"/>
        </w:rPr>
      </w:pPr>
    </w:p>
    <w:p>
      <w:pPr>
        <w:ind w:left="660"/>
        <w:spacing w:after="0"/>
        <w:tabs>
          <w:tab w:leader="none" w:pos="100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65" w:lineRule="exact"/>
        <w:rPr>
          <w:sz w:val="20"/>
          <w:szCs w:val="20"/>
          <w:color w:val="auto"/>
        </w:rPr>
      </w:pPr>
    </w:p>
    <w:p>
      <w:pPr>
        <w:ind w:left="180" w:right="8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3"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CrossFirst Bankshares Inc.</w:t>
            </w:r>
          </w:p>
        </w:tc>
      </w:tr>
      <w:tr>
        <w:trPr>
          <w:trHeight w:val="87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November 3, 2020</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L. O’Toole</w:t>
            </w:r>
          </w:p>
        </w:tc>
      </w:tr>
      <w:tr>
        <w:trPr>
          <w:trHeight w:val="218"/>
        </w:trPr>
        <w:tc>
          <w:tcPr>
            <w:tcW w:w="538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L. O’Toole</w:t>
            </w:r>
          </w:p>
        </w:tc>
      </w:tr>
      <w:tr>
        <w:trPr>
          <w:trHeight w:val="229"/>
        </w:trPr>
        <w:tc>
          <w:tcPr>
            <w:tcW w:w="538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38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60"/>
          </w:cols>
          <w:pgMar w:left="320" w:top="121" w:right="51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Certification of Chief Executive Officer</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Rules 13a-14(a) and 15d-14(a) of the Securities Exchange Act of 1934</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 Section 302 of the Sarbanes-Oxley Act of 2002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Maddox, certify that:</w:t>
      </w:r>
    </w:p>
    <w:p>
      <w:pPr>
        <w:spacing w:after="0" w:line="225"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CrossFirst Bankshares, Inc.;</w:t>
      </w:r>
    </w:p>
    <w:p>
      <w:pPr>
        <w:spacing w:after="0" w:line="171"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Times New Roman" w:cs="Times New Roman" w:eastAsia="Times New Roman" w:hAnsi="Times New Roman"/>
          <w:sz w:val="17"/>
          <w:szCs w:val="17"/>
          <w:color w:val="auto"/>
        </w:rPr>
      </w:pPr>
    </w:p>
    <w:p>
      <w:pPr>
        <w:ind w:left="1300" w:right="44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ind w:left="2040" w:hanging="736"/>
        <w:spacing w:after="0" w:line="266" w:lineRule="auto"/>
        <w:tabs>
          <w:tab w:leader="none" w:pos="20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2040" w:right="220" w:hanging="736"/>
        <w:spacing w:after="0" w:line="266" w:lineRule="auto"/>
        <w:tabs>
          <w:tab w:leader="none" w:pos="203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2040" w:right="240" w:hanging="736"/>
        <w:spacing w:after="0" w:line="266" w:lineRule="auto"/>
        <w:tabs>
          <w:tab w:leader="none" w:pos="20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2040" w:right="480" w:hanging="736"/>
        <w:spacing w:after="0" w:line="266" w:lineRule="auto"/>
        <w:tabs>
          <w:tab w:leader="none" w:pos="20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2040" w:right="20" w:hanging="736"/>
        <w:spacing w:after="0" w:line="282" w:lineRule="auto"/>
        <w:tabs>
          <w:tab w:leader="none" w:pos="203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2020</w:t>
      </w:r>
    </w:p>
    <w:p>
      <w:pPr>
        <w:spacing w:after="0" w:line="29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/s/ 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17145</wp:posOffset>
            </wp:positionV>
            <wp:extent cx="22974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Michael J. Maddox</w:t>
      </w:r>
    </w:p>
    <w:p>
      <w:pPr>
        <w:spacing w:after="0" w:line="27"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51" w:right="339" w:bottom="1440" w:gutter="0" w:footer="0" w:header="0"/>
        </w:sectPr>
      </w:pPr>
    </w:p>
    <w:bookmarkStart w:id="56" w:name="page57"/>
    <w:bookmarkEnd w:id="56"/>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Certification of Chief Financial Officer</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Rules 13a-14(a) and 15d-14(a) of the Securities Exchange Act of 1934</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 Section 302 of the Sarbanes-Oxley Act of 2002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L. O’Toole, certify that:</w:t>
      </w:r>
    </w:p>
    <w:p>
      <w:pPr>
        <w:spacing w:after="0" w:line="239"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CrossFirst Bankshares, Inc.;</w:t>
      </w:r>
    </w:p>
    <w:p>
      <w:pPr>
        <w:spacing w:after="0" w:line="184" w:lineRule="exact"/>
        <w:rPr>
          <w:rFonts w:ascii="Times New Roman" w:cs="Times New Roman" w:eastAsia="Times New Roman" w:hAnsi="Times New Roman"/>
          <w:sz w:val="18"/>
          <w:szCs w:val="18"/>
          <w:color w:val="auto"/>
        </w:rPr>
      </w:pPr>
    </w:p>
    <w:p>
      <w:pPr>
        <w:ind w:left="1300" w:right="160" w:hanging="644"/>
        <w:spacing w:after="0" w:line="281"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8"/>
          <w:szCs w:val="18"/>
          <w:color w:val="auto"/>
        </w:rPr>
      </w:pPr>
    </w:p>
    <w:p>
      <w:pPr>
        <w:ind w:left="1300" w:right="220" w:hanging="644"/>
        <w:spacing w:after="0" w:line="329" w:lineRule="auto"/>
        <w:tabs>
          <w:tab w:leader="none" w:pos="1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Times New Roman" w:cs="Times New Roman" w:eastAsia="Times New Roman" w:hAnsi="Times New Roman"/>
          <w:sz w:val="17"/>
          <w:szCs w:val="17"/>
          <w:color w:val="auto"/>
        </w:rPr>
      </w:pPr>
    </w:p>
    <w:p>
      <w:pPr>
        <w:ind w:left="1300" w:right="440" w:hanging="644"/>
        <w:spacing w:after="0" w:line="297"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9" w:lineRule="exact"/>
        <w:rPr>
          <w:rFonts w:ascii="Times New Roman" w:cs="Times New Roman" w:eastAsia="Times New Roman" w:hAnsi="Times New Roman"/>
          <w:sz w:val="18"/>
          <w:szCs w:val="18"/>
          <w:color w:val="auto"/>
        </w:rPr>
      </w:pPr>
    </w:p>
    <w:p>
      <w:pPr>
        <w:ind w:left="2120" w:right="20" w:hanging="816"/>
        <w:spacing w:after="0" w:line="266" w:lineRule="auto"/>
        <w:tabs>
          <w:tab w:leader="none" w:pos="211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2120" w:right="140" w:hanging="816"/>
        <w:spacing w:after="0" w:line="266" w:lineRule="auto"/>
        <w:tabs>
          <w:tab w:leader="none" w:pos="211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2120" w:right="160" w:hanging="816"/>
        <w:spacing w:after="0" w:line="266" w:lineRule="auto"/>
        <w:tabs>
          <w:tab w:leader="none" w:pos="211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300" w:right="140" w:hanging="644"/>
        <w:spacing w:after="0" w:line="281"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jc w:val="both"/>
        <w:ind w:left="2120" w:hanging="816"/>
        <w:spacing w:after="0" w:line="281" w:lineRule="auto"/>
        <w:tabs>
          <w:tab w:leader="none" w:pos="211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8"/>
          <w:szCs w:val="18"/>
          <w:color w:val="auto"/>
        </w:rPr>
      </w:pPr>
    </w:p>
    <w:p>
      <w:pPr>
        <w:ind w:left="2120" w:hanging="816"/>
        <w:spacing w:after="0" w:line="297" w:lineRule="auto"/>
        <w:tabs>
          <w:tab w:leader="none" w:pos="211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2020</w:t>
      </w:r>
    </w:p>
    <w:p>
      <w:pPr>
        <w:spacing w:after="0" w:line="29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/s/ David L.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17145</wp:posOffset>
            </wp:positionV>
            <wp:extent cx="22974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David L. O’Toole</w:t>
      </w:r>
    </w:p>
    <w:p>
      <w:pPr>
        <w:spacing w:after="0" w:line="27"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5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6"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22"/>
          <w:szCs w:val="22"/>
          <w:b w:val="1"/>
          <w:bCs w:val="1"/>
          <w:color w:val="auto"/>
        </w:rPr>
        <w:t>CERTIFICATION OF PRINCIPAL EXECUTIVE OFFICER AND PRINCIPAL FINANCIAL OFFICER UNDER 18 U.S.C. § 1350 FURNISHED PURSUANT TO SECURITIES EXCHANGE ACT RULE 13a-14(b)</w:t>
      </w:r>
    </w:p>
    <w:p>
      <w:pPr>
        <w:spacing w:after="0" w:line="1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CrossFirst Bankshares, Inc. (the “Company”) on Form 10-Q for the period ended on September 30, 2020, as filed with the Securities and Exchange Commission on the date hereof (the “Report”), each of the undersigned, in his respective capacities indicated below, hereby certifies, pursuant to 18 U.S.C. § 1350, as enacted by Section 906 of the Sarbanes-Oxley Act of 2002, that, to his knowledge and belief,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2020</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40633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4063365" cy="17145"/>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Michael J. Maddox</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David L.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40633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4063365" cy="17145"/>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David L. O'Toole</w:t>
      </w:r>
    </w:p>
    <w:p>
      <w:pPr>
        <w:spacing w:after="0" w:line="1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p>
      <w:pPr>
        <w:jc w:val="right"/>
        <w:spacing w:after="0"/>
        <w:rPr>
          <w:sz w:val="20"/>
          <w:szCs w:val="20"/>
          <w:color w:val="auto"/>
        </w:rPr>
      </w:pPr>
      <w:r>
        <w:rPr>
          <w:rFonts w:ascii="Times New Roman" w:cs="Times New Roman" w:eastAsia="Times New Roman" w:hAnsi="Times New Roman"/>
          <w:sz w:val="18"/>
          <w:szCs w:val="18"/>
          <w:color w:val="auto"/>
        </w:rPr>
        <w:t>Principal Accounting Officer)</w:t>
      </w:r>
    </w:p>
    <w:sectPr>
      <w:pgSz w:w="11900" w:h="16838" w:orient="portrait"/>
      <w:cols w:equalWidth="0" w:num="1">
        <w:col w:w="11220"/>
      </w:cols>
      <w:pgMar w:left="320" w:top="141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upperLetter"/>
      <w:start w:val="68"/>
    </w:lvl>
  </w:abstractNum>
  <w:abstractNum w:abstractNumId="13">
    <w:nsid w:val="4E6AFB66"/>
    <w:multiLevelType w:val="hybridMultilevel"/>
    <w:lvl w:ilvl="0">
      <w:lvlJc w:val="left"/>
      <w:lvlText w:val="(%1)"/>
      <w:numFmt w:val="lowerRoman"/>
      <w:start w:val="2"/>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84" Type="http://schemas.openxmlformats.org/officeDocument/2006/relationships/hyperlink" Target="https://www.sec.gov/Archives/edgar/data/1458412/000114036119013110/s002626x8_ex3-1.htm" TargetMode="External"/><Relationship Id="rId85" Type="http://schemas.openxmlformats.org/officeDocument/2006/relationships/hyperlink" Target="https://www.sec.gov/Archives/edgar/data/1458412/000114036119013110/s002626x8_ex3-2.htm" TargetMode="External"/><Relationship Id="rId86" Type="http://schemas.openxmlformats.org/officeDocument/2006/relationships/hyperlink" Target="https://www.sec.gov/Archives/edgar/data/1458412/000114036119013110/s002626x8_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2020-11-03T15:31:04Z</dcterms:created>
  <dcterms:modified xsi:type="dcterms:W3CDTF">2020-11-03T15:31:04Z</dcterms:modified>
</cp:coreProperties>
</file>