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color w:val="auto"/>
        </w:rPr>
        <w:t>UNITED STATES</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WASHINGTON, DC 20549</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171" w:lineRule="exact"/>
        <w:rPr>
          <w:sz w:val="24"/>
          <w:szCs w:val="24"/>
          <w:color w:val="auto"/>
        </w:rPr>
      </w:pPr>
    </w:p>
    <w:p>
      <w:pPr>
        <w:jc w:val="center"/>
        <w:ind w:left="4560" w:right="2620" w:hanging="1876"/>
        <w:spacing w:after="0" w:line="532" w:lineRule="auto"/>
        <w:tabs>
          <w:tab w:leader="none" w:pos="2817" w:val="left"/>
        </w:tabs>
        <w:numPr>
          <w:ilvl w:val="1"/>
          <w:numId w:val="1"/>
        </w:numPr>
        <w:rPr>
          <w:rFonts w:ascii="MS PGothic" w:cs="MS PGothic" w:eastAsia="MS PGothic" w:hAnsi="MS PGothic"/>
          <w:sz w:val="12"/>
          <w:szCs w:val="12"/>
          <w:color w:val="auto"/>
        </w:rPr>
      </w:pPr>
      <w:r>
        <w:rPr>
          <w:rFonts w:ascii="Arial" w:cs="Arial" w:eastAsia="Arial" w:hAnsi="Arial"/>
          <w:sz w:val="12"/>
          <w:szCs w:val="12"/>
          <w:color w:val="auto"/>
        </w:rPr>
        <w:t>QUARTERLY REPORT PURSUANT TO SECTION 13 OR 15(d) OF THE SECURITIES EXCHANGE ACT OF 1934 For the quarterly period ended June 30, 2021</w:t>
      </w:r>
    </w:p>
    <w:p>
      <w:pPr>
        <w:ind w:left="5600"/>
        <w:spacing w:after="0"/>
        <w:rPr>
          <w:rFonts w:ascii="MS PGothic" w:cs="MS PGothic" w:eastAsia="MS PGothic" w:hAnsi="MS PGothic"/>
          <w:sz w:val="12"/>
          <w:szCs w:val="12"/>
          <w:color w:val="auto"/>
        </w:rPr>
      </w:pPr>
      <w:r>
        <w:rPr>
          <w:rFonts w:ascii="Arial" w:cs="Arial" w:eastAsia="Arial" w:hAnsi="Arial"/>
          <w:sz w:val="12"/>
          <w:szCs w:val="12"/>
          <w:color w:val="auto"/>
        </w:rPr>
        <w:t>or</w:t>
      </w:r>
    </w:p>
    <w:p>
      <w:pPr>
        <w:spacing w:after="0" w:line="168" w:lineRule="exact"/>
        <w:rPr>
          <w:rFonts w:ascii="MS PGothic" w:cs="MS PGothic" w:eastAsia="MS PGothic" w:hAnsi="MS PGothic"/>
          <w:sz w:val="12"/>
          <w:szCs w:val="12"/>
          <w:color w:val="auto"/>
        </w:rPr>
      </w:pPr>
    </w:p>
    <w:p>
      <w:pPr>
        <w:jc w:val="center"/>
        <w:ind w:left="4480" w:right="2600" w:hanging="1802"/>
        <w:spacing w:after="0" w:line="532" w:lineRule="auto"/>
        <w:tabs>
          <w:tab w:leader="none" w:pos="2816"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 to ______</w:t>
      </w:r>
    </w:p>
    <w:p>
      <w:pPr>
        <w:ind w:left="4780"/>
        <w:spacing w:after="0"/>
        <w:rPr>
          <w:rFonts w:ascii="MS PGothic" w:cs="MS PGothic" w:eastAsia="MS PGothic" w:hAnsi="MS PGothic"/>
          <w:sz w:val="12"/>
          <w:szCs w:val="12"/>
          <w:color w:val="auto"/>
        </w:rPr>
      </w:pPr>
      <w:r>
        <w:rPr>
          <w:rFonts w:ascii="Arial" w:cs="Arial" w:eastAsia="Arial" w:hAnsi="Arial"/>
          <w:sz w:val="12"/>
          <w:szCs w:val="12"/>
          <w:color w:val="auto"/>
        </w:rPr>
        <w:t>Commission file number 001-39028</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CROSSFIRST BANKSHARES, INC.</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pacing w:after="0" w:line="194" w:lineRule="exact"/>
        <w:rPr>
          <w:sz w:val="24"/>
          <w:szCs w:val="24"/>
          <w:color w:val="auto"/>
        </w:rPr>
      </w:pPr>
    </w:p>
    <w:tbl>
      <w:tblPr>
        <w:tblLayout w:type="fixed"/>
        <w:tblInd w:w="260" w:type="dxa"/>
        <w:tblCellMar>
          <w:top w:w="0" w:type="dxa"/>
          <w:left w:w="0" w:type="dxa"/>
          <w:bottom w:w="0" w:type="dxa"/>
          <w:right w:w="0" w:type="dxa"/>
        </w:tblCellMar>
      </w:tblPr>
      <w:tr>
        <w:trPr>
          <w:trHeight w:val="153"/>
        </w:trPr>
        <w:tc>
          <w:tcPr>
            <w:tcW w:w="3860" w:type="dxa"/>
            <w:vAlign w:val="bottom"/>
          </w:tcPr>
          <w:p>
            <w:pPr>
              <w:jc w:val="center"/>
              <w:ind w:left="1782"/>
              <w:spacing w:after="0"/>
              <w:rPr>
                <w:sz w:val="20"/>
                <w:szCs w:val="20"/>
                <w:color w:val="auto"/>
              </w:rPr>
            </w:pPr>
            <w:r>
              <w:rPr>
                <w:rFonts w:ascii="Arial" w:cs="Arial" w:eastAsia="Arial" w:hAnsi="Arial"/>
                <w:sz w:val="12"/>
                <w:szCs w:val="12"/>
                <w:color w:val="auto"/>
                <w:w w:val="84"/>
              </w:rPr>
              <w:t>Kansas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40" w:type="dxa"/>
            <w:vAlign w:val="bottom"/>
          </w:tcPr>
          <w:p>
            <w:pPr>
              <w:jc w:val="right"/>
              <w:ind w:right="2562"/>
              <w:spacing w:after="0"/>
              <w:rPr>
                <w:sz w:val="20"/>
                <w:szCs w:val="20"/>
                <w:color w:val="auto"/>
              </w:rPr>
            </w:pPr>
            <w:r>
              <w:rPr>
                <w:rFonts w:ascii="Arial" w:cs="Arial" w:eastAsia="Arial" w:hAnsi="Arial"/>
                <w:sz w:val="12"/>
                <w:szCs w:val="12"/>
                <w:color w:val="auto"/>
              </w:rPr>
              <w:t>26-3212879</w:t>
            </w:r>
          </w:p>
        </w:tc>
      </w:tr>
      <w:tr>
        <w:trPr>
          <w:trHeight w:val="167"/>
        </w:trPr>
        <w:tc>
          <w:tcPr>
            <w:tcW w:w="6920" w:type="dxa"/>
            <w:vAlign w:val="bottom"/>
            <w:gridSpan w:val="6"/>
          </w:tcPr>
          <w:p>
            <w:pPr>
              <w:jc w:val="center"/>
              <w:ind w:right="1220"/>
              <w:spacing w:after="0"/>
              <w:rPr>
                <w:sz w:val="20"/>
                <w:szCs w:val="20"/>
                <w:color w:val="auto"/>
              </w:rPr>
            </w:pPr>
            <w:r>
              <w:rPr>
                <w:rFonts w:ascii="Arial" w:cs="Arial" w:eastAsia="Arial" w:hAnsi="Arial"/>
                <w:sz w:val="11"/>
                <w:szCs w:val="11"/>
                <w:color w:val="auto"/>
                <w:w w:val="90"/>
              </w:rPr>
              <w:t>(State or other jurisdiction of incorporation or organization)</w:t>
            </w:r>
          </w:p>
        </w:tc>
        <w:tc>
          <w:tcPr>
            <w:tcW w:w="3840" w:type="dxa"/>
            <w:vAlign w:val="bottom"/>
          </w:tcPr>
          <w:p>
            <w:pPr>
              <w:jc w:val="center"/>
              <w:ind w:right="1902"/>
              <w:spacing w:after="0"/>
              <w:rPr>
                <w:sz w:val="20"/>
                <w:szCs w:val="20"/>
                <w:color w:val="auto"/>
              </w:rPr>
            </w:pPr>
            <w:r>
              <w:rPr>
                <w:rFonts w:ascii="Arial" w:cs="Arial" w:eastAsia="Arial" w:hAnsi="Arial"/>
                <w:sz w:val="11"/>
                <w:szCs w:val="11"/>
                <w:color w:val="auto"/>
                <w:w w:val="92"/>
              </w:rPr>
              <w:t>(I.R.S. Employer Identification No.)</w:t>
            </w:r>
          </w:p>
        </w:tc>
      </w:tr>
      <w:tr>
        <w:trPr>
          <w:trHeight w:val="211"/>
        </w:trPr>
        <w:tc>
          <w:tcPr>
            <w:tcW w:w="3860" w:type="dxa"/>
            <w:vAlign w:val="bottom"/>
          </w:tcPr>
          <w:p>
            <w:pPr>
              <w:jc w:val="center"/>
              <w:ind w:left="1782"/>
              <w:spacing w:after="0"/>
              <w:rPr>
                <w:sz w:val="20"/>
                <w:szCs w:val="20"/>
                <w:color w:val="auto"/>
              </w:rPr>
            </w:pPr>
            <w:r>
              <w:rPr>
                <w:rFonts w:ascii="Arial" w:cs="Arial" w:eastAsia="Arial" w:hAnsi="Arial"/>
                <w:sz w:val="12"/>
                <w:szCs w:val="12"/>
                <w:color w:val="auto"/>
                <w:w w:val="89"/>
              </w:rPr>
              <w:t>11440 Tomahawk Creek Parkway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180"/>
        </w:trPr>
        <w:tc>
          <w:tcPr>
            <w:tcW w:w="3860" w:type="dxa"/>
            <w:vAlign w:val="bottom"/>
          </w:tcPr>
          <w:p>
            <w:pPr>
              <w:ind w:left="2320"/>
              <w:spacing w:after="0"/>
              <w:rPr>
                <w:sz w:val="20"/>
                <w:szCs w:val="20"/>
                <w:color w:val="auto"/>
              </w:rPr>
            </w:pPr>
            <w:r>
              <w:rPr>
                <w:rFonts w:ascii="Arial" w:cs="Arial" w:eastAsia="Arial" w:hAnsi="Arial"/>
                <w:sz w:val="12"/>
                <w:szCs w:val="12"/>
                <w:color w:val="auto"/>
              </w:rPr>
              <w:t>Leawood,  KS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40" w:type="dxa"/>
            <w:vAlign w:val="bottom"/>
          </w:tcPr>
          <w:p>
            <w:pPr>
              <w:jc w:val="right"/>
              <w:ind w:right="2702"/>
              <w:spacing w:after="0"/>
              <w:rPr>
                <w:sz w:val="20"/>
                <w:szCs w:val="20"/>
                <w:color w:val="auto"/>
              </w:rPr>
            </w:pPr>
            <w:r>
              <w:rPr>
                <w:rFonts w:ascii="Arial" w:cs="Arial" w:eastAsia="Arial" w:hAnsi="Arial"/>
                <w:sz w:val="12"/>
                <w:szCs w:val="12"/>
                <w:color w:val="auto"/>
              </w:rPr>
              <w:t>66211</w:t>
            </w:r>
          </w:p>
        </w:tc>
      </w:tr>
      <w:tr>
        <w:trPr>
          <w:trHeight w:val="167"/>
        </w:trPr>
        <w:tc>
          <w:tcPr>
            <w:tcW w:w="3860" w:type="dxa"/>
            <w:vAlign w:val="bottom"/>
          </w:tcPr>
          <w:p>
            <w:pPr>
              <w:jc w:val="center"/>
              <w:ind w:left="1782"/>
              <w:spacing w:after="0"/>
              <w:rPr>
                <w:sz w:val="20"/>
                <w:szCs w:val="20"/>
                <w:color w:val="auto"/>
              </w:rPr>
            </w:pPr>
            <w:r>
              <w:rPr>
                <w:rFonts w:ascii="Arial" w:cs="Arial" w:eastAsia="Arial" w:hAnsi="Arial"/>
                <w:sz w:val="11"/>
                <w:szCs w:val="11"/>
                <w:color w:val="auto"/>
                <w:w w:val="90"/>
              </w:rPr>
              <w:t>(Address of principal executive offices)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40" w:type="dxa"/>
            <w:vAlign w:val="bottom"/>
          </w:tcPr>
          <w:p>
            <w:pPr>
              <w:jc w:val="center"/>
              <w:ind w:right="1902"/>
              <w:spacing w:after="0"/>
              <w:rPr>
                <w:sz w:val="20"/>
                <w:szCs w:val="20"/>
                <w:color w:val="auto"/>
              </w:rPr>
            </w:pPr>
            <w:r>
              <w:rPr>
                <w:rFonts w:ascii="Arial" w:cs="Arial" w:eastAsia="Arial" w:hAnsi="Arial"/>
                <w:sz w:val="11"/>
                <w:szCs w:val="11"/>
                <w:color w:val="auto"/>
                <w:w w:val="92"/>
              </w:rPr>
              <w:t>(Zip Code)</w:t>
            </w:r>
          </w:p>
        </w:tc>
      </w:tr>
      <w:tr>
        <w:trPr>
          <w:trHeight w:val="211"/>
        </w:trPr>
        <w:tc>
          <w:tcPr>
            <w:tcW w:w="3860" w:type="dxa"/>
            <w:vAlign w:val="bottom"/>
          </w:tcPr>
          <w:p>
            <w:pPr>
              <w:spacing w:after="0"/>
              <w:rPr>
                <w:sz w:val="18"/>
                <w:szCs w:val="18"/>
                <w:color w:val="auto"/>
              </w:rPr>
            </w:pPr>
          </w:p>
        </w:tc>
        <w:tc>
          <w:tcPr>
            <w:tcW w:w="2200" w:type="dxa"/>
            <w:vAlign w:val="bottom"/>
            <w:gridSpan w:val="3"/>
          </w:tcPr>
          <w:p>
            <w:pPr>
              <w:jc w:val="center"/>
              <w:ind w:left="780"/>
              <w:spacing w:after="0"/>
              <w:rPr>
                <w:sz w:val="20"/>
                <w:szCs w:val="20"/>
                <w:color w:val="auto"/>
              </w:rPr>
            </w:pPr>
            <w:r>
              <w:rPr>
                <w:rFonts w:ascii="Arial" w:cs="Arial" w:eastAsia="Arial" w:hAnsi="Arial"/>
                <w:sz w:val="12"/>
                <w:szCs w:val="12"/>
                <w:color w:val="auto"/>
                <w:w w:val="92"/>
              </w:rPr>
              <w:t>(913) 312-6822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153"/>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2"/>
                <w:szCs w:val="12"/>
                <w:color w:val="auto"/>
                <w:w w:val="90"/>
              </w:rPr>
              <w:t>(Registrant’s telephone number, including area code)</w:t>
            </w:r>
          </w:p>
        </w:tc>
        <w:tc>
          <w:tcPr>
            <w:tcW w:w="3840" w:type="dxa"/>
            <w:vAlign w:val="bottom"/>
          </w:tcPr>
          <w:p>
            <w:pPr>
              <w:spacing w:after="0"/>
              <w:rPr>
                <w:sz w:val="13"/>
                <w:szCs w:val="13"/>
                <w:color w:val="auto"/>
              </w:rPr>
            </w:pPr>
          </w:p>
        </w:tc>
      </w:tr>
      <w:tr>
        <w:trPr>
          <w:trHeight w:val="297"/>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2"/>
                <w:szCs w:val="12"/>
                <w:color w:val="auto"/>
                <w:w w:val="99"/>
              </w:rPr>
              <w:t>N/A</w:t>
            </w:r>
          </w:p>
        </w:tc>
        <w:tc>
          <w:tcPr>
            <w:tcW w:w="3840" w:type="dxa"/>
            <w:vAlign w:val="bottom"/>
          </w:tcPr>
          <w:p>
            <w:pPr>
              <w:spacing w:after="0"/>
              <w:rPr>
                <w:sz w:val="24"/>
                <w:szCs w:val="24"/>
                <w:color w:val="auto"/>
              </w:rPr>
            </w:pPr>
          </w:p>
        </w:tc>
      </w:tr>
      <w:tr>
        <w:trPr>
          <w:trHeight w:val="153"/>
        </w:trPr>
        <w:tc>
          <w:tcPr>
            <w:tcW w:w="10760" w:type="dxa"/>
            <w:vAlign w:val="bottom"/>
            <w:gridSpan w:val="7"/>
          </w:tcPr>
          <w:p>
            <w:pPr>
              <w:jc w:val="center"/>
              <w:spacing w:after="0"/>
              <w:rPr>
                <w:sz w:val="20"/>
                <w:szCs w:val="20"/>
                <w:color w:val="auto"/>
              </w:rPr>
            </w:pPr>
            <w:r>
              <w:rPr>
                <w:rFonts w:ascii="Arial" w:cs="Arial" w:eastAsia="Arial" w:hAnsi="Arial"/>
                <w:sz w:val="12"/>
                <w:szCs w:val="12"/>
                <w:color w:val="auto"/>
                <w:w w:val="90"/>
              </w:rPr>
              <w:t>(Former name, former address and former fiscal year, if changed since last report)</w:t>
            </w:r>
          </w:p>
        </w:tc>
      </w:tr>
      <w:tr>
        <w:trPr>
          <w:trHeight w:val="306"/>
        </w:trPr>
        <w:tc>
          <w:tcPr>
            <w:tcW w:w="3860" w:type="dxa"/>
            <w:vAlign w:val="bottom"/>
          </w:tcPr>
          <w:p>
            <w:pPr>
              <w:spacing w:after="0"/>
              <w:rPr>
                <w:sz w:val="24"/>
                <w:szCs w:val="24"/>
                <w:color w:val="auto"/>
              </w:rPr>
            </w:pPr>
          </w:p>
        </w:tc>
        <w:tc>
          <w:tcPr>
            <w:tcW w:w="3060" w:type="dxa"/>
            <w:vAlign w:val="bottom"/>
            <w:gridSpan w:val="5"/>
          </w:tcPr>
          <w:p>
            <w:pPr>
              <w:jc w:val="center"/>
              <w:ind w:right="20"/>
              <w:spacing w:after="0"/>
              <w:rPr>
                <w:sz w:val="20"/>
                <w:szCs w:val="20"/>
                <w:color w:val="auto"/>
              </w:rPr>
            </w:pPr>
            <w:r>
              <w:rPr>
                <w:rFonts w:ascii="Arial" w:cs="Arial" w:eastAsia="Arial" w:hAnsi="Arial"/>
                <w:sz w:val="12"/>
                <w:szCs w:val="12"/>
                <w:color w:val="auto"/>
                <w:w w:val="90"/>
              </w:rPr>
              <w:t>Securities registered pursuant to Section 12(b) of the Act:</w:t>
            </w:r>
          </w:p>
        </w:tc>
        <w:tc>
          <w:tcPr>
            <w:tcW w:w="3840" w:type="dxa"/>
            <w:vAlign w:val="bottom"/>
          </w:tcPr>
          <w:p>
            <w:pPr>
              <w:spacing w:after="0"/>
              <w:rPr>
                <w:sz w:val="24"/>
                <w:szCs w:val="24"/>
                <w:color w:val="auto"/>
              </w:rPr>
            </w:pPr>
          </w:p>
        </w:tc>
      </w:tr>
      <w:tr>
        <w:trPr>
          <w:trHeight w:val="297"/>
        </w:trPr>
        <w:tc>
          <w:tcPr>
            <w:tcW w:w="3860" w:type="dxa"/>
            <w:vAlign w:val="bottom"/>
            <w:tcBorders>
              <w:bottom w:val="single" w:sz="8" w:color="auto"/>
            </w:tcBorders>
          </w:tcPr>
          <w:p>
            <w:pPr>
              <w:jc w:val="center"/>
              <w:ind w:left="142"/>
              <w:spacing w:after="0"/>
              <w:rPr>
                <w:sz w:val="20"/>
                <w:szCs w:val="20"/>
                <w:color w:val="auto"/>
              </w:rPr>
            </w:pPr>
            <w:r>
              <w:rPr>
                <w:rFonts w:ascii="Arial" w:cs="Arial" w:eastAsia="Arial" w:hAnsi="Arial"/>
                <w:sz w:val="12"/>
                <w:szCs w:val="12"/>
                <w:b w:val="1"/>
                <w:bCs w:val="1"/>
                <w:color w:val="auto"/>
                <w:w w:val="87"/>
              </w:rPr>
              <w:t>Title of each class</w:t>
            </w:r>
          </w:p>
        </w:tc>
        <w:tc>
          <w:tcPr>
            <w:tcW w:w="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Trading Symbol</w:t>
            </w: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602"/>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60"/>
        </w:trPr>
        <w:tc>
          <w:tcPr>
            <w:tcW w:w="3860" w:type="dxa"/>
            <w:vAlign w:val="bottom"/>
          </w:tcPr>
          <w:p>
            <w:pPr>
              <w:jc w:val="center"/>
              <w:ind w:left="142"/>
              <w:spacing w:after="0"/>
              <w:rPr>
                <w:sz w:val="20"/>
                <w:szCs w:val="20"/>
                <w:color w:val="auto"/>
              </w:rPr>
            </w:pPr>
            <w:r>
              <w:rPr>
                <w:rFonts w:ascii="Arial" w:cs="Arial" w:eastAsia="Arial" w:hAnsi="Arial"/>
                <w:sz w:val="12"/>
                <w:szCs w:val="12"/>
                <w:color w:val="auto"/>
                <w:w w:val="89"/>
              </w:rPr>
              <w:t>Common Stock, par value $0.01 per share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60" w:type="dxa"/>
            <w:vAlign w:val="bottom"/>
            <w:gridSpan w:val="3"/>
          </w:tcPr>
          <w:p>
            <w:pPr>
              <w:jc w:val="center"/>
              <w:ind w:right="860"/>
              <w:spacing w:after="0"/>
              <w:rPr>
                <w:sz w:val="20"/>
                <w:szCs w:val="20"/>
                <w:color w:val="auto"/>
              </w:rPr>
            </w:pPr>
            <w:r>
              <w:rPr>
                <w:rFonts w:ascii="Arial" w:cs="Arial" w:eastAsia="Arial" w:hAnsi="Arial"/>
                <w:sz w:val="12"/>
                <w:szCs w:val="12"/>
                <w:color w:val="auto"/>
                <w:w w:val="99"/>
              </w:rPr>
              <w:t>CFB</w:t>
            </w:r>
          </w:p>
        </w:tc>
        <w:tc>
          <w:tcPr>
            <w:tcW w:w="3840" w:type="dxa"/>
            <w:vAlign w:val="bottom"/>
          </w:tcPr>
          <w:p>
            <w:pPr>
              <w:jc w:val="center"/>
              <w:ind w:right="582"/>
              <w:spacing w:after="0"/>
              <w:rPr>
                <w:sz w:val="20"/>
                <w:szCs w:val="20"/>
                <w:color w:val="auto"/>
              </w:rPr>
            </w:pPr>
            <w:r>
              <w:rPr>
                <w:rFonts w:ascii="Arial" w:cs="Arial" w:eastAsia="Arial" w:hAnsi="Arial"/>
                <w:sz w:val="12"/>
                <w:szCs w:val="12"/>
                <w:color w:val="auto"/>
                <w:w w:val="92"/>
              </w:rPr>
              <w:t>The Nasdaq Stock Market LLC</w:t>
            </w:r>
          </w:p>
        </w:tc>
      </w:tr>
    </w:tbl>
    <w:p>
      <w:pPr>
        <w:spacing w:after="0" w:line="171" w:lineRule="exact"/>
        <w:rPr>
          <w:sz w:val="24"/>
          <w:szCs w:val="24"/>
          <w:color w:val="auto"/>
        </w:rPr>
      </w:pPr>
    </w:p>
    <w:p>
      <w:pPr>
        <w:spacing w:after="0" w:line="25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2" w:lineRule="exact"/>
        <w:rPr>
          <w:sz w:val="24"/>
          <w:szCs w:val="24"/>
          <w:color w:val="auto"/>
        </w:rPr>
      </w:pPr>
    </w:p>
    <w:p>
      <w:pPr>
        <w:ind w:right="60"/>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42" w:lineRule="exact"/>
        <w:rPr>
          <w:sz w:val="24"/>
          <w:szCs w:val="24"/>
          <w:color w:val="auto"/>
        </w:rPr>
      </w:pPr>
    </w:p>
    <w:p>
      <w:pPr>
        <w:ind w:right="360"/>
        <w:spacing w:after="0" w:line="26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0"/>
        </w:trPr>
        <w:tc>
          <w:tcPr>
            <w:tcW w:w="23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020" w:type="dxa"/>
            <w:vAlign w:val="bottom"/>
          </w:tcPr>
          <w:p>
            <w:pPr>
              <w:ind w:left="1060"/>
              <w:spacing w:after="0" w:line="121" w:lineRule="exact"/>
              <w:rPr>
                <w:sz w:val="20"/>
                <w:szCs w:val="20"/>
                <w:color w:val="auto"/>
              </w:rPr>
            </w:pPr>
            <w:r>
              <w:rPr>
                <w:rFonts w:ascii="MS PGothic" w:cs="MS PGothic" w:eastAsia="MS PGothic" w:hAnsi="MS PGothic"/>
                <w:sz w:val="12"/>
                <w:szCs w:val="12"/>
                <w:color w:val="auto"/>
              </w:rPr>
              <w:t>☐</w:t>
            </w:r>
          </w:p>
        </w:tc>
        <w:tc>
          <w:tcPr>
            <w:tcW w:w="3220" w:type="dxa"/>
            <w:vAlign w:val="bottom"/>
          </w:tcPr>
          <w:p>
            <w:pPr>
              <w:ind w:left="860"/>
              <w:spacing w:after="0"/>
              <w:rPr>
                <w:sz w:val="20"/>
                <w:szCs w:val="20"/>
                <w:color w:val="auto"/>
              </w:rPr>
            </w:pPr>
            <w:r>
              <w:rPr>
                <w:rFonts w:ascii="Arial" w:cs="Arial" w:eastAsia="Arial" w:hAnsi="Arial"/>
                <w:sz w:val="12"/>
                <w:szCs w:val="12"/>
                <w:color w:val="auto"/>
              </w:rPr>
              <w:t>Accelerated filer</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360" w:type="dxa"/>
            <w:vAlign w:val="bottom"/>
          </w:tcPr>
          <w:p>
            <w:pPr>
              <w:spacing w:after="0"/>
              <w:rPr>
                <w:sz w:val="20"/>
                <w:szCs w:val="20"/>
                <w:color w:val="auto"/>
              </w:rPr>
            </w:pPr>
            <w:r>
              <w:rPr>
                <w:rFonts w:ascii="Arial" w:cs="Arial" w:eastAsia="Arial" w:hAnsi="Arial"/>
                <w:sz w:val="12"/>
                <w:szCs w:val="12"/>
                <w:color w:val="auto"/>
              </w:rPr>
              <w:t>Non-accelerated filer</w:t>
            </w:r>
          </w:p>
        </w:tc>
        <w:tc>
          <w:tcPr>
            <w:tcW w:w="2020" w:type="dxa"/>
            <w:vAlign w:val="bottom"/>
          </w:tcPr>
          <w:p>
            <w:pPr>
              <w:ind w:left="1060"/>
              <w:spacing w:after="0" w:line="121" w:lineRule="exact"/>
              <w:rPr>
                <w:sz w:val="20"/>
                <w:szCs w:val="20"/>
                <w:color w:val="auto"/>
              </w:rPr>
            </w:pPr>
            <w:r>
              <w:rPr>
                <w:rFonts w:ascii="MS PGothic" w:cs="MS PGothic" w:eastAsia="MS PGothic" w:hAnsi="MS PGothic"/>
                <w:sz w:val="12"/>
                <w:szCs w:val="12"/>
                <w:color w:val="auto"/>
              </w:rPr>
              <w:t>☐</w:t>
            </w:r>
          </w:p>
        </w:tc>
        <w:tc>
          <w:tcPr>
            <w:tcW w:w="3220" w:type="dxa"/>
            <w:vAlign w:val="bottom"/>
          </w:tcPr>
          <w:p>
            <w:pPr>
              <w:ind w:left="860"/>
              <w:spacing w:after="0"/>
              <w:rPr>
                <w:sz w:val="20"/>
                <w:szCs w:val="20"/>
                <w:color w:val="auto"/>
              </w:rPr>
            </w:pPr>
            <w:r>
              <w:rPr>
                <w:rFonts w:ascii="Arial" w:cs="Arial" w:eastAsia="Arial" w:hAnsi="Arial"/>
                <w:sz w:val="12"/>
                <w:szCs w:val="12"/>
                <w:color w:val="auto"/>
              </w:rPr>
              <w:t>Smaller reporting company</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236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2020" w:type="dxa"/>
            <w:vAlign w:val="bottom"/>
          </w:tcPr>
          <w:p>
            <w:pPr>
              <w:ind w:left="1060"/>
              <w:spacing w:after="0" w:line="121" w:lineRule="exact"/>
              <w:rPr>
                <w:sz w:val="20"/>
                <w:szCs w:val="20"/>
                <w:color w:val="auto"/>
              </w:rPr>
            </w:pPr>
            <w:r>
              <w:rPr>
                <w:rFonts w:ascii="MS PGothic" w:cs="MS PGothic" w:eastAsia="MS PGothic" w:hAnsi="MS PGothic"/>
                <w:sz w:val="12"/>
                <w:szCs w:val="12"/>
                <w:color w:val="auto"/>
              </w:rPr>
              <w:t>☒</w:t>
            </w:r>
          </w:p>
        </w:tc>
        <w:tc>
          <w:tcPr>
            <w:tcW w:w="322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222" w:lineRule="exact"/>
        <w:rPr>
          <w:sz w:val="24"/>
          <w:szCs w:val="24"/>
          <w:color w:val="auto"/>
        </w:rPr>
      </w:pPr>
    </w:p>
    <w:p>
      <w:pPr>
        <w:ind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9"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2"/>
          <w:szCs w:val="12"/>
          <w:color w:val="auto"/>
        </w:rPr>
        <w:t>As of August 4, 2021, the registrant had 50,987,973 shares of common stock, par value $0.01,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282575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84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40" w:type="dxa"/>
            <w:vAlign w:val="bottom"/>
          </w:tcPr>
          <w:p>
            <w:pPr>
              <w:jc w:val="center"/>
              <w:ind w:right="3428"/>
              <w:spacing w:after="0"/>
              <w:rPr>
                <w:sz w:val="20"/>
                <w:szCs w:val="20"/>
                <w:color w:val="auto"/>
              </w:rPr>
            </w:pPr>
            <w:r>
              <w:rPr>
                <w:rFonts w:ascii="Arial" w:cs="Arial" w:eastAsia="Arial" w:hAnsi="Arial"/>
                <w:sz w:val="14"/>
                <w:szCs w:val="14"/>
                <w:color w:val="auto"/>
                <w:w w:val="91"/>
              </w:rPr>
              <w:t>CrossFirst Bankshares, Inc.</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40" w:type="dxa"/>
            <w:vAlign w:val="bottom"/>
          </w:tcPr>
          <w:p>
            <w:pPr>
              <w:jc w:val="center"/>
              <w:ind w:right="3428"/>
              <w:spacing w:after="0"/>
              <w:rPr>
                <w:sz w:val="20"/>
                <w:szCs w:val="20"/>
                <w:color w:val="auto"/>
              </w:rPr>
            </w:pPr>
            <w:r>
              <w:rPr>
                <w:rFonts w:ascii="Arial" w:cs="Arial" w:eastAsia="Arial" w:hAnsi="Arial"/>
                <w:sz w:val="14"/>
                <w:szCs w:val="14"/>
                <w:color w:val="auto"/>
                <w:w w:val="92"/>
              </w:rPr>
              <w:t>Form 10-Q for the Quarter Ended June 30, 2021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18"/>
        </w:trPr>
        <w:tc>
          <w:tcPr>
            <w:tcW w:w="10720" w:type="dxa"/>
            <w:vAlign w:val="bottom"/>
            <w:gridSpan w:val="42"/>
          </w:tcPr>
          <w:p>
            <w:pPr>
              <w:spacing w:after="0"/>
              <w:rPr>
                <w:sz w:val="20"/>
                <w:szCs w:val="20"/>
                <w:color w:val="auto"/>
              </w:rPr>
            </w:pPr>
            <w:r>
              <w:rPr>
                <w:rFonts w:ascii="Arial" w:cs="Arial" w:eastAsia="Arial" w:hAnsi="Arial"/>
                <w:sz w:val="17"/>
                <w:szCs w:val="17"/>
                <w:b w:val="1"/>
                <w:bCs w:val="1"/>
                <w:color w:val="auto"/>
              </w:rPr>
              <w:t>Index</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75"/>
        </w:trPr>
        <w:tc>
          <w:tcPr>
            <w:tcW w:w="10720" w:type="dxa"/>
            <w:vAlign w:val="bottom"/>
            <w:gridSpan w:val="42"/>
          </w:tcPr>
          <w:p>
            <w:pPr>
              <w:ind w:left="80"/>
              <w:spacing w:after="0"/>
              <w:rPr>
                <w:sz w:val="20"/>
                <w:szCs w:val="20"/>
                <w:color w:val="auto"/>
              </w:rPr>
            </w:pPr>
            <w:r>
              <w:rPr>
                <w:rFonts w:ascii="Arial" w:cs="Arial" w:eastAsia="Arial" w:hAnsi="Arial"/>
                <w:sz w:val="12"/>
                <w:szCs w:val="12"/>
                <w:color w:val="auto"/>
              </w:rPr>
              <w:t>Part I. Financial Information</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0580" w:type="dxa"/>
            <w:vAlign w:val="bottom"/>
            <w:gridSpan w:val="41"/>
          </w:tcPr>
          <w:p>
            <w:pPr>
              <w:spacing w:after="0"/>
              <w:rPr>
                <w:sz w:val="20"/>
                <w:szCs w:val="20"/>
                <w:color w:val="auto"/>
              </w:rPr>
            </w:pPr>
            <w:r>
              <w:rPr>
                <w:rFonts w:ascii="Arial" w:cs="Arial" w:eastAsia="Arial" w:hAnsi="Arial"/>
                <w:sz w:val="12"/>
                <w:szCs w:val="12"/>
                <w:color w:val="auto"/>
              </w:rPr>
              <w:t>Item 1. Financial Statements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3"/>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0000FF"/>
            </w:tcBorders>
            <w:gridSpan w:val="16"/>
          </w:tcPr>
          <w:p>
            <w:pPr>
              <w:spacing w:after="0"/>
              <w:rPr>
                <w:rFonts w:ascii="Arial" w:cs="Arial" w:eastAsia="Arial" w:hAnsi="Arial"/>
                <w:sz w:val="12"/>
                <w:szCs w:val="12"/>
                <w:color w:val="0000FF"/>
                <w:w w:val="93"/>
              </w:rPr>
            </w:pPr>
            <w:hyperlink w:anchor="page2">
              <w:r>
                <w:rPr>
                  <w:rFonts w:ascii="Arial" w:cs="Arial" w:eastAsia="Arial" w:hAnsi="Arial"/>
                  <w:sz w:val="12"/>
                  <w:szCs w:val="12"/>
                  <w:color w:val="0000FF"/>
                  <w:w w:val="93"/>
                </w:rPr>
                <w:t>Forward-Looking Information</w:t>
              </w:r>
            </w:hyperlink>
          </w:p>
        </w:tc>
        <w:tc>
          <w:tcPr>
            <w:tcW w:w="9040" w:type="dxa"/>
            <w:vAlign w:val="bottom"/>
            <w:gridSpan w:val="24"/>
          </w:tcPr>
          <w:p>
            <w:pPr>
              <w:spacing w:after="0"/>
              <w:rPr>
                <w:sz w:val="13"/>
                <w:szCs w:val="13"/>
                <w:color w:val="auto"/>
              </w:rPr>
            </w:pPr>
          </w:p>
        </w:tc>
        <w:tc>
          <w:tcPr>
            <w:tcW w:w="120" w:type="dxa"/>
            <w:vAlign w:val="bottom"/>
          </w:tcPr>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3</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Borders>
              <w:bottom w:val="single" w:sz="8" w:color="0000FF"/>
            </w:tcBorders>
            <w:gridSpan w:val="24"/>
          </w:tcPr>
          <w:p>
            <w:pPr>
              <w:spacing w:after="0"/>
              <w:rPr>
                <w:rFonts w:ascii="Arial" w:cs="Arial" w:eastAsia="Arial" w:hAnsi="Arial"/>
                <w:sz w:val="12"/>
                <w:szCs w:val="12"/>
                <w:color w:val="0000FF"/>
                <w:w w:val="88"/>
              </w:rPr>
            </w:pPr>
            <w:hyperlink w:anchor="page3">
              <w:r>
                <w:rPr>
                  <w:rFonts w:ascii="Arial" w:cs="Arial" w:eastAsia="Arial" w:hAnsi="Arial"/>
                  <w:sz w:val="12"/>
                  <w:szCs w:val="12"/>
                  <w:color w:val="0000FF"/>
                  <w:w w:val="88"/>
                </w:rPr>
                <w:t>Consolidated Balance Sheets - Unaudited</w:t>
              </w:r>
            </w:hyperlink>
          </w:p>
        </w:tc>
        <w:tc>
          <w:tcPr>
            <w:tcW w:w="8500" w:type="dxa"/>
            <w:vAlign w:val="bottom"/>
            <w:gridSpan w:val="16"/>
          </w:tcPr>
          <w:p>
            <w:pPr>
              <w:spacing w:after="0"/>
              <w:rPr>
                <w:sz w:val="13"/>
                <w:szCs w:val="13"/>
                <w:color w:val="auto"/>
              </w:rPr>
            </w:pPr>
          </w:p>
        </w:tc>
        <w:tc>
          <w:tcPr>
            <w:tcW w:w="12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4</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bottom w:val="single" w:sz="8" w:color="0000FF"/>
            </w:tcBorders>
            <w:gridSpan w:val="27"/>
          </w:tcPr>
          <w:p>
            <w:pPr>
              <w:spacing w:after="0"/>
              <w:rPr>
                <w:rFonts w:ascii="Arial" w:cs="Arial" w:eastAsia="Arial" w:hAnsi="Arial"/>
                <w:sz w:val="12"/>
                <w:szCs w:val="12"/>
                <w:color w:val="0000FF"/>
                <w:w w:val="89"/>
              </w:rPr>
            </w:pPr>
            <w:hyperlink w:anchor="page4">
              <w:r>
                <w:rPr>
                  <w:rFonts w:ascii="Arial" w:cs="Arial" w:eastAsia="Arial" w:hAnsi="Arial"/>
                  <w:sz w:val="12"/>
                  <w:szCs w:val="12"/>
                  <w:color w:val="0000FF"/>
                  <w:w w:val="89"/>
                </w:rPr>
                <w:t>Consolidated Statements of Operations - Unaudited</w:t>
              </w:r>
            </w:hyperlink>
          </w:p>
        </w:tc>
        <w:tc>
          <w:tcPr>
            <w:tcW w:w="8020" w:type="dxa"/>
            <w:vAlign w:val="bottom"/>
            <w:gridSpan w:val="13"/>
          </w:tcPr>
          <w:p>
            <w:pPr>
              <w:spacing w:after="0"/>
              <w:rPr>
                <w:sz w:val="13"/>
                <w:szCs w:val="13"/>
                <w:color w:val="auto"/>
              </w:rPr>
            </w:pPr>
          </w:p>
        </w:tc>
        <w:tc>
          <w:tcPr>
            <w:tcW w:w="120" w:type="dxa"/>
            <w:vAlign w:val="bottom"/>
          </w:tcPr>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5</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00" w:type="dxa"/>
            <w:vAlign w:val="bottom"/>
            <w:gridSpan w:val="40"/>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Consolidated Statements of Comprehensive Income (Loss) - Unaudited</w:t>
              </w:r>
            </w:hyperlink>
          </w:p>
        </w:tc>
        <w:tc>
          <w:tcPr>
            <w:tcW w:w="120" w:type="dxa"/>
            <w:vAlign w:val="bottom"/>
          </w:tcPr>
          <w:p>
            <w:pPr>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6</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tcBorders>
              <w:top w:val="single" w:sz="8" w:color="0000FF"/>
            </w:tcBorders>
            <w:gridSpan w:val="37"/>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Consolidated Statements of Stockholders’ Equity - Unaudited</w:t>
              </w:r>
            </w:hyperlink>
          </w:p>
        </w:tc>
        <w:tc>
          <w:tcPr>
            <w:tcW w:w="7080" w:type="dxa"/>
            <w:vAlign w:val="bottom"/>
            <w:gridSpan w:val="3"/>
          </w:tcPr>
          <w:p>
            <w:pPr>
              <w:spacing w:after="0"/>
              <w:rPr>
                <w:sz w:val="13"/>
                <w:szCs w:val="13"/>
                <w:color w:val="auto"/>
              </w:rPr>
            </w:pPr>
          </w:p>
        </w:tc>
        <w:tc>
          <w:tcPr>
            <w:tcW w:w="120" w:type="dxa"/>
            <w:vAlign w:val="bottom"/>
          </w:tcPr>
          <w:p>
            <w:pPr>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7</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28"/>
          </w:tcPr>
          <w:p>
            <w:pPr>
              <w:spacing w:after="0"/>
              <w:rPr>
                <w:rFonts w:ascii="Arial" w:cs="Arial" w:eastAsia="Arial" w:hAnsi="Arial"/>
                <w:sz w:val="12"/>
                <w:szCs w:val="12"/>
                <w:color w:val="0000FF"/>
                <w:w w:val="89"/>
              </w:rPr>
            </w:pPr>
            <w:hyperlink w:anchor="page8">
              <w:r>
                <w:rPr>
                  <w:rFonts w:ascii="Arial" w:cs="Arial" w:eastAsia="Arial" w:hAnsi="Arial"/>
                  <w:sz w:val="12"/>
                  <w:szCs w:val="12"/>
                  <w:color w:val="0000FF"/>
                  <w:w w:val="89"/>
                </w:rPr>
                <w:t>Consolidated Statements of Cash Flows - Unaudited</w:t>
              </w:r>
            </w:hyperlink>
          </w:p>
        </w:tc>
        <w:tc>
          <w:tcPr>
            <w:tcW w:w="440" w:type="dxa"/>
            <w:vAlign w:val="bottom"/>
            <w:tcBorders>
              <w:top w:val="single" w:sz="8" w:color="0000FF"/>
            </w:tcBorders>
            <w:gridSpan w:val="5"/>
          </w:tcPr>
          <w:p>
            <w:pPr>
              <w:spacing w:after="0"/>
              <w:rPr>
                <w:sz w:val="13"/>
                <w:szCs w:val="13"/>
                <w:color w:val="auto"/>
              </w:rPr>
            </w:pPr>
          </w:p>
        </w:tc>
        <w:tc>
          <w:tcPr>
            <w:tcW w:w="7540" w:type="dxa"/>
            <w:vAlign w:val="bottom"/>
            <w:gridSpan w:val="7"/>
          </w:tcPr>
          <w:p>
            <w:pPr>
              <w:spacing w:after="0"/>
              <w:rPr>
                <w:sz w:val="13"/>
                <w:szCs w:val="13"/>
                <w:color w:val="auto"/>
              </w:rPr>
            </w:pPr>
          </w:p>
        </w:tc>
        <w:tc>
          <w:tcPr>
            <w:tcW w:w="120" w:type="dxa"/>
            <w:vAlign w:val="bottom"/>
          </w:tcPr>
          <w:p>
            <w:pPr>
              <w:spacing w:after="0"/>
              <w:rPr>
                <w:rFonts w:ascii="Arial" w:cs="Arial" w:eastAsia="Arial" w:hAnsi="Arial"/>
                <w:sz w:val="12"/>
                <w:szCs w:val="12"/>
                <w:u w:val="single" w:color="auto"/>
                <w:color w:val="0000FF"/>
              </w:rPr>
            </w:pPr>
            <w:hyperlink w:anchor="page8">
              <w:r>
                <w:rPr>
                  <w:rFonts w:ascii="Arial" w:cs="Arial" w:eastAsia="Arial" w:hAnsi="Arial"/>
                  <w:sz w:val="12"/>
                  <w:szCs w:val="12"/>
                  <w:u w:val="single" w:color="auto"/>
                  <w:color w:val="0000FF"/>
                </w:rPr>
                <w:t>9</w:t>
              </w:r>
            </w:hyperlink>
          </w:p>
        </w:tc>
        <w:tc>
          <w:tcPr>
            <w:tcW w:w="460" w:type="dxa"/>
            <w:vAlign w:val="bottom"/>
          </w:tcPr>
          <w:p>
            <w:pPr>
              <w:spacing w:after="0"/>
              <w:rPr>
                <w:sz w:val="13"/>
                <w:szCs w:val="13"/>
                <w:color w:val="auto"/>
              </w:rPr>
            </w:pPr>
          </w:p>
        </w:tc>
      </w:tr>
      <w:tr>
        <w:trPr>
          <w:trHeight w:val="187"/>
        </w:trPr>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500" w:type="dxa"/>
            <w:vAlign w:val="bottom"/>
            <w:gridSpan w:val="40"/>
          </w:tcPr>
          <w:p>
            <w:pPr>
              <w:spacing w:after="0"/>
              <w:rPr>
                <w:sz w:val="20"/>
                <w:szCs w:val="20"/>
                <w:color w:val="auto"/>
              </w:rPr>
            </w:pPr>
            <w:r>
              <w:rPr>
                <w:rFonts w:ascii="Arial" w:cs="Arial" w:eastAsia="Arial" w:hAnsi="Arial"/>
                <w:sz w:val="12"/>
                <w:szCs w:val="12"/>
                <w:color w:val="auto"/>
              </w:rPr>
              <w:t>Notes to Consolidated Financial Statements (unaudited)</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53"/>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20" w:type="dxa"/>
            <w:vAlign w:val="bottom"/>
            <w:tcBorders>
              <w:bottom w:val="single" w:sz="8" w:color="0000FF"/>
            </w:tcBorders>
            <w:gridSpan w:val="39"/>
          </w:tcPr>
          <w:p>
            <w:pPr>
              <w:spacing w:after="0"/>
              <w:rPr>
                <w:rFonts w:ascii="Arial" w:cs="Arial" w:eastAsia="Arial" w:hAnsi="Arial"/>
                <w:sz w:val="12"/>
                <w:szCs w:val="12"/>
                <w:color w:val="0000FF"/>
              </w:rPr>
            </w:pPr>
            <w:hyperlink w:anchor="page9">
              <w:r>
                <w:rPr>
                  <w:rFonts w:ascii="Arial" w:cs="Arial" w:eastAsia="Arial" w:hAnsi="Arial"/>
                  <w:sz w:val="12"/>
                  <w:szCs w:val="12"/>
                  <w:color w:val="0000FF"/>
                </w:rPr>
                <w:t>Note 1: Nature of Operations and Summary of Significant Accounting Policies</w:t>
              </w:r>
            </w:hyperlink>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9">
              <w:r>
                <w:rPr>
                  <w:rFonts w:ascii="Arial" w:cs="Arial" w:eastAsia="Arial" w:hAnsi="Arial"/>
                  <w:sz w:val="12"/>
                  <w:szCs w:val="12"/>
                  <w:color w:val="0000FF"/>
                  <w:w w:val="74"/>
                </w:rPr>
                <w:t>10</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bottom w:val="single" w:sz="8" w:color="0000FF"/>
            </w:tcBorders>
            <w:gridSpan w:val="13"/>
          </w:tcPr>
          <w:p>
            <w:pPr>
              <w:spacing w:after="0"/>
              <w:rPr>
                <w:rFonts w:ascii="Arial" w:cs="Arial" w:eastAsia="Arial" w:hAnsi="Arial"/>
                <w:sz w:val="12"/>
                <w:szCs w:val="12"/>
                <w:color w:val="0000FF"/>
                <w:w w:val="87"/>
              </w:rPr>
            </w:pPr>
            <w:hyperlink w:anchor="page11">
              <w:r>
                <w:rPr>
                  <w:rFonts w:ascii="Arial" w:cs="Arial" w:eastAsia="Arial" w:hAnsi="Arial"/>
                  <w:sz w:val="12"/>
                  <w:szCs w:val="12"/>
                  <w:color w:val="0000FF"/>
                  <w:w w:val="87"/>
                </w:rPr>
                <w:t>Note 2: Earnings Per Share</w:t>
              </w:r>
            </w:hyperlink>
          </w:p>
        </w:tc>
        <w:tc>
          <w:tcPr>
            <w:tcW w:w="9120" w:type="dxa"/>
            <w:vAlign w:val="bottom"/>
            <w:gridSpan w:val="26"/>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11">
              <w:r>
                <w:rPr>
                  <w:rFonts w:ascii="Arial" w:cs="Arial" w:eastAsia="Arial" w:hAnsi="Arial"/>
                  <w:sz w:val="12"/>
                  <w:szCs w:val="12"/>
                  <w:color w:val="0000FF"/>
                  <w:w w:val="74"/>
                </w:rPr>
                <w:t>12</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0000FF"/>
            </w:tcBorders>
            <w:gridSpan w:val="6"/>
          </w:tcPr>
          <w:p>
            <w:pPr>
              <w:spacing w:after="0"/>
              <w:rPr>
                <w:rFonts w:ascii="Arial" w:cs="Arial" w:eastAsia="Arial" w:hAnsi="Arial"/>
                <w:sz w:val="12"/>
                <w:szCs w:val="12"/>
                <w:color w:val="0000FF"/>
                <w:w w:val="88"/>
              </w:rPr>
            </w:pPr>
            <w:hyperlink w:anchor="page12">
              <w:r>
                <w:rPr>
                  <w:rFonts w:ascii="Arial" w:cs="Arial" w:eastAsia="Arial" w:hAnsi="Arial"/>
                  <w:sz w:val="12"/>
                  <w:szCs w:val="12"/>
                  <w:color w:val="0000FF"/>
                  <w:w w:val="88"/>
                </w:rPr>
                <w:t>Note 3: Securities</w:t>
              </w:r>
            </w:hyperlink>
          </w:p>
        </w:tc>
        <w:tc>
          <w:tcPr>
            <w:tcW w:w="9560" w:type="dxa"/>
            <w:vAlign w:val="bottom"/>
            <w:gridSpan w:val="33"/>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12">
              <w:r>
                <w:rPr>
                  <w:rFonts w:ascii="Arial" w:cs="Arial" w:eastAsia="Arial" w:hAnsi="Arial"/>
                  <w:sz w:val="12"/>
                  <w:szCs w:val="12"/>
                  <w:color w:val="0000FF"/>
                  <w:w w:val="74"/>
                </w:rPr>
                <w:t>13</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Borders>
              <w:bottom w:val="single" w:sz="8" w:color="0000FF"/>
            </w:tcBorders>
            <w:gridSpan w:val="33"/>
          </w:tcPr>
          <w:p>
            <w:pPr>
              <w:spacing w:after="0"/>
              <w:rPr>
                <w:rFonts w:ascii="Arial" w:cs="Arial" w:eastAsia="Arial" w:hAnsi="Arial"/>
                <w:sz w:val="12"/>
                <w:szCs w:val="12"/>
                <w:color w:val="0000FF"/>
              </w:rPr>
            </w:pPr>
            <w:hyperlink w:anchor="page16">
              <w:r>
                <w:rPr>
                  <w:rFonts w:ascii="Arial" w:cs="Arial" w:eastAsia="Arial" w:hAnsi="Arial"/>
                  <w:sz w:val="12"/>
                  <w:szCs w:val="12"/>
                  <w:color w:val="0000FF"/>
                </w:rPr>
                <w:t>Note 4: Loans and Allowance for Loan Losses (“ALLL”</w:t>
              </w:r>
            </w:hyperlink>
            <w:r>
              <w:rPr>
                <w:rFonts w:ascii="Arial" w:cs="Arial" w:eastAsia="Arial" w:hAnsi="Arial"/>
                <w:sz w:val="12"/>
                <w:szCs w:val="12"/>
                <w:color w:val="000000"/>
              </w:rPr>
              <w:t>)</w:t>
            </w:r>
          </w:p>
        </w:tc>
        <w:tc>
          <w:tcPr>
            <w:tcW w:w="7400" w:type="dxa"/>
            <w:vAlign w:val="bottom"/>
            <w:gridSpan w:val="6"/>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16">
              <w:r>
                <w:rPr>
                  <w:rFonts w:ascii="Arial" w:cs="Arial" w:eastAsia="Arial" w:hAnsi="Arial"/>
                  <w:sz w:val="12"/>
                  <w:szCs w:val="12"/>
                  <w:color w:val="0000FF"/>
                  <w:w w:val="74"/>
                </w:rPr>
                <w:t>16</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bottom w:val="single" w:sz="8" w:color="0000FF"/>
            </w:tcBorders>
            <w:gridSpan w:val="20"/>
          </w:tcPr>
          <w:p>
            <w:pPr>
              <w:spacing w:after="0"/>
              <w:rPr>
                <w:rFonts w:ascii="Arial" w:cs="Arial" w:eastAsia="Arial" w:hAnsi="Arial"/>
                <w:sz w:val="12"/>
                <w:szCs w:val="12"/>
                <w:color w:val="0000FF"/>
                <w:w w:val="97"/>
              </w:rPr>
            </w:pPr>
            <w:hyperlink w:anchor="page26">
              <w:r>
                <w:rPr>
                  <w:rFonts w:ascii="Arial" w:cs="Arial" w:eastAsia="Arial" w:hAnsi="Arial"/>
                  <w:sz w:val="12"/>
                  <w:szCs w:val="12"/>
                  <w:color w:val="0000FF"/>
                  <w:w w:val="97"/>
                </w:rPr>
                <w:t>Note 5: Derivatives and Hedging</w:t>
              </w:r>
            </w:hyperlink>
          </w:p>
        </w:tc>
        <w:tc>
          <w:tcPr>
            <w:tcW w:w="8720" w:type="dxa"/>
            <w:vAlign w:val="bottom"/>
            <w:gridSpan w:val="19"/>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26">
              <w:r>
                <w:rPr>
                  <w:rFonts w:ascii="Arial" w:cs="Arial" w:eastAsia="Arial" w:hAnsi="Arial"/>
                  <w:sz w:val="12"/>
                  <w:szCs w:val="12"/>
                  <w:color w:val="0000FF"/>
                  <w:w w:val="74"/>
                </w:rPr>
                <w:t>26</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bottom w:val="single" w:sz="8" w:color="0000FF"/>
            </w:tcBorders>
            <w:gridSpan w:val="22"/>
          </w:tcPr>
          <w:p>
            <w:pPr>
              <w:spacing w:after="0"/>
              <w:rPr>
                <w:rFonts w:ascii="Arial" w:cs="Arial" w:eastAsia="Arial" w:hAnsi="Arial"/>
                <w:sz w:val="12"/>
                <w:szCs w:val="12"/>
                <w:color w:val="0000FF"/>
                <w:w w:val="91"/>
              </w:rPr>
            </w:pPr>
            <w:hyperlink w:anchor="page27">
              <w:r>
                <w:rPr>
                  <w:rFonts w:ascii="Arial" w:cs="Arial" w:eastAsia="Arial" w:hAnsi="Arial"/>
                  <w:sz w:val="12"/>
                  <w:szCs w:val="12"/>
                  <w:color w:val="0000FF"/>
                  <w:w w:val="91"/>
                </w:rPr>
                <w:t>Note 6: Time Deposits and Borrowings</w:t>
              </w:r>
            </w:hyperlink>
          </w:p>
        </w:tc>
        <w:tc>
          <w:tcPr>
            <w:tcW w:w="8520" w:type="dxa"/>
            <w:vAlign w:val="bottom"/>
            <w:gridSpan w:val="17"/>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27">
              <w:r>
                <w:rPr>
                  <w:rFonts w:ascii="Arial" w:cs="Arial" w:eastAsia="Arial" w:hAnsi="Arial"/>
                  <w:sz w:val="12"/>
                  <w:szCs w:val="12"/>
                  <w:color w:val="0000FF"/>
                  <w:w w:val="74"/>
                </w:rPr>
                <w:t>27</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20" w:type="dxa"/>
            <w:vAlign w:val="bottom"/>
            <w:tcBorders>
              <w:bottom w:val="single" w:sz="8" w:color="0000FF"/>
            </w:tcBorders>
            <w:gridSpan w:val="39"/>
          </w:tcPr>
          <w:p>
            <w:pPr>
              <w:spacing w:after="0"/>
              <w:rPr>
                <w:rFonts w:ascii="Arial" w:cs="Arial" w:eastAsia="Arial" w:hAnsi="Arial"/>
                <w:sz w:val="12"/>
                <w:szCs w:val="12"/>
                <w:color w:val="0000FF"/>
              </w:rPr>
            </w:pPr>
            <w:hyperlink w:anchor="page27">
              <w:r>
                <w:rPr>
                  <w:rFonts w:ascii="Arial" w:cs="Arial" w:eastAsia="Arial" w:hAnsi="Arial"/>
                  <w:sz w:val="12"/>
                  <w:szCs w:val="12"/>
                  <w:color w:val="0000FF"/>
                </w:rPr>
                <w:t>Note 7: Change in Accumulated Other Comprehensive Income (“AOCI”)</w:t>
              </w:r>
            </w:hyperlink>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27">
              <w:r>
                <w:rPr>
                  <w:rFonts w:ascii="Arial" w:cs="Arial" w:eastAsia="Arial" w:hAnsi="Arial"/>
                  <w:sz w:val="12"/>
                  <w:szCs w:val="12"/>
                  <w:color w:val="0000FF"/>
                  <w:w w:val="74"/>
                </w:rPr>
                <w:t>27</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bottom w:val="single" w:sz="8" w:color="0000FF"/>
            </w:tcBorders>
            <w:gridSpan w:val="14"/>
          </w:tcPr>
          <w:p>
            <w:pPr>
              <w:spacing w:after="0"/>
              <w:rPr>
                <w:rFonts w:ascii="Arial" w:cs="Arial" w:eastAsia="Arial" w:hAnsi="Arial"/>
                <w:sz w:val="12"/>
                <w:szCs w:val="12"/>
                <w:color w:val="0000FF"/>
                <w:w w:val="92"/>
              </w:rPr>
            </w:pPr>
            <w:hyperlink w:anchor="page27">
              <w:r>
                <w:rPr>
                  <w:rFonts w:ascii="Arial" w:cs="Arial" w:eastAsia="Arial" w:hAnsi="Arial"/>
                  <w:sz w:val="12"/>
                  <w:szCs w:val="12"/>
                  <w:color w:val="0000FF"/>
                  <w:w w:val="92"/>
                </w:rPr>
                <w:t>Note 8: Regulatory Matters</w:t>
              </w:r>
            </w:hyperlink>
          </w:p>
        </w:tc>
        <w:tc>
          <w:tcPr>
            <w:tcW w:w="9080" w:type="dxa"/>
            <w:vAlign w:val="bottom"/>
            <w:gridSpan w:val="25"/>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27">
              <w:r>
                <w:rPr>
                  <w:rFonts w:ascii="Arial" w:cs="Arial" w:eastAsia="Arial" w:hAnsi="Arial"/>
                  <w:sz w:val="12"/>
                  <w:szCs w:val="12"/>
                  <w:color w:val="0000FF"/>
                  <w:w w:val="74"/>
                </w:rPr>
                <w:t>28</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bottom w:val="single" w:sz="8" w:color="0000FF"/>
            </w:tcBorders>
            <w:gridSpan w:val="22"/>
          </w:tcPr>
          <w:p>
            <w:pPr>
              <w:spacing w:after="0"/>
              <w:rPr>
                <w:rFonts w:ascii="Arial" w:cs="Arial" w:eastAsia="Arial" w:hAnsi="Arial"/>
                <w:sz w:val="12"/>
                <w:szCs w:val="12"/>
                <w:color w:val="0000FF"/>
                <w:w w:val="98"/>
              </w:rPr>
            </w:pPr>
            <w:hyperlink w:anchor="page28">
              <w:r>
                <w:rPr>
                  <w:rFonts w:ascii="Arial" w:cs="Arial" w:eastAsia="Arial" w:hAnsi="Arial"/>
                  <w:sz w:val="12"/>
                  <w:szCs w:val="12"/>
                  <w:color w:val="0000FF"/>
                  <w:w w:val="98"/>
                </w:rPr>
                <w:t>Note 9: Stock-Based Compensation</w:t>
              </w:r>
            </w:hyperlink>
          </w:p>
        </w:tc>
        <w:tc>
          <w:tcPr>
            <w:tcW w:w="8520" w:type="dxa"/>
            <w:vAlign w:val="bottom"/>
            <w:gridSpan w:val="17"/>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28">
              <w:r>
                <w:rPr>
                  <w:rFonts w:ascii="Arial" w:cs="Arial" w:eastAsia="Arial" w:hAnsi="Arial"/>
                  <w:sz w:val="12"/>
                  <w:szCs w:val="12"/>
                  <w:color w:val="0000FF"/>
                  <w:w w:val="74"/>
                </w:rPr>
                <w:t>29</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20" w:type="dxa"/>
            <w:vAlign w:val="bottom"/>
            <w:gridSpan w:val="39"/>
          </w:tcPr>
          <w:p>
            <w:pPr>
              <w:spacing w:after="0"/>
              <w:rPr>
                <w:rFonts w:ascii="Arial" w:cs="Arial" w:eastAsia="Arial" w:hAnsi="Arial"/>
                <w:sz w:val="12"/>
                <w:szCs w:val="12"/>
                <w:color w:val="0000FF"/>
              </w:rPr>
            </w:pPr>
            <w:hyperlink w:anchor="page30">
              <w:r>
                <w:rPr>
                  <w:rFonts w:ascii="Arial" w:cs="Arial" w:eastAsia="Arial" w:hAnsi="Arial"/>
                  <w:sz w:val="12"/>
                  <w:szCs w:val="12"/>
                  <w:color w:val="0000FF"/>
                </w:rPr>
                <w:t>Note 10: Income Tax</w:t>
              </w:r>
            </w:hyperlink>
          </w:p>
        </w:tc>
        <w:tc>
          <w:tcPr>
            <w:tcW w:w="120" w:type="dxa"/>
            <w:vAlign w:val="bottom"/>
          </w:tcPr>
          <w:p>
            <w:pPr>
              <w:spacing w:after="0"/>
              <w:rPr>
                <w:rFonts w:ascii="Arial" w:cs="Arial" w:eastAsia="Arial" w:hAnsi="Arial"/>
                <w:sz w:val="12"/>
                <w:szCs w:val="12"/>
                <w:color w:val="0000FF"/>
                <w:w w:val="74"/>
              </w:rPr>
            </w:pPr>
            <w:hyperlink w:anchor="page30">
              <w:r>
                <w:rPr>
                  <w:rFonts w:ascii="Arial" w:cs="Arial" w:eastAsia="Arial" w:hAnsi="Arial"/>
                  <w:sz w:val="12"/>
                  <w:szCs w:val="12"/>
                  <w:color w:val="0000FF"/>
                  <w:w w:val="74"/>
                </w:rPr>
                <w:t>30</w:t>
              </w:r>
            </w:hyperlink>
          </w:p>
        </w:tc>
        <w:tc>
          <w:tcPr>
            <w:tcW w:w="46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tcBorders>
              <w:bottom w:val="single" w:sz="8" w:color="0000FF"/>
            </w:tcBorders>
            <w:gridSpan w:val="33"/>
          </w:tcPr>
          <w:p>
            <w:pPr>
              <w:spacing w:after="0"/>
              <w:rPr>
                <w:rFonts w:ascii="Arial" w:cs="Arial" w:eastAsia="Arial" w:hAnsi="Arial"/>
                <w:sz w:val="12"/>
                <w:szCs w:val="12"/>
                <w:color w:val="0000FF"/>
                <w:w w:val="90"/>
              </w:rPr>
            </w:pPr>
            <w:hyperlink w:anchor="page31">
              <w:r>
                <w:rPr>
                  <w:rFonts w:ascii="Arial" w:cs="Arial" w:eastAsia="Arial" w:hAnsi="Arial"/>
                  <w:sz w:val="12"/>
                  <w:szCs w:val="12"/>
                  <w:color w:val="0000FF"/>
                  <w:w w:val="90"/>
                </w:rPr>
                <w:t>Note 11: Disclosures about Fair Value of Financial Instruments</w:t>
              </w:r>
            </w:hyperlink>
          </w:p>
        </w:tc>
        <w:tc>
          <w:tcPr>
            <w:tcW w:w="7400" w:type="dxa"/>
            <w:vAlign w:val="bottom"/>
            <w:gridSpan w:val="6"/>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31">
              <w:r>
                <w:rPr>
                  <w:rFonts w:ascii="Arial" w:cs="Arial" w:eastAsia="Arial" w:hAnsi="Arial"/>
                  <w:sz w:val="12"/>
                  <w:szCs w:val="12"/>
                  <w:color w:val="0000FF"/>
                  <w:w w:val="74"/>
                </w:rPr>
                <w:t>31</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20" w:type="dxa"/>
            <w:vAlign w:val="bottom"/>
            <w:gridSpan w:val="39"/>
          </w:tcPr>
          <w:p>
            <w:pPr>
              <w:spacing w:after="0"/>
              <w:rPr>
                <w:rFonts w:ascii="Arial" w:cs="Arial" w:eastAsia="Arial" w:hAnsi="Arial"/>
                <w:sz w:val="12"/>
                <w:szCs w:val="12"/>
                <w:color w:val="0000FF"/>
              </w:rPr>
            </w:pPr>
            <w:hyperlink w:anchor="page34">
              <w:r>
                <w:rPr>
                  <w:rFonts w:ascii="Arial" w:cs="Arial" w:eastAsia="Arial" w:hAnsi="Arial"/>
                  <w:sz w:val="12"/>
                  <w:szCs w:val="12"/>
                  <w:color w:val="0000FF"/>
                </w:rPr>
                <w:t>Note 12: Commitments and Credit Risk</w:t>
              </w:r>
            </w:hyperlink>
          </w:p>
        </w:tc>
        <w:tc>
          <w:tcPr>
            <w:tcW w:w="120" w:type="dxa"/>
            <w:vAlign w:val="bottom"/>
          </w:tcPr>
          <w:p>
            <w:pPr>
              <w:spacing w:after="0"/>
              <w:rPr>
                <w:rFonts w:ascii="Arial" w:cs="Arial" w:eastAsia="Arial" w:hAnsi="Arial"/>
                <w:sz w:val="12"/>
                <w:szCs w:val="12"/>
                <w:color w:val="0000FF"/>
                <w:w w:val="74"/>
              </w:rPr>
            </w:pPr>
            <w:hyperlink w:anchor="page34">
              <w:r>
                <w:rPr>
                  <w:rFonts w:ascii="Arial" w:cs="Arial" w:eastAsia="Arial" w:hAnsi="Arial"/>
                  <w:sz w:val="12"/>
                  <w:szCs w:val="12"/>
                  <w:color w:val="0000FF"/>
                  <w:w w:val="74"/>
                </w:rPr>
                <w:t>35</w:t>
              </w:r>
            </w:hyperlink>
          </w:p>
        </w:tc>
        <w:tc>
          <w:tcPr>
            <w:tcW w:w="46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bottom w:val="single" w:sz="8" w:color="0000FF"/>
            </w:tcBorders>
            <w:gridSpan w:val="28"/>
          </w:tcPr>
          <w:p>
            <w:pPr>
              <w:spacing w:after="0"/>
              <w:rPr>
                <w:rFonts w:ascii="Arial" w:cs="Arial" w:eastAsia="Arial" w:hAnsi="Arial"/>
                <w:sz w:val="12"/>
                <w:szCs w:val="12"/>
                <w:color w:val="0000FF"/>
              </w:rPr>
            </w:pPr>
            <w:hyperlink w:anchor="page35">
              <w:r>
                <w:rPr>
                  <w:rFonts w:ascii="Arial" w:cs="Arial" w:eastAsia="Arial" w:hAnsi="Arial"/>
                  <w:sz w:val="12"/>
                  <w:szCs w:val="12"/>
                  <w:color w:val="0000FF"/>
                </w:rPr>
                <w:t>Note 13: Legal and Regulatory Proceedings</w:t>
              </w:r>
            </w:hyperlink>
          </w:p>
        </w:tc>
        <w:tc>
          <w:tcPr>
            <w:tcW w:w="7940" w:type="dxa"/>
            <w:vAlign w:val="bottom"/>
            <w:gridSpan w:val="11"/>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35">
              <w:r>
                <w:rPr>
                  <w:rFonts w:ascii="Arial" w:cs="Arial" w:eastAsia="Arial" w:hAnsi="Arial"/>
                  <w:sz w:val="12"/>
                  <w:szCs w:val="12"/>
                  <w:color w:val="0000FF"/>
                  <w:w w:val="74"/>
                </w:rPr>
                <w:t>35</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20" w:type="dxa"/>
            <w:vAlign w:val="bottom"/>
            <w:gridSpan w:val="39"/>
          </w:tcPr>
          <w:p>
            <w:pPr>
              <w:spacing w:after="0"/>
              <w:rPr>
                <w:rFonts w:ascii="Arial" w:cs="Arial" w:eastAsia="Arial" w:hAnsi="Arial"/>
                <w:sz w:val="12"/>
                <w:szCs w:val="12"/>
                <w:color w:val="0000FF"/>
              </w:rPr>
            </w:pPr>
            <w:hyperlink w:anchor="page35">
              <w:r>
                <w:rPr>
                  <w:rFonts w:ascii="Arial" w:cs="Arial" w:eastAsia="Arial" w:hAnsi="Arial"/>
                  <w:sz w:val="12"/>
                  <w:szCs w:val="12"/>
                  <w:color w:val="0000FF"/>
                </w:rPr>
                <w:t>Note 14: Subsequent Events</w:t>
              </w:r>
            </w:hyperlink>
          </w:p>
        </w:tc>
        <w:tc>
          <w:tcPr>
            <w:tcW w:w="120" w:type="dxa"/>
            <w:vAlign w:val="bottom"/>
          </w:tcPr>
          <w:p>
            <w:pPr>
              <w:spacing w:after="0"/>
              <w:rPr>
                <w:rFonts w:ascii="Arial" w:cs="Arial" w:eastAsia="Arial" w:hAnsi="Arial"/>
                <w:sz w:val="12"/>
                <w:szCs w:val="12"/>
                <w:color w:val="0000FF"/>
                <w:w w:val="74"/>
              </w:rPr>
            </w:pPr>
            <w:hyperlink w:anchor="page35">
              <w:r>
                <w:rPr>
                  <w:rFonts w:ascii="Arial" w:cs="Arial" w:eastAsia="Arial" w:hAnsi="Arial"/>
                  <w:sz w:val="12"/>
                  <w:szCs w:val="12"/>
                  <w:color w:val="0000FF"/>
                  <w:w w:val="74"/>
                </w:rPr>
                <w:t>35</w:t>
              </w:r>
            </w:hyperlink>
          </w:p>
        </w:tc>
        <w:tc>
          <w:tcPr>
            <w:tcW w:w="46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10580" w:type="dxa"/>
            <w:vAlign w:val="bottom"/>
            <w:gridSpan w:val="41"/>
          </w:tcPr>
          <w:p>
            <w:pPr>
              <w:spacing w:after="0"/>
              <w:rPr>
                <w:sz w:val="20"/>
                <w:szCs w:val="20"/>
                <w:color w:val="auto"/>
              </w:rPr>
            </w:pPr>
            <w:r>
              <w:rPr>
                <w:rFonts w:ascii="Arial" w:cs="Arial" w:eastAsia="Arial" w:hAnsi="Arial"/>
                <w:sz w:val="12"/>
                <w:szCs w:val="12"/>
                <w:color w:val="auto"/>
              </w:rPr>
              <w:t>Item 2. Management’s Discussion and Analysis of Financial Condition and Results of Operations</w:t>
            </w: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35">
              <w:r>
                <w:rPr>
                  <w:rFonts w:ascii="Arial" w:cs="Arial" w:eastAsia="Arial" w:hAnsi="Arial"/>
                  <w:sz w:val="12"/>
                  <w:szCs w:val="12"/>
                  <w:color w:val="0000FF"/>
                  <w:w w:val="74"/>
                </w:rPr>
                <w:t>36</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bottom w:val="single" w:sz="8" w:color="0000FF"/>
            </w:tcBorders>
            <w:gridSpan w:val="25"/>
          </w:tcPr>
          <w:p>
            <w:pPr>
              <w:spacing w:after="0"/>
              <w:rPr>
                <w:rFonts w:ascii="Arial" w:cs="Arial" w:eastAsia="Arial" w:hAnsi="Arial"/>
                <w:sz w:val="12"/>
                <w:szCs w:val="12"/>
                <w:color w:val="0000FF"/>
              </w:rPr>
            </w:pPr>
            <w:hyperlink w:anchor="page36">
              <w:r>
                <w:rPr>
                  <w:rFonts w:ascii="Arial" w:cs="Arial" w:eastAsia="Arial" w:hAnsi="Arial"/>
                  <w:sz w:val="12"/>
                  <w:szCs w:val="12"/>
                  <w:color w:val="0000FF"/>
                </w:rPr>
                <w:t>Second Quarter 2021 Highlights</w:t>
              </w:r>
            </w:hyperlink>
          </w:p>
        </w:tc>
        <w:tc>
          <w:tcPr>
            <w:tcW w:w="8440" w:type="dxa"/>
            <w:vAlign w:val="bottom"/>
            <w:gridSpan w:val="15"/>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36">
              <w:r>
                <w:rPr>
                  <w:rFonts w:ascii="Arial" w:cs="Arial" w:eastAsia="Arial" w:hAnsi="Arial"/>
                  <w:sz w:val="12"/>
                  <w:szCs w:val="12"/>
                  <w:color w:val="0000FF"/>
                  <w:w w:val="74"/>
                </w:rPr>
                <w:t>36</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0000FF"/>
            </w:tcBorders>
            <w:gridSpan w:val="11"/>
          </w:tcPr>
          <w:p>
            <w:pPr>
              <w:spacing w:after="0"/>
              <w:rPr>
                <w:rFonts w:ascii="Arial" w:cs="Arial" w:eastAsia="Arial" w:hAnsi="Arial"/>
                <w:sz w:val="12"/>
                <w:szCs w:val="12"/>
                <w:color w:val="0000FF"/>
                <w:w w:val="90"/>
              </w:rPr>
            </w:pPr>
            <w:hyperlink w:anchor="page37">
              <w:r>
                <w:rPr>
                  <w:rFonts w:ascii="Arial" w:cs="Arial" w:eastAsia="Arial" w:hAnsi="Arial"/>
                  <w:sz w:val="12"/>
                  <w:szCs w:val="12"/>
                  <w:color w:val="0000FF"/>
                  <w:w w:val="90"/>
                </w:rPr>
                <w:t>Results of Operations</w:t>
              </w:r>
            </w:hyperlink>
          </w:p>
        </w:tc>
        <w:tc>
          <w:tcPr>
            <w:tcW w:w="9420" w:type="dxa"/>
            <w:vAlign w:val="bottom"/>
            <w:gridSpan w:val="29"/>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37">
              <w:r>
                <w:rPr>
                  <w:rFonts w:ascii="Arial" w:cs="Arial" w:eastAsia="Arial" w:hAnsi="Arial"/>
                  <w:sz w:val="12"/>
                  <w:szCs w:val="12"/>
                  <w:color w:val="0000FF"/>
                  <w:w w:val="74"/>
                </w:rPr>
                <w:t>38</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0000FF"/>
            </w:tcBorders>
            <w:gridSpan w:val="8"/>
          </w:tcPr>
          <w:p>
            <w:pPr>
              <w:spacing w:after="0"/>
              <w:rPr>
                <w:rFonts w:ascii="Arial" w:cs="Arial" w:eastAsia="Arial" w:hAnsi="Arial"/>
                <w:sz w:val="12"/>
                <w:szCs w:val="12"/>
                <w:color w:val="0000FF"/>
                <w:w w:val="89"/>
              </w:rPr>
            </w:pPr>
            <w:hyperlink w:anchor="page38">
              <w:r>
                <w:rPr>
                  <w:rFonts w:ascii="Arial" w:cs="Arial" w:eastAsia="Arial" w:hAnsi="Arial"/>
                  <w:sz w:val="12"/>
                  <w:szCs w:val="12"/>
                  <w:color w:val="0000FF"/>
                  <w:w w:val="89"/>
                </w:rPr>
                <w:t>Net Interest Income</w:t>
              </w:r>
            </w:hyperlink>
          </w:p>
        </w:tc>
        <w:tc>
          <w:tcPr>
            <w:tcW w:w="9540" w:type="dxa"/>
            <w:vAlign w:val="bottom"/>
            <w:gridSpan w:val="32"/>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38">
              <w:r>
                <w:rPr>
                  <w:rFonts w:ascii="Arial" w:cs="Arial" w:eastAsia="Arial" w:hAnsi="Arial"/>
                  <w:sz w:val="12"/>
                  <w:szCs w:val="12"/>
                  <w:color w:val="0000FF"/>
                  <w:w w:val="74"/>
                </w:rPr>
                <w:t>38</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0000FF"/>
            </w:tcBorders>
            <w:gridSpan w:val="10"/>
          </w:tcPr>
          <w:p>
            <w:pPr>
              <w:spacing w:after="0"/>
              <w:rPr>
                <w:rFonts w:ascii="Arial" w:cs="Arial" w:eastAsia="Arial" w:hAnsi="Arial"/>
                <w:sz w:val="12"/>
                <w:szCs w:val="12"/>
                <w:color w:val="0000FF"/>
                <w:w w:val="90"/>
              </w:rPr>
            </w:pPr>
            <w:hyperlink w:anchor="page41">
              <w:r>
                <w:rPr>
                  <w:rFonts w:ascii="Arial" w:cs="Arial" w:eastAsia="Arial" w:hAnsi="Arial"/>
                  <w:sz w:val="12"/>
                  <w:szCs w:val="12"/>
                  <w:color w:val="0000FF"/>
                  <w:w w:val="90"/>
                </w:rPr>
                <w:t>Non-Interest Income</w:t>
              </w:r>
            </w:hyperlink>
          </w:p>
        </w:tc>
        <w:tc>
          <w:tcPr>
            <w:tcW w:w="9500" w:type="dxa"/>
            <w:vAlign w:val="bottom"/>
            <w:gridSpan w:val="30"/>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1">
              <w:r>
                <w:rPr>
                  <w:rFonts w:ascii="Arial" w:cs="Arial" w:eastAsia="Arial" w:hAnsi="Arial"/>
                  <w:sz w:val="12"/>
                  <w:szCs w:val="12"/>
                  <w:color w:val="0000FF"/>
                  <w:w w:val="74"/>
                </w:rPr>
                <w:t>41</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0000FF"/>
            </w:tcBorders>
            <w:gridSpan w:val="12"/>
          </w:tcPr>
          <w:p>
            <w:pPr>
              <w:spacing w:after="0"/>
              <w:rPr>
                <w:rFonts w:ascii="Arial" w:cs="Arial" w:eastAsia="Arial" w:hAnsi="Arial"/>
                <w:sz w:val="12"/>
                <w:szCs w:val="12"/>
                <w:color w:val="0000FF"/>
                <w:w w:val="96"/>
              </w:rPr>
            </w:pPr>
            <w:hyperlink w:anchor="page42">
              <w:r>
                <w:rPr>
                  <w:rFonts w:ascii="Arial" w:cs="Arial" w:eastAsia="Arial" w:hAnsi="Arial"/>
                  <w:sz w:val="12"/>
                  <w:szCs w:val="12"/>
                  <w:color w:val="0000FF"/>
                  <w:w w:val="96"/>
                </w:rPr>
                <w:t>Non-Interest Expense</w:t>
              </w:r>
            </w:hyperlink>
          </w:p>
        </w:tc>
        <w:tc>
          <w:tcPr>
            <w:tcW w:w="9360" w:type="dxa"/>
            <w:vAlign w:val="bottom"/>
            <w:gridSpan w:val="28"/>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2">
              <w:r>
                <w:rPr>
                  <w:rFonts w:ascii="Arial" w:cs="Arial" w:eastAsia="Arial" w:hAnsi="Arial"/>
                  <w:sz w:val="12"/>
                  <w:szCs w:val="12"/>
                  <w:color w:val="0000FF"/>
                  <w:w w:val="74"/>
                </w:rPr>
                <w:t>42</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00" w:type="dxa"/>
            <w:vAlign w:val="bottom"/>
            <w:gridSpan w:val="40"/>
          </w:tcPr>
          <w:p>
            <w:pPr>
              <w:spacing w:after="0"/>
              <w:rPr>
                <w:rFonts w:ascii="Arial" w:cs="Arial" w:eastAsia="Arial" w:hAnsi="Arial"/>
                <w:sz w:val="12"/>
                <w:szCs w:val="12"/>
                <w:color w:val="0000FF"/>
              </w:rPr>
            </w:pPr>
            <w:hyperlink w:anchor="page43">
              <w:r>
                <w:rPr>
                  <w:rFonts w:ascii="Arial" w:cs="Arial" w:eastAsia="Arial" w:hAnsi="Arial"/>
                  <w:sz w:val="12"/>
                  <w:szCs w:val="12"/>
                  <w:color w:val="0000FF"/>
                </w:rPr>
                <w:t>Income Taxes</w:t>
              </w:r>
            </w:hyperlink>
          </w:p>
        </w:tc>
        <w:tc>
          <w:tcPr>
            <w:tcW w:w="120" w:type="dxa"/>
            <w:vAlign w:val="bottom"/>
          </w:tcPr>
          <w:p>
            <w:pPr>
              <w:spacing w:after="0"/>
              <w:rPr>
                <w:rFonts w:ascii="Arial" w:cs="Arial" w:eastAsia="Arial" w:hAnsi="Arial"/>
                <w:sz w:val="12"/>
                <w:szCs w:val="12"/>
                <w:color w:val="0000FF"/>
                <w:w w:val="74"/>
              </w:rPr>
            </w:pPr>
            <w:hyperlink w:anchor="page43">
              <w:r>
                <w:rPr>
                  <w:rFonts w:ascii="Arial" w:cs="Arial" w:eastAsia="Arial" w:hAnsi="Arial"/>
                  <w:sz w:val="12"/>
                  <w:szCs w:val="12"/>
                  <w:color w:val="0000FF"/>
                  <w:w w:val="74"/>
                </w:rPr>
                <w:t>43</w:t>
              </w:r>
            </w:hyperlink>
          </w:p>
        </w:tc>
        <w:tc>
          <w:tcPr>
            <w:tcW w:w="46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0000FF"/>
            </w:tcBorders>
            <w:gridSpan w:val="18"/>
          </w:tcPr>
          <w:p>
            <w:pPr>
              <w:spacing w:after="0"/>
              <w:rPr>
                <w:rFonts w:ascii="Arial" w:cs="Arial" w:eastAsia="Arial" w:hAnsi="Arial"/>
                <w:sz w:val="12"/>
                <w:szCs w:val="12"/>
                <w:color w:val="0000FF"/>
                <w:w w:val="92"/>
              </w:rPr>
            </w:pPr>
            <w:hyperlink w:anchor="page43">
              <w:r>
                <w:rPr>
                  <w:rFonts w:ascii="Arial" w:cs="Arial" w:eastAsia="Arial" w:hAnsi="Arial"/>
                  <w:sz w:val="12"/>
                  <w:szCs w:val="12"/>
                  <w:color w:val="0000FF"/>
                  <w:w w:val="92"/>
                </w:rPr>
                <w:t>Analysis of Financial Condition</w:t>
              </w:r>
            </w:hyperlink>
          </w:p>
        </w:tc>
        <w:tc>
          <w:tcPr>
            <w:tcW w:w="8960" w:type="dxa"/>
            <w:vAlign w:val="bottom"/>
            <w:gridSpan w:val="22"/>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3">
              <w:r>
                <w:rPr>
                  <w:rFonts w:ascii="Arial" w:cs="Arial" w:eastAsia="Arial" w:hAnsi="Arial"/>
                  <w:sz w:val="12"/>
                  <w:szCs w:val="12"/>
                  <w:color w:val="0000FF"/>
                  <w:w w:val="74"/>
                </w:rPr>
                <w:t>44</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00" w:type="dxa"/>
            <w:vAlign w:val="bottom"/>
            <w:gridSpan w:val="40"/>
          </w:tcPr>
          <w:p>
            <w:pPr>
              <w:spacing w:after="0"/>
              <w:rPr>
                <w:rFonts w:ascii="Arial" w:cs="Arial" w:eastAsia="Arial" w:hAnsi="Arial"/>
                <w:sz w:val="12"/>
                <w:szCs w:val="12"/>
                <w:color w:val="0000FF"/>
              </w:rPr>
            </w:pPr>
            <w:hyperlink w:anchor="page44">
              <w:r>
                <w:rPr>
                  <w:rFonts w:ascii="Arial" w:cs="Arial" w:eastAsia="Arial" w:hAnsi="Arial"/>
                  <w:sz w:val="12"/>
                  <w:szCs w:val="12"/>
                  <w:color w:val="0000FF"/>
                </w:rPr>
                <w:t>Securities Portfolio</w:t>
              </w:r>
            </w:hyperlink>
          </w:p>
        </w:tc>
        <w:tc>
          <w:tcPr>
            <w:tcW w:w="120" w:type="dxa"/>
            <w:vAlign w:val="bottom"/>
          </w:tcPr>
          <w:p>
            <w:pPr>
              <w:spacing w:after="0"/>
              <w:rPr>
                <w:rFonts w:ascii="Arial" w:cs="Arial" w:eastAsia="Arial" w:hAnsi="Arial"/>
                <w:sz w:val="12"/>
                <w:szCs w:val="12"/>
                <w:color w:val="0000FF"/>
                <w:w w:val="74"/>
              </w:rPr>
            </w:pPr>
            <w:hyperlink w:anchor="page44">
              <w:r>
                <w:rPr>
                  <w:rFonts w:ascii="Arial" w:cs="Arial" w:eastAsia="Arial" w:hAnsi="Arial"/>
                  <w:sz w:val="12"/>
                  <w:szCs w:val="12"/>
                  <w:color w:val="0000FF"/>
                  <w:w w:val="74"/>
                </w:rPr>
                <w:t>44</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0000FF"/>
              <w:bottom w:val="single" w:sz="8" w:color="0000FF"/>
            </w:tcBorders>
            <w:gridSpan w:val="5"/>
          </w:tcPr>
          <w:p>
            <w:pPr>
              <w:spacing w:after="0"/>
              <w:rPr>
                <w:rFonts w:ascii="Arial" w:cs="Arial" w:eastAsia="Arial" w:hAnsi="Arial"/>
                <w:sz w:val="12"/>
                <w:szCs w:val="12"/>
                <w:color w:val="0000FF"/>
                <w:w w:val="94"/>
              </w:rPr>
            </w:pPr>
            <w:hyperlink w:anchor="page44">
              <w:r>
                <w:rPr>
                  <w:rFonts w:ascii="Arial" w:cs="Arial" w:eastAsia="Arial" w:hAnsi="Arial"/>
                  <w:sz w:val="12"/>
                  <w:szCs w:val="12"/>
                  <w:color w:val="0000FF"/>
                  <w:w w:val="94"/>
                </w:rPr>
                <w:t>Loan Portfolio</w:t>
              </w:r>
            </w:hyperlink>
          </w:p>
        </w:tc>
        <w:tc>
          <w:tcPr>
            <w:tcW w:w="200" w:type="dxa"/>
            <w:vAlign w:val="bottom"/>
            <w:tcBorders>
              <w:top w:val="single" w:sz="8" w:color="0000FF"/>
            </w:tcBorders>
          </w:tcPr>
          <w:p>
            <w:pPr>
              <w:spacing w:after="0"/>
              <w:rPr>
                <w:sz w:val="13"/>
                <w:szCs w:val="13"/>
                <w:color w:val="auto"/>
              </w:rPr>
            </w:pPr>
          </w:p>
        </w:tc>
        <w:tc>
          <w:tcPr>
            <w:tcW w:w="9580" w:type="dxa"/>
            <w:vAlign w:val="bottom"/>
            <w:gridSpan w:val="34"/>
          </w:tcPr>
          <w:p>
            <w:pPr>
              <w:spacing w:after="0"/>
              <w:rPr>
                <w:sz w:val="13"/>
                <w:szCs w:val="13"/>
                <w:color w:val="auto"/>
              </w:rPr>
            </w:pPr>
          </w:p>
        </w:tc>
        <w:tc>
          <w:tcPr>
            <w:tcW w:w="120" w:type="dxa"/>
            <w:vAlign w:val="bottom"/>
            <w:tcBorders>
              <w:top w:val="single" w:sz="8" w:color="0000FF"/>
              <w:bottom w:val="single" w:sz="8" w:color="0000FF"/>
            </w:tcBorders>
          </w:tcPr>
          <w:p>
            <w:pPr>
              <w:spacing w:after="0"/>
              <w:rPr>
                <w:rFonts w:ascii="Arial" w:cs="Arial" w:eastAsia="Arial" w:hAnsi="Arial"/>
                <w:sz w:val="12"/>
                <w:szCs w:val="12"/>
                <w:color w:val="0000FF"/>
                <w:w w:val="74"/>
              </w:rPr>
            </w:pPr>
            <w:hyperlink w:anchor="page44">
              <w:r>
                <w:rPr>
                  <w:rFonts w:ascii="Arial" w:cs="Arial" w:eastAsia="Arial" w:hAnsi="Arial"/>
                  <w:sz w:val="12"/>
                  <w:szCs w:val="12"/>
                  <w:color w:val="0000FF"/>
                  <w:w w:val="74"/>
                </w:rPr>
                <w:t>44</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Borders>
              <w:bottom w:val="single" w:sz="8" w:color="0000FF"/>
            </w:tcBorders>
            <w:gridSpan w:val="30"/>
          </w:tcPr>
          <w:p>
            <w:pPr>
              <w:spacing w:after="0"/>
              <w:rPr>
                <w:rFonts w:ascii="Arial" w:cs="Arial" w:eastAsia="Arial" w:hAnsi="Arial"/>
                <w:sz w:val="12"/>
                <w:szCs w:val="12"/>
                <w:color w:val="0000FF"/>
                <w:w w:val="98"/>
              </w:rPr>
            </w:pPr>
            <w:hyperlink w:anchor="page44">
              <w:r>
                <w:rPr>
                  <w:rFonts w:ascii="Arial" w:cs="Arial" w:eastAsia="Arial" w:hAnsi="Arial"/>
                  <w:sz w:val="12"/>
                  <w:szCs w:val="12"/>
                  <w:color w:val="0000FF"/>
                  <w:w w:val="98"/>
                </w:rPr>
                <w:t>Provision and Allowance for Loan Losses (‘‘ALLL’’)</w:t>
              </w:r>
            </w:hyperlink>
          </w:p>
        </w:tc>
        <w:tc>
          <w:tcPr>
            <w:tcW w:w="7820" w:type="dxa"/>
            <w:vAlign w:val="bottom"/>
            <w:gridSpan w:val="10"/>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4">
              <w:r>
                <w:rPr>
                  <w:rFonts w:ascii="Arial" w:cs="Arial" w:eastAsia="Arial" w:hAnsi="Arial"/>
                  <w:sz w:val="12"/>
                  <w:szCs w:val="12"/>
                  <w:color w:val="0000FF"/>
                  <w:w w:val="74"/>
                </w:rPr>
                <w:t>45</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Borders>
              <w:bottom w:val="single" w:sz="8" w:color="0000FF"/>
            </w:tcBorders>
            <w:gridSpan w:val="31"/>
          </w:tcPr>
          <w:p>
            <w:pPr>
              <w:spacing w:after="0"/>
              <w:rPr>
                <w:rFonts w:ascii="Arial" w:cs="Arial" w:eastAsia="Arial" w:hAnsi="Arial"/>
                <w:sz w:val="12"/>
                <w:szCs w:val="12"/>
                <w:color w:val="0000FF"/>
                <w:w w:val="91"/>
              </w:rPr>
            </w:pPr>
            <w:hyperlink w:anchor="page46">
              <w:r>
                <w:rPr>
                  <w:rFonts w:ascii="Arial" w:cs="Arial" w:eastAsia="Arial" w:hAnsi="Arial"/>
                  <w:sz w:val="12"/>
                  <w:szCs w:val="12"/>
                  <w:color w:val="0000FF"/>
                  <w:w w:val="91"/>
                </w:rPr>
                <w:t>Nonperforming Assets and Other Asset Quality Metrics</w:t>
              </w:r>
            </w:hyperlink>
          </w:p>
        </w:tc>
        <w:tc>
          <w:tcPr>
            <w:tcW w:w="7800" w:type="dxa"/>
            <w:vAlign w:val="bottom"/>
            <w:gridSpan w:val="9"/>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6">
              <w:r>
                <w:rPr>
                  <w:rFonts w:ascii="Arial" w:cs="Arial" w:eastAsia="Arial" w:hAnsi="Arial"/>
                  <w:sz w:val="12"/>
                  <w:szCs w:val="12"/>
                  <w:color w:val="0000FF"/>
                  <w:w w:val="74"/>
                </w:rPr>
                <w:t>46</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0000FF"/>
            </w:tcBorders>
            <w:gridSpan w:val="18"/>
          </w:tcPr>
          <w:p>
            <w:pPr>
              <w:spacing w:after="0"/>
              <w:rPr>
                <w:rFonts w:ascii="Arial" w:cs="Arial" w:eastAsia="Arial" w:hAnsi="Arial"/>
                <w:sz w:val="12"/>
                <w:szCs w:val="12"/>
                <w:color w:val="0000FF"/>
                <w:w w:val="91"/>
              </w:rPr>
            </w:pPr>
            <w:hyperlink w:anchor="page48">
              <w:r>
                <w:rPr>
                  <w:rFonts w:ascii="Arial" w:cs="Arial" w:eastAsia="Arial" w:hAnsi="Arial"/>
                  <w:sz w:val="12"/>
                  <w:szCs w:val="12"/>
                  <w:color w:val="0000FF"/>
                  <w:w w:val="91"/>
                </w:rPr>
                <w:t>Deposits and Other Borrowings</w:t>
              </w:r>
            </w:hyperlink>
          </w:p>
        </w:tc>
        <w:tc>
          <w:tcPr>
            <w:tcW w:w="8960" w:type="dxa"/>
            <w:vAlign w:val="bottom"/>
            <w:gridSpan w:val="22"/>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8">
              <w:r>
                <w:rPr>
                  <w:rFonts w:ascii="Arial" w:cs="Arial" w:eastAsia="Arial" w:hAnsi="Arial"/>
                  <w:sz w:val="12"/>
                  <w:szCs w:val="12"/>
                  <w:color w:val="0000FF"/>
                  <w:w w:val="74"/>
                </w:rPr>
                <w:t>48</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0000FF"/>
            </w:tcBorders>
            <w:gridSpan w:val="4"/>
          </w:tcPr>
          <w:p>
            <w:pPr>
              <w:spacing w:after="0"/>
              <w:rPr>
                <w:rFonts w:ascii="Arial" w:cs="Arial" w:eastAsia="Arial" w:hAnsi="Arial"/>
                <w:sz w:val="12"/>
                <w:szCs w:val="12"/>
                <w:color w:val="0000FF"/>
              </w:rPr>
            </w:pPr>
            <w:hyperlink w:anchor="page48">
              <w:r>
                <w:rPr>
                  <w:rFonts w:ascii="Arial" w:cs="Arial" w:eastAsia="Arial" w:hAnsi="Arial"/>
                  <w:sz w:val="12"/>
                  <w:szCs w:val="12"/>
                  <w:color w:val="0000FF"/>
                </w:rPr>
                <w:t>Liquidity</w:t>
              </w:r>
            </w:hyperlink>
          </w:p>
        </w:tc>
        <w:tc>
          <w:tcPr>
            <w:tcW w:w="9800" w:type="dxa"/>
            <w:vAlign w:val="bottom"/>
            <w:gridSpan w:val="36"/>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8">
              <w:r>
                <w:rPr>
                  <w:rFonts w:ascii="Arial" w:cs="Arial" w:eastAsia="Arial" w:hAnsi="Arial"/>
                  <w:sz w:val="12"/>
                  <w:szCs w:val="12"/>
                  <w:color w:val="0000FF"/>
                  <w:w w:val="74"/>
                </w:rPr>
                <w:t>48</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0000FF"/>
            </w:tcBorders>
            <w:gridSpan w:val="13"/>
          </w:tcPr>
          <w:p>
            <w:pPr>
              <w:spacing w:after="0"/>
              <w:rPr>
                <w:rFonts w:ascii="Arial" w:cs="Arial" w:eastAsia="Arial" w:hAnsi="Arial"/>
                <w:sz w:val="12"/>
                <w:szCs w:val="12"/>
                <w:color w:val="0000FF"/>
                <w:w w:val="92"/>
              </w:rPr>
            </w:pPr>
            <w:hyperlink w:anchor="page48">
              <w:r>
                <w:rPr>
                  <w:rFonts w:ascii="Arial" w:cs="Arial" w:eastAsia="Arial" w:hAnsi="Arial"/>
                  <w:sz w:val="12"/>
                  <w:szCs w:val="12"/>
                  <w:color w:val="0000FF"/>
                  <w:w w:val="92"/>
                </w:rPr>
                <w:t>Contractual Obligations</w:t>
              </w:r>
            </w:hyperlink>
          </w:p>
        </w:tc>
        <w:tc>
          <w:tcPr>
            <w:tcW w:w="9320" w:type="dxa"/>
            <w:vAlign w:val="bottom"/>
            <w:gridSpan w:val="27"/>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8">
              <w:r>
                <w:rPr>
                  <w:rFonts w:ascii="Arial" w:cs="Arial" w:eastAsia="Arial" w:hAnsi="Arial"/>
                  <w:sz w:val="12"/>
                  <w:szCs w:val="12"/>
                  <w:color w:val="0000FF"/>
                  <w:w w:val="74"/>
                </w:rPr>
                <w:t>48</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tcBorders>
              <w:bottom w:val="single" w:sz="8" w:color="0000FF"/>
            </w:tcBorders>
            <w:gridSpan w:val="35"/>
          </w:tcPr>
          <w:p>
            <w:pPr>
              <w:spacing w:after="0"/>
              <w:rPr>
                <w:rFonts w:ascii="Arial" w:cs="Arial" w:eastAsia="Arial" w:hAnsi="Arial"/>
                <w:sz w:val="12"/>
                <w:szCs w:val="12"/>
                <w:color w:val="0000FF"/>
              </w:rPr>
            </w:pPr>
            <w:hyperlink w:anchor="page49">
              <w:r>
                <w:rPr>
                  <w:rFonts w:ascii="Arial" w:cs="Arial" w:eastAsia="Arial" w:hAnsi="Arial"/>
                  <w:sz w:val="12"/>
                  <w:szCs w:val="12"/>
                  <w:color w:val="0000FF"/>
                </w:rPr>
                <w:t>Capital Resources and Off-Balance Sheet Arrangements</w:t>
              </w:r>
            </w:hyperlink>
          </w:p>
        </w:tc>
        <w:tc>
          <w:tcPr>
            <w:tcW w:w="7300" w:type="dxa"/>
            <w:vAlign w:val="bottom"/>
            <w:gridSpan w:val="5"/>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9">
              <w:r>
                <w:rPr>
                  <w:rFonts w:ascii="Arial" w:cs="Arial" w:eastAsia="Arial" w:hAnsi="Arial"/>
                  <w:sz w:val="12"/>
                  <w:szCs w:val="12"/>
                  <w:color w:val="0000FF"/>
                  <w:w w:val="74"/>
                </w:rPr>
                <w:t>49</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tcBorders>
              <w:bottom w:val="single" w:sz="8" w:color="0000FF"/>
            </w:tcBorders>
            <w:gridSpan w:val="35"/>
          </w:tcPr>
          <w:p>
            <w:pPr>
              <w:spacing w:after="0"/>
              <w:rPr>
                <w:rFonts w:ascii="Arial" w:cs="Arial" w:eastAsia="Arial" w:hAnsi="Arial"/>
                <w:sz w:val="12"/>
                <w:szCs w:val="12"/>
                <w:color w:val="0000FF"/>
              </w:rPr>
            </w:pPr>
            <w:hyperlink w:anchor="page49">
              <w:r>
                <w:rPr>
                  <w:rFonts w:ascii="Arial" w:cs="Arial" w:eastAsia="Arial" w:hAnsi="Arial"/>
                  <w:sz w:val="12"/>
                  <w:szCs w:val="12"/>
                  <w:color w:val="0000FF"/>
                </w:rPr>
                <w:t>Critical Accounting Policies and Estimates</w:t>
              </w:r>
            </w:hyperlink>
          </w:p>
        </w:tc>
        <w:tc>
          <w:tcPr>
            <w:tcW w:w="7300" w:type="dxa"/>
            <w:vAlign w:val="bottom"/>
            <w:gridSpan w:val="5"/>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9">
              <w:r>
                <w:rPr>
                  <w:rFonts w:ascii="Arial" w:cs="Arial" w:eastAsia="Arial" w:hAnsi="Arial"/>
                  <w:sz w:val="12"/>
                  <w:szCs w:val="12"/>
                  <w:color w:val="0000FF"/>
                  <w:w w:val="74"/>
                </w:rPr>
                <w:t>49</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00" w:type="dxa"/>
            <w:vAlign w:val="bottom"/>
            <w:tcBorders>
              <w:bottom w:val="single" w:sz="8" w:color="0000FF"/>
            </w:tcBorders>
            <w:gridSpan w:val="40"/>
          </w:tcPr>
          <w:p>
            <w:pPr>
              <w:spacing w:after="0"/>
              <w:rPr>
                <w:rFonts w:ascii="Arial" w:cs="Arial" w:eastAsia="Arial" w:hAnsi="Arial"/>
                <w:sz w:val="12"/>
                <w:szCs w:val="12"/>
                <w:color w:val="0000FF"/>
              </w:rPr>
            </w:pPr>
            <w:hyperlink w:anchor="page49">
              <w:r>
                <w:rPr>
                  <w:rFonts w:ascii="Arial" w:cs="Arial" w:eastAsia="Arial" w:hAnsi="Arial"/>
                  <w:sz w:val="12"/>
                  <w:szCs w:val="12"/>
                  <w:color w:val="0000FF"/>
                </w:rPr>
                <w:t>Item 3. Quantitative and Qualitative Disclosures about Market Risk</w:t>
              </w:r>
            </w:hyperlink>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49">
              <w:r>
                <w:rPr>
                  <w:rFonts w:ascii="Arial" w:cs="Arial" w:eastAsia="Arial" w:hAnsi="Arial"/>
                  <w:sz w:val="12"/>
                  <w:szCs w:val="12"/>
                  <w:color w:val="0000FF"/>
                  <w:w w:val="74"/>
                </w:rPr>
                <w:t>49</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500" w:type="dxa"/>
            <w:vAlign w:val="bottom"/>
            <w:gridSpan w:val="40"/>
          </w:tcPr>
          <w:p>
            <w:pPr>
              <w:spacing w:after="0"/>
              <w:rPr>
                <w:rFonts w:ascii="Arial" w:cs="Arial" w:eastAsia="Arial" w:hAnsi="Arial"/>
                <w:sz w:val="12"/>
                <w:szCs w:val="12"/>
                <w:color w:val="0000FF"/>
              </w:rPr>
            </w:pPr>
            <w:hyperlink w:anchor="page50">
              <w:r>
                <w:rPr>
                  <w:rFonts w:ascii="Arial" w:cs="Arial" w:eastAsia="Arial" w:hAnsi="Arial"/>
                  <w:sz w:val="12"/>
                  <w:szCs w:val="12"/>
                  <w:color w:val="0000FF"/>
                </w:rPr>
                <w:t>Item 4. Controls and Procedures</w:t>
              </w:r>
            </w:hyperlink>
          </w:p>
        </w:tc>
        <w:tc>
          <w:tcPr>
            <w:tcW w:w="120" w:type="dxa"/>
            <w:vAlign w:val="bottom"/>
          </w:tcPr>
          <w:p>
            <w:pPr>
              <w:spacing w:after="0"/>
              <w:rPr>
                <w:rFonts w:ascii="Arial" w:cs="Arial" w:eastAsia="Arial" w:hAnsi="Arial"/>
                <w:sz w:val="12"/>
                <w:szCs w:val="12"/>
                <w:color w:val="0000FF"/>
                <w:w w:val="74"/>
              </w:rPr>
            </w:pPr>
            <w:hyperlink w:anchor="page50">
              <w:r>
                <w:rPr>
                  <w:rFonts w:ascii="Arial" w:cs="Arial" w:eastAsia="Arial" w:hAnsi="Arial"/>
                  <w:sz w:val="12"/>
                  <w:szCs w:val="12"/>
                  <w:color w:val="0000FF"/>
                  <w:w w:val="74"/>
                </w:rPr>
                <w:t>50</w:t>
              </w:r>
            </w:hyperlink>
          </w:p>
        </w:tc>
        <w:tc>
          <w:tcPr>
            <w:tcW w:w="46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660" w:type="dxa"/>
            <w:vAlign w:val="bottom"/>
            <w:gridSpan w:val="17"/>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7"/>
        </w:trPr>
        <w:tc>
          <w:tcPr>
            <w:tcW w:w="10720" w:type="dxa"/>
            <w:vAlign w:val="bottom"/>
            <w:gridSpan w:val="42"/>
          </w:tcPr>
          <w:p>
            <w:pPr>
              <w:ind w:left="80"/>
              <w:spacing w:after="0"/>
              <w:rPr>
                <w:sz w:val="20"/>
                <w:szCs w:val="20"/>
                <w:color w:val="auto"/>
              </w:rPr>
            </w:pPr>
            <w:r>
              <w:rPr>
                <w:rFonts w:ascii="Arial" w:cs="Arial" w:eastAsia="Arial" w:hAnsi="Arial"/>
                <w:sz w:val="12"/>
                <w:szCs w:val="12"/>
                <w:color w:val="auto"/>
              </w:rPr>
              <w:t>Part II. Other Information</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53"/>
        </w:trPr>
        <w:tc>
          <w:tcPr>
            <w:tcW w:w="140" w:type="dxa"/>
            <w:vAlign w:val="bottom"/>
          </w:tcPr>
          <w:p>
            <w:pPr>
              <w:spacing w:after="0"/>
              <w:rPr>
                <w:sz w:val="13"/>
                <w:szCs w:val="13"/>
                <w:color w:val="auto"/>
              </w:rPr>
            </w:pPr>
          </w:p>
        </w:tc>
        <w:tc>
          <w:tcPr>
            <w:tcW w:w="10580" w:type="dxa"/>
            <w:vAlign w:val="bottom"/>
            <w:gridSpan w:val="41"/>
          </w:tcPr>
          <w:p>
            <w:pPr>
              <w:spacing w:after="0"/>
              <w:rPr>
                <w:rFonts w:ascii="Arial" w:cs="Arial" w:eastAsia="Arial" w:hAnsi="Arial"/>
                <w:sz w:val="12"/>
                <w:szCs w:val="12"/>
                <w:color w:val="0000FF"/>
              </w:rPr>
            </w:pPr>
            <w:hyperlink w:anchor="page51">
              <w:r>
                <w:rPr>
                  <w:rFonts w:ascii="Arial" w:cs="Arial" w:eastAsia="Arial" w:hAnsi="Arial"/>
                  <w:sz w:val="12"/>
                  <w:szCs w:val="12"/>
                  <w:color w:val="0000FF"/>
                </w:rPr>
                <w:t>Item 1. Legal Proceedings</w:t>
              </w:r>
            </w:hyperlink>
          </w:p>
        </w:tc>
        <w:tc>
          <w:tcPr>
            <w:tcW w:w="120" w:type="dxa"/>
            <w:vAlign w:val="bottom"/>
          </w:tcPr>
          <w:p>
            <w:pPr>
              <w:spacing w:after="0"/>
              <w:rPr>
                <w:rFonts w:ascii="Arial" w:cs="Arial" w:eastAsia="Arial" w:hAnsi="Arial"/>
                <w:sz w:val="12"/>
                <w:szCs w:val="12"/>
                <w:color w:val="0000FF"/>
                <w:w w:val="74"/>
              </w:rPr>
            </w:pPr>
            <w:hyperlink w:anchor="page51">
              <w:r>
                <w:rPr>
                  <w:rFonts w:ascii="Arial" w:cs="Arial" w:eastAsia="Arial" w:hAnsi="Arial"/>
                  <w:sz w:val="12"/>
                  <w:szCs w:val="12"/>
                  <w:color w:val="0000FF"/>
                  <w:w w:val="74"/>
                </w:rPr>
                <w:t>51</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1260" w:type="dxa"/>
            <w:vAlign w:val="bottom"/>
            <w:tcBorders>
              <w:top w:val="single" w:sz="8" w:color="0000FF"/>
            </w:tcBorders>
            <w:gridSpan w:val="14"/>
          </w:tcPr>
          <w:p>
            <w:pPr>
              <w:spacing w:after="0"/>
              <w:rPr>
                <w:rFonts w:ascii="Arial" w:cs="Arial" w:eastAsia="Arial" w:hAnsi="Arial"/>
                <w:sz w:val="12"/>
                <w:szCs w:val="12"/>
                <w:color w:val="0000FF"/>
              </w:rPr>
            </w:pPr>
            <w:hyperlink w:anchor="page51">
              <w:r>
                <w:rPr>
                  <w:rFonts w:ascii="Arial" w:cs="Arial" w:eastAsia="Arial" w:hAnsi="Arial"/>
                  <w:sz w:val="12"/>
                  <w:szCs w:val="12"/>
                  <w:color w:val="0000FF"/>
                </w:rPr>
                <w:t>Item 1A. Risk Factors</w:t>
              </w:r>
            </w:hyperlink>
          </w:p>
        </w:tc>
        <w:tc>
          <w:tcPr>
            <w:tcW w:w="9320" w:type="dxa"/>
            <w:vAlign w:val="bottom"/>
            <w:gridSpan w:val="27"/>
          </w:tcPr>
          <w:p>
            <w:pPr>
              <w:spacing w:after="0"/>
              <w:rPr>
                <w:sz w:val="13"/>
                <w:szCs w:val="13"/>
                <w:color w:val="auto"/>
              </w:rPr>
            </w:pPr>
          </w:p>
        </w:tc>
        <w:tc>
          <w:tcPr>
            <w:tcW w:w="120" w:type="dxa"/>
            <w:vAlign w:val="bottom"/>
            <w:tcBorders>
              <w:top w:val="single" w:sz="8" w:color="0000FF"/>
            </w:tcBorders>
          </w:tcPr>
          <w:p>
            <w:pPr>
              <w:spacing w:after="0"/>
              <w:rPr>
                <w:rFonts w:ascii="Arial" w:cs="Arial" w:eastAsia="Arial" w:hAnsi="Arial"/>
                <w:sz w:val="12"/>
                <w:szCs w:val="12"/>
                <w:color w:val="0000FF"/>
                <w:w w:val="74"/>
              </w:rPr>
            </w:pPr>
            <w:hyperlink w:anchor="page51">
              <w:r>
                <w:rPr>
                  <w:rFonts w:ascii="Arial" w:cs="Arial" w:eastAsia="Arial" w:hAnsi="Arial"/>
                  <w:sz w:val="12"/>
                  <w:szCs w:val="12"/>
                  <w:color w:val="0000FF"/>
                  <w:w w:val="74"/>
                </w:rPr>
                <w:t>51</w:t>
              </w:r>
            </w:hyperlink>
          </w:p>
        </w:tc>
        <w:tc>
          <w:tcPr>
            <w:tcW w:w="46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220" w:type="dxa"/>
            <w:vAlign w:val="bottom"/>
            <w:gridSpan w:val="26"/>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3280" w:type="dxa"/>
            <w:vAlign w:val="bottom"/>
            <w:tcBorders>
              <w:bottom w:val="single" w:sz="8" w:color="0000FF"/>
            </w:tcBorders>
            <w:gridSpan w:val="36"/>
          </w:tcPr>
          <w:p>
            <w:pPr>
              <w:spacing w:after="0"/>
              <w:rPr>
                <w:rFonts w:ascii="Arial" w:cs="Arial" w:eastAsia="Arial" w:hAnsi="Arial"/>
                <w:sz w:val="12"/>
                <w:szCs w:val="12"/>
                <w:color w:val="0000FF"/>
                <w:w w:val="89"/>
              </w:rPr>
            </w:pPr>
            <w:hyperlink w:anchor="page51">
              <w:r>
                <w:rPr>
                  <w:rFonts w:ascii="Arial" w:cs="Arial" w:eastAsia="Arial" w:hAnsi="Arial"/>
                  <w:sz w:val="12"/>
                  <w:szCs w:val="12"/>
                  <w:color w:val="0000FF"/>
                  <w:w w:val="89"/>
                </w:rPr>
                <w:t>Item 2. Unregistered Sales of Equity Securities and Use of Proceeds</w:t>
              </w:r>
            </w:hyperlink>
          </w:p>
        </w:tc>
        <w:tc>
          <w:tcPr>
            <w:tcW w:w="7300" w:type="dxa"/>
            <w:vAlign w:val="bottom"/>
            <w:gridSpan w:val="5"/>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51">
              <w:r>
                <w:rPr>
                  <w:rFonts w:ascii="Arial" w:cs="Arial" w:eastAsia="Arial" w:hAnsi="Arial"/>
                  <w:sz w:val="12"/>
                  <w:szCs w:val="12"/>
                  <w:color w:val="0000FF"/>
                  <w:w w:val="74"/>
                </w:rPr>
                <w:t>51</w:t>
              </w:r>
            </w:hyperlink>
          </w:p>
        </w:tc>
        <w:tc>
          <w:tcPr>
            <w:tcW w:w="460" w:type="dxa"/>
            <w:vAlign w:val="bottom"/>
          </w:tcPr>
          <w:p>
            <w:pPr>
              <w:spacing w:after="0"/>
              <w:rPr>
                <w:sz w:val="13"/>
                <w:szCs w:val="13"/>
                <w:color w:val="auto"/>
              </w:rPr>
            </w:pPr>
          </w:p>
        </w:tc>
      </w:tr>
      <w:tr>
        <w:trPr>
          <w:trHeight w:val="160"/>
        </w:trPr>
        <w:tc>
          <w:tcPr>
            <w:tcW w:w="140" w:type="dxa"/>
            <w:vAlign w:val="bottom"/>
          </w:tcPr>
          <w:p>
            <w:pPr>
              <w:spacing w:after="0"/>
              <w:rPr>
                <w:sz w:val="13"/>
                <w:szCs w:val="13"/>
                <w:color w:val="auto"/>
              </w:rPr>
            </w:pPr>
          </w:p>
        </w:tc>
        <w:tc>
          <w:tcPr>
            <w:tcW w:w="780" w:type="dxa"/>
            <w:vAlign w:val="bottom"/>
            <w:tcBorders>
              <w:bottom w:val="single" w:sz="8" w:color="0000FF"/>
            </w:tcBorders>
            <w:gridSpan w:val="5"/>
          </w:tcPr>
          <w:p>
            <w:pPr>
              <w:spacing w:after="0"/>
              <w:rPr>
                <w:rFonts w:ascii="Arial" w:cs="Arial" w:eastAsia="Arial" w:hAnsi="Arial"/>
                <w:sz w:val="12"/>
                <w:szCs w:val="12"/>
                <w:color w:val="0000FF"/>
                <w:w w:val="92"/>
              </w:rPr>
            </w:pPr>
            <w:hyperlink w:anchor="page51">
              <w:r>
                <w:rPr>
                  <w:rFonts w:ascii="Arial" w:cs="Arial" w:eastAsia="Arial" w:hAnsi="Arial"/>
                  <w:sz w:val="12"/>
                  <w:szCs w:val="12"/>
                  <w:color w:val="0000FF"/>
                  <w:w w:val="92"/>
                </w:rPr>
                <w:t>Item 6. Exhibits</w:t>
              </w:r>
            </w:hyperlink>
          </w:p>
        </w:tc>
        <w:tc>
          <w:tcPr>
            <w:tcW w:w="9800" w:type="dxa"/>
            <w:vAlign w:val="bottom"/>
            <w:gridSpan w:val="36"/>
          </w:tcPr>
          <w:p>
            <w:pPr>
              <w:spacing w:after="0"/>
              <w:rPr>
                <w:sz w:val="13"/>
                <w:szCs w:val="13"/>
                <w:color w:val="auto"/>
              </w:rPr>
            </w:pPr>
          </w:p>
        </w:tc>
        <w:tc>
          <w:tcPr>
            <w:tcW w:w="120" w:type="dxa"/>
            <w:vAlign w:val="bottom"/>
            <w:tcBorders>
              <w:bottom w:val="single" w:sz="8" w:color="0000FF"/>
            </w:tcBorders>
          </w:tcPr>
          <w:p>
            <w:pPr>
              <w:spacing w:after="0"/>
              <w:rPr>
                <w:rFonts w:ascii="Arial" w:cs="Arial" w:eastAsia="Arial" w:hAnsi="Arial"/>
                <w:sz w:val="12"/>
                <w:szCs w:val="12"/>
                <w:color w:val="0000FF"/>
                <w:w w:val="74"/>
              </w:rPr>
            </w:pPr>
            <w:hyperlink w:anchor="page51">
              <w:r>
                <w:rPr>
                  <w:rFonts w:ascii="Arial" w:cs="Arial" w:eastAsia="Arial" w:hAnsi="Arial"/>
                  <w:sz w:val="12"/>
                  <w:szCs w:val="12"/>
                  <w:color w:val="0000FF"/>
                  <w:w w:val="74"/>
                </w:rPr>
                <w:t>52</w:t>
              </w:r>
            </w:hyperlink>
          </w:p>
        </w:tc>
        <w:tc>
          <w:tcPr>
            <w:tcW w:w="460" w:type="dxa"/>
            <w:vAlign w:val="bottom"/>
          </w:tcPr>
          <w:p>
            <w:pPr>
              <w:spacing w:after="0"/>
              <w:rPr>
                <w:sz w:val="13"/>
                <w:szCs w:val="13"/>
                <w:color w:val="auto"/>
              </w:rPr>
            </w:pPr>
          </w:p>
        </w:tc>
      </w:tr>
      <w:tr>
        <w:trPr>
          <w:trHeight w:val="187"/>
        </w:trPr>
        <w:tc>
          <w:tcPr>
            <w:tcW w:w="10720" w:type="dxa"/>
            <w:vAlign w:val="bottom"/>
            <w:gridSpan w:val="42"/>
          </w:tcPr>
          <w:p>
            <w:pPr>
              <w:ind w:left="80"/>
              <w:spacing w:after="0"/>
              <w:rPr>
                <w:sz w:val="20"/>
                <w:szCs w:val="20"/>
                <w:color w:val="auto"/>
              </w:rPr>
            </w:pPr>
            <w:r>
              <w:rPr>
                <w:rFonts w:ascii="Arial" w:cs="Arial" w:eastAsia="Arial" w:hAnsi="Arial"/>
                <w:sz w:val="12"/>
                <w:szCs w:val="12"/>
                <w:color w:val="auto"/>
              </w:rPr>
              <w:t>Signatures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59"/>
        </w:trPr>
        <w:tc>
          <w:tcPr>
            <w:tcW w:w="10720" w:type="dxa"/>
            <w:vAlign w:val="bottom"/>
            <w:gridSpan w:val="42"/>
          </w:tcPr>
          <w:p>
            <w:pPr>
              <w:jc w:val="center"/>
              <w:ind w:left="515"/>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2"/>
        </w:trPr>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0" w:right="2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16" w:lineRule="exact"/>
        <w:rPr>
          <w:sz w:val="20"/>
          <w:szCs w:val="20"/>
          <w:color w:val="auto"/>
        </w:rPr>
      </w:pPr>
    </w:p>
    <w:p>
      <w:pPr>
        <w:jc w:val="both"/>
        <w:ind w:left="100" w:right="40" w:firstLine="324"/>
        <w:spacing w:after="0" w:line="263" w:lineRule="auto"/>
        <w:rPr>
          <w:sz w:val="20"/>
          <w:szCs w:val="20"/>
          <w:color w:val="auto"/>
        </w:rPr>
      </w:pPr>
      <w:r>
        <w:rPr>
          <w:rFonts w:ascii="Arial" w:cs="Arial" w:eastAsia="Arial" w:hAnsi="Arial"/>
          <w:sz w:val="12"/>
          <w:szCs w:val="12"/>
          <w:color w:val="auto"/>
        </w:rPr>
        <w:t>This report may contain forward-looking statements that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86" w:lineRule="exact"/>
        <w:rPr>
          <w:sz w:val="20"/>
          <w:szCs w:val="20"/>
          <w:color w:val="auto"/>
        </w:rPr>
      </w:pPr>
    </w:p>
    <w:p>
      <w:pPr>
        <w:ind w:left="100" w:firstLine="324"/>
        <w:spacing w:after="0" w:line="313" w:lineRule="auto"/>
        <w:rPr>
          <w:sz w:val="20"/>
          <w:szCs w:val="20"/>
          <w:color w:val="auto"/>
        </w:rPr>
      </w:pPr>
      <w:r>
        <w:rPr>
          <w:rFonts w:ascii="Arial" w:cs="Arial" w:eastAsia="Arial" w:hAnsi="Arial"/>
          <w:sz w:val="10"/>
          <w:szCs w:val="10"/>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Such possible events or factors include: risks associated with the current outbreak of the novel coronavirus, or the COVID-19 pandemic, changes in economic conditions in the Company’s market area, changes in policies by regulatory agencies, governmental legislation and regulation, fluctuations in interest rates, changes in liquidity requirements, demand for loans in the Company’s market area, changes in accounting and tax principles, estimates made on income taxes, competition with other entities that offer financial services, cybersecurity threats, and such other factors as discussed in our Annual Report on Form 10-K for the fiscal year ended December 31, 2020, filed with the Securities and Exchange Commission (“SEC”) on February 26, 2021, any subsequent quarterly report on Form 10-Q as well as in our other filings with the SEC.</w:t>
      </w:r>
    </w:p>
    <w:p>
      <w:pPr>
        <w:spacing w:after="0" w:line="66"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PART I -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ITEM 1. FINANCIAL STATEMENTS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BALANCE SHEETS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120" w:type="dxa"/>
            <w:vAlign w:val="bottom"/>
          </w:tcPr>
          <w:p>
            <w:pPr>
              <w:spacing w:after="0"/>
              <w:rPr>
                <w:sz w:val="13"/>
                <w:szCs w:val="13"/>
                <w:color w:val="auto"/>
              </w:rPr>
            </w:pPr>
          </w:p>
        </w:tc>
        <w:tc>
          <w:tcPr>
            <w:tcW w:w="144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rPr>
              <w:t>June 30, 2021</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92"/>
              </w:rPr>
              <w:t>December 31, 2020</w:t>
            </w:r>
          </w:p>
        </w:tc>
      </w:tr>
      <w:tr>
        <w:trPr>
          <w:trHeight w:val="131"/>
        </w:trPr>
        <w:tc>
          <w:tcPr>
            <w:tcW w:w="7120" w:type="dxa"/>
            <w:vAlign w:val="bottom"/>
          </w:tcPr>
          <w:p>
            <w:pPr>
              <w:spacing w:after="0"/>
              <w:rPr>
                <w:sz w:val="11"/>
                <w:szCs w:val="11"/>
                <w:color w:val="auto"/>
              </w:rPr>
            </w:pPr>
          </w:p>
        </w:tc>
        <w:tc>
          <w:tcPr>
            <w:tcW w:w="144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color w:val="auto"/>
              </w:rPr>
              <w:t>(Unaudited)</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33"/>
        </w:trPr>
        <w:tc>
          <w:tcPr>
            <w:tcW w:w="7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i w:val="1"/>
                <w:iCs w:val="1"/>
                <w:color w:val="auto"/>
              </w:rPr>
              <w:t>(Dollars in thousands)</w:t>
            </w:r>
          </w:p>
        </w:tc>
        <w:tc>
          <w:tcPr>
            <w:tcW w:w="1560" w:type="dxa"/>
            <w:vAlign w:val="bottom"/>
          </w:tcPr>
          <w:p>
            <w:pPr>
              <w:spacing w:after="0"/>
              <w:rPr>
                <w:sz w:val="11"/>
                <w:szCs w:val="11"/>
                <w:color w:val="auto"/>
              </w:rPr>
            </w:pPr>
          </w:p>
        </w:tc>
      </w:tr>
      <w:tr>
        <w:trPr>
          <w:trHeight w:val="155"/>
        </w:trPr>
        <w:tc>
          <w:tcPr>
            <w:tcW w:w="7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1440" w:type="dxa"/>
            <w:vAlign w:val="bottom"/>
          </w:tcPr>
          <w:p>
            <w:pPr>
              <w:jc w:val="right"/>
              <w:ind w:right="132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220,814</w:t>
            </w:r>
          </w:p>
        </w:tc>
        <w:tc>
          <w:tcPr>
            <w:tcW w:w="8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408,810</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Available-for-sale securities - taxable</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187,553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177,238</w:t>
            </w: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Available-for-sale securities - tax-exempt</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524,664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477,350</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Loans, net of allowance for loan losses of $75,493 and $75,295 at June 30, 2021 and December 31, 2020, respectively</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4,162,451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4,366,602</w:t>
            </w: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Premises and equipment, net</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67,918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70,509</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Restricted equity securities</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13,329</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15,543</w:t>
            </w: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Interest receivable</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15,816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17,236</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Foreclosed assets held for sale</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2,347</w:t>
            </w: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Bank-owned life insurance</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66,676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67,498</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14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50,495</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56,170</w:t>
            </w:r>
          </w:p>
        </w:tc>
      </w:tr>
      <w:tr>
        <w:trPr>
          <w:trHeight w:val="158"/>
        </w:trPr>
        <w:tc>
          <w:tcPr>
            <w:tcW w:w="712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assets</w:t>
            </w:r>
          </w:p>
        </w:tc>
        <w:tc>
          <w:tcPr>
            <w:tcW w:w="1440" w:type="dxa"/>
            <w:vAlign w:val="bottom"/>
            <w:tcBorders>
              <w:bottom w:val="single" w:sz="8" w:color="auto"/>
            </w:tcBorders>
          </w:tcPr>
          <w:p>
            <w:pPr>
              <w:jc w:val="right"/>
              <w:ind w:right="13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5,311,434</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5,659,303</w:t>
            </w:r>
          </w:p>
        </w:tc>
      </w:tr>
      <w:tr>
        <w:trPr>
          <w:trHeight w:val="135"/>
        </w:trPr>
        <w:tc>
          <w:tcPr>
            <w:tcW w:w="71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Liabilities and stockholders’ equity</w:t>
            </w:r>
          </w:p>
        </w:tc>
        <w:tc>
          <w:tcPr>
            <w:tcW w:w="1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Deposits</w:t>
            </w: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Noninterest-bearing</w:t>
            </w:r>
          </w:p>
        </w:tc>
        <w:tc>
          <w:tcPr>
            <w:tcW w:w="1440" w:type="dxa"/>
            <w:vAlign w:val="bottom"/>
            <w:shd w:val="clear" w:color="auto" w:fill="CCEEFF"/>
          </w:tcPr>
          <w:p>
            <w:pPr>
              <w:jc w:val="right"/>
              <w:ind w:right="13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818,887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718,459</w:t>
            </w: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Savings, NOW and money market</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2,733,693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2,932,799</w:t>
            </w:r>
          </w:p>
        </w:tc>
      </w:tr>
      <w:tr>
        <w:trPr>
          <w:trHeight w:val="153"/>
        </w:trPr>
        <w:tc>
          <w:tcPr>
            <w:tcW w:w="7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Time</w:t>
            </w:r>
          </w:p>
        </w:tc>
        <w:tc>
          <w:tcPr>
            <w:tcW w:w="14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804,047</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1,043,482</w:t>
            </w:r>
          </w:p>
        </w:tc>
      </w:tr>
      <w:tr>
        <w:trPr>
          <w:trHeight w:val="142"/>
        </w:trPr>
        <w:tc>
          <w:tcPr>
            <w:tcW w:w="7120" w:type="dxa"/>
            <w:vAlign w:val="bottom"/>
          </w:tcPr>
          <w:p>
            <w:pPr>
              <w:ind w:left="360"/>
              <w:spacing w:after="0"/>
              <w:rPr>
                <w:sz w:val="20"/>
                <w:szCs w:val="20"/>
                <w:color w:val="auto"/>
              </w:rPr>
            </w:pPr>
            <w:r>
              <w:rPr>
                <w:rFonts w:ascii="Arial" w:cs="Arial" w:eastAsia="Arial" w:hAnsi="Arial"/>
                <w:sz w:val="12"/>
                <w:szCs w:val="12"/>
                <w:color w:val="auto"/>
              </w:rPr>
              <w:t>Total deposits</w:t>
            </w:r>
          </w:p>
        </w:tc>
        <w:tc>
          <w:tcPr>
            <w:tcW w:w="14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4,356,627</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4,694,740</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Federal funds purchased and repurchase agreements</w:t>
            </w:r>
          </w:p>
        </w:tc>
        <w:tc>
          <w:tcPr>
            <w:tcW w:w="14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w:t>
            </w: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Federal Home Loan Bank advances</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283,100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293,100</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borrowings</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w:t>
            </w:r>
          </w:p>
        </w:tc>
      </w:tr>
      <w:tr>
        <w:trPr>
          <w:trHeight w:val="153"/>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Interest payable and other liabilities</w:t>
            </w:r>
          </w:p>
        </w:tc>
        <w:tc>
          <w:tcPr>
            <w:tcW w:w="1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33,531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43,766</w:t>
            </w:r>
          </w:p>
        </w:tc>
      </w:tr>
      <w:tr>
        <w:trPr>
          <w:trHeight w:val="142"/>
        </w:trPr>
        <w:tc>
          <w:tcPr>
            <w:tcW w:w="71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4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4,674,244</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5,034,875</w:t>
            </w:r>
          </w:p>
        </w:tc>
      </w:tr>
      <w:tr>
        <w:trPr>
          <w:trHeight w:val="133"/>
        </w:trPr>
        <w:tc>
          <w:tcPr>
            <w:tcW w:w="7120" w:type="dxa"/>
            <w:vAlign w:val="bottom"/>
          </w:tcPr>
          <w:p>
            <w:pPr>
              <w:spacing w:after="0" w:line="133" w:lineRule="exact"/>
              <w:rPr>
                <w:sz w:val="20"/>
                <w:szCs w:val="20"/>
                <w:color w:val="auto"/>
              </w:rPr>
            </w:pPr>
            <w:r>
              <w:rPr>
                <w:rFonts w:ascii="Arial" w:cs="Arial" w:eastAsia="Arial" w:hAnsi="Arial"/>
                <w:sz w:val="12"/>
                <w:szCs w:val="12"/>
                <w:color w:val="auto"/>
              </w:rPr>
              <w:t>Stockholders’ equity</w:t>
            </w: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Common stock, $0.01 par value:</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w w:val="97"/>
              </w:rPr>
              <w:t>authorized - 200,000,000 shares, issued - 52,532,486 and 52,289,129 shares at June 30, 2021 and December 31, 2020, respectively</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523</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at cost:</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53"/>
        </w:trPr>
        <w:tc>
          <w:tcPr>
            <w:tcW w:w="7120" w:type="dxa"/>
            <w:vAlign w:val="bottom"/>
          </w:tcPr>
          <w:p>
            <w:pPr>
              <w:ind w:left="220"/>
              <w:spacing w:after="0"/>
              <w:rPr>
                <w:sz w:val="20"/>
                <w:szCs w:val="20"/>
                <w:color w:val="auto"/>
              </w:rPr>
            </w:pPr>
            <w:r>
              <w:rPr>
                <w:rFonts w:ascii="Arial" w:cs="Arial" w:eastAsia="Arial" w:hAnsi="Arial"/>
                <w:sz w:val="12"/>
                <w:szCs w:val="12"/>
                <w:color w:val="auto"/>
              </w:rPr>
              <w:t>1,573,806 and 609,613 shares held at June 30, 2021 and December 31, 2020, respectively</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(20,000)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(6,061)</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Additional paid-in capital</w:t>
            </w:r>
          </w:p>
        </w:tc>
        <w:tc>
          <w:tcPr>
            <w:tcW w:w="14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524,637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522,911</w:t>
            </w:r>
          </w:p>
        </w:tc>
      </w:tr>
      <w:tr>
        <w:trPr>
          <w:trHeight w:val="153"/>
        </w:trPr>
        <w:tc>
          <w:tcPr>
            <w:tcW w:w="7120" w:type="dxa"/>
            <w:vAlign w:val="bottom"/>
          </w:tcPr>
          <w:p>
            <w:pPr>
              <w:ind w:left="140"/>
              <w:spacing w:after="0"/>
              <w:rPr>
                <w:sz w:val="20"/>
                <w:szCs w:val="20"/>
                <w:color w:val="auto"/>
              </w:rPr>
            </w:pPr>
            <w:r>
              <w:rPr>
                <w:rFonts w:ascii="Arial" w:cs="Arial" w:eastAsia="Arial" w:hAnsi="Arial"/>
                <w:sz w:val="12"/>
                <w:szCs w:val="12"/>
                <w:color w:val="auto"/>
              </w:rPr>
              <w:t>Retained earnings</w:t>
            </w:r>
          </w:p>
        </w:tc>
        <w:tc>
          <w:tcPr>
            <w:tcW w:w="1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105,299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77,652</w:t>
            </w:r>
          </w:p>
        </w:tc>
      </w:tr>
      <w:tr>
        <w:trPr>
          <w:trHeight w:val="153"/>
        </w:trPr>
        <w:tc>
          <w:tcPr>
            <w:tcW w:w="7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Accumulated other comprehensive income</w:t>
            </w:r>
          </w:p>
        </w:tc>
        <w:tc>
          <w:tcPr>
            <w:tcW w:w="14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26,729</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29,403</w:t>
            </w:r>
          </w:p>
        </w:tc>
      </w:tr>
      <w:tr>
        <w:trPr>
          <w:trHeight w:val="142"/>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Total stockholders’ equity</w:t>
            </w:r>
          </w:p>
        </w:tc>
        <w:tc>
          <w:tcPr>
            <w:tcW w:w="1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637,190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624,428</w:t>
            </w:r>
          </w:p>
        </w:tc>
      </w:tr>
      <w:tr>
        <w:trPr>
          <w:trHeight w:val="158"/>
        </w:trPr>
        <w:tc>
          <w:tcPr>
            <w:tcW w:w="7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2"/>
                <w:szCs w:val="12"/>
                <w:color w:val="auto"/>
              </w:rPr>
              <w:t>Total liabilities and stockholders’ equity</w:t>
            </w:r>
          </w:p>
        </w:tc>
        <w:tc>
          <w:tcPr>
            <w:tcW w:w="1440" w:type="dxa"/>
            <w:vAlign w:val="bottom"/>
            <w:tcBorders>
              <w:bottom w:val="single" w:sz="8" w:color="auto"/>
            </w:tcBorders>
            <w:shd w:val="clear" w:color="auto" w:fill="CCEEFF"/>
          </w:tcPr>
          <w:p>
            <w:pPr>
              <w:jc w:val="right"/>
              <w:ind w:right="13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5,311,434</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5,659,303</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OPERATIONS -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Three Months Ended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gridSpan w:val="3"/>
          </w:tcPr>
          <w:p>
            <w:pPr>
              <w:jc w:val="right"/>
              <w:ind w:right="52"/>
              <w:spacing w:after="0"/>
              <w:rPr>
                <w:sz w:val="20"/>
                <w:szCs w:val="20"/>
                <w:color w:val="auto"/>
              </w:rPr>
            </w:pPr>
            <w:r>
              <w:rPr>
                <w:rFonts w:ascii="Arial" w:cs="Arial" w:eastAsia="Arial" w:hAnsi="Arial"/>
                <w:sz w:val="12"/>
                <w:szCs w:val="12"/>
                <w:b w:val="1"/>
                <w:bCs w:val="1"/>
                <w:color w:val="auto"/>
                <w:w w:val="99"/>
              </w:rPr>
              <w:t>Six Months Ended</w:t>
            </w:r>
          </w:p>
        </w:tc>
        <w:tc>
          <w:tcPr>
            <w:tcW w:w="1040" w:type="dxa"/>
            <w:vAlign w:val="bottom"/>
          </w:tcPr>
          <w:p>
            <w:pPr>
              <w:spacing w:after="0"/>
              <w:rPr>
                <w:sz w:val="13"/>
                <w:szCs w:val="13"/>
                <w:color w:val="auto"/>
              </w:rPr>
            </w:pPr>
          </w:p>
        </w:tc>
      </w:tr>
      <w:tr>
        <w:trPr>
          <w:trHeight w:val="189"/>
        </w:trPr>
        <w:tc>
          <w:tcPr>
            <w:tcW w:w="4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2"/>
                <w:szCs w:val="12"/>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2020</w:t>
            </w:r>
          </w:p>
        </w:tc>
      </w:tr>
      <w:tr>
        <w:trPr>
          <w:trHeight w:val="153"/>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gridSpan w:val="3"/>
          </w:tcPr>
          <w:p>
            <w:pPr>
              <w:jc w:val="right"/>
              <w:ind w:right="60"/>
              <w:spacing w:after="0"/>
              <w:rPr>
                <w:sz w:val="20"/>
                <w:szCs w:val="20"/>
                <w:color w:val="auto"/>
              </w:rPr>
            </w:pPr>
            <w:r>
              <w:rPr>
                <w:rFonts w:ascii="Arial" w:cs="Arial" w:eastAsia="Arial" w:hAnsi="Arial"/>
                <w:sz w:val="11"/>
                <w:szCs w:val="11"/>
                <w:i w:val="1"/>
                <w:iCs w:val="1"/>
                <w:color w:val="auto"/>
                <w:w w:val="91"/>
              </w:rPr>
              <w:t>(Dollars in thousands except per share data)</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Interest Income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Loans, including fees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43,846</w:t>
            </w:r>
          </w:p>
        </w:tc>
        <w:tc>
          <w:tcPr>
            <w:tcW w:w="8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46,323</w:t>
            </w:r>
          </w:p>
        </w:tc>
        <w:tc>
          <w:tcPr>
            <w:tcW w:w="80" w:type="dxa"/>
            <w:vAlign w:val="bottom"/>
          </w:tcPr>
          <w:p>
            <w:pPr>
              <w:spacing w:after="0"/>
              <w:rPr>
                <w:sz w:val="14"/>
                <w:szCs w:val="14"/>
                <w:color w:val="auto"/>
              </w:rPr>
            </w:pPr>
          </w:p>
        </w:tc>
        <w:tc>
          <w:tcPr>
            <w:tcW w:w="1040" w:type="dxa"/>
            <w:vAlign w:val="bottom"/>
          </w:tcPr>
          <w:p>
            <w:pPr>
              <w:jc w:val="right"/>
              <w:ind w:right="90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87,604</w:t>
            </w:r>
          </w:p>
        </w:tc>
        <w:tc>
          <w:tcPr>
            <w:tcW w:w="80" w:type="dxa"/>
            <w:vAlign w:val="bottom"/>
          </w:tcPr>
          <w:p>
            <w:pPr>
              <w:spacing w:after="0"/>
              <w:rPr>
                <w:sz w:val="14"/>
                <w:szCs w:val="14"/>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94,662</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Available-for-sale securities - taxable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1,358</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3,132</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Available-for-sale securities - tax-exempt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3,497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3,260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6,848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6,572</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Deposits with financial institutions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r>
      <w:tr>
        <w:trPr>
          <w:trHeight w:val="171"/>
        </w:trPr>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Dividends on bank stocks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w:t>
            </w:r>
          </w:p>
        </w:tc>
      </w:tr>
      <w:tr>
        <w:trPr>
          <w:trHeight w:val="178"/>
        </w:trPr>
        <w:tc>
          <w:tcPr>
            <w:tcW w:w="4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interest income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48,484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51,254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96,637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105,462</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b w:val="1"/>
                <w:bCs w:val="1"/>
                <w:color w:val="auto"/>
              </w:rPr>
              <w:t>Interest Expense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Deposits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22,677</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Fed funds purchased and repurchase agreements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Federal Home Loan Bank Advances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3,231</w:t>
            </w:r>
          </w:p>
        </w:tc>
      </w:tr>
      <w:tr>
        <w:trPr>
          <w:trHeight w:val="171"/>
        </w:trPr>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borrowings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w:t>
            </w:r>
          </w:p>
        </w:tc>
      </w:tr>
      <w:tr>
        <w:trPr>
          <w:trHeight w:val="178"/>
        </w:trPr>
        <w:tc>
          <w:tcPr>
            <w:tcW w:w="4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interest expense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6,156</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10,097</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13,192</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26,077</w:t>
            </w:r>
          </w:p>
        </w:tc>
      </w:tr>
      <w:tr>
        <w:trPr>
          <w:trHeight w:val="160"/>
        </w:trPr>
        <w:tc>
          <w:tcPr>
            <w:tcW w:w="4720" w:type="dxa"/>
            <w:vAlign w:val="bottom"/>
          </w:tcPr>
          <w:p>
            <w:pPr>
              <w:ind w:left="20"/>
              <w:spacing w:after="0"/>
              <w:rPr>
                <w:sz w:val="20"/>
                <w:szCs w:val="20"/>
                <w:color w:val="auto"/>
              </w:rPr>
            </w:pPr>
            <w:r>
              <w:rPr>
                <w:rFonts w:ascii="Arial" w:cs="Arial" w:eastAsia="Arial" w:hAnsi="Arial"/>
                <w:sz w:val="12"/>
                <w:szCs w:val="12"/>
                <w:b w:val="1"/>
                <w:bCs w:val="1"/>
                <w:color w:val="auto"/>
              </w:rPr>
              <w:t>Net Interest Income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42,328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41,157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83,445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79,385</w:t>
            </w: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Provision for Loan Losses</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3,500</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21,000</w:t>
            </w:r>
          </w:p>
        </w:tc>
        <w:tc>
          <w:tcPr>
            <w:tcW w:w="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11,000</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34,950</w:t>
            </w:r>
          </w:p>
        </w:tc>
      </w:tr>
      <w:tr>
        <w:trPr>
          <w:trHeight w:val="16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Interest Income after Provision for Loan Losses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38,828</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20,157</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72,445</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44,435</w:t>
            </w:r>
          </w:p>
        </w:tc>
      </w:tr>
      <w:tr>
        <w:trPr>
          <w:trHeight w:val="16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Non-Interest Income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Service charges and fees on customer accounts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1,177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647</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2,134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1,155</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Realized gain (loss) on available-for-sale securities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Income from bank-owned life insurance</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2,245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2,661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909</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Swap fees and credit valuation adjustments, net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ATM and credit card interchange income</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1,506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896</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3,834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1,381</w:t>
            </w:r>
          </w:p>
        </w:tc>
      </w:tr>
      <w:tr>
        <w:trPr>
          <w:trHeight w:val="180"/>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non-interest income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1,218</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w:t>
            </w:r>
          </w:p>
        </w:tc>
      </w:tr>
      <w:tr>
        <w:trPr>
          <w:trHeight w:val="169"/>
        </w:trPr>
        <w:tc>
          <w:tcPr>
            <w:tcW w:w="47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non-interest income</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5,825</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2,634</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9,969</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4,729</w:t>
            </w:r>
          </w:p>
        </w:tc>
      </w:tr>
      <w:tr>
        <w:trPr>
          <w:trHeight w:val="169"/>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Non-Interest Expense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Salaries and employee benefits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15,660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14,004</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29,213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28,394</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Occupancy</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4,130</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Professional fees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1,138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1,295</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1,920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1,966</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Deposit insurance premiums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2,055</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Data processing</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720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721</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1,436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1,413</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Advertising</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723</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Software and communication</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1,034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937</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2,099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1,813</w:t>
            </w:r>
          </w:p>
        </w:tc>
      </w:tr>
      <w:tr>
        <w:trPr>
          <w:trHeight w:val="189"/>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Foreclosed assets, net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1,154</w:t>
            </w:r>
          </w:p>
        </w:tc>
      </w:tr>
      <w:tr>
        <w:trPr>
          <w:trHeight w:val="171"/>
        </w:trPr>
        <w:tc>
          <w:tcPr>
            <w:tcW w:w="4720" w:type="dxa"/>
            <w:vAlign w:val="bottom"/>
          </w:tcPr>
          <w:p>
            <w:pPr>
              <w:ind w:left="160"/>
              <w:spacing w:after="0"/>
              <w:rPr>
                <w:sz w:val="20"/>
                <w:szCs w:val="20"/>
                <w:color w:val="auto"/>
              </w:rPr>
            </w:pPr>
            <w:r>
              <w:rPr>
                <w:rFonts w:ascii="Arial" w:cs="Arial" w:eastAsia="Arial" w:hAnsi="Arial"/>
                <w:sz w:val="12"/>
                <w:szCs w:val="12"/>
                <w:color w:val="auto"/>
              </w:rPr>
              <w:t>Goodwill impairment</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7,397</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7,397</w:t>
            </w:r>
          </w:p>
        </w:tc>
      </w:tr>
      <w:tr>
        <w:trPr>
          <w:trHeight w:val="180"/>
        </w:trPr>
        <w:tc>
          <w:tcPr>
            <w:tcW w:w="47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non-interest expense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2,847</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2,214</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5,551</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4,188</w:t>
            </w:r>
          </w:p>
        </w:tc>
      </w:tr>
      <w:tr>
        <w:trPr>
          <w:trHeight w:val="169"/>
        </w:trPr>
        <w:tc>
          <w:tcPr>
            <w:tcW w:w="47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non-interest expense</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25,813</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31,010</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48,631</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53,233</w:t>
            </w:r>
          </w:p>
        </w:tc>
      </w:tr>
      <w:tr>
        <w:trPr>
          <w:trHeight w:val="178"/>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Before Taxes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18,840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(8,219)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33,783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(4,069)</w:t>
            </w:r>
          </w:p>
        </w:tc>
      </w:tr>
      <w:tr>
        <w:trPr>
          <w:trHeight w:val="171"/>
        </w:trPr>
        <w:tc>
          <w:tcPr>
            <w:tcW w:w="47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Income tax expense (benefit)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3,263</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(863)</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6,171</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w:t>
            </w:r>
          </w:p>
        </w:tc>
      </w:tr>
      <w:tr>
        <w:trPr>
          <w:trHeight w:val="19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15,577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(7,356)</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27,612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(3,499)</w:t>
            </w:r>
          </w:p>
        </w:tc>
      </w:tr>
      <w:tr>
        <w:trPr>
          <w:trHeight w:val="19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Basic Earnings (Loss) Per Share</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0.30</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(0.14)</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0.54</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(0.07)</w:t>
            </w:r>
          </w:p>
        </w:tc>
      </w:tr>
      <w:tr>
        <w:trPr>
          <w:trHeight w:val="19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Diluted Earnings (Loss) Per Share</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(0.14)</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COMPREHENSIVE INCOME (LOSS)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0"/>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w w:val="94"/>
              </w:rPr>
              <w:t>Six Months Ended</w:t>
            </w:r>
          </w:p>
        </w:tc>
        <w:tc>
          <w:tcPr>
            <w:tcW w:w="800" w:type="dxa"/>
            <w:vAlign w:val="bottom"/>
          </w:tcPr>
          <w:p>
            <w:pPr>
              <w:spacing w:after="0"/>
              <w:rPr>
                <w:sz w:val="13"/>
                <w:szCs w:val="13"/>
                <w:color w:val="auto"/>
              </w:rPr>
            </w:pPr>
          </w:p>
        </w:tc>
      </w:tr>
      <w:tr>
        <w:trPr>
          <w:trHeight w:val="157"/>
        </w:trPr>
        <w:tc>
          <w:tcPr>
            <w:tcW w:w="59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2"/>
                <w:szCs w:val="12"/>
                <w:b w:val="1"/>
                <w:bCs w:val="1"/>
                <w:color w:val="auto"/>
              </w:rPr>
              <w:t>June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r>
      <w:tr>
        <w:trPr>
          <w:trHeight w:val="142"/>
        </w:trPr>
        <w:tc>
          <w:tcPr>
            <w:tcW w:w="596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w w:val="97"/>
              </w:rPr>
              <w:t>2020</w:t>
            </w:r>
          </w:p>
        </w:tc>
      </w:tr>
      <w:tr>
        <w:trPr>
          <w:trHeight w:val="131"/>
        </w:trPr>
        <w:tc>
          <w:tcPr>
            <w:tcW w:w="5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1"/>
                <w:szCs w:val="11"/>
                <w:i w:val="1"/>
                <w:iCs w:val="1"/>
                <w:color w:val="auto"/>
                <w:w w:val="93"/>
              </w:rPr>
              <w:t>(Dollars in thousands)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5"/>
        </w:trPr>
        <w:tc>
          <w:tcPr>
            <w:tcW w:w="59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76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15,577</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(7,356)</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27,612</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(3,499)</w:t>
            </w:r>
          </w:p>
        </w:tc>
      </w:tr>
      <w:tr>
        <w:trPr>
          <w:trHeight w:val="133"/>
        </w:trPr>
        <w:tc>
          <w:tcPr>
            <w:tcW w:w="5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Other Comprehensive Income (Loss)</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3"/>
        </w:trPr>
        <w:tc>
          <w:tcPr>
            <w:tcW w:w="5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Unrealized gain (loss) on available-for-sale securities</w:t>
            </w:r>
          </w:p>
        </w:tc>
        <w:tc>
          <w:tcPr>
            <w:tcW w:w="7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12,150</w:t>
            </w:r>
          </w:p>
        </w:tc>
      </w:tr>
      <w:tr>
        <w:trPr>
          <w:trHeight w:val="153"/>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Less: income tax expense (benefit)</w:t>
            </w:r>
          </w:p>
        </w:tc>
        <w:tc>
          <w:tcPr>
            <w:tcW w:w="7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1,354</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884</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(867)</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2,968</w:t>
            </w:r>
          </w:p>
        </w:tc>
      </w:tr>
      <w:tr>
        <w:trPr>
          <w:trHeight w:val="142"/>
        </w:trPr>
        <w:tc>
          <w:tcPr>
            <w:tcW w:w="59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Unrealized gain (loss) on available-for-sale securities, net of income tax</w:t>
            </w:r>
          </w:p>
        </w:tc>
        <w:tc>
          <w:tcPr>
            <w:tcW w:w="7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4,173</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9,182</w:t>
            </w:r>
          </w:p>
        </w:tc>
      </w:tr>
      <w:tr>
        <w:trPr>
          <w:trHeight w:val="153"/>
        </w:trPr>
        <w:tc>
          <w:tcPr>
            <w:tcW w:w="5960" w:type="dxa"/>
            <w:vAlign w:val="bottom"/>
          </w:tcPr>
          <w:p>
            <w:pPr>
              <w:ind w:left="120"/>
              <w:spacing w:after="0"/>
              <w:rPr>
                <w:sz w:val="20"/>
                <w:szCs w:val="20"/>
                <w:color w:val="auto"/>
              </w:rPr>
            </w:pPr>
            <w:r>
              <w:rPr>
                <w:rFonts w:ascii="Arial" w:cs="Arial" w:eastAsia="Arial" w:hAnsi="Arial"/>
                <w:sz w:val="12"/>
                <w:szCs w:val="12"/>
                <w:color w:val="auto"/>
              </w:rPr>
              <w:t>Reclassification adjustment for realized gains (losses) included in income</w:t>
            </w:r>
          </w:p>
        </w:tc>
        <w:tc>
          <w:tcPr>
            <w:tcW w:w="7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713</w:t>
            </w:r>
          </w:p>
        </w:tc>
      </w:tr>
      <w:tr>
        <w:trPr>
          <w:trHeight w:val="153"/>
        </w:trPr>
        <w:tc>
          <w:tcPr>
            <w:tcW w:w="5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income tax expense (benefit)</w:t>
            </w:r>
          </w:p>
        </w:tc>
        <w:tc>
          <w:tcPr>
            <w:tcW w:w="7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w:t>
            </w:r>
          </w:p>
        </w:tc>
      </w:tr>
      <w:tr>
        <w:trPr>
          <w:trHeight w:val="142"/>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Less: reclassification adjustment for realized gains (losses) included in income, net of income tax</w:t>
            </w:r>
          </w:p>
        </w:tc>
        <w:tc>
          <w:tcPr>
            <w:tcW w:w="7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w:t>
            </w: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w:t>
            </w:r>
          </w:p>
        </w:tc>
      </w:tr>
      <w:tr>
        <w:trPr>
          <w:trHeight w:val="142"/>
        </w:trPr>
        <w:tc>
          <w:tcPr>
            <w:tcW w:w="5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income (loss)</w:t>
            </w:r>
          </w:p>
        </w:tc>
        <w:tc>
          <w:tcPr>
            <w:tcW w:w="7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4,183</w:t>
            </w:r>
          </w:p>
        </w:tc>
        <w:tc>
          <w:tcPr>
            <w:tcW w:w="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2,492</w:t>
            </w:r>
          </w:p>
        </w:tc>
        <w:tc>
          <w:tcPr>
            <w:tcW w:w="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(2,674)</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8,643</w:t>
            </w:r>
          </w:p>
        </w:tc>
      </w:tr>
      <w:tr>
        <w:trPr>
          <w:trHeight w:val="142"/>
        </w:trPr>
        <w:tc>
          <w:tcPr>
            <w:tcW w:w="5960" w:type="dxa"/>
            <w:vAlign w:val="bottom"/>
          </w:tcPr>
          <w:p>
            <w:pPr>
              <w:spacing w:after="0"/>
              <w:rPr>
                <w:sz w:val="20"/>
                <w:szCs w:val="20"/>
                <w:color w:val="auto"/>
              </w:rPr>
            </w:pPr>
            <w:r>
              <w:rPr>
                <w:rFonts w:ascii="Arial" w:cs="Arial" w:eastAsia="Arial" w:hAnsi="Arial"/>
                <w:sz w:val="12"/>
                <w:szCs w:val="12"/>
                <w:b w:val="1"/>
                <w:bCs w:val="1"/>
                <w:color w:val="auto"/>
              </w:rPr>
              <w:t>Comprehensive Income (Loss)</w:t>
            </w:r>
          </w:p>
        </w:tc>
        <w:tc>
          <w:tcPr>
            <w:tcW w:w="7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19,760</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(4,864)</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24,938</w:t>
            </w: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5,144</w:t>
            </w: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Balance at March 31, 2020</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Net loss</w:t>
      </w:r>
    </w:p>
    <w:p>
      <w:pPr>
        <w:spacing w:after="0" w:line="15" w:lineRule="exact"/>
        <w:rPr>
          <w:sz w:val="20"/>
          <w:szCs w:val="20"/>
          <w:color w:val="auto"/>
        </w:rPr>
      </w:pPr>
    </w:p>
    <w:p>
      <w:pPr>
        <w:ind w:left="200" w:right="40" w:hanging="107"/>
        <w:spacing w:after="0" w:line="234" w:lineRule="auto"/>
        <w:rPr>
          <w:sz w:val="20"/>
          <w:szCs w:val="20"/>
          <w:color w:val="auto"/>
        </w:rPr>
      </w:pPr>
      <w:r>
        <w:rPr>
          <w:rFonts w:ascii="Arial" w:cs="Arial" w:eastAsia="Arial" w:hAnsi="Arial"/>
          <w:sz w:val="12"/>
          <w:szCs w:val="12"/>
          <w:color w:val="auto"/>
        </w:rPr>
        <w:t>Change in unrealized appreciation on available-for-sale securities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2"/>
          <w:szCs w:val="12"/>
          <w:color w:val="auto"/>
        </w:rPr>
        <w:t>Issuance of shares from equity-based awards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Employee receivables from sale of stock</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Balance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Balance at March 31, 2021</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Net income</w:t>
      </w:r>
    </w:p>
    <w:p>
      <w:pPr>
        <w:spacing w:after="0" w:line="15" w:lineRule="exact"/>
        <w:rPr>
          <w:sz w:val="20"/>
          <w:szCs w:val="20"/>
          <w:color w:val="auto"/>
        </w:rPr>
      </w:pPr>
    </w:p>
    <w:p>
      <w:pPr>
        <w:ind w:left="220" w:hanging="107"/>
        <w:spacing w:after="0" w:line="234" w:lineRule="auto"/>
        <w:rPr>
          <w:sz w:val="20"/>
          <w:szCs w:val="20"/>
          <w:color w:val="auto"/>
        </w:rPr>
      </w:pPr>
      <w:r>
        <w:rPr>
          <w:rFonts w:ascii="Arial" w:cs="Arial" w:eastAsia="Arial" w:hAnsi="Arial"/>
          <w:sz w:val="12"/>
          <w:szCs w:val="12"/>
          <w:color w:val="auto"/>
        </w:rPr>
        <w:t>Change in unrealized appreciation on available-for-sale securities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Issuance of shares from equity-based awards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Open market common share repurchases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Stock-based compensation</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Balance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Balance at December 31, 2019</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Net loss</w:t>
      </w:r>
    </w:p>
    <w:p>
      <w:pPr>
        <w:spacing w:after="0" w:line="15" w:lineRule="exact"/>
        <w:rPr>
          <w:sz w:val="20"/>
          <w:szCs w:val="20"/>
          <w:color w:val="auto"/>
        </w:rPr>
      </w:pPr>
    </w:p>
    <w:p>
      <w:pPr>
        <w:ind w:left="220" w:hanging="107"/>
        <w:spacing w:after="0" w:line="234" w:lineRule="auto"/>
        <w:rPr>
          <w:sz w:val="20"/>
          <w:szCs w:val="20"/>
          <w:color w:val="auto"/>
        </w:rPr>
      </w:pPr>
      <w:r>
        <w:rPr>
          <w:rFonts w:ascii="Arial" w:cs="Arial" w:eastAsia="Arial" w:hAnsi="Arial"/>
          <w:sz w:val="12"/>
          <w:szCs w:val="12"/>
          <w:color w:val="auto"/>
        </w:rPr>
        <w:t>Change in unrealized appreciation on available-for-sale securities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Issuance of shares from equity-based awards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Employee receivables from sale of stock</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Stock-based compensation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Balance at June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center"/>
        <w:ind w:right="2840"/>
        <w:spacing w:after="0"/>
        <w:rPr>
          <w:sz w:val="20"/>
          <w:szCs w:val="20"/>
          <w:color w:val="auto"/>
        </w:rPr>
      </w:pPr>
      <w:r>
        <w:rPr>
          <w:rFonts w:ascii="Arial" w:cs="Arial" w:eastAsia="Arial" w:hAnsi="Arial"/>
          <w:sz w:val="14"/>
          <w:szCs w:val="14"/>
          <w:color w:val="auto"/>
        </w:rPr>
        <w:t>CROSSFIRST BANKSHARES, INC.</w:t>
      </w:r>
    </w:p>
    <w:p>
      <w:pPr>
        <w:spacing w:after="0" w:line="21" w:lineRule="exact"/>
        <w:rPr>
          <w:sz w:val="20"/>
          <w:szCs w:val="20"/>
          <w:color w:val="auto"/>
        </w:rPr>
      </w:pPr>
    </w:p>
    <w:p>
      <w:pPr>
        <w:jc w:val="center"/>
        <w:ind w:right="2840"/>
        <w:spacing w:after="0"/>
        <w:rPr>
          <w:sz w:val="20"/>
          <w:szCs w:val="20"/>
          <w:color w:val="auto"/>
        </w:rPr>
      </w:pPr>
      <w:r>
        <w:rPr>
          <w:rFonts w:ascii="Arial" w:cs="Arial" w:eastAsia="Arial" w:hAnsi="Arial"/>
          <w:sz w:val="14"/>
          <w:szCs w:val="14"/>
          <w:color w:val="auto"/>
        </w:rPr>
        <w:t>CONSOLIDATED STATEMENTS OF STOCKHOLDERS’ EQUITY -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1"/>
              </w:rPr>
              <w:t>Additional Paid-in</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Accumulated Other</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8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Retained Earnings</w:t>
            </w: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Treasury Stock</w:t>
            </w:r>
          </w:p>
        </w:tc>
        <w:tc>
          <w:tcPr>
            <w:tcW w:w="240" w:type="dxa"/>
            <w:vAlign w:val="bottom"/>
          </w:tcPr>
          <w:p>
            <w:pPr>
              <w:spacing w:after="0"/>
              <w:rPr>
                <w:sz w:val="7"/>
                <w:szCs w:val="7"/>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18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Comprehensive Income</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ind w:left="140"/>
              <w:spacing w:after="0"/>
              <w:rPr>
                <w:sz w:val="20"/>
                <w:szCs w:val="20"/>
                <w:color w:val="auto"/>
              </w:rPr>
            </w:pPr>
            <w:r>
              <w:rPr>
                <w:rFonts w:ascii="Arial" w:cs="Arial" w:eastAsia="Arial" w:hAnsi="Arial"/>
                <w:sz w:val="11"/>
                <w:szCs w:val="11"/>
                <w:i w:val="1"/>
                <w:iCs w:val="1"/>
                <w:color w:val="auto"/>
                <w:w w:val="97"/>
              </w:rPr>
              <w:t>(Dollars in thousands)</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00" w:type="dxa"/>
            <w:vAlign w:val="bottom"/>
          </w:tcPr>
          <w:p>
            <w:pPr>
              <w:jc w:val="right"/>
              <w:ind w:right="1"/>
              <w:spacing w:after="0"/>
              <w:rPr>
                <w:sz w:val="20"/>
                <w:szCs w:val="20"/>
                <w:color w:val="auto"/>
              </w:rPr>
            </w:pPr>
            <w:r>
              <w:rPr>
                <w:rFonts w:ascii="Arial" w:cs="Arial" w:eastAsia="Arial" w:hAnsi="Arial"/>
                <w:sz w:val="12"/>
                <w:szCs w:val="12"/>
                <w:color w:val="auto"/>
              </w:rPr>
              <w:t>52,098,062</w:t>
            </w:r>
          </w:p>
        </w:tc>
        <w:tc>
          <w:tcPr>
            <w:tcW w:w="8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521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520,134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68,689</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22,602</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4"/>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611,946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(7,356)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2,492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100" w:type="dxa"/>
            <w:vAlign w:val="bottom"/>
          </w:tcPr>
          <w:p>
            <w:pPr>
              <w:jc w:val="right"/>
              <w:ind w:right="1"/>
              <w:spacing w:after="0"/>
              <w:rPr>
                <w:sz w:val="20"/>
                <w:szCs w:val="20"/>
                <w:color w:val="auto"/>
              </w:rPr>
            </w:pPr>
            <w:r>
              <w:rPr>
                <w:rFonts w:ascii="Arial" w:cs="Arial" w:eastAsia="Arial" w:hAnsi="Arial"/>
                <w:sz w:val="12"/>
                <w:szCs w:val="12"/>
                <w:color w:val="auto"/>
              </w:rPr>
              <w:t>69,511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1,082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52,167,573</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521,133</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61,344</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25,094</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608,092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1"/>
              </w:rPr>
              <w:t>Additional Paid-in</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Accumulated Other</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8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Retained Earnings</w:t>
            </w: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Treasury Stock</w:t>
            </w:r>
          </w:p>
        </w:tc>
        <w:tc>
          <w:tcPr>
            <w:tcW w:w="240" w:type="dxa"/>
            <w:vAlign w:val="bottom"/>
          </w:tcPr>
          <w:p>
            <w:pPr>
              <w:spacing w:after="0"/>
              <w:rPr>
                <w:sz w:val="7"/>
                <w:szCs w:val="7"/>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1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Comprehensive Income</w:t>
            </w: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ind w:left="120"/>
              <w:spacing w:after="0"/>
              <w:rPr>
                <w:sz w:val="20"/>
                <w:szCs w:val="20"/>
                <w:color w:val="auto"/>
              </w:rPr>
            </w:pPr>
            <w:r>
              <w:rPr>
                <w:rFonts w:ascii="Arial" w:cs="Arial" w:eastAsia="Arial" w:hAnsi="Arial"/>
                <w:sz w:val="11"/>
                <w:szCs w:val="11"/>
                <w:i w:val="1"/>
                <w:iCs w:val="1"/>
                <w:color w:val="auto"/>
                <w:w w:val="99"/>
              </w:rPr>
              <w:t>(Dollars in thousands)</w:t>
            </w:r>
          </w:p>
        </w:tc>
        <w:tc>
          <w:tcPr>
            <w:tcW w:w="1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00" w:type="dxa"/>
            <w:vAlign w:val="bottom"/>
          </w:tcPr>
          <w:p>
            <w:pPr>
              <w:jc w:val="right"/>
              <w:ind w:right="1"/>
              <w:spacing w:after="0"/>
              <w:rPr>
                <w:sz w:val="20"/>
                <w:szCs w:val="20"/>
                <w:color w:val="auto"/>
              </w:rPr>
            </w:pPr>
            <w:r>
              <w:rPr>
                <w:rFonts w:ascii="Arial" w:cs="Arial" w:eastAsia="Arial" w:hAnsi="Arial"/>
                <w:sz w:val="12"/>
                <w:szCs w:val="12"/>
                <w:color w:val="auto"/>
              </w:rPr>
              <w:t>51,678,669</w:t>
            </w:r>
          </w:p>
        </w:tc>
        <w:tc>
          <w:tcPr>
            <w:tcW w:w="8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523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523,156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89,722</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22,546</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(7,113)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jc w:val="right"/>
              <w:ind w:right="124"/>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628,834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15,577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15,577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4,183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4,183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100" w:type="dxa"/>
            <w:vAlign w:val="bottom"/>
          </w:tcPr>
          <w:p>
            <w:pPr>
              <w:jc w:val="right"/>
              <w:ind w:right="1"/>
              <w:spacing w:after="0"/>
              <w:rPr>
                <w:sz w:val="20"/>
                <w:szCs w:val="20"/>
                <w:color w:val="auto"/>
              </w:rPr>
            </w:pPr>
            <w:r>
              <w:rPr>
                <w:rFonts w:ascii="Arial" w:cs="Arial" w:eastAsia="Arial" w:hAnsi="Arial"/>
                <w:sz w:val="12"/>
                <w:szCs w:val="12"/>
                <w:color w:val="auto"/>
              </w:rPr>
              <w:t>155,707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00" w:type="dxa"/>
            <w:vAlign w:val="bottom"/>
          </w:tcPr>
          <w:p>
            <w:pPr>
              <w:jc w:val="right"/>
              <w:spacing w:after="0"/>
              <w:rPr>
                <w:sz w:val="20"/>
                <w:szCs w:val="20"/>
                <w:color w:val="auto"/>
              </w:rPr>
            </w:pPr>
            <w:r>
              <w:rPr>
                <w:rFonts w:ascii="Arial" w:cs="Arial" w:eastAsia="Arial" w:hAnsi="Arial"/>
                <w:sz w:val="12"/>
                <w:szCs w:val="12"/>
                <w:color w:val="auto"/>
              </w:rPr>
              <w:t>(875,696)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(12,887)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(12,887)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1,575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50,958,680</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524,637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105,299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26,729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(20,000)</w:t>
            </w: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637,190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Additional Paid-in</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Accumulated Other</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18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Shares</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Retained Earnings</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Comprehensive Income</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Treasury Stock</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140"/>
              <w:spacing w:after="0"/>
              <w:rPr>
                <w:sz w:val="20"/>
                <w:szCs w:val="20"/>
                <w:color w:val="auto"/>
              </w:rPr>
            </w:pPr>
            <w:r>
              <w:rPr>
                <w:rFonts w:ascii="Arial" w:cs="Arial" w:eastAsia="Arial" w:hAnsi="Arial"/>
                <w:sz w:val="11"/>
                <w:szCs w:val="11"/>
                <w:i w:val="1"/>
                <w:iCs w:val="1"/>
                <w:color w:val="auto"/>
                <w:w w:val="97"/>
              </w:rPr>
              <w:t>(Dollars in thousands)</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00" w:type="dxa"/>
            <w:vAlign w:val="bottom"/>
          </w:tcPr>
          <w:p>
            <w:pPr>
              <w:jc w:val="right"/>
              <w:ind w:right="1"/>
              <w:spacing w:after="0"/>
              <w:rPr>
                <w:sz w:val="20"/>
                <w:szCs w:val="20"/>
                <w:color w:val="auto"/>
              </w:rPr>
            </w:pPr>
            <w:r>
              <w:rPr>
                <w:rFonts w:ascii="Arial" w:cs="Arial" w:eastAsia="Arial" w:hAnsi="Arial"/>
                <w:sz w:val="12"/>
                <w:szCs w:val="12"/>
                <w:color w:val="auto"/>
              </w:rPr>
              <w:t>51,969,203</w:t>
            </w:r>
          </w:p>
        </w:tc>
        <w:tc>
          <w:tcPr>
            <w:tcW w:w="80" w:type="dxa"/>
            <w:vAlign w:val="bottom"/>
          </w:tcPr>
          <w:p>
            <w:pPr>
              <w:spacing w:after="0"/>
              <w:rPr>
                <w:sz w:val="15"/>
                <w:szCs w:val="15"/>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520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519,870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64,803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16,451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4"/>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601,644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(3,499)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8,643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8,643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100" w:type="dxa"/>
            <w:vAlign w:val="bottom"/>
          </w:tcPr>
          <w:p>
            <w:pPr>
              <w:jc w:val="right"/>
              <w:ind w:right="1"/>
              <w:spacing w:after="0"/>
              <w:rPr>
                <w:sz w:val="20"/>
                <w:szCs w:val="20"/>
                <w:color w:val="auto"/>
              </w:rPr>
            </w:pPr>
            <w:r>
              <w:rPr>
                <w:rFonts w:ascii="Arial" w:cs="Arial" w:eastAsia="Arial" w:hAnsi="Arial"/>
                <w:sz w:val="12"/>
                <w:szCs w:val="12"/>
                <w:color w:val="auto"/>
              </w:rPr>
              <w:t>198,370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2,016</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2"/>
                <w:szCs w:val="12"/>
                <w:color w:val="auto"/>
              </w:rPr>
              <w:t>—</w:t>
            </w:r>
          </w:p>
        </w:tc>
        <w:tc>
          <w:tcPr>
            <w:tcW w:w="80" w:type="dxa"/>
            <w:vAlign w:val="bottom"/>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00" w:type="dxa"/>
            <w:vAlign w:val="bottom"/>
          </w:tcPr>
          <w:p>
            <w:pPr>
              <w:jc w:val="right"/>
              <w:ind w:right="1"/>
              <w:spacing w:after="0"/>
              <w:rPr>
                <w:sz w:val="20"/>
                <w:szCs w:val="20"/>
                <w:color w:val="auto"/>
              </w:rPr>
            </w:pPr>
            <w:r>
              <w:rPr>
                <w:rFonts w:ascii="Arial" w:cs="Arial" w:eastAsia="Arial" w:hAnsi="Arial"/>
                <w:sz w:val="12"/>
                <w:szCs w:val="12"/>
                <w:color w:val="auto"/>
              </w:rPr>
              <w:t>52,167,573</w:t>
            </w:r>
          </w:p>
        </w:tc>
        <w:tc>
          <w:tcPr>
            <w:tcW w:w="8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521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521,133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61,344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25,094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3"/>
          </w:tcPr>
          <w:p>
            <w:pPr>
              <w:ind w:left="7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4"/>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608,092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-3611245</wp:posOffset>
            </wp:positionV>
            <wp:extent cx="7178040" cy="97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-3416935</wp:posOffset>
            </wp:positionV>
            <wp:extent cx="71780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-3148330</wp:posOffset>
            </wp:positionV>
            <wp:extent cx="717804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-2954020</wp:posOffset>
            </wp:positionV>
            <wp:extent cx="717804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-2313940</wp:posOffset>
            </wp:positionV>
            <wp:extent cx="7166610"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-2119630</wp:posOffset>
            </wp:positionV>
            <wp:extent cx="71666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17145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-1851025</wp:posOffset>
            </wp:positionV>
            <wp:extent cx="7166610"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-1656715</wp:posOffset>
            </wp:positionV>
            <wp:extent cx="7166610" cy="131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1314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-885190</wp:posOffset>
            </wp:positionV>
            <wp:extent cx="71780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-656590</wp:posOffset>
            </wp:positionV>
            <wp:extent cx="71780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-370840</wp:posOffset>
            </wp:positionV>
            <wp:extent cx="717804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-142240</wp:posOffset>
            </wp:positionV>
            <wp:extent cx="7178040" cy="131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314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840"/>
        <w:spacing w:after="0"/>
        <w:rPr>
          <w:sz w:val="20"/>
          <w:szCs w:val="20"/>
          <w:color w:val="auto"/>
        </w:rPr>
      </w:pPr>
      <w:r>
        <w:rPr>
          <w:rFonts w:ascii="Arial" w:cs="Arial" w:eastAsia="Arial" w:hAnsi="Arial"/>
          <w:sz w:val="12"/>
          <w:szCs w:val="12"/>
          <w:color w:val="auto"/>
        </w:rPr>
        <w:t>See Notes to Consolidated Financial Statements (unaudited)</w:t>
      </w:r>
    </w:p>
    <w:p>
      <w:pPr>
        <w:spacing w:after="0" w:line="15" w:lineRule="exact"/>
        <w:rPr>
          <w:sz w:val="20"/>
          <w:szCs w:val="20"/>
          <w:color w:val="auto"/>
        </w:rPr>
      </w:pPr>
    </w:p>
    <w:p>
      <w:pPr>
        <w:jc w:val="center"/>
        <w:ind w:right="28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-1807845</wp:posOffset>
            </wp:positionH>
            <wp:positionV relativeFrom="paragraph">
              <wp:posOffset>36830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780" w:space="40"/>
            <w:col w:w="8480"/>
          </w:cols>
          <w:pgMar w:left="300" w:top="131" w:right="29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20" w:type="dxa"/>
            <w:vAlign w:val="bottom"/>
          </w:tcPr>
          <w:p>
            <w:pPr>
              <w:spacing w:after="0"/>
              <w:rPr>
                <w:sz w:val="12"/>
                <w:szCs w:val="12"/>
                <w:color w:val="auto"/>
              </w:rPr>
            </w:pPr>
          </w:p>
        </w:tc>
        <w:tc>
          <w:tcPr>
            <w:tcW w:w="196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Additional Paid-in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Accumulated Other</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1"/>
                <w:szCs w:val="11"/>
                <w:b w:val="1"/>
                <w:bCs w:val="1"/>
                <w:color w:val="auto"/>
              </w:rPr>
              <w:t>Shares</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b w:val="1"/>
                <w:bCs w:val="1"/>
                <w:color w:val="auto"/>
              </w:rPr>
              <w:t>Amount</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Retained Earnings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8"/>
              </w:rPr>
              <w:t>Comprehensive Income</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Treasury Stock</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1"/>
                <w:szCs w:val="11"/>
                <w:i w:val="1"/>
                <w:iCs w:val="1"/>
                <w:color w:val="auto"/>
              </w:rPr>
              <w:t>(Dollars in thousands)</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51,679,516</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522,911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77,652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29,403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(6,061)</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624,428</w:t>
            </w:r>
          </w:p>
        </w:tc>
        <w:tc>
          <w:tcPr>
            <w:tcW w:w="0" w:type="dxa"/>
            <w:vAlign w:val="bottom"/>
          </w:tcPr>
          <w:p>
            <w:pPr>
              <w:spacing w:after="0"/>
              <w:rPr>
                <w:sz w:val="1"/>
                <w:szCs w:val="1"/>
                <w:color w:val="auto"/>
              </w:rPr>
            </w:pPr>
          </w:p>
        </w:tc>
      </w:tr>
      <w:tr>
        <w:trPr>
          <w:trHeight w:val="180"/>
        </w:trPr>
        <w:tc>
          <w:tcPr>
            <w:tcW w:w="28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27,612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27,612</w:t>
            </w:r>
          </w:p>
        </w:tc>
        <w:tc>
          <w:tcPr>
            <w:tcW w:w="0" w:type="dxa"/>
            <w:vAlign w:val="bottom"/>
          </w:tcPr>
          <w:p>
            <w:pPr>
              <w:spacing w:after="0"/>
              <w:rPr>
                <w:sz w:val="1"/>
                <w:szCs w:val="1"/>
                <w:color w:val="auto"/>
              </w:rPr>
            </w:pPr>
          </w:p>
        </w:tc>
      </w:tr>
      <w:tr>
        <w:trPr>
          <w:trHeight w:val="117"/>
        </w:trPr>
        <w:tc>
          <w:tcPr>
            <w:tcW w:w="282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91"/>
              </w:rPr>
              <w:t>Change in unrealized depreciation on available-for-sale</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(2,674)</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(2,674)</w:t>
            </w: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securities</w:t>
            </w:r>
          </w:p>
        </w:tc>
        <w:tc>
          <w:tcPr>
            <w:tcW w:w="1160" w:type="dxa"/>
            <w:vAlign w:val="bottom"/>
            <w:gridSpan w:val="2"/>
            <w:vMerge w:val="continue"/>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20"/>
              <w:spacing w:after="0"/>
              <w:rPr>
                <w:sz w:val="20"/>
                <w:szCs w:val="20"/>
                <w:color w:val="auto"/>
              </w:rPr>
            </w:pPr>
            <w:r>
              <w:rPr>
                <w:rFonts w:ascii="Arial" w:cs="Arial" w:eastAsia="Arial" w:hAnsi="Arial"/>
                <w:sz w:val="12"/>
                <w:szCs w:val="12"/>
                <w:color w:val="auto"/>
              </w:rPr>
              <w:t>Issuance of shares from equity-based awards</w:t>
            </w:r>
          </w:p>
        </w:tc>
        <w:tc>
          <w:tcPr>
            <w:tcW w:w="1080" w:type="dxa"/>
            <w:vAlign w:val="bottom"/>
          </w:tcPr>
          <w:p>
            <w:pPr>
              <w:jc w:val="right"/>
              <w:spacing w:after="0"/>
              <w:rPr>
                <w:sz w:val="20"/>
                <w:szCs w:val="20"/>
                <w:color w:val="auto"/>
              </w:rPr>
            </w:pPr>
            <w:r>
              <w:rPr>
                <w:rFonts w:ascii="Arial" w:cs="Arial" w:eastAsia="Arial" w:hAnsi="Arial"/>
                <w:sz w:val="12"/>
                <w:szCs w:val="12"/>
                <w:color w:val="auto"/>
              </w:rPr>
              <w:t>243,357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Open market common share repurchases</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(964,193)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(13,939)</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(13,939)</w:t>
            </w:r>
          </w:p>
        </w:tc>
        <w:tc>
          <w:tcPr>
            <w:tcW w:w="0" w:type="dxa"/>
            <w:vAlign w:val="bottom"/>
          </w:tcPr>
          <w:p>
            <w:pPr>
              <w:spacing w:after="0"/>
              <w:rPr>
                <w:sz w:val="1"/>
                <w:szCs w:val="1"/>
                <w:color w:val="auto"/>
              </w:rPr>
            </w:pPr>
          </w:p>
        </w:tc>
      </w:tr>
      <w:tr>
        <w:trPr>
          <w:trHeight w:val="180"/>
        </w:trPr>
        <w:tc>
          <w:tcPr>
            <w:tcW w:w="2820" w:type="dxa"/>
            <w:vAlign w:val="bottom"/>
          </w:tcPr>
          <w:p>
            <w:pPr>
              <w:ind w:left="120"/>
              <w:spacing w:after="0"/>
              <w:rPr>
                <w:sz w:val="20"/>
                <w:szCs w:val="20"/>
                <w:color w:val="auto"/>
              </w:rPr>
            </w:pPr>
            <w:r>
              <w:rPr>
                <w:rFonts w:ascii="Arial" w:cs="Arial" w:eastAsia="Arial" w:hAnsi="Arial"/>
                <w:sz w:val="12"/>
                <w:szCs w:val="12"/>
                <w:color w:val="auto"/>
              </w:rPr>
              <w:t>Employee receivables from sale of stock</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2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2,224</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50,958,680</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2"/>
                <w:szCs w:val="12"/>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524,637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105,299</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26,729</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(20,000)</w:t>
            </w: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637,190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CROSSFIRST BANKSHARES,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CASH FLOWS -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Six Months Ended</w:t>
            </w:r>
          </w:p>
        </w:tc>
        <w:tc>
          <w:tcPr>
            <w:tcW w:w="1340" w:type="dxa"/>
            <w:vAlign w:val="bottom"/>
          </w:tcPr>
          <w:p>
            <w:pPr>
              <w:spacing w:after="0"/>
              <w:rPr>
                <w:sz w:val="13"/>
                <w:szCs w:val="13"/>
                <w:color w:val="auto"/>
              </w:rPr>
            </w:pPr>
          </w:p>
        </w:tc>
      </w:tr>
      <w:tr>
        <w:trPr>
          <w:trHeight w:val="157"/>
        </w:trPr>
        <w:tc>
          <w:tcPr>
            <w:tcW w:w="724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7"/>
              </w:rPr>
              <w:t>June 30,</w:t>
            </w:r>
          </w:p>
        </w:tc>
        <w:tc>
          <w:tcPr>
            <w:tcW w:w="1340" w:type="dxa"/>
            <w:vAlign w:val="bottom"/>
            <w:tcBorders>
              <w:bottom w:val="single" w:sz="8" w:color="auto"/>
            </w:tcBorders>
          </w:tcPr>
          <w:p>
            <w:pPr>
              <w:spacing w:after="0"/>
              <w:rPr>
                <w:sz w:val="13"/>
                <w:szCs w:val="13"/>
                <w:color w:val="auto"/>
              </w:rPr>
            </w:pPr>
          </w:p>
        </w:tc>
      </w:tr>
      <w:tr>
        <w:trPr>
          <w:trHeight w:val="142"/>
        </w:trPr>
        <w:tc>
          <w:tcPr>
            <w:tcW w:w="7240" w:type="dxa"/>
            <w:vAlign w:val="bottom"/>
          </w:tcPr>
          <w:p>
            <w:pPr>
              <w:spacing w:after="0"/>
              <w:rPr>
                <w:sz w:val="12"/>
                <w:szCs w:val="12"/>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20"/>
              <w:spacing w:after="0"/>
              <w:rPr>
                <w:sz w:val="20"/>
                <w:szCs w:val="20"/>
                <w:color w:val="auto"/>
              </w:rPr>
            </w:pPr>
            <w:r>
              <w:rPr>
                <w:rFonts w:ascii="Arial" w:cs="Arial" w:eastAsia="Arial" w:hAnsi="Arial"/>
                <w:sz w:val="12"/>
                <w:szCs w:val="12"/>
                <w:b w:val="1"/>
                <w:bCs w:val="1"/>
                <w:color w:val="auto"/>
              </w:rPr>
              <w:t>2020</w:t>
            </w:r>
          </w:p>
        </w:tc>
      </w:tr>
      <w:tr>
        <w:trPr>
          <w:trHeight w:val="131"/>
        </w:trPr>
        <w:tc>
          <w:tcPr>
            <w:tcW w:w="7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gridSpan w:val="3"/>
          </w:tcPr>
          <w:p>
            <w:pPr>
              <w:jc w:val="center"/>
              <w:spacing w:after="0"/>
              <w:rPr>
                <w:sz w:val="20"/>
                <w:szCs w:val="20"/>
                <w:color w:val="auto"/>
              </w:rPr>
            </w:pPr>
            <w:r>
              <w:rPr>
                <w:rFonts w:ascii="Arial" w:cs="Arial" w:eastAsia="Arial" w:hAnsi="Arial"/>
                <w:sz w:val="11"/>
                <w:szCs w:val="11"/>
                <w:i w:val="1"/>
                <w:iCs w:val="1"/>
                <w:color w:val="auto"/>
                <w:w w:val="91"/>
              </w:rPr>
              <w:t>(Dollars in thousands)</w:t>
            </w:r>
          </w:p>
        </w:tc>
        <w:tc>
          <w:tcPr>
            <w:tcW w:w="1340" w:type="dxa"/>
            <w:vAlign w:val="bottom"/>
          </w:tcPr>
          <w:p>
            <w:pPr>
              <w:spacing w:after="0"/>
              <w:rPr>
                <w:sz w:val="11"/>
                <w:szCs w:val="11"/>
                <w:color w:val="auto"/>
              </w:rPr>
            </w:pPr>
          </w:p>
        </w:tc>
      </w:tr>
      <w:tr>
        <w:trPr>
          <w:trHeight w:val="155"/>
        </w:trPr>
        <w:tc>
          <w:tcPr>
            <w:tcW w:w="7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Net income (loss)</w:t>
            </w:r>
          </w:p>
        </w:tc>
        <w:tc>
          <w:tcPr>
            <w:tcW w:w="1300" w:type="dxa"/>
            <w:vAlign w:val="bottom"/>
          </w:tcPr>
          <w:p>
            <w:pPr>
              <w:jc w:val="right"/>
              <w:ind w:right="119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27,612</w:t>
            </w:r>
          </w:p>
        </w:tc>
        <w:tc>
          <w:tcPr>
            <w:tcW w:w="8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(3,499)</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Items not requiring (providing) cash</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3"/>
        </w:trPr>
        <w:tc>
          <w:tcPr>
            <w:tcW w:w="7240" w:type="dxa"/>
            <w:vAlign w:val="bottom"/>
          </w:tcPr>
          <w:p>
            <w:pPr>
              <w:ind w:left="360"/>
              <w:spacing w:after="0"/>
              <w:rPr>
                <w:sz w:val="20"/>
                <w:szCs w:val="20"/>
                <w:color w:val="auto"/>
              </w:rPr>
            </w:pPr>
            <w:r>
              <w:rPr>
                <w:rFonts w:ascii="Arial" w:cs="Arial" w:eastAsia="Arial" w:hAnsi="Arial"/>
                <w:sz w:val="12"/>
                <w:szCs w:val="12"/>
                <w:color w:val="auto"/>
              </w:rPr>
              <w:t>Depreciation and amortization</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2,715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2,587</w:t>
            </w:r>
          </w:p>
        </w:tc>
      </w:tr>
      <w:tr>
        <w:trPr>
          <w:trHeight w:val="153"/>
        </w:trPr>
        <w:tc>
          <w:tcPr>
            <w:tcW w:w="7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Provision for loan losses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34,950</w:t>
            </w:r>
          </w:p>
        </w:tc>
      </w:tr>
      <w:tr>
        <w:trPr>
          <w:trHeight w:val="153"/>
        </w:trPr>
        <w:tc>
          <w:tcPr>
            <w:tcW w:w="7240" w:type="dxa"/>
            <w:vAlign w:val="bottom"/>
          </w:tcPr>
          <w:p>
            <w:pPr>
              <w:ind w:left="360"/>
              <w:spacing w:after="0"/>
              <w:rPr>
                <w:sz w:val="20"/>
                <w:szCs w:val="20"/>
                <w:color w:val="auto"/>
              </w:rPr>
            </w:pPr>
            <w:r>
              <w:rPr>
                <w:rFonts w:ascii="Arial" w:cs="Arial" w:eastAsia="Arial" w:hAnsi="Arial"/>
                <w:sz w:val="12"/>
                <w:szCs w:val="12"/>
                <w:color w:val="auto"/>
              </w:rPr>
              <w:t>Accretion of discounts and amortization of premiums on securities</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2,624</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3,063</w:t>
            </w:r>
          </w:p>
        </w:tc>
      </w:tr>
      <w:tr>
        <w:trPr>
          <w:trHeight w:val="153"/>
        </w:trPr>
        <w:tc>
          <w:tcPr>
            <w:tcW w:w="7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Equity based compensation</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2,016</w:t>
            </w:r>
          </w:p>
        </w:tc>
      </w:tr>
      <w:tr>
        <w:trPr>
          <w:trHeight w:val="153"/>
        </w:trPr>
        <w:tc>
          <w:tcPr>
            <w:tcW w:w="7240" w:type="dxa"/>
            <w:vAlign w:val="bottom"/>
          </w:tcPr>
          <w:p>
            <w:pPr>
              <w:ind w:left="360"/>
              <w:spacing w:after="0"/>
              <w:rPr>
                <w:sz w:val="20"/>
                <w:szCs w:val="20"/>
                <w:color w:val="auto"/>
              </w:rPr>
            </w:pPr>
            <w:r>
              <w:rPr>
                <w:rFonts w:ascii="Arial" w:cs="Arial" w:eastAsia="Arial" w:hAnsi="Arial"/>
                <w:sz w:val="12"/>
                <w:szCs w:val="12"/>
                <w:color w:val="auto"/>
              </w:rPr>
              <w:t>Foreclosed asset impairment</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630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1,117</w:t>
            </w:r>
          </w:p>
        </w:tc>
      </w:tr>
      <w:tr>
        <w:trPr>
          <w:trHeight w:val="153"/>
        </w:trPr>
        <w:tc>
          <w:tcPr>
            <w:tcW w:w="7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Deferred income taxes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1,235</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(3,853)</w:t>
            </w:r>
          </w:p>
        </w:tc>
      </w:tr>
      <w:tr>
        <w:trPr>
          <w:trHeight w:val="153"/>
        </w:trPr>
        <w:tc>
          <w:tcPr>
            <w:tcW w:w="7240" w:type="dxa"/>
            <w:vAlign w:val="bottom"/>
          </w:tcPr>
          <w:p>
            <w:pPr>
              <w:ind w:left="360"/>
              <w:spacing w:after="0"/>
              <w:rPr>
                <w:sz w:val="20"/>
                <w:szCs w:val="20"/>
                <w:color w:val="auto"/>
              </w:rPr>
            </w:pPr>
            <w:r>
              <w:rPr>
                <w:rFonts w:ascii="Arial" w:cs="Arial" w:eastAsia="Arial" w:hAnsi="Arial"/>
                <w:sz w:val="12"/>
                <w:szCs w:val="12"/>
                <w:color w:val="auto"/>
              </w:rPr>
              <w:t>Net increase in bank owned life insurance</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(2,661)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(909)</w:t>
            </w:r>
          </w:p>
        </w:tc>
      </w:tr>
      <w:tr>
        <w:trPr>
          <w:trHeight w:val="153"/>
        </w:trPr>
        <w:tc>
          <w:tcPr>
            <w:tcW w:w="7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realized (gains) losses on available-for-sale securities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w:t>
            </w:r>
          </w:p>
        </w:tc>
      </w:tr>
      <w:tr>
        <w:trPr>
          <w:trHeight w:val="153"/>
        </w:trPr>
        <w:tc>
          <w:tcPr>
            <w:tcW w:w="7240" w:type="dxa"/>
            <w:vAlign w:val="bottom"/>
          </w:tcPr>
          <w:p>
            <w:pPr>
              <w:ind w:left="360"/>
              <w:spacing w:after="0"/>
              <w:rPr>
                <w:sz w:val="20"/>
                <w:szCs w:val="20"/>
                <w:color w:val="auto"/>
              </w:rPr>
            </w:pPr>
            <w:r>
              <w:rPr>
                <w:rFonts w:ascii="Arial" w:cs="Arial" w:eastAsia="Arial" w:hAnsi="Arial"/>
                <w:sz w:val="12"/>
                <w:szCs w:val="12"/>
                <w:color w:val="auto"/>
              </w:rPr>
              <w:t>Goodwill impairment</w:t>
            </w:r>
          </w:p>
        </w:tc>
        <w:tc>
          <w:tcPr>
            <w:tcW w:w="13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7,397</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Changes in</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3"/>
        </w:trPr>
        <w:tc>
          <w:tcPr>
            <w:tcW w:w="7240" w:type="dxa"/>
            <w:vAlign w:val="bottom"/>
          </w:tcPr>
          <w:p>
            <w:pPr>
              <w:ind w:left="360"/>
              <w:spacing w:after="0"/>
              <w:rPr>
                <w:sz w:val="20"/>
                <w:szCs w:val="20"/>
                <w:color w:val="auto"/>
              </w:rPr>
            </w:pPr>
            <w:r>
              <w:rPr>
                <w:rFonts w:ascii="Arial" w:cs="Arial" w:eastAsia="Arial" w:hAnsi="Arial"/>
                <w:sz w:val="12"/>
                <w:szCs w:val="12"/>
                <w:color w:val="auto"/>
              </w:rPr>
              <w:t>Interest receivable</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1,420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(3,683)</w:t>
            </w:r>
          </w:p>
        </w:tc>
      </w:tr>
      <w:tr>
        <w:trPr>
          <w:trHeight w:val="153"/>
        </w:trPr>
        <w:tc>
          <w:tcPr>
            <w:tcW w:w="7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assets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w:t>
            </w:r>
          </w:p>
        </w:tc>
      </w:tr>
      <w:tr>
        <w:trPr>
          <w:trHeight w:val="153"/>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Other liabilities</w:t>
            </w:r>
          </w:p>
        </w:tc>
        <w:tc>
          <w:tcPr>
            <w:tcW w:w="1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(3,151)</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(2,130)</w:t>
            </w:r>
          </w:p>
        </w:tc>
      </w:tr>
      <w:tr>
        <w:trPr>
          <w:trHeight w:val="142"/>
        </w:trPr>
        <w:tc>
          <w:tcPr>
            <w:tcW w:w="72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Net cash provided by operating activities</w:t>
            </w:r>
          </w:p>
        </w:tc>
        <w:tc>
          <w:tcPr>
            <w:tcW w:w="13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41,491</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35,968</w:t>
            </w:r>
          </w:p>
        </w:tc>
      </w:tr>
      <w:tr>
        <w:trPr>
          <w:trHeight w:val="133"/>
        </w:trPr>
        <w:tc>
          <w:tcPr>
            <w:tcW w:w="7240" w:type="dxa"/>
            <w:vAlign w:val="bottom"/>
          </w:tcPr>
          <w:p>
            <w:pPr>
              <w:spacing w:after="0" w:line="133" w:lineRule="exact"/>
              <w:rPr>
                <w:sz w:val="20"/>
                <w:szCs w:val="20"/>
                <w:color w:val="auto"/>
              </w:rPr>
            </w:pPr>
            <w:r>
              <w:rPr>
                <w:rFonts w:ascii="Arial" w:cs="Arial" w:eastAsia="Arial" w:hAnsi="Arial"/>
                <w:sz w:val="12"/>
                <w:szCs w:val="12"/>
                <w:b w:val="1"/>
                <w:bCs w:val="1"/>
                <w:color w:val="auto"/>
              </w:rPr>
              <w:t>Investing Activities</w:t>
            </w:r>
          </w:p>
        </w:tc>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change in loans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193,151</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(581,641)</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Purchases of available-for-sale securities</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(124,570)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(27,312)</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maturities of available-for-sale securities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60,773</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58,974</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Proceeds from sale of available-for-sale securities</w:t>
            </w:r>
          </w:p>
        </w:tc>
        <w:tc>
          <w:tcPr>
            <w:tcW w:w="13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19,052</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 of premises and equipment</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(1,658)</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Proceeds from the sale of premises and equipment</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 of restricted equity securities</w:t>
            </w:r>
          </w:p>
        </w:tc>
        <w:tc>
          <w:tcPr>
            <w:tcW w:w="13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(2,839)</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Proceeds from death benefit on bank owned life insurance</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3,483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sale of restricted equity securities</w:t>
            </w:r>
          </w:p>
        </w:tc>
        <w:tc>
          <w:tcPr>
            <w:tcW w:w="1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2,539</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724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Net cash provided by (used in) investing activities</w:t>
            </w:r>
          </w:p>
        </w:tc>
        <w:tc>
          <w:tcPr>
            <w:tcW w:w="1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135,332</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(535,424)</w:t>
            </w:r>
          </w:p>
        </w:tc>
      </w:tr>
      <w:tr>
        <w:trPr>
          <w:trHeight w:val="133"/>
        </w:trPr>
        <w:tc>
          <w:tcPr>
            <w:tcW w:w="72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Financing Activities</w:t>
            </w:r>
          </w:p>
        </w:tc>
        <w:tc>
          <w:tcPr>
            <w:tcW w:w="1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Net increase (decrease) in demand deposits, savings, NOW and money market accounts</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(98,678)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459,589</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decrease in time deposits</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(239,435)</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(79,205)</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Net increase (decrease) in fed funds purchased and repurchase agreements</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(2,306)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34,960</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Federal Home Loan Bank advances</w:t>
            </w:r>
          </w:p>
        </w:tc>
        <w:tc>
          <w:tcPr>
            <w:tcW w:w="13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118,000</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Repayment of Federal Home Loan Bank advances</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(26,126)</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Issuance of common shares, net of issuance cost</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Proceeds from employee stock purchase plan</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Repurchase of common stock</w:t>
            </w:r>
          </w:p>
        </w:tc>
        <w:tc>
          <w:tcPr>
            <w:tcW w:w="13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(13,939)</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Acquisition of common stock for tax withholding obligations</w:t>
            </w:r>
          </w:p>
        </w:tc>
        <w:tc>
          <w:tcPr>
            <w:tcW w:w="13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(670)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(754)</w:t>
            </w: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decrease in employee receivables</w:t>
            </w:r>
          </w:p>
        </w:tc>
        <w:tc>
          <w:tcPr>
            <w:tcW w:w="13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42"/>
        </w:trPr>
        <w:tc>
          <w:tcPr>
            <w:tcW w:w="724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Net cash provided by (used in) financing activities</w:t>
            </w:r>
          </w:p>
        </w:tc>
        <w:tc>
          <w:tcPr>
            <w:tcW w:w="1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(364,819)</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506,507</w:t>
            </w:r>
          </w:p>
        </w:tc>
      </w:tr>
      <w:tr>
        <w:trPr>
          <w:trHeight w:val="142"/>
        </w:trPr>
        <w:tc>
          <w:tcPr>
            <w:tcW w:w="7240" w:type="dxa"/>
            <w:vAlign w:val="bottom"/>
            <w:shd w:val="clear" w:color="auto" w:fill="CCEEFF"/>
          </w:tcPr>
          <w:p>
            <w:pPr>
              <w:spacing w:after="0"/>
              <w:rPr>
                <w:sz w:val="20"/>
                <w:szCs w:val="20"/>
                <w:color w:val="auto"/>
              </w:rPr>
            </w:pPr>
            <w:r>
              <w:rPr>
                <w:rFonts w:ascii="Arial" w:cs="Arial" w:eastAsia="Arial" w:hAnsi="Arial"/>
                <w:sz w:val="12"/>
                <w:szCs w:val="12"/>
                <w:color w:val="auto"/>
              </w:rPr>
              <w:t>Increase (Decrease) in Cash and Cash Equivalents</w:t>
            </w:r>
          </w:p>
        </w:tc>
        <w:tc>
          <w:tcPr>
            <w:tcW w:w="1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(187,996)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7,051</w:t>
            </w:r>
          </w:p>
        </w:tc>
      </w:tr>
      <w:tr>
        <w:trPr>
          <w:trHeight w:val="153"/>
        </w:trPr>
        <w:tc>
          <w:tcPr>
            <w:tcW w:w="7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Beginning of Period</w:t>
            </w:r>
          </w:p>
        </w:tc>
        <w:tc>
          <w:tcPr>
            <w:tcW w:w="1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408,810</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187,320</w:t>
            </w:r>
          </w:p>
        </w:tc>
      </w:tr>
      <w:tr>
        <w:trPr>
          <w:trHeight w:val="144"/>
        </w:trPr>
        <w:tc>
          <w:tcPr>
            <w:tcW w:w="72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Cash and Cash Equivalents, End of Period</w:t>
            </w:r>
          </w:p>
        </w:tc>
        <w:tc>
          <w:tcPr>
            <w:tcW w:w="13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220,814</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20"/>
              <w:spacing w:after="0" w:line="124" w:lineRule="exact"/>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194,371</w:t>
            </w:r>
          </w:p>
        </w:tc>
      </w:tr>
      <w:tr>
        <w:trPr>
          <w:trHeight w:val="131"/>
        </w:trPr>
        <w:tc>
          <w:tcPr>
            <w:tcW w:w="7240" w:type="dxa"/>
            <w:vAlign w:val="bottom"/>
          </w:tcPr>
          <w:p>
            <w:pPr>
              <w:spacing w:after="0" w:line="131" w:lineRule="exact"/>
              <w:rPr>
                <w:sz w:val="20"/>
                <w:szCs w:val="20"/>
                <w:color w:val="auto"/>
              </w:rPr>
            </w:pPr>
            <w:r>
              <w:rPr>
                <w:rFonts w:ascii="Arial" w:cs="Arial" w:eastAsia="Arial" w:hAnsi="Arial"/>
                <w:sz w:val="12"/>
                <w:szCs w:val="12"/>
                <w:b w:val="1"/>
                <w:bCs w:val="1"/>
                <w:color w:val="auto"/>
              </w:rPr>
              <w:t>Supplemental Cash Flows Information</w:t>
            </w:r>
          </w:p>
        </w:tc>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53"/>
        </w:trPr>
        <w:tc>
          <w:tcPr>
            <w:tcW w:w="72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Interest paid</w:t>
            </w:r>
          </w:p>
        </w:tc>
        <w:tc>
          <w:tcPr>
            <w:tcW w:w="1300" w:type="dxa"/>
            <w:vAlign w:val="bottom"/>
            <w:shd w:val="clear" w:color="auto" w:fill="CCEEFF"/>
          </w:tcPr>
          <w:p>
            <w:pPr>
              <w:jc w:val="right"/>
              <w:ind w:right="119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13,687</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27,818</w:t>
            </w:r>
          </w:p>
        </w:tc>
      </w:tr>
      <w:tr>
        <w:trPr>
          <w:trHeight w:val="153"/>
        </w:trPr>
        <w:tc>
          <w:tcPr>
            <w:tcW w:w="7240" w:type="dxa"/>
            <w:vAlign w:val="bottom"/>
          </w:tcPr>
          <w:p>
            <w:pPr>
              <w:ind w:left="220"/>
              <w:spacing w:after="0"/>
              <w:rPr>
                <w:sz w:val="20"/>
                <w:szCs w:val="20"/>
                <w:color w:val="auto"/>
              </w:rPr>
            </w:pPr>
            <w:r>
              <w:rPr>
                <w:rFonts w:ascii="Arial" w:cs="Arial" w:eastAsia="Arial" w:hAnsi="Arial"/>
                <w:sz w:val="12"/>
                <w:szCs w:val="12"/>
                <w:color w:val="auto"/>
              </w:rPr>
              <w:t>Income taxes paid</w:t>
            </w:r>
          </w:p>
        </w:tc>
        <w:tc>
          <w:tcPr>
            <w:tcW w:w="1300" w:type="dxa"/>
            <w:vAlign w:val="bottom"/>
          </w:tcPr>
          <w:p>
            <w:pPr>
              <w:jc w:val="right"/>
              <w:ind w:right="119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4,270</w:t>
            </w:r>
          </w:p>
        </w:tc>
        <w:tc>
          <w:tcPr>
            <w:tcW w:w="8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36830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 w:name="page10"/>
    <w:bookmarkEnd w:id="9"/>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Nature of Operations and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Organization and Nature of Operations</w:t>
      </w:r>
    </w:p>
    <w:p>
      <w:pPr>
        <w:spacing w:after="0" w:line="113" w:lineRule="exact"/>
        <w:rPr>
          <w:sz w:val="20"/>
          <w:szCs w:val="20"/>
          <w:color w:val="auto"/>
        </w:rPr>
      </w:pPr>
    </w:p>
    <w:p>
      <w:pPr>
        <w:ind w:left="100" w:right="120" w:firstLine="324"/>
        <w:spacing w:after="0" w:line="323" w:lineRule="auto"/>
        <w:rPr>
          <w:sz w:val="20"/>
          <w:szCs w:val="20"/>
          <w:color w:val="auto"/>
        </w:rPr>
      </w:pPr>
      <w:r>
        <w:rPr>
          <w:rFonts w:ascii="Arial" w:cs="Arial" w:eastAsia="Arial" w:hAnsi="Arial"/>
          <w:sz w:val="11"/>
          <w:szCs w:val="11"/>
          <w:color w:val="auto"/>
        </w:rPr>
        <w:t>CrossFirst Bankshares, Inc. (the “Company”) is a bank holding company whose principal activities are the ownership and management of its wholly-owned subsidiary, CrossFirst Bank (the “Bank”). In addition, the Bank has three subsidiaries including CrossFirst Investments, Inc. (“CFI”) that holds investments in marketable securities, CFBSA I, LLC that holds foreclosed assets and CFBSA II, LLC that holds foreclosed assets.</w:t>
      </w:r>
    </w:p>
    <w:p>
      <w:pPr>
        <w:spacing w:after="0" w:line="56" w:lineRule="exact"/>
        <w:rPr>
          <w:sz w:val="20"/>
          <w:szCs w:val="20"/>
          <w:color w:val="auto"/>
        </w:rPr>
      </w:pPr>
    </w:p>
    <w:p>
      <w:pPr>
        <w:ind w:left="100" w:right="140" w:firstLine="324"/>
        <w:spacing w:after="0" w:line="323" w:lineRule="auto"/>
        <w:rPr>
          <w:sz w:val="20"/>
          <w:szCs w:val="20"/>
          <w:color w:val="auto"/>
        </w:rPr>
      </w:pPr>
      <w:r>
        <w:rPr>
          <w:rFonts w:ascii="Arial" w:cs="Arial" w:eastAsia="Arial" w:hAnsi="Arial"/>
          <w:sz w:val="11"/>
          <w:szCs w:val="11"/>
          <w:color w:val="auto"/>
        </w:rPr>
        <w:t>The Bank is primarily engaged in providing a full range of banking and financial services to individual and corporate customers through its branches in: (i) Leawood, Kansas; (ii) Wichita, Kansas; (iii) Kansas City, Missouri; (iv) Oklahoma City, Oklahoma; (v) Tulsa, Oklahoma; (vi) Dallas, Texas; and (vii) Frisco, Texas. During the quarter ended June 30, 2021, the Company entered the Phoenix, Arizona market.</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Basis of Presentation</w:t>
      </w:r>
    </w:p>
    <w:p>
      <w:pPr>
        <w:spacing w:after="0" w:line="113" w:lineRule="exact"/>
        <w:rPr>
          <w:sz w:val="20"/>
          <w:szCs w:val="20"/>
          <w:color w:val="auto"/>
        </w:rPr>
      </w:pPr>
    </w:p>
    <w:p>
      <w:pPr>
        <w:ind w:left="100" w:right="200" w:firstLine="324"/>
        <w:spacing w:after="0" w:line="276" w:lineRule="auto"/>
        <w:rPr>
          <w:sz w:val="20"/>
          <w:szCs w:val="20"/>
          <w:color w:val="auto"/>
        </w:rPr>
      </w:pPr>
      <w:r>
        <w:rPr>
          <w:rFonts w:ascii="Arial" w:cs="Arial" w:eastAsia="Arial" w:hAnsi="Arial"/>
          <w:sz w:val="12"/>
          <w:szCs w:val="12"/>
          <w:color w:val="auto"/>
        </w:rPr>
        <w:t>The Company’s accounting and reporting policies conform to accounting principles generally accepted in the United States (“GAAP”). The consolidated financial statements include the accounts of the Company, the Bank, CFI, CFBSA I, LLC and CFBSA II, LLC. All significant intercompany accounts and transactions have been eliminated in consolidation.</w:t>
      </w:r>
    </w:p>
    <w:p>
      <w:pPr>
        <w:spacing w:after="0" w:line="79" w:lineRule="exact"/>
        <w:rPr>
          <w:sz w:val="20"/>
          <w:szCs w:val="20"/>
          <w:color w:val="auto"/>
        </w:rPr>
      </w:pPr>
    </w:p>
    <w:p>
      <w:pPr>
        <w:ind w:left="100" w:right="220" w:firstLine="324"/>
        <w:spacing w:after="0" w:line="263" w:lineRule="auto"/>
        <w:rPr>
          <w:sz w:val="20"/>
          <w:szCs w:val="20"/>
          <w:color w:val="auto"/>
        </w:rPr>
      </w:pPr>
      <w:r>
        <w:rPr>
          <w:rFonts w:ascii="Arial" w:cs="Arial" w:eastAsia="Arial" w:hAnsi="Arial"/>
          <w:sz w:val="12"/>
          <w:szCs w:val="12"/>
          <w:color w:val="auto"/>
        </w:rPr>
        <w:t>The consolidated interim financial statements are unaudited and certain information and footnote disclosures presented in accordance with GAAP have been condensed or omitted and should be read in conjunction with the Company’s consolidated financial statements and footnotes included in the Company’s Annual Report on Form 10-K for the year ended December 31, 2020 (the “2020 Form 10-K”), filed with the Securities and Exchange Commission (the “SEC”) on February 26, 2021.</w:t>
      </w:r>
    </w:p>
    <w:p>
      <w:pPr>
        <w:spacing w:after="0" w:line="86" w:lineRule="exact"/>
        <w:rPr>
          <w:sz w:val="20"/>
          <w:szCs w:val="20"/>
          <w:color w:val="auto"/>
        </w:rPr>
      </w:pPr>
    </w:p>
    <w:p>
      <w:pPr>
        <w:jc w:val="both"/>
        <w:ind w:left="100" w:firstLine="324"/>
        <w:spacing w:after="0" w:line="263" w:lineRule="auto"/>
        <w:rPr>
          <w:sz w:val="20"/>
          <w:szCs w:val="20"/>
          <w:color w:val="auto"/>
        </w:rPr>
      </w:pPr>
      <w:r>
        <w:rPr>
          <w:rFonts w:ascii="Arial" w:cs="Arial" w:eastAsia="Arial" w:hAnsi="Arial"/>
          <w:sz w:val="12"/>
          <w:szCs w:val="12"/>
          <w:color w:val="auto"/>
        </w:rPr>
        <w:t>In the opinion of management, the interim financial statements include all adjustments which are of a normal, recurring nature necessary for the fair presentation of the financial position, results of operations, and cash flows of the Company and the disclosures made are adequate to make the interim financial information not misleading. The consolidated financial statements have been prepared in accordance with GAAP for interim financial information and the instructions to Form 10-Q adopted by the SEC.</w:t>
      </w:r>
    </w:p>
    <w:p>
      <w:pPr>
        <w:spacing w:after="0" w:line="86" w:lineRule="exact"/>
        <w:rPr>
          <w:sz w:val="20"/>
          <w:szCs w:val="20"/>
          <w:color w:val="auto"/>
        </w:rPr>
      </w:pPr>
    </w:p>
    <w:p>
      <w:pPr>
        <w:ind w:left="100" w:right="120" w:firstLine="324"/>
        <w:spacing w:after="0" w:line="276" w:lineRule="auto"/>
        <w:rPr>
          <w:sz w:val="20"/>
          <w:szCs w:val="20"/>
          <w:color w:val="auto"/>
        </w:rPr>
      </w:pPr>
      <w:r>
        <w:rPr>
          <w:rFonts w:ascii="Arial" w:cs="Arial" w:eastAsia="Arial" w:hAnsi="Arial"/>
          <w:sz w:val="12"/>
          <w:szCs w:val="12"/>
          <w:color w:val="auto"/>
        </w:rPr>
        <w:t>No significant changes in the accounting policies of the Company occurred since December 31, 2020, the most recent date financial statements were provided within the Company’s 2020 Form 10-K. Operating results for the interim periods disclosed herein are not necessarily indicative of the results that may be expected for a full year or any future period.</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Use of Estimates</w:t>
      </w:r>
    </w:p>
    <w:p>
      <w:pPr>
        <w:spacing w:after="0" w:line="113" w:lineRule="exact"/>
        <w:rPr>
          <w:sz w:val="20"/>
          <w:szCs w:val="20"/>
          <w:color w:val="auto"/>
        </w:rPr>
      </w:pPr>
    </w:p>
    <w:p>
      <w:pPr>
        <w:ind w:left="100" w:right="200" w:firstLine="324"/>
        <w:spacing w:after="0" w:line="259" w:lineRule="auto"/>
        <w:rPr>
          <w:sz w:val="20"/>
          <w:szCs w:val="20"/>
          <w:color w:val="auto"/>
        </w:rPr>
      </w:pPr>
      <w:r>
        <w:rPr>
          <w:rFonts w:ascii="Arial" w:cs="Arial" w:eastAsia="Arial" w:hAnsi="Arial"/>
          <w:sz w:val="12"/>
          <w:szCs w:val="12"/>
          <w:color w:val="auto"/>
        </w:rPr>
        <w:t>The Company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In particular, the novel coronavirus (“COVID-19”) pandemic and resulting impacts to economic conditions, as well as adverse impacts to the Company’s operations, may impact future estimates. The allowance for loan losses, deferred tax asset, and fair value of financial instruments are particularly susceptible to significant change.</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Cash Equivalents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had $182 million of cash and cash equivalents at the Federal Reserve Bank of Kansas City as of June 30, 2021. The reserve required at June 30, 2021 was $0.</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Coronavirus Aid, Relief, and Economic Security Act (“CARES Act”)</w:t>
      </w:r>
    </w:p>
    <w:p>
      <w:pPr>
        <w:spacing w:after="0" w:line="113" w:lineRule="exact"/>
        <w:rPr>
          <w:sz w:val="20"/>
          <w:szCs w:val="20"/>
          <w:color w:val="auto"/>
        </w:rPr>
      </w:pPr>
    </w:p>
    <w:p>
      <w:pPr>
        <w:ind w:left="100" w:right="260" w:firstLine="324"/>
        <w:spacing w:after="0" w:line="259" w:lineRule="auto"/>
        <w:rPr>
          <w:sz w:val="20"/>
          <w:szCs w:val="20"/>
          <w:color w:val="auto"/>
        </w:rPr>
      </w:pPr>
      <w:r>
        <w:rPr>
          <w:rFonts w:ascii="Arial" w:cs="Arial" w:eastAsia="Arial" w:hAnsi="Arial"/>
          <w:sz w:val="12"/>
          <w:szCs w:val="12"/>
          <w:color w:val="auto"/>
        </w:rPr>
        <w:t>The CARES Act gave financial institutions the right to elect to suspend GAAP principles and regulatory determinations for loan modifications relating to COVID-19 that would otherwise be categorized as Troubled Debt Restructurings (“TDRs”) from March 1, 2020, through December 31, 2020. On December 27, 2020, the Consolidated Appropriations Act, 2021 was signed into law, which extended the period during which the Company may suspend GAAP principles and regulatory determinations for loan modifications relating to COVID-19 that would otherwise be categorized as TDRs through January 1, 2022 or 60 days after the date when the national emergency concerning COVID-19 terminates. The Company elected to apply the guidance starting in the first quarter of 2020.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0" w:name="page11"/>
    <w:bookmarkEnd w:id="10"/>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Changes Affecting Comparability</w:t>
      </w:r>
    </w:p>
    <w:p>
      <w:pPr>
        <w:spacing w:after="0" w:line="113" w:lineRule="exact"/>
        <w:rPr>
          <w:sz w:val="20"/>
          <w:szCs w:val="20"/>
          <w:color w:val="auto"/>
        </w:rPr>
      </w:pPr>
    </w:p>
    <w:p>
      <w:pPr>
        <w:ind w:left="100" w:right="360" w:firstLine="324"/>
        <w:spacing w:after="0" w:line="276" w:lineRule="auto"/>
        <w:rPr>
          <w:sz w:val="20"/>
          <w:szCs w:val="20"/>
          <w:color w:val="auto"/>
        </w:rPr>
      </w:pPr>
      <w:r>
        <w:rPr>
          <w:rFonts w:ascii="Arial" w:cs="Arial" w:eastAsia="Arial" w:hAnsi="Arial"/>
          <w:sz w:val="12"/>
          <w:szCs w:val="12"/>
          <w:color w:val="auto"/>
        </w:rPr>
        <w:t>Beginning with the quarter ended March 31, 2021, the Company consolidated the “Goodwill and other intangible assets, net” into “Other assets” within the Consolidated Balance Sheets. The consolidation was due to the immateriality of the remaining intangible assets. The change had no impact on net income.</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Emerging Growth Company (“EGC”)</w:t>
      </w:r>
    </w:p>
    <w:p>
      <w:pPr>
        <w:spacing w:after="0" w:line="113" w:lineRule="exact"/>
        <w:rPr>
          <w:sz w:val="20"/>
          <w:szCs w:val="20"/>
          <w:color w:val="auto"/>
        </w:rPr>
      </w:pPr>
    </w:p>
    <w:p>
      <w:pPr>
        <w:ind w:left="100" w:right="100" w:firstLine="324"/>
        <w:spacing w:after="0" w:line="259" w:lineRule="auto"/>
        <w:rPr>
          <w:sz w:val="20"/>
          <w:szCs w:val="20"/>
          <w:color w:val="auto"/>
        </w:rPr>
      </w:pPr>
      <w:r>
        <w:rPr>
          <w:rFonts w:ascii="Arial" w:cs="Arial" w:eastAsia="Arial" w:hAnsi="Arial"/>
          <w:sz w:val="12"/>
          <w:szCs w:val="12"/>
          <w:color w:val="auto"/>
        </w:rPr>
        <w:t>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Recent Accounting Pronouncements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information about Accounting Standard Updates (“ASUs”) the Company anticipates to adopt in the future:</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Standard</w:t>
            </w:r>
          </w:p>
        </w:tc>
        <w:tc>
          <w:tcPr>
            <w:tcW w:w="8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w w:val="91"/>
              </w:rPr>
              <w:t>Anticipated Date of Adoption</w:t>
            </w:r>
          </w:p>
        </w:tc>
        <w:tc>
          <w:tcPr>
            <w:tcW w:w="80" w:type="dxa"/>
            <w:vAlign w:val="bottom"/>
            <w:tcBorders>
              <w:bottom w:val="single" w:sz="8" w:color="CCEEFF"/>
            </w:tcBorders>
          </w:tcPr>
          <w:p>
            <w:pPr>
              <w:spacing w:after="0"/>
              <w:rPr>
                <w:sz w:val="14"/>
                <w:szCs w:val="14"/>
                <w:color w:val="auto"/>
              </w:rPr>
            </w:pPr>
          </w:p>
        </w:tc>
        <w:tc>
          <w:tcPr>
            <w:tcW w:w="270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Description</w:t>
            </w:r>
          </w:p>
        </w:tc>
        <w:tc>
          <w:tcPr>
            <w:tcW w:w="80" w:type="dxa"/>
            <w:vAlign w:val="bottom"/>
            <w:tcBorders>
              <w:bottom w:val="single" w:sz="8" w:color="CCEEFF"/>
            </w:tcBorders>
          </w:tcPr>
          <w:p>
            <w:pPr>
              <w:spacing w:after="0"/>
              <w:rPr>
                <w:sz w:val="14"/>
                <w:szCs w:val="14"/>
                <w:color w:val="auto"/>
              </w:rPr>
            </w:pPr>
          </w:p>
        </w:tc>
        <w:tc>
          <w:tcPr>
            <w:tcW w:w="514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Effect on Financial Statements or Other Significant Matters</w:t>
            </w:r>
          </w:p>
        </w:tc>
      </w:tr>
      <w:tr>
        <w:trPr>
          <w:trHeight w:val="151"/>
        </w:trPr>
        <w:tc>
          <w:tcPr>
            <w:tcW w:w="13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ASU 2016-13</w:t>
            </w:r>
          </w:p>
        </w:tc>
        <w:tc>
          <w:tcPr>
            <w:tcW w:w="19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If the Company maintains its</w:t>
            </w:r>
          </w:p>
        </w:tc>
        <w:tc>
          <w:tcPr>
            <w:tcW w:w="27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99"/>
              </w:rPr>
              <w:t>Requires an entity to utilize a new impairment</w:t>
            </w:r>
          </w:p>
        </w:tc>
        <w:tc>
          <w:tcPr>
            <w:tcW w:w="5140" w:type="dxa"/>
            <w:vAlign w:val="bottom"/>
            <w:shd w:val="clear" w:color="auto" w:fill="CCEEFF"/>
          </w:tcPr>
          <w:p>
            <w:pPr>
              <w:ind w:left="340"/>
              <w:spacing w:after="0"/>
              <w:rPr>
                <w:sz w:val="20"/>
                <w:szCs w:val="20"/>
                <w:color w:val="auto"/>
              </w:rPr>
            </w:pPr>
            <w:r>
              <w:rPr>
                <w:rFonts w:ascii="Arial" w:cs="Arial" w:eastAsia="Arial" w:hAnsi="Arial"/>
                <w:sz w:val="12"/>
                <w:szCs w:val="12"/>
                <w:color w:val="auto"/>
                <w:w w:val="92"/>
              </w:rPr>
              <w:t>The Company established a committee of individuals from applicable departments to oversee the</w:t>
            </w:r>
          </w:p>
        </w:tc>
      </w:tr>
      <w:tr>
        <w:trPr>
          <w:trHeight w:val="144"/>
        </w:trPr>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EGC status, the Company is not</w:t>
            </w: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model known as the current expected credit loss model</w:t>
            </w: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4"/>
              </w:rPr>
              <w:t>implementation process. The Company completed the third-party software implementation phase that</w:t>
            </w:r>
          </w:p>
        </w:tc>
      </w:tr>
      <w:tr>
        <w:trPr>
          <w:trHeight w:val="144"/>
        </w:trPr>
        <w:tc>
          <w:tcPr>
            <w:tcW w:w="1340" w:type="dxa"/>
            <w:vAlign w:val="bottom"/>
            <w:gridSpan w:val="2"/>
            <w:shd w:val="clear" w:color="auto" w:fill="CCEEFF"/>
          </w:tcPr>
          <w:p>
            <w:pPr>
              <w:ind w:left="340"/>
              <w:spacing w:after="0"/>
              <w:rPr>
                <w:sz w:val="20"/>
                <w:szCs w:val="20"/>
                <w:color w:val="auto"/>
              </w:rPr>
            </w:pPr>
            <w:r>
              <w:rPr>
                <w:rFonts w:ascii="Arial" w:cs="Arial" w:eastAsia="Arial" w:hAnsi="Arial"/>
                <w:sz w:val="12"/>
                <w:szCs w:val="12"/>
                <w:i w:val="1"/>
                <w:iCs w:val="1"/>
                <w:color w:val="auto"/>
              </w:rPr>
              <w:t>Financial</w:t>
            </w:r>
          </w:p>
        </w:tc>
        <w:tc>
          <w:tcPr>
            <w:tcW w:w="1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required to implement this standard</w:t>
            </w: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6"/>
              </w:rPr>
              <w:t>to estimate its lifetime expected credit loss and record</w:t>
            </w: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included data capture and portfolio segmentation amongst other items.</w:t>
            </w:r>
          </w:p>
        </w:tc>
      </w:tr>
      <w:tr>
        <w:trPr>
          <w:trHeight w:val="144"/>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Instruments-Credit</w:t>
            </w:r>
          </w:p>
        </w:tc>
        <w:tc>
          <w:tcPr>
            <w:tcW w:w="1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until January 2023. The Company</w:t>
            </w: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an allowance that, when deducted from amortized cost</w:t>
            </w:r>
          </w:p>
        </w:tc>
        <w:tc>
          <w:tcPr>
            <w:tcW w:w="5140" w:type="dxa"/>
            <w:vAlign w:val="bottom"/>
            <w:shd w:val="clear" w:color="auto" w:fill="CCEEFF"/>
          </w:tcPr>
          <w:p>
            <w:pPr>
              <w:spacing w:after="0"/>
              <w:rPr>
                <w:sz w:val="12"/>
                <w:szCs w:val="12"/>
                <w:color w:val="auto"/>
              </w:rPr>
            </w:pPr>
          </w:p>
        </w:tc>
      </w:tr>
      <w:tr>
        <w:trPr>
          <w:trHeight w:val="144"/>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Losses</w:t>
            </w:r>
          </w:p>
        </w:tc>
        <w:tc>
          <w:tcPr>
            <w:tcW w:w="1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anticipates an adoption date of</w:t>
            </w: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9"/>
              </w:rPr>
              <w:t>basis of the financial asset, presents the net amount</w:t>
            </w: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5"/>
              </w:rPr>
              <w:t>The Company completed parallel runs in 2019. During the fiscal year ended December 31, 2020, the</w:t>
            </w:r>
          </w:p>
        </w:tc>
      </w:tr>
      <w:tr>
        <w:trPr>
          <w:trHeight w:val="144"/>
        </w:trPr>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January 2022.</w:t>
            </w: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expected to be collected on the financial asset.</w:t>
            </w: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7"/>
              </w:rPr>
              <w:t>Company continued to perform parallel runs using 2020 data and continued to recalibrate inputs as</w:t>
            </w:r>
          </w:p>
        </w:tc>
      </w:tr>
      <w:tr>
        <w:trPr>
          <w:trHeight w:val="144"/>
        </w:trPr>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necessary. The Company is evaluating the internal control changes that will be necessary to transition to</w:t>
            </w:r>
          </w:p>
        </w:tc>
      </w:tr>
      <w:tr>
        <w:trPr>
          <w:trHeight w:val="153"/>
        </w:trPr>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the third-party platform and third-party testing is anticipated later in 2021.</w:t>
            </w:r>
          </w:p>
        </w:tc>
      </w:tr>
      <w:tr>
        <w:trPr>
          <w:trHeight w:val="279"/>
        </w:trPr>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At this time, an estimate of the impact cannot be established as the Company continues to evaluate the</w:t>
            </w:r>
          </w:p>
        </w:tc>
      </w:tr>
      <w:tr>
        <w:trPr>
          <w:trHeight w:val="144"/>
        </w:trPr>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inputs into the model. The actual impact could be significantly affected by the composition,</w:t>
            </w:r>
          </w:p>
        </w:tc>
      </w:tr>
      <w:tr>
        <w:trPr>
          <w:trHeight w:val="171"/>
        </w:trPr>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characteristics, and quality of the underlying loan portfolio at the time of adoption.</w:t>
            </w:r>
          </w:p>
        </w:tc>
      </w:tr>
    </w:tbl>
    <w:p>
      <w:pPr>
        <w:spacing w:after="0" w:line="9" w:lineRule="exact"/>
        <w:rPr>
          <w:sz w:val="20"/>
          <w:szCs w:val="20"/>
          <w:color w:val="auto"/>
        </w:rPr>
      </w:pPr>
    </w:p>
    <w:p>
      <w:pPr>
        <w:sectPr>
          <w:pgSz w:w="11900" w:h="16838" w:orient="portrait"/>
          <w:cols w:equalWidth="0" w:num="1">
            <w:col w:w="11300"/>
          </w:cols>
          <w:pgMar w:left="300" w:top="167" w:right="299" w:bottom="1440" w:gutter="0" w:footer="0" w:header="0"/>
        </w:sectPr>
      </w:pPr>
    </w:p>
    <w:p>
      <w:pPr>
        <w:jc w:val="right"/>
        <w:spacing w:after="0"/>
        <w:rPr>
          <w:sz w:val="20"/>
          <w:szCs w:val="20"/>
          <w:color w:val="auto"/>
        </w:rPr>
      </w:pPr>
      <w:r>
        <w:rPr>
          <w:rFonts w:ascii="Arial" w:cs="Arial" w:eastAsia="Arial" w:hAnsi="Arial"/>
          <w:sz w:val="12"/>
          <w:szCs w:val="12"/>
          <w:color w:val="auto"/>
        </w:rPr>
        <w:t>ASU 2016-02</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0"/>
          <w:szCs w:val="10"/>
          <w:i w:val="1"/>
          <w:iCs w:val="1"/>
          <w:color w:val="auto"/>
        </w:rPr>
        <w:t>Leases (Topic</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842)</w:t>
      </w:r>
    </w:p>
    <w:p>
      <w:pPr>
        <w:spacing w:after="0" w:line="20" w:lineRule="exact"/>
        <w:rPr>
          <w:sz w:val="20"/>
          <w:szCs w:val="20"/>
          <w:color w:val="auto"/>
        </w:rPr>
      </w:pPr>
      <w:r>
        <w:rPr>
          <w:sz w:val="20"/>
          <w:szCs w:val="20"/>
          <w:color w:val="auto"/>
        </w:rPr>
        <w:br w:type="column"/>
      </w:r>
    </w:p>
    <w:p>
      <w:pPr>
        <w:ind w:firstLine="324"/>
        <w:spacing w:after="0" w:line="263" w:lineRule="auto"/>
        <w:rPr>
          <w:sz w:val="20"/>
          <w:szCs w:val="20"/>
          <w:color w:val="auto"/>
        </w:rPr>
      </w:pPr>
      <w:r>
        <w:rPr>
          <w:rFonts w:ascii="Arial" w:cs="Arial" w:eastAsia="Arial" w:hAnsi="Arial"/>
          <w:sz w:val="12"/>
          <w:szCs w:val="12"/>
          <w:color w:val="auto"/>
        </w:rPr>
        <w:t>The Company expects to implement this standard on January 1, 2022.</w:t>
      </w:r>
    </w:p>
    <w:p>
      <w:pPr>
        <w:spacing w:after="0" w:line="20" w:lineRule="exact"/>
        <w:rPr>
          <w:sz w:val="20"/>
          <w:szCs w:val="20"/>
          <w:color w:val="auto"/>
        </w:rPr>
      </w:pPr>
      <w:r>
        <w:rPr>
          <w:sz w:val="20"/>
          <w:szCs w:val="20"/>
          <w:color w:val="auto"/>
        </w:rPr>
        <w:br w:type="column"/>
      </w:r>
    </w:p>
    <w:p>
      <w:pPr>
        <w:ind w:firstLine="324"/>
        <w:spacing w:after="0" w:line="340" w:lineRule="auto"/>
        <w:rPr>
          <w:sz w:val="20"/>
          <w:szCs w:val="20"/>
          <w:color w:val="auto"/>
        </w:rPr>
      </w:pPr>
      <w:r>
        <w:rPr>
          <w:rFonts w:ascii="Arial" w:cs="Arial" w:eastAsia="Arial" w:hAnsi="Arial"/>
          <w:sz w:val="10"/>
          <w:szCs w:val="10"/>
          <w:color w:val="auto"/>
        </w:rPr>
        <w:t>Requires lessees and lessors to recognize lease assets and lease liabilities on the balance sheet and disclose key information about leasing arrangements.</w:t>
      </w:r>
    </w:p>
    <w:p>
      <w:pPr>
        <w:spacing w:after="0" w:line="87"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The update requires lessees and lessors to recognize and measure leases at the beginning of the earliest period presented using a modified retrospective approach with the option to elect certain practical expedients. The update will also increase disclosures around leases, including qualitative and specific quantitative measures.</w:t>
      </w:r>
    </w:p>
    <w:p>
      <w:pPr>
        <w:spacing w:after="0" w:line="20" w:lineRule="exact"/>
        <w:rPr>
          <w:sz w:val="20"/>
          <w:szCs w:val="20"/>
          <w:color w:val="auto"/>
        </w:rPr>
      </w:pPr>
      <w:r>
        <w:rPr>
          <w:sz w:val="20"/>
          <w:szCs w:val="20"/>
          <w:color w:val="auto"/>
        </w:rPr>
        <w:br w:type="column"/>
      </w:r>
    </w:p>
    <w:p>
      <w:pPr>
        <w:jc w:val="both"/>
        <w:ind w:right="220" w:firstLine="324"/>
        <w:spacing w:after="0" w:line="263" w:lineRule="auto"/>
        <w:rPr>
          <w:sz w:val="20"/>
          <w:szCs w:val="20"/>
          <w:color w:val="auto"/>
        </w:rPr>
      </w:pPr>
      <w:r>
        <w:rPr>
          <w:rFonts w:ascii="Arial" w:cs="Arial" w:eastAsia="Arial" w:hAnsi="Arial"/>
          <w:sz w:val="12"/>
          <w:szCs w:val="12"/>
          <w:color w:val="auto"/>
        </w:rPr>
        <w:t>The Company expects to apply the update as of the beginning of the period of adoption and the Company does not plan to restate comparative periods. The Company expects to elect certain optional practical expedients.</w:t>
      </w:r>
    </w:p>
    <w:p>
      <w:pPr>
        <w:spacing w:after="0" w:line="122"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The Company gathered all potential lease and embedded lease agreements and is evaluating the applicability and impact to the financial statements.</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The Company’s current operating leases relate primarily to four branch locations. Based on the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Company's lease portfolio as of the adoption date.</w:t>
      </w:r>
    </w:p>
    <w:p>
      <w:pPr>
        <w:spacing w:after="0" w:line="200" w:lineRule="exact"/>
        <w:rPr>
          <w:sz w:val="20"/>
          <w:szCs w:val="20"/>
          <w:color w:val="auto"/>
        </w:rPr>
      </w:pPr>
    </w:p>
    <w:p>
      <w:pPr>
        <w:sectPr>
          <w:pgSz w:w="11900" w:h="16838" w:orient="portrait"/>
          <w:cols w:equalWidth="0" w:num="4">
            <w:col w:w="1100" w:space="340"/>
            <w:col w:w="1820" w:space="120"/>
            <w:col w:w="2580" w:space="220"/>
            <w:col w:w="5120"/>
          </w:cols>
          <w:pgMar w:left="300" w:top="167" w:right="29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type w:val="continuous"/>
        </w:sectPr>
      </w:pPr>
    </w:p>
    <w:bookmarkStart w:id="11" w:name="page12"/>
    <w:bookmarkEnd w:id="11"/>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Note 2:</w:t>
            </w:r>
          </w:p>
        </w:tc>
        <w:tc>
          <w:tcPr>
            <w:tcW w:w="4240" w:type="dxa"/>
            <w:vAlign w:val="bottom"/>
          </w:tcPr>
          <w:p>
            <w:pPr>
              <w:ind w:left="400"/>
              <w:spacing w:after="0"/>
              <w:rPr>
                <w:sz w:val="20"/>
                <w:szCs w:val="20"/>
                <w:color w:val="auto"/>
              </w:rPr>
            </w:pPr>
            <w:r>
              <w:rPr>
                <w:rFonts w:ascii="Arial" w:cs="Arial" w:eastAsia="Arial" w:hAnsi="Arial"/>
                <w:sz w:val="14"/>
                <w:szCs w:val="14"/>
                <w:b w:val="1"/>
                <w:bCs w:val="1"/>
                <w:color w:val="auto"/>
              </w:rPr>
              <w:t>Earnings Per Share</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6"/>
        </w:trPr>
        <w:tc>
          <w:tcPr>
            <w:tcW w:w="100" w:type="dxa"/>
            <w:vAlign w:val="bottom"/>
          </w:tcPr>
          <w:p>
            <w:pPr>
              <w:spacing w:after="0"/>
              <w:rPr>
                <w:sz w:val="21"/>
                <w:szCs w:val="21"/>
                <w:color w:val="auto"/>
              </w:rPr>
            </w:pPr>
          </w:p>
        </w:tc>
        <w:tc>
          <w:tcPr>
            <w:tcW w:w="4580" w:type="dxa"/>
            <w:vAlign w:val="bottom"/>
            <w:gridSpan w:val="2"/>
          </w:tcPr>
          <w:p>
            <w:pPr>
              <w:ind w:left="320"/>
              <w:spacing w:after="0"/>
              <w:rPr>
                <w:sz w:val="20"/>
                <w:szCs w:val="20"/>
                <w:color w:val="auto"/>
              </w:rPr>
            </w:pPr>
            <w:r>
              <w:rPr>
                <w:rFonts w:ascii="Arial" w:cs="Arial" w:eastAsia="Arial" w:hAnsi="Arial"/>
                <w:sz w:val="12"/>
                <w:szCs w:val="12"/>
                <w:color w:val="auto"/>
                <w:w w:val="93"/>
              </w:rPr>
              <w:t>The following table presents the computation of basic and diluted earnings per share:</w:t>
            </w: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67"/>
        </w:trPr>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Six Months Ended</w:t>
            </w:r>
          </w:p>
        </w:tc>
        <w:tc>
          <w:tcPr>
            <w:tcW w:w="880" w:type="dxa"/>
            <w:vAlign w:val="bottom"/>
          </w:tcPr>
          <w:p>
            <w:pPr>
              <w:spacing w:after="0"/>
              <w:rPr>
                <w:sz w:val="14"/>
                <w:szCs w:val="14"/>
                <w:color w:val="auto"/>
              </w:rPr>
            </w:pPr>
          </w:p>
        </w:tc>
      </w:tr>
      <w:tr>
        <w:trPr>
          <w:trHeight w:val="157"/>
        </w:trPr>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83"/>
              </w:rPr>
              <w:t>June 30,</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w w:val="87"/>
              </w:rPr>
              <w:t>June 30,</w:t>
            </w:r>
          </w:p>
        </w:tc>
        <w:tc>
          <w:tcPr>
            <w:tcW w:w="880" w:type="dxa"/>
            <w:vAlign w:val="bottom"/>
            <w:tcBorders>
              <w:bottom w:val="single" w:sz="8" w:color="auto"/>
            </w:tcBorders>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r>
      <w:tr>
        <w:trPr>
          <w:trHeight w:val="131"/>
        </w:trPr>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gridSpan w:val="4"/>
          </w:tcPr>
          <w:p>
            <w:pPr>
              <w:jc w:val="right"/>
              <w:ind w:right="420"/>
              <w:spacing w:after="0"/>
              <w:rPr>
                <w:sz w:val="20"/>
                <w:szCs w:val="20"/>
                <w:color w:val="auto"/>
              </w:rPr>
            </w:pPr>
            <w:r>
              <w:rPr>
                <w:rFonts w:ascii="Arial" w:cs="Arial" w:eastAsia="Arial" w:hAnsi="Arial"/>
                <w:sz w:val="11"/>
                <w:szCs w:val="11"/>
                <w:i w:val="1"/>
                <w:iCs w:val="1"/>
                <w:color w:val="auto"/>
                <w:w w:val="91"/>
              </w:rPr>
              <w:t>(Dollars in thousands except per share data)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(Loss) per Share</w:t>
            </w: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580" w:type="dxa"/>
            <w:vAlign w:val="bottom"/>
            <w:gridSpan w:val="2"/>
          </w:tcPr>
          <w:p>
            <w:pPr>
              <w:ind w:left="120"/>
              <w:spacing w:after="0"/>
              <w:rPr>
                <w:sz w:val="20"/>
                <w:szCs w:val="20"/>
                <w:color w:val="auto"/>
              </w:rPr>
            </w:pPr>
            <w:r>
              <w:rPr>
                <w:rFonts w:ascii="Arial" w:cs="Arial" w:eastAsia="Arial" w:hAnsi="Arial"/>
                <w:sz w:val="12"/>
                <w:szCs w:val="12"/>
                <w:color w:val="auto"/>
              </w:rPr>
              <w:t>Net income (loss) available to common stockholders</w:t>
            </w:r>
          </w:p>
        </w:tc>
        <w:tc>
          <w:tcPr>
            <w:tcW w:w="6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15,577</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(7,356)</w:t>
            </w:r>
          </w:p>
        </w:tc>
        <w:tc>
          <w:tcPr>
            <w:tcW w:w="80" w:type="dxa"/>
            <w:vAlign w:val="bottom"/>
          </w:tcPr>
          <w:p>
            <w:pPr>
              <w:spacing w:after="0"/>
              <w:rPr>
                <w:sz w:val="13"/>
                <w:szCs w:val="13"/>
                <w:color w:val="auto"/>
              </w:rPr>
            </w:pPr>
          </w:p>
        </w:tc>
        <w:tc>
          <w:tcPr>
            <w:tcW w:w="6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27,612</w:t>
            </w:r>
          </w:p>
        </w:tc>
        <w:tc>
          <w:tcPr>
            <w:tcW w:w="82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(3,499)</w:t>
            </w:r>
          </w:p>
        </w:tc>
      </w:tr>
      <w:tr>
        <w:trPr>
          <w:trHeight w:val="153"/>
        </w:trPr>
        <w:tc>
          <w:tcPr>
            <w:tcW w:w="100" w:type="dxa"/>
            <w:vAlign w:val="bottom"/>
          </w:tcPr>
          <w:p>
            <w:pPr>
              <w:spacing w:after="0"/>
              <w:rPr>
                <w:sz w:val="13"/>
                <w:szCs w:val="13"/>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Weighted average common shares</w:t>
            </w:r>
          </w:p>
        </w:tc>
        <w:tc>
          <w:tcPr>
            <w:tcW w:w="6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51,466,885</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52,104,994</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51,561,519</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52,088,239</w:t>
            </w:r>
          </w:p>
        </w:tc>
      </w:tr>
      <w:tr>
        <w:trPr>
          <w:trHeight w:val="158"/>
        </w:trPr>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40" w:type="dxa"/>
            <w:vAlign w:val="bottom"/>
          </w:tcPr>
          <w:p>
            <w:pPr>
              <w:ind w:left="220"/>
              <w:spacing w:after="0"/>
              <w:rPr>
                <w:sz w:val="20"/>
                <w:szCs w:val="20"/>
                <w:color w:val="auto"/>
              </w:rPr>
            </w:pPr>
            <w:r>
              <w:rPr>
                <w:rFonts w:ascii="Arial" w:cs="Arial" w:eastAsia="Arial" w:hAnsi="Arial"/>
                <w:sz w:val="12"/>
                <w:szCs w:val="12"/>
                <w:color w:val="auto"/>
              </w:rPr>
              <w:t>Earnings (loss) per share</w:t>
            </w:r>
          </w:p>
        </w:tc>
        <w:tc>
          <w:tcPr>
            <w:tcW w:w="6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0.30</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(0.14)</w:t>
            </w:r>
          </w:p>
        </w:tc>
        <w:tc>
          <w:tcPr>
            <w:tcW w:w="80" w:type="dxa"/>
            <w:vAlign w:val="bottom"/>
          </w:tcPr>
          <w:p>
            <w:pPr>
              <w:spacing w:after="0"/>
              <w:rPr>
                <w:sz w:val="13"/>
                <w:szCs w:val="13"/>
                <w:color w:val="auto"/>
              </w:rPr>
            </w:pPr>
          </w:p>
        </w:tc>
        <w:tc>
          <w:tcPr>
            <w:tcW w:w="6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0.54</w:t>
            </w:r>
          </w:p>
        </w:tc>
        <w:tc>
          <w:tcPr>
            <w:tcW w:w="82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(0.07)</w:t>
            </w:r>
          </w:p>
        </w:tc>
      </w:tr>
      <w:tr>
        <w:trPr>
          <w:trHeight w:val="135"/>
        </w:trPr>
        <w:tc>
          <w:tcPr>
            <w:tcW w:w="100" w:type="dxa"/>
            <w:vAlign w:val="bottom"/>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42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Diluted Earnings (Loss) Per Share</w:t>
            </w:r>
          </w:p>
        </w:tc>
        <w:tc>
          <w:tcPr>
            <w:tcW w:w="6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r>
      <w:tr>
        <w:trPr>
          <w:trHeight w:val="153"/>
        </w:trPr>
        <w:tc>
          <w:tcPr>
            <w:tcW w:w="100" w:type="dxa"/>
            <w:vAlign w:val="bottom"/>
          </w:tcPr>
          <w:p>
            <w:pPr>
              <w:spacing w:after="0"/>
              <w:rPr>
                <w:sz w:val="13"/>
                <w:szCs w:val="13"/>
                <w:color w:val="auto"/>
              </w:rPr>
            </w:pPr>
          </w:p>
        </w:tc>
        <w:tc>
          <w:tcPr>
            <w:tcW w:w="4580" w:type="dxa"/>
            <w:vAlign w:val="bottom"/>
            <w:gridSpan w:val="2"/>
          </w:tcPr>
          <w:p>
            <w:pPr>
              <w:ind w:left="120"/>
              <w:spacing w:after="0"/>
              <w:rPr>
                <w:sz w:val="20"/>
                <w:szCs w:val="20"/>
                <w:color w:val="auto"/>
              </w:rPr>
            </w:pPr>
            <w:r>
              <w:rPr>
                <w:rFonts w:ascii="Arial" w:cs="Arial" w:eastAsia="Arial" w:hAnsi="Arial"/>
                <w:sz w:val="12"/>
                <w:szCs w:val="12"/>
                <w:color w:val="auto"/>
              </w:rPr>
              <w:t>Net income (loss) available to common stockholders</w:t>
            </w:r>
          </w:p>
        </w:tc>
        <w:tc>
          <w:tcPr>
            <w:tcW w:w="6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15,577</w:t>
            </w:r>
          </w:p>
        </w:tc>
        <w:tc>
          <w:tcPr>
            <w:tcW w:w="8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(7,356)</w:t>
            </w:r>
          </w:p>
        </w:tc>
        <w:tc>
          <w:tcPr>
            <w:tcW w:w="80" w:type="dxa"/>
            <w:vAlign w:val="bottom"/>
          </w:tcPr>
          <w:p>
            <w:pPr>
              <w:spacing w:after="0"/>
              <w:rPr>
                <w:sz w:val="13"/>
                <w:szCs w:val="13"/>
                <w:color w:val="auto"/>
              </w:rPr>
            </w:pPr>
          </w:p>
        </w:tc>
        <w:tc>
          <w:tcPr>
            <w:tcW w:w="6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27,612</w:t>
            </w:r>
          </w:p>
        </w:tc>
        <w:tc>
          <w:tcPr>
            <w:tcW w:w="82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(3,499)</w:t>
            </w:r>
          </w:p>
        </w:tc>
      </w:tr>
      <w:tr>
        <w:trPr>
          <w:trHeight w:val="153"/>
        </w:trPr>
        <w:tc>
          <w:tcPr>
            <w:tcW w:w="100" w:type="dxa"/>
            <w:vAlign w:val="bottom"/>
          </w:tcPr>
          <w:p>
            <w:pPr>
              <w:spacing w:after="0"/>
              <w:rPr>
                <w:sz w:val="13"/>
                <w:szCs w:val="13"/>
                <w:color w:val="auto"/>
              </w:rPr>
            </w:pPr>
          </w:p>
        </w:tc>
        <w:tc>
          <w:tcPr>
            <w:tcW w:w="4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Weighted average common shares</w:t>
            </w: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51,466,885</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52,104,994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51,561,519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52,088,239</w:t>
            </w:r>
          </w:p>
        </w:tc>
      </w:tr>
      <w:tr>
        <w:trPr>
          <w:trHeight w:val="153"/>
        </w:trPr>
        <w:tc>
          <w:tcPr>
            <w:tcW w:w="100" w:type="dxa"/>
            <w:vAlign w:val="bottom"/>
          </w:tcPr>
          <w:p>
            <w:pPr>
              <w:spacing w:after="0"/>
              <w:rPr>
                <w:sz w:val="13"/>
                <w:szCs w:val="13"/>
                <w:color w:val="auto"/>
              </w:rPr>
            </w:pPr>
          </w:p>
        </w:tc>
        <w:tc>
          <w:tcPr>
            <w:tcW w:w="4580" w:type="dxa"/>
            <w:vAlign w:val="bottom"/>
            <w:gridSpan w:val="2"/>
          </w:tcPr>
          <w:p>
            <w:pPr>
              <w:ind w:left="120"/>
              <w:spacing w:after="0"/>
              <w:rPr>
                <w:sz w:val="20"/>
                <w:szCs w:val="20"/>
                <w:color w:val="auto"/>
              </w:rPr>
            </w:pPr>
            <w:r>
              <w:rPr>
                <w:rFonts w:ascii="Arial" w:cs="Arial" w:eastAsia="Arial" w:hAnsi="Arial"/>
                <w:sz w:val="12"/>
                <w:szCs w:val="12"/>
                <w:color w:val="auto"/>
              </w:rPr>
              <w:t>Effect of dilutive shares</w:t>
            </w:r>
          </w:p>
        </w:tc>
        <w:tc>
          <w:tcPr>
            <w:tcW w:w="6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742,656</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733,463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100" w:type="dxa"/>
            <w:vAlign w:val="bottom"/>
          </w:tcPr>
          <w:p>
            <w:pPr>
              <w:spacing w:after="0"/>
              <w:rPr>
                <w:sz w:val="12"/>
                <w:szCs w:val="12"/>
                <w:color w:val="auto"/>
              </w:rPr>
            </w:pPr>
          </w:p>
        </w:tc>
        <w:tc>
          <w:tcPr>
            <w:tcW w:w="45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Weighted average dilutive common shares</w:t>
            </w:r>
          </w:p>
        </w:tc>
        <w:tc>
          <w:tcPr>
            <w:tcW w:w="62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52,209,541</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52,104,994</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52,294,982</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52,088,239</w:t>
            </w:r>
          </w:p>
        </w:tc>
      </w:tr>
      <w:tr>
        <w:trPr>
          <w:trHeight w:val="140"/>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40" w:type="dxa"/>
            <w:vAlign w:val="bottom"/>
          </w:tcPr>
          <w:p>
            <w:pPr>
              <w:ind w:left="220"/>
              <w:spacing w:after="0" w:line="124" w:lineRule="exact"/>
              <w:rPr>
                <w:sz w:val="20"/>
                <w:szCs w:val="20"/>
                <w:color w:val="auto"/>
              </w:rPr>
            </w:pPr>
            <w:r>
              <w:rPr>
                <w:rFonts w:ascii="Arial" w:cs="Arial" w:eastAsia="Arial" w:hAnsi="Arial"/>
                <w:sz w:val="12"/>
                <w:szCs w:val="12"/>
                <w:color w:val="auto"/>
              </w:rPr>
              <w:t>Diluted earnings (loss) per share</w:t>
            </w:r>
          </w:p>
        </w:tc>
        <w:tc>
          <w:tcPr>
            <w:tcW w:w="620" w:type="dxa"/>
            <w:vAlign w:val="bottom"/>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980" w:type="dxa"/>
            <w:vAlign w:val="bottom"/>
          </w:tcPr>
          <w:p>
            <w:pPr>
              <w:jc w:val="right"/>
              <w:spacing w:after="0" w:line="124" w:lineRule="exact"/>
              <w:rPr>
                <w:sz w:val="20"/>
                <w:szCs w:val="20"/>
                <w:color w:val="auto"/>
              </w:rPr>
            </w:pPr>
            <w:r>
              <w:rPr>
                <w:rFonts w:ascii="Arial" w:cs="Arial" w:eastAsia="Arial" w:hAnsi="Arial"/>
                <w:sz w:val="12"/>
                <w:szCs w:val="12"/>
                <w:color w:val="auto"/>
              </w:rPr>
              <w:t>0.30</w:t>
            </w:r>
          </w:p>
        </w:tc>
        <w:tc>
          <w:tcPr>
            <w:tcW w:w="84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24" w:lineRule="exact"/>
              <w:rPr>
                <w:sz w:val="20"/>
                <w:szCs w:val="20"/>
                <w:color w:val="auto"/>
              </w:rPr>
            </w:pPr>
            <w:r>
              <w:rPr>
                <w:rFonts w:ascii="Arial" w:cs="Arial" w:eastAsia="Arial" w:hAnsi="Arial"/>
                <w:sz w:val="12"/>
                <w:szCs w:val="12"/>
                <w:color w:val="auto"/>
              </w:rPr>
              <w:t>(0.14)</w:t>
            </w:r>
          </w:p>
        </w:tc>
        <w:tc>
          <w:tcPr>
            <w:tcW w:w="80" w:type="dxa"/>
            <w:vAlign w:val="bottom"/>
          </w:tcPr>
          <w:p>
            <w:pPr>
              <w:spacing w:after="0"/>
              <w:rPr>
                <w:sz w:val="12"/>
                <w:szCs w:val="12"/>
                <w:color w:val="auto"/>
              </w:rPr>
            </w:pPr>
          </w:p>
        </w:tc>
        <w:tc>
          <w:tcPr>
            <w:tcW w:w="620" w:type="dxa"/>
            <w:vAlign w:val="bottom"/>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24" w:lineRule="exact"/>
              <w:rPr>
                <w:sz w:val="20"/>
                <w:szCs w:val="20"/>
                <w:color w:val="auto"/>
              </w:rPr>
            </w:pPr>
            <w:r>
              <w:rPr>
                <w:rFonts w:ascii="Arial" w:cs="Arial" w:eastAsia="Arial" w:hAnsi="Arial"/>
                <w:sz w:val="12"/>
                <w:szCs w:val="12"/>
                <w:color w:val="auto"/>
              </w:rPr>
              <w:t>0.53</w:t>
            </w:r>
          </w:p>
        </w:tc>
        <w:tc>
          <w:tcPr>
            <w:tcW w:w="820" w:type="dxa"/>
            <w:vAlign w:val="bottom"/>
            <w:gridSpan w:val="3"/>
          </w:tcPr>
          <w:p>
            <w:pPr>
              <w:jc w:val="right"/>
              <w:ind w:right="320"/>
              <w:spacing w:after="0" w:line="124" w:lineRule="exact"/>
              <w:rPr>
                <w:sz w:val="20"/>
                <w:szCs w:val="20"/>
                <w:color w:val="auto"/>
              </w:rPr>
            </w:pPr>
            <w:r>
              <w:rPr>
                <w:rFonts w:ascii="Arial" w:cs="Arial" w:eastAsia="Arial" w:hAnsi="Arial"/>
                <w:sz w:val="12"/>
                <w:szCs w:val="12"/>
                <w:color w:val="auto"/>
              </w:rPr>
              <w:t>$</w:t>
            </w:r>
          </w:p>
        </w:tc>
        <w:tc>
          <w:tcPr>
            <w:tcW w:w="880" w:type="dxa"/>
            <w:vAlign w:val="bottom"/>
          </w:tcPr>
          <w:p>
            <w:pPr>
              <w:jc w:val="right"/>
              <w:spacing w:after="0" w:line="124" w:lineRule="exact"/>
              <w:rPr>
                <w:sz w:val="20"/>
                <w:szCs w:val="20"/>
                <w:color w:val="auto"/>
              </w:rPr>
            </w:pPr>
            <w:r>
              <w:rPr>
                <w:rFonts w:ascii="Arial" w:cs="Arial" w:eastAsia="Arial" w:hAnsi="Arial"/>
                <w:sz w:val="12"/>
                <w:szCs w:val="12"/>
                <w:color w:val="auto"/>
              </w:rPr>
              <w:t>(0.07)</w:t>
            </w:r>
          </w:p>
        </w:tc>
      </w:tr>
      <w:tr>
        <w:trPr>
          <w:trHeight w:val="153"/>
        </w:trPr>
        <w:tc>
          <w:tcPr>
            <w:tcW w:w="100" w:type="dxa"/>
            <w:vAlign w:val="bottom"/>
          </w:tcPr>
          <w:p>
            <w:pPr>
              <w:spacing w:after="0"/>
              <w:rPr>
                <w:sz w:val="13"/>
                <w:szCs w:val="13"/>
                <w:color w:val="auto"/>
              </w:rPr>
            </w:pPr>
          </w:p>
        </w:tc>
        <w:tc>
          <w:tcPr>
            <w:tcW w:w="4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Stock-based awards not included because to do so would be antidilutive</w:t>
            </w:r>
          </w:p>
        </w:tc>
        <w:tc>
          <w:tcPr>
            <w:tcW w:w="6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417,950</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2,417,205</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639,887</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2,417,205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2" w:name="page13"/>
    <w:bookmarkEnd w:id="12"/>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3:</w:t>
      </w:r>
      <w:r>
        <w:rPr>
          <w:sz w:val="20"/>
          <w:szCs w:val="20"/>
          <w:color w:val="auto"/>
        </w:rPr>
        <w:tab/>
      </w:r>
      <w:r>
        <w:rPr>
          <w:rFonts w:ascii="Arial" w:cs="Arial" w:eastAsia="Arial" w:hAnsi="Arial"/>
          <w:sz w:val="12"/>
          <w:szCs w:val="12"/>
          <w:b w:val="1"/>
          <w:bCs w:val="1"/>
          <w:color w:val="auto"/>
        </w:rPr>
        <w:t>Securities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amortized cost and approximate fair values, together with gross unrealized gains and losses, of period-end available-for-sale securities consisted of the following:</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38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2"/>
                <w:szCs w:val="12"/>
                <w:b w:val="1"/>
                <w:bCs w:val="1"/>
                <w:color w:val="auto"/>
                <w:w w:val="89"/>
              </w:rPr>
              <w:t>June 30, 2021</w:t>
            </w: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Gross Unrealized Gains</w:t>
            </w: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8"/>
              </w:rPr>
              <w:t>Gross Unrealized Losses</w:t>
            </w: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3"/>
              </w:rPr>
              <w:t>Approximate Fair Value</w:t>
            </w:r>
          </w:p>
        </w:tc>
      </w:tr>
      <w:tr>
        <w:trPr>
          <w:trHeight w:val="131"/>
        </w:trPr>
        <w:tc>
          <w:tcPr>
            <w:tcW w:w="3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80" w:type="dxa"/>
            <w:vAlign w:val="bottom"/>
            <w:gridSpan w:val="5"/>
          </w:tcPr>
          <w:p>
            <w:pPr>
              <w:jc w:val="center"/>
              <w:ind w:right="180"/>
              <w:spacing w:after="0"/>
              <w:rPr>
                <w:sz w:val="20"/>
                <w:szCs w:val="20"/>
                <w:color w:val="auto"/>
              </w:rPr>
            </w:pPr>
            <w:r>
              <w:rPr>
                <w:rFonts w:ascii="Arial" w:cs="Arial" w:eastAsia="Arial" w:hAnsi="Arial"/>
                <w:sz w:val="11"/>
                <w:szCs w:val="11"/>
                <w:i w:val="1"/>
                <w:iCs w:val="1"/>
                <w:color w:val="auto"/>
                <w:w w:val="91"/>
              </w:rPr>
              <w:t>(Dollars in thousands)</w:t>
            </w:r>
          </w:p>
        </w:tc>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55"/>
        </w:trPr>
        <w:tc>
          <w:tcPr>
            <w:tcW w:w="386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Available-for-sale securities</w:t>
            </w:r>
          </w:p>
        </w:tc>
        <w:tc>
          <w:tcPr>
            <w:tcW w:w="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53"/>
        </w:trPr>
        <w:tc>
          <w:tcPr>
            <w:tcW w:w="3860" w:type="dxa"/>
            <w:vAlign w:val="bottom"/>
          </w:tcPr>
          <w:p>
            <w:pPr>
              <w:ind w:left="480"/>
              <w:spacing w:after="0"/>
              <w:rPr>
                <w:sz w:val="20"/>
                <w:szCs w:val="20"/>
                <w:color w:val="auto"/>
              </w:rPr>
            </w:pPr>
            <w:r>
              <w:rPr>
                <w:rFonts w:ascii="Arial" w:cs="Arial" w:eastAsia="Arial" w:hAnsi="Arial"/>
                <w:sz w:val="12"/>
                <w:szCs w:val="12"/>
                <w:color w:val="auto"/>
              </w:rPr>
              <w:t>Mortgage-backed - GSE residential</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144,087</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2,519</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902</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145,704</w:t>
            </w:r>
          </w:p>
        </w:tc>
      </w:tr>
      <w:tr>
        <w:trPr>
          <w:trHeight w:val="153"/>
        </w:trPr>
        <w:tc>
          <w:tcPr>
            <w:tcW w:w="38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Collateralized mortgage obligations - GSE residential</w:t>
            </w:r>
          </w:p>
        </w:tc>
        <w:tc>
          <w:tcPr>
            <w:tcW w:w="5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28,435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29,030</w:t>
            </w:r>
          </w:p>
        </w:tc>
      </w:tr>
      <w:tr>
        <w:trPr>
          <w:trHeight w:val="153"/>
        </w:trPr>
        <w:tc>
          <w:tcPr>
            <w:tcW w:w="3860" w:type="dxa"/>
            <w:vAlign w:val="bottom"/>
          </w:tcPr>
          <w:p>
            <w:pPr>
              <w:ind w:left="480"/>
              <w:spacing w:after="0"/>
              <w:rPr>
                <w:sz w:val="20"/>
                <w:szCs w:val="20"/>
                <w:color w:val="auto"/>
              </w:rPr>
            </w:pPr>
            <w:r>
              <w:rPr>
                <w:rFonts w:ascii="Arial" w:cs="Arial" w:eastAsia="Arial" w:hAnsi="Arial"/>
                <w:sz w:val="12"/>
                <w:szCs w:val="12"/>
                <w:color w:val="auto"/>
              </w:rPr>
              <w:t>State and political subdivisions</w:t>
            </w:r>
          </w:p>
        </w:tc>
        <w:tc>
          <w:tcPr>
            <w:tcW w:w="5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500,051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33,509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358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533,202</w:t>
            </w:r>
          </w:p>
        </w:tc>
      </w:tr>
      <w:tr>
        <w:trPr>
          <w:trHeight w:val="153"/>
        </w:trPr>
        <w:tc>
          <w:tcPr>
            <w:tcW w:w="3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Corporate bonds</w:t>
            </w:r>
          </w:p>
        </w:tc>
        <w:tc>
          <w:tcPr>
            <w:tcW w:w="5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4,250</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4,281</w:t>
            </w:r>
          </w:p>
        </w:tc>
      </w:tr>
      <w:tr>
        <w:trPr>
          <w:trHeight w:val="142"/>
        </w:trPr>
        <w:tc>
          <w:tcPr>
            <w:tcW w:w="3860" w:type="dxa"/>
            <w:vAlign w:val="bottom"/>
          </w:tcPr>
          <w:p>
            <w:pPr>
              <w:ind w:left="340"/>
              <w:spacing w:after="0"/>
              <w:rPr>
                <w:sz w:val="20"/>
                <w:szCs w:val="20"/>
                <w:color w:val="auto"/>
              </w:rPr>
            </w:pPr>
            <w:r>
              <w:rPr>
                <w:rFonts w:ascii="Arial" w:cs="Arial" w:eastAsia="Arial" w:hAnsi="Arial"/>
                <w:sz w:val="12"/>
                <w:szCs w:val="12"/>
                <w:color w:val="auto"/>
              </w:rPr>
              <w:t>Total available-for-sale securities</w:t>
            </w: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676,823</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36,742</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1,348</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712,217</w:t>
            </w:r>
          </w:p>
        </w:tc>
      </w:tr>
      <w:tr>
        <w:trPr>
          <w:trHeight w:val="20"/>
        </w:trPr>
        <w:tc>
          <w:tcPr>
            <w:tcW w:w="3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2"/>
                <w:szCs w:val="12"/>
                <w:b w:val="1"/>
                <w:bCs w:val="1"/>
                <w:color w:val="auto"/>
              </w:rPr>
              <w:t>December 31, 2020</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Amortized Cost</w:t>
            </w: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Gross Unrealized Gains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Gross Unrealized Losses</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5"/>
              </w:rPr>
              <w:t>Approximate Fair Value</w:t>
            </w:r>
          </w:p>
        </w:tc>
      </w:tr>
      <w:tr>
        <w:trPr>
          <w:trHeight w:val="131"/>
        </w:trPr>
        <w:tc>
          <w:tcPr>
            <w:tcW w:w="10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Available-for-sale securities</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2"/>
                <w:szCs w:val="12"/>
                <w:color w:val="auto"/>
              </w:rPr>
              <w:t>Mortgage-backed - GSE residential</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104,839</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4,277</w:t>
            </w:r>
          </w:p>
        </w:tc>
        <w:tc>
          <w:tcPr>
            <w:tcW w:w="80" w:type="dxa"/>
            <w:vAlign w:val="bottom"/>
          </w:tcPr>
          <w:p>
            <w:pPr>
              <w:spacing w:after="0"/>
              <w:rPr>
                <w:sz w:val="13"/>
                <w:szCs w:val="13"/>
                <w:color w:val="auto"/>
              </w:rPr>
            </w:pPr>
          </w:p>
        </w:tc>
        <w:tc>
          <w:tcPr>
            <w:tcW w:w="1440" w:type="dxa"/>
            <w:vAlign w:val="bottom"/>
          </w:tcPr>
          <w:p>
            <w:pPr>
              <w:jc w:val="right"/>
              <w:ind w:right="1300"/>
              <w:spacing w:after="0"/>
              <w:rPr>
                <w:sz w:val="20"/>
                <w:szCs w:val="20"/>
                <w:color w:val="auto"/>
              </w:rPr>
            </w:pPr>
            <w:r>
              <w:rPr>
                <w:rFonts w:ascii="Arial" w:cs="Arial" w:eastAsia="Arial" w:hAnsi="Arial"/>
                <w:sz w:val="12"/>
                <w:szCs w:val="12"/>
                <w:color w:val="auto"/>
                <w:w w:val="89"/>
              </w:rPr>
              <w:t>$</w:t>
            </w: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109,116</w:t>
            </w:r>
          </w:p>
        </w:tc>
      </w:tr>
      <w:tr>
        <w:trPr>
          <w:trHeight w:val="153"/>
        </w:trPr>
        <w:tc>
          <w:tcPr>
            <w:tcW w:w="100" w:type="dxa"/>
            <w:vAlign w:val="bottom"/>
          </w:tcPr>
          <w:p>
            <w:pPr>
              <w:spacing w:after="0"/>
              <w:rPr>
                <w:sz w:val="13"/>
                <w:szCs w:val="13"/>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Collateralized mortgage obligations - GSE residential</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52,070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984</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53,012</w:t>
            </w:r>
          </w:p>
        </w:tc>
      </w:tr>
      <w:tr>
        <w:trPr>
          <w:trHeight w:val="153"/>
        </w:trPr>
        <w:tc>
          <w:tcPr>
            <w:tcW w:w="10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2"/>
                <w:szCs w:val="12"/>
                <w:color w:val="auto"/>
              </w:rPr>
              <w:t>State and political subdivisions</w:t>
            </w:r>
          </w:p>
        </w:tc>
        <w:tc>
          <w:tcPr>
            <w:tcW w:w="2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454,486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33,642</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488,097</w:t>
            </w:r>
          </w:p>
        </w:tc>
      </w:tr>
      <w:tr>
        <w:trPr>
          <w:trHeight w:val="153"/>
        </w:trPr>
        <w:tc>
          <w:tcPr>
            <w:tcW w:w="100" w:type="dxa"/>
            <w:vAlign w:val="bottom"/>
          </w:tcPr>
          <w:p>
            <w:pPr>
              <w:spacing w:after="0"/>
              <w:rPr>
                <w:sz w:val="13"/>
                <w:szCs w:val="1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Corporate bonds</w:t>
            </w: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4,363</w:t>
            </w:r>
          </w:p>
        </w:tc>
      </w:tr>
      <w:tr>
        <w:trPr>
          <w:trHeight w:val="142"/>
        </w:trPr>
        <w:tc>
          <w:tcPr>
            <w:tcW w:w="10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Total available-for-sale securities</w:t>
            </w: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615,654</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39,007</w:t>
            </w:r>
          </w:p>
        </w:tc>
        <w:tc>
          <w:tcPr>
            <w:tcW w:w="8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1300"/>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654,588</w:t>
            </w:r>
          </w:p>
        </w:tc>
      </w:tr>
      <w:tr>
        <w:trPr>
          <w:trHeight w:val="20"/>
        </w:trPr>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52"/>
        </w:trPr>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20"/>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44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860" w:type="dxa"/>
            <w:vAlign w:val="bottom"/>
            <w:tcBorders>
              <w:bottom w:val="single" w:sz="8" w:color="0000FF"/>
            </w:tcBorders>
            <w:gridSpan w:val="2"/>
          </w:tcPr>
          <w:p>
            <w:pPr>
              <w:spacing w:after="0"/>
              <w:rPr>
                <w:rFonts w:ascii="Arial" w:cs="Arial" w:eastAsia="Arial" w:hAnsi="Arial"/>
                <w:sz w:val="12"/>
                <w:szCs w:val="12"/>
                <w:color w:val="0000FF"/>
                <w:w w:val="88"/>
              </w:rPr>
            </w:pPr>
            <w:hyperlink w:anchor="page1">
              <w:r>
                <w:rPr>
                  <w:rFonts w:ascii="Arial" w:cs="Arial" w:eastAsia="Arial" w:hAnsi="Arial"/>
                  <w:sz w:val="12"/>
                  <w:szCs w:val="12"/>
                  <w:color w:val="0000FF"/>
                  <w:w w:val="88"/>
                </w:rPr>
                <w:t>Table of Contents</w:t>
              </w:r>
            </w:hyperlink>
          </w:p>
        </w:tc>
        <w:tc>
          <w:tcPr>
            <w:tcW w:w="1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6"/>
          </w:tcPr>
          <w:p>
            <w:pPr>
              <w:jc w:val="right"/>
              <w:ind w:right="460"/>
              <w:spacing w:after="0"/>
              <w:rPr>
                <w:sz w:val="20"/>
                <w:szCs w:val="20"/>
                <w:color w:val="auto"/>
              </w:rPr>
            </w:pPr>
            <w:r>
              <w:rPr>
                <w:rFonts w:ascii="Arial" w:cs="Arial" w:eastAsia="Arial" w:hAnsi="Arial"/>
                <w:sz w:val="12"/>
                <w:szCs w:val="12"/>
                <w:color w:val="auto"/>
                <w:w w:val="96"/>
              </w:rPr>
              <w:t>Notes to Consolidated Financial Statements (unaudited)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511"/>
        </w:trPr>
        <w:tc>
          <w:tcPr>
            <w:tcW w:w="100" w:type="dxa"/>
            <w:vAlign w:val="bottom"/>
          </w:tcPr>
          <w:p>
            <w:pPr>
              <w:spacing w:after="0"/>
              <w:rPr>
                <w:sz w:val="24"/>
                <w:szCs w:val="24"/>
                <w:color w:val="auto"/>
              </w:rPr>
            </w:pPr>
          </w:p>
        </w:tc>
        <w:tc>
          <w:tcPr>
            <w:tcW w:w="6360" w:type="dxa"/>
            <w:vAlign w:val="bottom"/>
            <w:gridSpan w:val="11"/>
          </w:tcPr>
          <w:p>
            <w:pPr>
              <w:ind w:left="320"/>
              <w:spacing w:after="0"/>
              <w:rPr>
                <w:sz w:val="20"/>
                <w:szCs w:val="20"/>
                <w:color w:val="auto"/>
              </w:rPr>
            </w:pPr>
            <w:r>
              <w:rPr>
                <w:rFonts w:ascii="Arial" w:cs="Arial" w:eastAsia="Arial" w:hAnsi="Arial"/>
                <w:sz w:val="12"/>
                <w:szCs w:val="12"/>
                <w:color w:val="auto"/>
                <w:w w:val="91"/>
              </w:rPr>
              <w:t>The amortized cost and fair value of available-for-sale securities at June 30, 2021, by contractual maturity, are shown below:</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71"/>
        </w:trPr>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June 30, 2021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38"/>
        </w:trPr>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160"/>
              <w:spacing w:after="0"/>
              <w:rPr>
                <w:sz w:val="20"/>
                <w:szCs w:val="20"/>
                <w:color w:val="auto"/>
              </w:rPr>
            </w:pPr>
            <w:r>
              <w:rPr>
                <w:rFonts w:ascii="Arial" w:cs="Arial" w:eastAsia="Arial" w:hAnsi="Arial"/>
                <w:sz w:val="12"/>
                <w:szCs w:val="12"/>
                <w:b w:val="1"/>
                <w:bCs w:val="1"/>
                <w:color w:val="auto"/>
              </w:rPr>
              <w:t>Within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b w:val="1"/>
                <w:bCs w:val="1"/>
                <w:color w:val="auto"/>
              </w:rPr>
              <w:t>After One to</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jc w:val="right"/>
              <w:ind w:right="220"/>
              <w:spacing w:after="0"/>
              <w:rPr>
                <w:sz w:val="20"/>
                <w:szCs w:val="20"/>
                <w:color w:val="auto"/>
              </w:rPr>
            </w:pPr>
            <w:r>
              <w:rPr>
                <w:rFonts w:ascii="Arial" w:cs="Arial" w:eastAsia="Arial" w:hAnsi="Arial"/>
                <w:sz w:val="12"/>
                <w:szCs w:val="12"/>
                <w:b w:val="1"/>
                <w:bCs w:val="1"/>
                <w:color w:val="auto"/>
              </w:rPr>
              <w:t>After Five to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240"/>
              <w:spacing w:after="0"/>
              <w:rPr>
                <w:sz w:val="20"/>
                <w:szCs w:val="20"/>
                <w:color w:val="auto"/>
              </w:rPr>
            </w:pPr>
            <w:r>
              <w:rPr>
                <w:rFonts w:ascii="Arial" w:cs="Arial" w:eastAsia="Arial" w:hAnsi="Arial"/>
                <w:sz w:val="12"/>
                <w:szCs w:val="12"/>
                <w:b w:val="1"/>
                <w:bCs w:val="1"/>
                <w:color w:val="auto"/>
              </w:rPr>
              <w:t>After</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57"/>
        </w:trPr>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One Year</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Five Years</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Ten Years</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Ten Years</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Total</w:t>
            </w:r>
          </w:p>
        </w:tc>
        <w:tc>
          <w:tcPr>
            <w:tcW w:w="300" w:type="dxa"/>
            <w:vAlign w:val="bottom"/>
            <w:tcBorders>
              <w:bottom w:val="single" w:sz="8" w:color="auto"/>
            </w:tcBorders>
          </w:tcPr>
          <w:p>
            <w:pPr>
              <w:spacing w:after="0"/>
              <w:rPr>
                <w:sz w:val="13"/>
                <w:szCs w:val="13"/>
                <w:color w:val="auto"/>
              </w:rPr>
            </w:pPr>
          </w:p>
        </w:tc>
      </w:tr>
      <w:tr>
        <w:trPr>
          <w:trHeight w:val="131"/>
        </w:trPr>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i w:val="1"/>
                <w:iCs w:val="1"/>
                <w:color w:val="auto"/>
                <w:w w:val="93"/>
              </w:rPr>
              <w:t>(Dollars 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2280" w:type="dxa"/>
            <w:vAlign w:val="bottom"/>
            <w:gridSpan w:val="2"/>
            <w:shd w:val="clear" w:color="auto" w:fill="CCEEFF"/>
          </w:tcPr>
          <w:p>
            <w:pPr>
              <w:ind w:left="340"/>
              <w:spacing w:after="0"/>
              <w:rPr>
                <w:sz w:val="20"/>
                <w:szCs w:val="20"/>
                <w:color w:val="auto"/>
              </w:rPr>
            </w:pPr>
            <w:r>
              <w:rPr>
                <w:rFonts w:ascii="Arial" w:cs="Arial" w:eastAsia="Arial" w:hAnsi="Arial"/>
                <w:sz w:val="12"/>
                <w:szCs w:val="12"/>
                <w:b w:val="1"/>
                <w:bCs w:val="1"/>
                <w:color w:val="auto"/>
              </w:rPr>
              <w:t>Available-for-sale securities</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tcPr>
          <w:p>
            <w:pPr>
              <w:ind w:left="420"/>
              <w:spacing w:after="0" w:line="153" w:lineRule="exact"/>
              <w:rPr>
                <w:sz w:val="20"/>
                <w:szCs w:val="20"/>
                <w:color w:val="auto"/>
              </w:rPr>
            </w:pPr>
            <w:r>
              <w:rPr>
                <w:rFonts w:ascii="Arial" w:cs="Arial" w:eastAsia="Arial" w:hAnsi="Arial"/>
                <w:sz w:val="12"/>
                <w:szCs w:val="12"/>
                <w:color w:val="auto"/>
                <w:w w:val="92"/>
              </w:rPr>
              <w:t>Mortgage-backed - GSE residential</w:t>
            </w:r>
            <w:r>
              <w:rPr>
                <w:rFonts w:ascii="Arial" w:cs="Arial" w:eastAsia="Arial" w:hAnsi="Arial"/>
                <w:sz w:val="15"/>
                <w:szCs w:val="15"/>
                <w:color w:val="auto"/>
                <w:w w:val="92"/>
                <w:vertAlign w:val="superscript"/>
              </w:rPr>
              <w:t>(1)</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Amortized cost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40</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181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143,866</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144,087</w:t>
            </w:r>
          </w:p>
        </w:tc>
        <w:tc>
          <w:tcPr>
            <w:tcW w:w="30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tcPr>
          <w:p>
            <w:pPr>
              <w:ind w:left="540"/>
              <w:spacing w:after="0"/>
              <w:rPr>
                <w:sz w:val="20"/>
                <w:szCs w:val="20"/>
                <w:color w:val="auto"/>
              </w:rPr>
            </w:pPr>
            <w:r>
              <w:rPr>
                <w:rFonts w:ascii="Arial" w:cs="Arial" w:eastAsia="Arial" w:hAnsi="Arial"/>
                <w:sz w:val="12"/>
                <w:szCs w:val="12"/>
                <w:color w:val="auto"/>
              </w:rPr>
              <w:t>Estimated fair value</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42</w:t>
            </w:r>
          </w:p>
        </w:tc>
        <w:tc>
          <w:tcPr>
            <w:tcW w:w="9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300"/>
              <w:spacing w:after="0"/>
              <w:rPr>
                <w:sz w:val="20"/>
                <w:szCs w:val="20"/>
                <w:color w:val="auto"/>
              </w:rPr>
            </w:pPr>
            <w:r>
              <w:rPr>
                <w:rFonts w:ascii="Arial" w:cs="Arial" w:eastAsia="Arial" w:hAnsi="Arial"/>
                <w:sz w:val="12"/>
                <w:szCs w:val="12"/>
                <w:color w:val="auto"/>
              </w:rPr>
              <w:t>195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145,467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145,704</w:t>
            </w: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line="153" w:lineRule="exact"/>
              <w:rPr>
                <w:sz w:val="20"/>
                <w:szCs w:val="20"/>
                <w:color w:val="auto"/>
              </w:rPr>
            </w:pPr>
            <w:r>
              <w:rPr>
                <w:rFonts w:ascii="Arial" w:cs="Arial" w:eastAsia="Arial" w:hAnsi="Arial"/>
                <w:sz w:val="12"/>
                <w:szCs w:val="12"/>
                <w:color w:val="auto"/>
              </w:rPr>
              <w:t>Weighted average yield</w:t>
            </w:r>
            <w:r>
              <w:rPr>
                <w:rFonts w:ascii="Arial" w:cs="Arial" w:eastAsia="Arial" w:hAnsi="Arial"/>
                <w:sz w:val="15"/>
                <w:szCs w:val="15"/>
                <w:color w:val="auto"/>
                <w:vertAlign w:val="superscript"/>
              </w:rPr>
              <w:t>(2)</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4.62</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3.98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1.73</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1.73</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17"/>
        </w:trPr>
        <w:tc>
          <w:tcPr>
            <w:tcW w:w="100" w:type="dxa"/>
            <w:vAlign w:val="bottom"/>
          </w:tcPr>
          <w:p>
            <w:pPr>
              <w:spacing w:after="0"/>
              <w:rPr>
                <w:sz w:val="10"/>
                <w:szCs w:val="10"/>
                <w:color w:val="auto"/>
              </w:rPr>
            </w:pPr>
          </w:p>
        </w:tc>
        <w:tc>
          <w:tcPr>
            <w:tcW w:w="2280" w:type="dxa"/>
            <w:vAlign w:val="bottom"/>
            <w:gridSpan w:val="2"/>
          </w:tcPr>
          <w:p>
            <w:pPr>
              <w:ind w:left="100"/>
              <w:spacing w:after="0" w:line="117" w:lineRule="exact"/>
              <w:rPr>
                <w:sz w:val="20"/>
                <w:szCs w:val="20"/>
                <w:color w:val="auto"/>
              </w:rPr>
            </w:pPr>
            <w:r>
              <w:rPr>
                <w:rFonts w:ascii="Arial" w:cs="Arial" w:eastAsia="Arial" w:hAnsi="Arial"/>
                <w:sz w:val="12"/>
                <w:szCs w:val="12"/>
                <w:color w:val="auto"/>
                <w:w w:val="96"/>
              </w:rPr>
              <w:t>Collateralized mortgage obligations - GSE</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tcPr>
          <w:p>
            <w:pPr>
              <w:ind w:left="200"/>
              <w:spacing w:after="0" w:line="153" w:lineRule="exact"/>
              <w:rPr>
                <w:sz w:val="20"/>
                <w:szCs w:val="20"/>
                <w:color w:val="auto"/>
              </w:rPr>
            </w:pPr>
            <w:r>
              <w:rPr>
                <w:rFonts w:ascii="Arial" w:cs="Arial" w:eastAsia="Arial" w:hAnsi="Arial"/>
                <w:sz w:val="12"/>
                <w:szCs w:val="12"/>
                <w:color w:val="auto"/>
              </w:rPr>
              <w:t>residential</w:t>
            </w:r>
            <w:r>
              <w:rPr>
                <w:rFonts w:ascii="Arial" w:cs="Arial" w:eastAsia="Arial" w:hAnsi="Arial"/>
                <w:sz w:val="15"/>
                <w:szCs w:val="15"/>
                <w:color w:val="auto"/>
                <w:vertAlign w:val="superscript"/>
              </w:rPr>
              <w:t>(1)</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Amortized cost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2,454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25,981</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28,435</w:t>
            </w:r>
          </w:p>
        </w:tc>
        <w:tc>
          <w:tcPr>
            <w:tcW w:w="30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tcPr>
          <w:p>
            <w:pPr>
              <w:ind w:left="540"/>
              <w:spacing w:after="0"/>
              <w:rPr>
                <w:sz w:val="20"/>
                <w:szCs w:val="20"/>
                <w:color w:val="auto"/>
              </w:rPr>
            </w:pPr>
            <w:r>
              <w:rPr>
                <w:rFonts w:ascii="Arial" w:cs="Arial" w:eastAsia="Arial" w:hAnsi="Arial"/>
                <w:sz w:val="12"/>
                <w:szCs w:val="12"/>
                <w:color w:val="auto"/>
              </w:rPr>
              <w:t>Estimated fair value</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300"/>
              <w:spacing w:after="0"/>
              <w:rPr>
                <w:sz w:val="20"/>
                <w:szCs w:val="20"/>
                <w:color w:val="auto"/>
              </w:rPr>
            </w:pPr>
            <w:r>
              <w:rPr>
                <w:rFonts w:ascii="Arial" w:cs="Arial" w:eastAsia="Arial" w:hAnsi="Arial"/>
                <w:sz w:val="12"/>
                <w:szCs w:val="12"/>
                <w:color w:val="auto"/>
              </w:rPr>
              <w:t>2,643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26,387</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29,030</w:t>
            </w: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line="153" w:lineRule="exact"/>
              <w:rPr>
                <w:sz w:val="20"/>
                <w:szCs w:val="20"/>
                <w:color w:val="auto"/>
              </w:rPr>
            </w:pPr>
            <w:r>
              <w:rPr>
                <w:rFonts w:ascii="Arial" w:cs="Arial" w:eastAsia="Arial" w:hAnsi="Arial"/>
                <w:sz w:val="12"/>
                <w:szCs w:val="12"/>
                <w:color w:val="auto"/>
              </w:rPr>
              <w:t>Weighted average yield</w:t>
            </w:r>
            <w:r>
              <w:rPr>
                <w:rFonts w:ascii="Arial" w:cs="Arial" w:eastAsia="Arial" w:hAnsi="Arial"/>
                <w:sz w:val="15"/>
                <w:szCs w:val="15"/>
                <w:color w:val="auto"/>
                <w:vertAlign w:val="superscript"/>
              </w:rPr>
              <w:t>(2)</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2.77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1.31</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1.44</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2280" w:type="dxa"/>
            <w:vAlign w:val="bottom"/>
            <w:gridSpan w:val="2"/>
          </w:tcPr>
          <w:p>
            <w:pPr>
              <w:ind w:left="420"/>
              <w:spacing w:after="0"/>
              <w:rPr>
                <w:sz w:val="20"/>
                <w:szCs w:val="20"/>
                <w:color w:val="auto"/>
              </w:rPr>
            </w:pPr>
            <w:r>
              <w:rPr>
                <w:rFonts w:ascii="Arial" w:cs="Arial" w:eastAsia="Arial" w:hAnsi="Arial"/>
                <w:sz w:val="12"/>
                <w:szCs w:val="12"/>
                <w:color w:val="auto"/>
              </w:rPr>
              <w:t>State and political subdivisions</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Amortized cost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522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5,453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69,778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424,298</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500,051</w:t>
            </w:r>
          </w:p>
        </w:tc>
        <w:tc>
          <w:tcPr>
            <w:tcW w:w="30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tcPr>
          <w:p>
            <w:pPr>
              <w:ind w:left="540"/>
              <w:spacing w:after="0"/>
              <w:rPr>
                <w:sz w:val="20"/>
                <w:szCs w:val="20"/>
                <w:color w:val="auto"/>
              </w:rPr>
            </w:pPr>
            <w:r>
              <w:rPr>
                <w:rFonts w:ascii="Arial" w:cs="Arial" w:eastAsia="Arial" w:hAnsi="Arial"/>
                <w:sz w:val="12"/>
                <w:szCs w:val="12"/>
                <w:color w:val="auto"/>
              </w:rPr>
              <w:t>Estimated fair value</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524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5,547</w:t>
            </w:r>
          </w:p>
        </w:tc>
        <w:tc>
          <w:tcPr>
            <w:tcW w:w="9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300"/>
              <w:spacing w:after="0"/>
              <w:rPr>
                <w:sz w:val="20"/>
                <w:szCs w:val="20"/>
                <w:color w:val="auto"/>
              </w:rPr>
            </w:pPr>
            <w:r>
              <w:rPr>
                <w:rFonts w:ascii="Arial" w:cs="Arial" w:eastAsia="Arial" w:hAnsi="Arial"/>
                <w:sz w:val="12"/>
                <w:szCs w:val="12"/>
                <w:color w:val="auto"/>
              </w:rPr>
              <w:t>75,899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451,232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533,202</w:t>
            </w: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line="153" w:lineRule="exact"/>
              <w:rPr>
                <w:sz w:val="20"/>
                <w:szCs w:val="20"/>
                <w:color w:val="auto"/>
              </w:rPr>
            </w:pPr>
            <w:r>
              <w:rPr>
                <w:rFonts w:ascii="Arial" w:cs="Arial" w:eastAsia="Arial" w:hAnsi="Arial"/>
                <w:sz w:val="12"/>
                <w:szCs w:val="12"/>
                <w:color w:val="auto"/>
              </w:rPr>
              <w:t>Weighted average yield</w:t>
            </w:r>
            <w:r>
              <w:rPr>
                <w:rFonts w:ascii="Arial" w:cs="Arial" w:eastAsia="Arial" w:hAnsi="Arial"/>
                <w:sz w:val="15"/>
                <w:szCs w:val="15"/>
                <w:color w:val="auto"/>
                <w:vertAlign w:val="superscript"/>
              </w:rPr>
              <w:t>(2)</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3.18</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3.80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3.39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2.86</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2.95</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2280" w:type="dxa"/>
            <w:vAlign w:val="bottom"/>
            <w:gridSpan w:val="2"/>
          </w:tcPr>
          <w:p>
            <w:pPr>
              <w:ind w:left="420"/>
              <w:spacing w:after="0"/>
              <w:rPr>
                <w:sz w:val="20"/>
                <w:szCs w:val="20"/>
                <w:color w:val="auto"/>
              </w:rPr>
            </w:pPr>
            <w:r>
              <w:rPr>
                <w:rFonts w:ascii="Arial" w:cs="Arial" w:eastAsia="Arial" w:hAnsi="Arial"/>
                <w:sz w:val="12"/>
                <w:szCs w:val="12"/>
                <w:color w:val="auto"/>
              </w:rPr>
              <w:t>Corporate bonds</w:t>
            </w: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Amortized cost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356</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3,894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4,250</w:t>
            </w:r>
          </w:p>
        </w:tc>
        <w:tc>
          <w:tcPr>
            <w:tcW w:w="30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tcPr>
          <w:p>
            <w:pPr>
              <w:ind w:left="540"/>
              <w:spacing w:after="0"/>
              <w:rPr>
                <w:sz w:val="20"/>
                <w:szCs w:val="20"/>
                <w:color w:val="auto"/>
              </w:rPr>
            </w:pPr>
            <w:r>
              <w:rPr>
                <w:rFonts w:ascii="Arial" w:cs="Arial" w:eastAsia="Arial" w:hAnsi="Arial"/>
                <w:sz w:val="12"/>
                <w:szCs w:val="12"/>
                <w:color w:val="auto"/>
              </w:rPr>
              <w:t>Estimated fair value</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363</w:t>
            </w:r>
          </w:p>
        </w:tc>
        <w:tc>
          <w:tcPr>
            <w:tcW w:w="9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300"/>
              <w:spacing w:after="0"/>
              <w:rPr>
                <w:sz w:val="20"/>
                <w:szCs w:val="20"/>
                <w:color w:val="auto"/>
              </w:rPr>
            </w:pPr>
            <w:r>
              <w:rPr>
                <w:rFonts w:ascii="Arial" w:cs="Arial" w:eastAsia="Arial" w:hAnsi="Arial"/>
                <w:sz w:val="12"/>
                <w:szCs w:val="12"/>
                <w:color w:val="auto"/>
              </w:rPr>
              <w:t>3,918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4,281</w:t>
            </w:r>
          </w:p>
        </w:tc>
        <w:tc>
          <w:tcPr>
            <w:tcW w:w="3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2280" w:type="dxa"/>
            <w:vAlign w:val="bottom"/>
            <w:gridSpan w:val="2"/>
            <w:shd w:val="clear" w:color="auto" w:fill="CCEEFF"/>
          </w:tcPr>
          <w:p>
            <w:pPr>
              <w:ind w:left="540"/>
              <w:spacing w:after="0" w:line="153" w:lineRule="exact"/>
              <w:rPr>
                <w:sz w:val="20"/>
                <w:szCs w:val="20"/>
                <w:color w:val="auto"/>
              </w:rPr>
            </w:pPr>
            <w:r>
              <w:rPr>
                <w:rFonts w:ascii="Arial" w:cs="Arial" w:eastAsia="Arial" w:hAnsi="Arial"/>
                <w:sz w:val="12"/>
                <w:szCs w:val="12"/>
                <w:color w:val="auto"/>
              </w:rPr>
              <w:t>Weighted average yield</w:t>
            </w:r>
            <w:r>
              <w:rPr>
                <w:rFonts w:ascii="Arial" w:cs="Arial" w:eastAsia="Arial" w:hAnsi="Arial"/>
                <w:sz w:val="15"/>
                <w:szCs w:val="15"/>
                <w:color w:val="auto"/>
                <w:vertAlign w:val="superscript"/>
              </w:rPr>
              <w:t>(2)</w:t>
            </w: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4.22</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4.53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4.51</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2280" w:type="dxa"/>
            <w:vAlign w:val="bottom"/>
            <w:tcBorders>
              <w:bottom w:val="single" w:sz="8" w:color="CCEEFF"/>
            </w:tcBorders>
            <w:gridSpan w:val="2"/>
          </w:tcPr>
          <w:p>
            <w:pPr>
              <w:ind w:left="420"/>
              <w:spacing w:after="0"/>
              <w:rPr>
                <w:sz w:val="20"/>
                <w:szCs w:val="20"/>
                <w:color w:val="auto"/>
              </w:rPr>
            </w:pPr>
            <w:r>
              <w:rPr>
                <w:rFonts w:ascii="Arial" w:cs="Arial" w:eastAsia="Arial" w:hAnsi="Arial"/>
                <w:sz w:val="12"/>
                <w:szCs w:val="12"/>
                <w:color w:val="auto"/>
              </w:rPr>
              <w:t>Total available-for-sale securities</w:t>
            </w: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r>
      <w:tr>
        <w:trPr>
          <w:trHeight w:val="158"/>
        </w:trPr>
        <w:tc>
          <w:tcPr>
            <w:tcW w:w="100" w:type="dxa"/>
            <w:vAlign w:val="bottom"/>
          </w:tcPr>
          <w:p>
            <w:pPr>
              <w:spacing w:after="0"/>
              <w:rPr>
                <w:sz w:val="13"/>
                <w:szCs w:val="13"/>
                <w:color w:val="auto"/>
              </w:rPr>
            </w:pPr>
          </w:p>
        </w:tc>
        <w:tc>
          <w:tcPr>
            <w:tcW w:w="22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2"/>
                <w:szCs w:val="12"/>
                <w:color w:val="auto"/>
              </w:rPr>
              <w:t>Amortized cost</w:t>
            </w:r>
          </w:p>
        </w:tc>
        <w:tc>
          <w:tcPr>
            <w:tcW w:w="5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522</w:t>
            </w:r>
          </w:p>
        </w:tc>
        <w:tc>
          <w:tcPr>
            <w:tcW w:w="2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5,849</w:t>
            </w: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76,307</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594,145</w:t>
            </w:r>
          </w:p>
        </w:tc>
        <w:tc>
          <w:tcPr>
            <w:tcW w:w="3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676,823</w:t>
            </w:r>
          </w:p>
        </w:tc>
        <w:tc>
          <w:tcPr>
            <w:tcW w:w="300" w:type="dxa"/>
            <w:vAlign w:val="bottom"/>
            <w:tcBorders>
              <w:bottom w:val="single" w:sz="8" w:color="auto"/>
            </w:tcBorders>
            <w:shd w:val="clear" w:color="auto" w:fill="CCEEFF"/>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2280" w:type="dxa"/>
            <w:vAlign w:val="bottom"/>
            <w:gridSpan w:val="2"/>
          </w:tcPr>
          <w:p>
            <w:pPr>
              <w:ind w:left="540"/>
              <w:spacing w:after="0"/>
              <w:rPr>
                <w:sz w:val="20"/>
                <w:szCs w:val="20"/>
                <w:color w:val="auto"/>
              </w:rPr>
            </w:pPr>
            <w:r>
              <w:rPr>
                <w:rFonts w:ascii="Arial" w:cs="Arial" w:eastAsia="Arial" w:hAnsi="Arial"/>
                <w:sz w:val="12"/>
                <w:szCs w:val="12"/>
                <w:color w:val="auto"/>
              </w:rPr>
              <w:t>Estimated fair value</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40"/>
              <w:spacing w:after="0"/>
              <w:rPr>
                <w:sz w:val="20"/>
                <w:szCs w:val="20"/>
                <w:color w:val="auto"/>
              </w:rPr>
            </w:pPr>
            <w:r>
              <w:rPr>
                <w:rFonts w:ascii="Arial" w:cs="Arial" w:eastAsia="Arial" w:hAnsi="Arial"/>
                <w:sz w:val="12"/>
                <w:szCs w:val="12"/>
                <w:color w:val="auto"/>
              </w:rPr>
              <w:t>524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5,952</w:t>
            </w:r>
          </w:p>
        </w:tc>
        <w:tc>
          <w:tcPr>
            <w:tcW w:w="90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300"/>
              <w:spacing w:after="0"/>
              <w:rPr>
                <w:sz w:val="20"/>
                <w:szCs w:val="20"/>
                <w:color w:val="auto"/>
              </w:rPr>
            </w:pPr>
            <w:r>
              <w:rPr>
                <w:rFonts w:ascii="Arial" w:cs="Arial" w:eastAsia="Arial" w:hAnsi="Arial"/>
                <w:sz w:val="12"/>
                <w:szCs w:val="12"/>
                <w:color w:val="auto"/>
              </w:rPr>
              <w:t>82,655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623,086</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712,217</w:t>
            </w:r>
          </w:p>
        </w:tc>
        <w:tc>
          <w:tcPr>
            <w:tcW w:w="300" w:type="dxa"/>
            <w:vAlign w:val="bottom"/>
          </w:tcPr>
          <w:p>
            <w:pPr>
              <w:spacing w:after="0"/>
              <w:rPr>
                <w:sz w:val="14"/>
                <w:szCs w:val="14"/>
                <w:color w:val="auto"/>
              </w:rPr>
            </w:pPr>
          </w:p>
        </w:tc>
      </w:tr>
      <w:tr>
        <w:trPr>
          <w:trHeight w:val="153"/>
        </w:trPr>
        <w:tc>
          <w:tcPr>
            <w:tcW w:w="100" w:type="dxa"/>
            <w:vAlign w:val="bottom"/>
          </w:tcPr>
          <w:p>
            <w:pPr>
              <w:spacing w:after="0"/>
              <w:rPr>
                <w:sz w:val="13"/>
                <w:szCs w:val="13"/>
                <w:color w:val="auto"/>
              </w:rPr>
            </w:pPr>
          </w:p>
        </w:tc>
        <w:tc>
          <w:tcPr>
            <w:tcW w:w="2280" w:type="dxa"/>
            <w:vAlign w:val="bottom"/>
            <w:tcBorders>
              <w:top w:val="single" w:sz="8" w:color="CCEEFF"/>
              <w:bottom w:val="single" w:sz="8" w:color="CCEEFF"/>
            </w:tcBorders>
            <w:gridSpan w:val="2"/>
            <w:shd w:val="clear" w:color="auto" w:fill="CCEEFF"/>
          </w:tcPr>
          <w:p>
            <w:pPr>
              <w:ind w:left="540"/>
              <w:spacing w:after="0" w:line="153" w:lineRule="exact"/>
              <w:rPr>
                <w:sz w:val="20"/>
                <w:szCs w:val="20"/>
                <w:color w:val="auto"/>
              </w:rPr>
            </w:pPr>
            <w:r>
              <w:rPr>
                <w:rFonts w:ascii="Arial" w:cs="Arial" w:eastAsia="Arial" w:hAnsi="Arial"/>
                <w:sz w:val="12"/>
                <w:szCs w:val="12"/>
                <w:color w:val="auto"/>
              </w:rPr>
              <w:t>Weighted average yield</w:t>
            </w:r>
            <w:r>
              <w:rPr>
                <w:rFonts w:ascii="Arial" w:cs="Arial" w:eastAsia="Arial" w:hAnsi="Arial"/>
                <w:sz w:val="15"/>
                <w:szCs w:val="15"/>
                <w:color w:val="auto"/>
                <w:vertAlign w:val="superscript"/>
              </w:rPr>
              <w:t>(2)</w:t>
            </w:r>
          </w:p>
        </w:tc>
        <w:tc>
          <w:tcPr>
            <w:tcW w:w="5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3.18</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3.83</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3.43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2.52</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2.63</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ind w:left="220" w:hanging="108"/>
        <w:spacing w:after="0" w:line="224" w:lineRule="auto"/>
        <w:tabs>
          <w:tab w:leader="none" w:pos="220" w:val="left"/>
        </w:tabs>
        <w:numPr>
          <w:ilvl w:val="0"/>
          <w:numId w:val="2"/>
        </w:numPr>
        <w:rPr>
          <w:rFonts w:ascii="Arial" w:cs="Arial" w:eastAsia="Arial" w:hAnsi="Arial"/>
          <w:sz w:val="13"/>
          <w:szCs w:val="13"/>
          <w:color w:val="auto"/>
          <w:vertAlign w:val="superscript"/>
        </w:rPr>
      </w:pPr>
      <w:r>
        <w:rPr>
          <w:rFonts w:ascii="Arial" w:cs="Arial" w:eastAsia="Arial" w:hAnsi="Arial"/>
          <w:sz w:val="10"/>
          <w:szCs w:val="10"/>
          <w:color w:val="auto"/>
        </w:rPr>
        <w:t>Actual maturities may differ from contractual maturities because issuers may have the rights to call or prepay obligations with or without prepayment penalties.</w:t>
      </w:r>
    </w:p>
    <w:p>
      <w:pPr>
        <w:spacing w:after="0" w:line="16" w:lineRule="exact"/>
        <w:rPr>
          <w:rFonts w:ascii="Arial" w:cs="Arial" w:eastAsia="Arial" w:hAnsi="Arial"/>
          <w:sz w:val="13"/>
          <w:szCs w:val="13"/>
          <w:color w:val="auto"/>
          <w:vertAlign w:val="superscript"/>
        </w:rPr>
      </w:pPr>
    </w:p>
    <w:p>
      <w:pPr>
        <w:ind w:left="540" w:hanging="104"/>
        <w:spacing w:after="0" w:line="223" w:lineRule="auto"/>
        <w:tabs>
          <w:tab w:leader="none" w:pos="540" w:val="left"/>
        </w:tabs>
        <w:numPr>
          <w:ilvl w:val="1"/>
          <w:numId w:val="2"/>
        </w:numPr>
        <w:rPr>
          <w:rFonts w:ascii="Arial" w:cs="Arial" w:eastAsia="Arial" w:hAnsi="Arial"/>
          <w:sz w:val="12"/>
          <w:szCs w:val="12"/>
          <w:color w:val="auto"/>
          <w:vertAlign w:val="superscript"/>
        </w:rPr>
      </w:pPr>
      <w:r>
        <w:rPr>
          <w:rFonts w:ascii="Arial" w:cs="Arial" w:eastAsia="Arial" w:hAnsi="Arial"/>
          <w:sz w:val="9"/>
          <w:szCs w:val="9"/>
          <w:color w:val="auto"/>
        </w:rPr>
        <w:t>Yields are calculated based on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-173990</wp:posOffset>
            </wp:positionV>
            <wp:extent cx="566356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35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4" w:name="page15"/>
    <w:bookmarkEnd w:id="14"/>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ind w:left="100" w:right="300" w:firstLine="324"/>
        <w:spacing w:after="0" w:line="270" w:lineRule="auto"/>
        <w:rPr>
          <w:sz w:val="20"/>
          <w:szCs w:val="20"/>
          <w:color w:val="auto"/>
        </w:rPr>
      </w:pPr>
      <w:r>
        <w:rPr>
          <w:rFonts w:ascii="Arial" w:cs="Arial" w:eastAsia="Arial" w:hAnsi="Arial"/>
          <w:sz w:val="12"/>
          <w:szCs w:val="12"/>
          <w:color w:val="auto"/>
        </w:rPr>
        <w:t>The following tables show the number of securities, unrealized loss, and fair value of the Company’s investments with unrealized losses that are not deemed to be other-than-temporarily impaired (“OTTI”), aggregated by investment class and length of time that individual securities have been in a continuous unrealized loss position at June 30, 2021 and December 31, 2020:</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2"/>
          <w:szCs w:val="12"/>
          <w:b w:val="1"/>
          <w:bCs w:val="1"/>
          <w:color w:val="auto"/>
        </w:rPr>
        <w:t>June 30, 2021</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42"/>
        </w:trPr>
        <w:tc>
          <w:tcPr>
            <w:tcW w:w="1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w w:val="96"/>
              </w:rPr>
              <w:t>Less than 12 Months</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12 Months or More</w:t>
            </w: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Total</w:t>
            </w:r>
          </w:p>
        </w:tc>
        <w:tc>
          <w:tcPr>
            <w:tcW w:w="8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5"/>
            <w:vMerge w:val="restart"/>
          </w:tcPr>
          <w:p>
            <w:pPr>
              <w:jc w:val="right"/>
              <w:ind w:right="420"/>
              <w:spacing w:after="0"/>
              <w:rPr>
                <w:sz w:val="20"/>
                <w:szCs w:val="20"/>
                <w:color w:val="auto"/>
              </w:rPr>
            </w:pPr>
            <w:r>
              <w:rPr>
                <w:rFonts w:ascii="Arial" w:cs="Arial" w:eastAsia="Arial" w:hAnsi="Arial"/>
                <w:sz w:val="12"/>
                <w:szCs w:val="12"/>
                <w:b w:val="1"/>
                <w:bCs w:val="1"/>
                <w:color w:val="auto"/>
                <w:w w:val="90"/>
              </w:rPr>
              <w:t>Fair Value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tcPr>
          <w:p>
            <w:pPr>
              <w:ind w:left="40"/>
              <w:spacing w:after="0" w:line="106" w:lineRule="exact"/>
              <w:rPr>
                <w:sz w:val="20"/>
                <w:szCs w:val="20"/>
                <w:color w:val="auto"/>
              </w:rPr>
            </w:pPr>
            <w:r>
              <w:rPr>
                <w:rFonts w:ascii="Arial" w:cs="Arial" w:eastAsia="Arial" w:hAnsi="Arial"/>
                <w:sz w:val="12"/>
                <w:szCs w:val="12"/>
                <w:b w:val="1"/>
                <w:bCs w:val="1"/>
                <w:color w:val="auto"/>
              </w:rPr>
              <w:t>Unrealized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Fair Value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w w:val="92"/>
              </w:rPr>
              <w:t>Unrealized Losses</w:t>
            </w:r>
          </w:p>
        </w:tc>
        <w:tc>
          <w:tcPr>
            <w:tcW w:w="60" w:type="dxa"/>
            <w:vAlign w:val="bottom"/>
          </w:tcPr>
          <w:p>
            <w:pPr>
              <w:spacing w:after="0"/>
              <w:rPr>
                <w:sz w:val="9"/>
                <w:szCs w:val="9"/>
                <w:color w:val="auto"/>
              </w:rPr>
            </w:pPr>
          </w:p>
        </w:tc>
        <w:tc>
          <w:tcPr>
            <w:tcW w:w="78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7"/>
              </w:rPr>
              <w:t>Fair Value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gridSpan w:val="4"/>
          </w:tcPr>
          <w:p>
            <w:pPr>
              <w:ind w:left="60"/>
              <w:spacing w:after="0" w:line="106" w:lineRule="exact"/>
              <w:rPr>
                <w:sz w:val="20"/>
                <w:szCs w:val="20"/>
                <w:color w:val="auto"/>
              </w:rPr>
            </w:pPr>
            <w:r>
              <w:rPr>
                <w:rFonts w:ascii="Arial" w:cs="Arial" w:eastAsia="Arial" w:hAnsi="Arial"/>
                <w:sz w:val="12"/>
                <w:szCs w:val="12"/>
                <w:b w:val="1"/>
                <w:bCs w:val="1"/>
                <w:color w:val="auto"/>
              </w:rPr>
              <w:t>Unrealized</w:t>
            </w:r>
          </w:p>
        </w:tc>
        <w:tc>
          <w:tcPr>
            <w:tcW w:w="860" w:type="dxa"/>
            <w:vAlign w:val="bottom"/>
          </w:tcPr>
          <w:p>
            <w:pPr>
              <w:jc w:val="right"/>
              <w:spacing w:after="0" w:line="106"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Losses</w:t>
            </w:r>
          </w:p>
        </w:tc>
        <w:tc>
          <w:tcPr>
            <w:tcW w:w="108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of Securities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of Securities</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Losses</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9"/>
              </w:rPr>
              <w:t>of Securities</w:t>
            </w: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5"/>
          </w:tcPr>
          <w:p>
            <w:pPr>
              <w:ind w:left="60"/>
              <w:spacing w:after="0"/>
              <w:rPr>
                <w:sz w:val="20"/>
                <w:szCs w:val="20"/>
                <w:color w:val="auto"/>
              </w:rPr>
            </w:pPr>
            <w:r>
              <w:rPr>
                <w:rFonts w:ascii="Arial" w:cs="Arial" w:eastAsia="Arial" w:hAnsi="Arial"/>
                <w:sz w:val="11"/>
                <w:szCs w:val="11"/>
                <w:i w:val="1"/>
                <w:iCs w:val="1"/>
                <w:color w:val="auto"/>
              </w:rPr>
              <w:t>(Dollars in thousands)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80" w:type="dxa"/>
            <w:vAlign w:val="bottom"/>
            <w:gridSpan w:val="5"/>
            <w:shd w:val="clear" w:color="auto" w:fill="CCEEFF"/>
          </w:tcPr>
          <w:p>
            <w:pPr>
              <w:ind w:left="340"/>
              <w:spacing w:after="0"/>
              <w:rPr>
                <w:sz w:val="20"/>
                <w:szCs w:val="20"/>
                <w:color w:val="auto"/>
              </w:rPr>
            </w:pPr>
            <w:r>
              <w:rPr>
                <w:rFonts w:ascii="Arial" w:cs="Arial" w:eastAsia="Arial" w:hAnsi="Arial"/>
                <w:sz w:val="12"/>
                <w:szCs w:val="12"/>
                <w:b w:val="1"/>
                <w:bCs w:val="1"/>
                <w:color w:val="auto"/>
                <w:w w:val="95"/>
              </w:rPr>
              <w:t>Available-for-sale securities</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gridSpan w:val="2"/>
          </w:tcPr>
          <w:p>
            <w:pPr>
              <w:ind w:left="100"/>
              <w:spacing w:after="0" w:line="117" w:lineRule="exact"/>
              <w:rPr>
                <w:sz w:val="20"/>
                <w:szCs w:val="20"/>
                <w:color w:val="auto"/>
              </w:rPr>
            </w:pPr>
            <w:r>
              <w:rPr>
                <w:rFonts w:ascii="Arial" w:cs="Arial" w:eastAsia="Arial" w:hAnsi="Arial"/>
                <w:sz w:val="12"/>
                <w:szCs w:val="12"/>
                <w:color w:val="auto"/>
              </w:rPr>
              <w:t>Mortgage-backed -</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w w:val="97"/>
              </w:rPr>
              <w:t>61,705</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902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61,705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902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1460" w:type="dxa"/>
            <w:vAlign w:val="bottom"/>
            <w:gridSpan w:val="2"/>
          </w:tcPr>
          <w:p>
            <w:pPr>
              <w:ind w:left="200"/>
              <w:spacing w:after="0"/>
              <w:rPr>
                <w:sz w:val="20"/>
                <w:szCs w:val="20"/>
                <w:color w:val="auto"/>
              </w:rPr>
            </w:pPr>
            <w:r>
              <w:rPr>
                <w:rFonts w:ascii="Arial" w:cs="Arial" w:eastAsia="Arial" w:hAnsi="Arial"/>
                <w:sz w:val="12"/>
                <w:szCs w:val="12"/>
                <w:color w:val="auto"/>
              </w:rPr>
              <w:t>GSE residential</w:t>
            </w: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gridSpan w:val="2"/>
            <w:shd w:val="clear" w:color="auto" w:fill="CCEEFF"/>
          </w:tcPr>
          <w:p>
            <w:pPr>
              <w:ind w:left="100"/>
              <w:spacing w:after="0" w:line="117" w:lineRule="exact"/>
              <w:rPr>
                <w:sz w:val="20"/>
                <w:szCs w:val="20"/>
                <w:color w:val="auto"/>
              </w:rPr>
            </w:pPr>
            <w:r>
              <w:rPr>
                <w:rFonts w:ascii="Arial" w:cs="Arial" w:eastAsia="Arial" w:hAnsi="Arial"/>
                <w:sz w:val="12"/>
                <w:szCs w:val="12"/>
                <w:color w:val="auto"/>
              </w:rPr>
              <w:t>Collateralized</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60" w:type="dxa"/>
            <w:vAlign w:val="bottom"/>
            <w:gridSpan w:val="2"/>
            <w:shd w:val="clear" w:color="auto" w:fill="CCEEFF"/>
          </w:tcPr>
          <w:p>
            <w:pPr>
              <w:ind w:left="200"/>
              <w:spacing w:after="0" w:line="117" w:lineRule="exact"/>
              <w:rPr>
                <w:sz w:val="20"/>
                <w:szCs w:val="20"/>
                <w:color w:val="auto"/>
              </w:rPr>
            </w:pPr>
            <w:r>
              <w:rPr>
                <w:rFonts w:ascii="Arial" w:cs="Arial" w:eastAsia="Arial" w:hAnsi="Arial"/>
                <w:sz w:val="12"/>
                <w:szCs w:val="12"/>
                <w:color w:val="auto"/>
              </w:rPr>
              <w:t>mortgage</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460" w:type="dxa"/>
            <w:vAlign w:val="bottom"/>
            <w:gridSpan w:val="2"/>
            <w:shd w:val="clear" w:color="auto" w:fill="CCEEFF"/>
          </w:tcPr>
          <w:p>
            <w:pPr>
              <w:ind w:left="200"/>
              <w:spacing w:after="0" w:line="117" w:lineRule="exact"/>
              <w:rPr>
                <w:sz w:val="20"/>
                <w:szCs w:val="20"/>
                <w:color w:val="auto"/>
              </w:rPr>
            </w:pPr>
            <w:r>
              <w:rPr>
                <w:rFonts w:ascii="Arial" w:cs="Arial" w:eastAsia="Arial" w:hAnsi="Arial"/>
                <w:sz w:val="12"/>
                <w:szCs w:val="12"/>
                <w:color w:val="auto"/>
              </w:rPr>
              <w:t>obligations - GSE</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3,982</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4,587</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3"/>
        </w:trPr>
        <w:tc>
          <w:tcPr>
            <w:tcW w:w="1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residential</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gridSpan w:val="2"/>
          </w:tcPr>
          <w:p>
            <w:pPr>
              <w:ind w:left="100"/>
              <w:spacing w:after="0" w:line="117" w:lineRule="exact"/>
              <w:rPr>
                <w:sz w:val="20"/>
                <w:szCs w:val="20"/>
                <w:color w:val="auto"/>
              </w:rPr>
            </w:pPr>
            <w:r>
              <w:rPr>
                <w:rFonts w:ascii="Arial" w:cs="Arial" w:eastAsia="Arial" w:hAnsi="Arial"/>
                <w:sz w:val="12"/>
                <w:szCs w:val="12"/>
                <w:color w:val="auto"/>
              </w:rPr>
              <w:t>State and political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w w:val="97"/>
              </w:rPr>
              <w:t>29,172</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355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1,117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30,289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358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53"/>
        </w:trPr>
        <w:tc>
          <w:tcPr>
            <w:tcW w:w="1460" w:type="dxa"/>
            <w:vAlign w:val="bottom"/>
            <w:gridSpan w:val="2"/>
          </w:tcPr>
          <w:p>
            <w:pPr>
              <w:ind w:left="200"/>
              <w:spacing w:after="0"/>
              <w:rPr>
                <w:sz w:val="20"/>
                <w:szCs w:val="20"/>
                <w:color w:val="auto"/>
              </w:rPr>
            </w:pPr>
            <w:r>
              <w:rPr>
                <w:rFonts w:ascii="Arial" w:cs="Arial" w:eastAsia="Arial" w:hAnsi="Arial"/>
                <w:sz w:val="12"/>
                <w:szCs w:val="12"/>
                <w:color w:val="auto"/>
              </w:rPr>
              <w:t>subdivisions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gridSpan w:val="2"/>
            <w:shd w:val="clear" w:color="auto" w:fill="CCEEFF"/>
          </w:tcPr>
          <w:p>
            <w:pPr>
              <w:ind w:left="420"/>
              <w:spacing w:after="0" w:line="117" w:lineRule="exact"/>
              <w:rPr>
                <w:sz w:val="20"/>
                <w:szCs w:val="20"/>
                <w:color w:val="auto"/>
              </w:rPr>
            </w:pPr>
            <w:r>
              <w:rPr>
                <w:rFonts w:ascii="Arial" w:cs="Arial" w:eastAsia="Arial" w:hAnsi="Arial"/>
                <w:sz w:val="12"/>
                <w:szCs w:val="12"/>
                <w:color w:val="auto"/>
              </w:rPr>
              <w:t>Corporate</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3,444</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104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3,444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14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bonds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4"/>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160" w:type="dxa"/>
            <w:vAlign w:val="bottom"/>
          </w:tcPr>
          <w:p>
            <w:pPr>
              <w:ind w:left="20"/>
              <w:spacing w:after="0" w:line="97" w:lineRule="exact"/>
              <w:rPr>
                <w:sz w:val="20"/>
                <w:szCs w:val="20"/>
                <w:color w:val="auto"/>
              </w:rPr>
            </w:pPr>
            <w:r>
              <w:rPr>
                <w:rFonts w:ascii="Arial" w:cs="Arial" w:eastAsia="Arial" w:hAnsi="Arial"/>
                <w:sz w:val="11"/>
                <w:szCs w:val="11"/>
                <w:color w:val="auto"/>
              </w:rPr>
              <w:t>Total temporarily</w:t>
            </w:r>
          </w:p>
        </w:tc>
        <w:tc>
          <w:tcPr>
            <w:tcW w:w="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97"/>
              </w:rPr>
              <w:t>98,303</w:t>
            </w:r>
          </w:p>
        </w:tc>
        <w:tc>
          <w:tcPr>
            <w:tcW w:w="6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1,340</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1,722</w:t>
            </w: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8</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2"/>
                <w:szCs w:val="12"/>
                <w:color w:val="auto"/>
              </w:rPr>
              <w:t>100,025</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color w:val="auto"/>
              </w:rPr>
              <w:t>1,348</w:t>
            </w:r>
          </w:p>
        </w:tc>
        <w:tc>
          <w:tcPr>
            <w:tcW w:w="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35"/>
        </w:trPr>
        <w:tc>
          <w:tcPr>
            <w:tcW w:w="146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impaired securities</w:t>
            </w:r>
          </w:p>
        </w:tc>
        <w:tc>
          <w:tcPr>
            <w:tcW w:w="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w w:val="90"/>
              </w:rPr>
              <w:t>December 31, 2020</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w w:val="90"/>
              </w:rPr>
              <w:t>Less than 12 Months</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w w:val="93"/>
              </w:rPr>
              <w:t>12 Months or More</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5"/>
          </w:tcPr>
          <w:p>
            <w:pPr>
              <w:ind w:left="340"/>
              <w:spacing w:after="0"/>
              <w:rPr>
                <w:sz w:val="20"/>
                <w:szCs w:val="20"/>
                <w:color w:val="auto"/>
              </w:rPr>
            </w:pPr>
            <w:r>
              <w:rPr>
                <w:rFonts w:ascii="Arial" w:cs="Arial" w:eastAsia="Arial" w:hAnsi="Arial"/>
                <w:sz w:val="12"/>
                <w:szCs w:val="12"/>
                <w:b w:val="1"/>
                <w:bCs w:val="1"/>
                <w:color w:val="auto"/>
              </w:rPr>
              <w:t>Total</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7"/>
              </w:rPr>
              <w:t>Fair Value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Unrealized Losses</w:t>
            </w:r>
          </w:p>
        </w:tc>
        <w:tc>
          <w:tcPr>
            <w:tcW w:w="800" w:type="dxa"/>
            <w:vAlign w:val="bottom"/>
            <w:gridSpan w:val="3"/>
          </w:tcPr>
          <w:p>
            <w:pPr>
              <w:jc w:val="center"/>
              <w:ind w:left="100"/>
              <w:spacing w:after="0" w:line="106" w:lineRule="exact"/>
              <w:rPr>
                <w:sz w:val="20"/>
                <w:szCs w:val="20"/>
                <w:color w:val="auto"/>
              </w:rPr>
            </w:pPr>
            <w:r>
              <w:rPr>
                <w:rFonts w:ascii="Arial" w:cs="Arial" w:eastAsia="Arial" w:hAnsi="Arial"/>
                <w:sz w:val="12"/>
                <w:szCs w:val="12"/>
                <w:b w:val="1"/>
                <w:bCs w:val="1"/>
                <w:color w:val="auto"/>
                <w:w w:val="93"/>
              </w:rPr>
              <w:t>Number of</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4"/>
              </w:rPr>
              <w:t>Fair Value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4"/>
              </w:rPr>
              <w:t>Unrealized Losses</w:t>
            </w:r>
          </w:p>
        </w:tc>
        <w:tc>
          <w:tcPr>
            <w:tcW w:w="60" w:type="dxa"/>
            <w:vAlign w:val="bottom"/>
          </w:tcPr>
          <w:p>
            <w:pPr>
              <w:spacing w:after="0"/>
              <w:rPr>
                <w:sz w:val="9"/>
                <w:szCs w:val="9"/>
                <w:color w:val="auto"/>
              </w:rPr>
            </w:pPr>
          </w:p>
        </w:tc>
        <w:tc>
          <w:tcPr>
            <w:tcW w:w="960" w:type="dxa"/>
            <w:vAlign w:val="bottom"/>
            <w:gridSpan w:val="3"/>
          </w:tcPr>
          <w:p>
            <w:pPr>
              <w:jc w:val="right"/>
              <w:ind w:right="200"/>
              <w:spacing w:after="0" w:line="106"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rPr>
              <w:t>Fair Value</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Unrealized Losses</w:t>
            </w:r>
          </w:p>
        </w:tc>
        <w:tc>
          <w:tcPr>
            <w:tcW w:w="860" w:type="dxa"/>
            <w:vAlign w:val="bottom"/>
          </w:tcPr>
          <w:p>
            <w:pPr>
              <w:jc w:val="right"/>
              <w:ind w:right="140"/>
              <w:spacing w:after="0" w:line="106" w:lineRule="exact"/>
              <w:rPr>
                <w:sz w:val="20"/>
                <w:szCs w:val="20"/>
                <w:color w:val="auto"/>
              </w:rPr>
            </w:pPr>
            <w:r>
              <w:rPr>
                <w:rFonts w:ascii="Arial" w:cs="Arial" w:eastAsia="Arial" w:hAnsi="Arial"/>
                <w:sz w:val="12"/>
                <w:szCs w:val="12"/>
                <w:b w:val="1"/>
                <w:bCs w:val="1"/>
                <w:color w:val="auto"/>
              </w:rPr>
              <w:t>Number of</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vMerge w:val="continue"/>
          </w:tcPr>
          <w:p>
            <w:pPr>
              <w:spacing w:after="0"/>
              <w:rPr>
                <w:sz w:val="13"/>
                <w:szCs w:val="13"/>
                <w:color w:val="auto"/>
              </w:rPr>
            </w:pPr>
          </w:p>
        </w:tc>
        <w:tc>
          <w:tcPr>
            <w:tcW w:w="800" w:type="dxa"/>
            <w:vAlign w:val="bottom"/>
            <w:tcBorders>
              <w:bottom w:val="single" w:sz="8" w:color="auto"/>
            </w:tcBorders>
            <w:gridSpan w:val="3"/>
          </w:tcPr>
          <w:p>
            <w:pPr>
              <w:jc w:val="center"/>
              <w:ind w:left="120"/>
              <w:spacing w:after="0"/>
              <w:rPr>
                <w:sz w:val="20"/>
                <w:szCs w:val="20"/>
                <w:color w:val="auto"/>
              </w:rPr>
            </w:pPr>
            <w:r>
              <w:rPr>
                <w:rFonts w:ascii="Arial" w:cs="Arial" w:eastAsia="Arial" w:hAnsi="Arial"/>
                <w:sz w:val="12"/>
                <w:szCs w:val="12"/>
                <w:b w:val="1"/>
                <w:bCs w:val="1"/>
                <w:color w:val="auto"/>
                <w:w w:val="87"/>
              </w:rPr>
              <w:t>Securities</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2"/>
                <w:szCs w:val="12"/>
                <w:b w:val="1"/>
                <w:bCs w:val="1"/>
                <w:color w:val="auto"/>
              </w:rPr>
              <w:t>Securities</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vMerge w:val="continue"/>
          </w:tcPr>
          <w:p>
            <w:pPr>
              <w:spacing w:after="0"/>
              <w:rPr>
                <w:sz w:val="13"/>
                <w:szCs w:val="13"/>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i w:val="1"/>
                <w:iCs w:val="1"/>
                <w:color w:val="auto"/>
                <w:w w:val="91"/>
              </w:rPr>
              <w:t>(Dollars in thousands)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w w:val="89"/>
              </w:rPr>
              <w:t>Available-for-sale securities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gridSpan w:val="2"/>
          </w:tcPr>
          <w:p>
            <w:pPr>
              <w:ind w:left="100"/>
              <w:spacing w:after="0" w:line="117" w:lineRule="exact"/>
              <w:rPr>
                <w:sz w:val="20"/>
                <w:szCs w:val="20"/>
                <w:color w:val="auto"/>
              </w:rPr>
            </w:pPr>
            <w:r>
              <w:rPr>
                <w:rFonts w:ascii="Arial" w:cs="Arial" w:eastAsia="Arial" w:hAnsi="Arial"/>
                <w:sz w:val="12"/>
                <w:szCs w:val="12"/>
                <w:color w:val="auto"/>
              </w:rPr>
              <w:t>Mortgage-backed - GSE</w:t>
            </w:r>
          </w:p>
        </w:tc>
        <w:tc>
          <w:tcPr>
            <w:tcW w:w="160" w:type="dxa"/>
            <w:vAlign w:val="bottom"/>
          </w:tcPr>
          <w:p>
            <w:pPr>
              <w:spacing w:after="0"/>
              <w:rPr>
                <w:sz w:val="10"/>
                <w:szCs w:val="10"/>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540"/>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381"/>
              <w:spacing w:after="0"/>
              <w:rPr>
                <w:sz w:val="20"/>
                <w:szCs w:val="20"/>
                <w:color w:val="auto"/>
              </w:rPr>
            </w:pPr>
            <w:r>
              <w:rPr>
                <w:rFonts w:ascii="Arial" w:cs="Arial" w:eastAsia="Arial" w:hAnsi="Arial"/>
                <w:sz w:val="12"/>
                <w:szCs w:val="12"/>
                <w:color w:val="auto"/>
              </w:rPr>
              <w:t>$</w:t>
            </w:r>
          </w:p>
        </w:tc>
        <w:tc>
          <w:tcPr>
            <w:tcW w:w="5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gridSpan w:val="3"/>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820" w:type="dxa"/>
            <w:vAlign w:val="bottom"/>
            <w:gridSpan w:val="4"/>
            <w:vMerge w:val="restart"/>
          </w:tcPr>
          <w:p>
            <w:pPr>
              <w:ind w:left="460"/>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460" w:type="dxa"/>
            <w:vAlign w:val="bottom"/>
            <w:gridSpan w:val="2"/>
          </w:tcPr>
          <w:p>
            <w:pPr>
              <w:ind w:left="200"/>
              <w:spacing w:after="0"/>
              <w:rPr>
                <w:sz w:val="20"/>
                <w:szCs w:val="20"/>
                <w:color w:val="auto"/>
              </w:rPr>
            </w:pPr>
            <w:r>
              <w:rPr>
                <w:rFonts w:ascii="Arial" w:cs="Arial" w:eastAsia="Arial" w:hAnsi="Arial"/>
                <w:sz w:val="12"/>
                <w:szCs w:val="12"/>
                <w:color w:val="auto"/>
              </w:rPr>
              <w:t>residential</w:t>
            </w:r>
          </w:p>
        </w:tc>
        <w:tc>
          <w:tcPr>
            <w:tcW w:w="16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460" w:type="dxa"/>
            <w:vAlign w:val="bottom"/>
            <w:gridSpan w:val="2"/>
            <w:shd w:val="clear" w:color="auto" w:fill="CCEEFF"/>
          </w:tcPr>
          <w:p>
            <w:pPr>
              <w:ind w:left="100"/>
              <w:spacing w:after="0" w:line="117" w:lineRule="exact"/>
              <w:rPr>
                <w:sz w:val="20"/>
                <w:szCs w:val="20"/>
                <w:color w:val="auto"/>
              </w:rPr>
            </w:pPr>
            <w:r>
              <w:rPr>
                <w:rFonts w:ascii="Arial" w:cs="Arial" w:eastAsia="Arial" w:hAnsi="Arial"/>
                <w:sz w:val="12"/>
                <w:szCs w:val="12"/>
                <w:color w:val="auto"/>
              </w:rPr>
              <w:t>Collateralized mortgage</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9,933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9,933</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ind w:left="460"/>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1620" w:type="dxa"/>
            <w:vAlign w:val="bottom"/>
            <w:gridSpan w:val="3"/>
            <w:shd w:val="clear" w:color="auto" w:fill="CCEEFF"/>
          </w:tcPr>
          <w:p>
            <w:pPr>
              <w:ind w:left="200"/>
              <w:spacing w:after="0"/>
              <w:rPr>
                <w:sz w:val="20"/>
                <w:szCs w:val="20"/>
                <w:color w:val="auto"/>
              </w:rPr>
            </w:pPr>
            <w:r>
              <w:rPr>
                <w:rFonts w:ascii="Arial" w:cs="Arial" w:eastAsia="Arial" w:hAnsi="Arial"/>
                <w:sz w:val="12"/>
                <w:szCs w:val="12"/>
                <w:color w:val="auto"/>
                <w:w w:val="92"/>
              </w:rPr>
              <w:t>obligations - GSE residential</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gridSpan w:val="3"/>
          </w:tcPr>
          <w:p>
            <w:pPr>
              <w:ind w:left="100"/>
              <w:spacing w:after="0"/>
              <w:rPr>
                <w:sz w:val="20"/>
                <w:szCs w:val="20"/>
                <w:color w:val="auto"/>
              </w:rPr>
            </w:pPr>
            <w:r>
              <w:rPr>
                <w:rFonts w:ascii="Arial" w:cs="Arial" w:eastAsia="Arial" w:hAnsi="Arial"/>
                <w:sz w:val="12"/>
                <w:szCs w:val="12"/>
                <w:color w:val="auto"/>
                <w:w w:val="91"/>
              </w:rPr>
              <w:t>State and political subdivisions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8,525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ind w:left="4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3"/>
          </w:tcPr>
          <w:p>
            <w:pPr>
              <w:ind w:left="380"/>
              <w:spacing w:after="0"/>
              <w:rPr>
                <w:sz w:val="20"/>
                <w:szCs w:val="20"/>
                <w:color w:val="auto"/>
              </w:rPr>
            </w:pPr>
            <w:r>
              <w:rPr>
                <w:rFonts w:ascii="Arial" w:cs="Arial" w:eastAsia="Arial" w:hAnsi="Arial"/>
                <w:sz w:val="12"/>
                <w:szCs w:val="12"/>
                <w:color w:val="auto"/>
              </w:rPr>
              <w:t>—</w:t>
            </w:r>
          </w:p>
        </w:tc>
        <w:tc>
          <w:tcPr>
            <w:tcW w:w="1020" w:type="dxa"/>
            <w:vAlign w:val="bottom"/>
            <w:gridSpan w:val="4"/>
          </w:tcPr>
          <w:p>
            <w:pPr>
              <w:jc w:val="right"/>
              <w:ind w:right="2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8,550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ind w:left="46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14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Corporate bonds</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gridSpan w:val="2"/>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7"/>
        </w:trPr>
        <w:tc>
          <w:tcPr>
            <w:tcW w:w="1460" w:type="dxa"/>
            <w:vAlign w:val="bottom"/>
            <w:gridSpan w:val="2"/>
          </w:tcPr>
          <w:p>
            <w:pPr>
              <w:ind w:left="20"/>
              <w:spacing w:after="0" w:line="97" w:lineRule="exact"/>
              <w:rPr>
                <w:sz w:val="20"/>
                <w:szCs w:val="20"/>
                <w:color w:val="auto"/>
              </w:rPr>
            </w:pPr>
            <w:r>
              <w:rPr>
                <w:rFonts w:ascii="Arial" w:cs="Arial" w:eastAsia="Arial" w:hAnsi="Arial"/>
                <w:sz w:val="11"/>
                <w:szCs w:val="11"/>
                <w:color w:val="auto"/>
              </w:rPr>
              <w:t>Total temporarily impaired</w:t>
            </w:r>
          </w:p>
        </w:tc>
        <w:tc>
          <w:tcPr>
            <w:tcW w:w="160" w:type="dxa"/>
            <w:vAlign w:val="bottom"/>
          </w:tcPr>
          <w:p>
            <w:pPr>
              <w:spacing w:after="0"/>
              <w:rPr>
                <w:sz w:val="8"/>
                <w:szCs w:val="8"/>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gridSpan w:val="3"/>
            <w:vMerge w:val="restart"/>
          </w:tcPr>
          <w:p>
            <w:pPr>
              <w:jc w:val="right"/>
              <w:spacing w:after="0"/>
              <w:rPr>
                <w:sz w:val="20"/>
                <w:szCs w:val="20"/>
                <w:color w:val="auto"/>
              </w:rPr>
            </w:pPr>
            <w:r>
              <w:rPr>
                <w:rFonts w:ascii="Arial" w:cs="Arial" w:eastAsia="Arial" w:hAnsi="Arial"/>
                <w:sz w:val="12"/>
                <w:szCs w:val="12"/>
                <w:color w:val="auto"/>
              </w:rPr>
              <w:t>18,458</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restart"/>
          </w:tcPr>
          <w:p>
            <w:pPr>
              <w:ind w:left="40"/>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8"/>
                <w:szCs w:val="8"/>
                <w:color w:val="auto"/>
              </w:rPr>
            </w:pPr>
          </w:p>
        </w:tc>
        <w:tc>
          <w:tcPr>
            <w:tcW w:w="680" w:type="dxa"/>
            <w:vAlign w:val="bottom"/>
            <w:vMerge w:val="restart"/>
          </w:tcPr>
          <w:p>
            <w:pPr>
              <w:jc w:val="right"/>
              <w:ind w:right="540"/>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2"/>
                <w:szCs w:val="12"/>
                <w:color w:val="auto"/>
              </w:rPr>
              <w:t>25</w:t>
            </w:r>
          </w:p>
        </w:tc>
        <w:tc>
          <w:tcPr>
            <w:tcW w:w="600" w:type="dxa"/>
            <w:vAlign w:val="bottom"/>
            <w:gridSpan w:val="2"/>
            <w:vMerge w:val="restart"/>
          </w:tcPr>
          <w:p>
            <w:pPr>
              <w:jc w:val="right"/>
              <w:ind w:right="381"/>
              <w:spacing w:after="0"/>
              <w:rPr>
                <w:sz w:val="20"/>
                <w:szCs w:val="20"/>
                <w:color w:val="auto"/>
              </w:rPr>
            </w:pPr>
            <w:r>
              <w:rPr>
                <w:rFonts w:ascii="Arial" w:cs="Arial" w:eastAsia="Arial" w:hAnsi="Arial"/>
                <w:sz w:val="12"/>
                <w:szCs w:val="12"/>
                <w:color w:val="auto"/>
              </w:rPr>
              <w:t>$</w:t>
            </w:r>
          </w:p>
        </w:tc>
        <w:tc>
          <w:tcPr>
            <w:tcW w:w="5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1020" w:type="dxa"/>
            <w:vAlign w:val="bottom"/>
            <w:gridSpan w:val="4"/>
            <w:vMerge w:val="restart"/>
          </w:tcPr>
          <w:p>
            <w:pPr>
              <w:jc w:val="right"/>
              <w:ind w:right="2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18,483</w:t>
            </w:r>
          </w:p>
        </w:tc>
        <w:tc>
          <w:tcPr>
            <w:tcW w:w="60" w:type="dxa"/>
            <w:vAlign w:val="bottom"/>
          </w:tcPr>
          <w:p>
            <w:pPr>
              <w:spacing w:after="0"/>
              <w:rPr>
                <w:sz w:val="8"/>
                <w:szCs w:val="8"/>
                <w:color w:val="auto"/>
              </w:rPr>
            </w:pPr>
          </w:p>
        </w:tc>
        <w:tc>
          <w:tcPr>
            <w:tcW w:w="10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8"/>
                <w:szCs w:val="8"/>
                <w:color w:val="auto"/>
              </w:rPr>
            </w:pPr>
          </w:p>
        </w:tc>
        <w:tc>
          <w:tcPr>
            <w:tcW w:w="640" w:type="dxa"/>
            <w:vAlign w:val="bottom"/>
            <w:vMerge w:val="restart"/>
          </w:tcPr>
          <w:p>
            <w:pPr>
              <w:ind w:left="460"/>
              <w:spacing w:after="0"/>
              <w:rPr>
                <w:sz w:val="20"/>
                <w:szCs w:val="20"/>
                <w:color w:val="auto"/>
              </w:rPr>
            </w:pPr>
            <w:r>
              <w:rPr>
                <w:rFonts w:ascii="Arial" w:cs="Arial" w:eastAsia="Arial" w:hAnsi="Arial"/>
                <w:sz w:val="12"/>
                <w:szCs w:val="12"/>
                <w:color w:val="auto"/>
              </w:rPr>
              <w:t>73</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35"/>
        </w:trPr>
        <w:tc>
          <w:tcPr>
            <w:tcW w:w="146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securities</w:t>
            </w:r>
          </w:p>
        </w:tc>
        <w:tc>
          <w:tcPr>
            <w:tcW w:w="16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00" w:right="500" w:firstLine="324"/>
        <w:spacing w:after="0" w:line="276" w:lineRule="auto"/>
        <w:rPr>
          <w:sz w:val="20"/>
          <w:szCs w:val="20"/>
          <w:color w:val="auto"/>
        </w:rPr>
      </w:pPr>
      <w:r>
        <w:rPr>
          <w:rFonts w:ascii="Arial" w:cs="Arial" w:eastAsia="Arial" w:hAnsi="Arial"/>
          <w:sz w:val="12"/>
          <w:szCs w:val="12"/>
          <w:color w:val="auto"/>
        </w:rPr>
        <w:t>The Company expects to recover the amortized cost basis over the term of the securities. The Company does not intend to sell the investments and it is not more likely than not the Company will be required to sell the investments before recovery of their amortized cost basis, which may be maturity.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80" w:type="dxa"/>
            <w:vAlign w:val="bottom"/>
            <w:gridSpan w:val="4"/>
          </w:tcPr>
          <w:p>
            <w:pPr>
              <w:jc w:val="center"/>
              <w:ind w:left="1000"/>
              <w:spacing w:after="0"/>
              <w:rPr>
                <w:sz w:val="20"/>
                <w:szCs w:val="20"/>
                <w:color w:val="auto"/>
              </w:rPr>
            </w:pPr>
            <w:r>
              <w:rPr>
                <w:rFonts w:ascii="Arial" w:cs="Arial" w:eastAsia="Arial" w:hAnsi="Arial"/>
                <w:sz w:val="12"/>
                <w:szCs w:val="12"/>
                <w:b w:val="1"/>
                <w:bCs w:val="1"/>
                <w:color w:val="auto"/>
                <w:w w:val="92"/>
              </w:rPr>
              <w:t>For the Three Months Ended</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For the Six Months Ended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June 30, 2021</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9"/>
              </w:rPr>
              <w:t>June 30, 2021</w:t>
            </w: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w w:val="87"/>
              </w:rPr>
              <w:t>Gross Realized Gains</w:t>
            </w:r>
          </w:p>
        </w:tc>
        <w:tc>
          <w:tcPr>
            <w:tcW w:w="13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6"/>
              </w:rPr>
              <w:t>Gross Realized Losses</w:t>
            </w:r>
          </w:p>
        </w:tc>
        <w:tc>
          <w:tcPr>
            <w:tcW w:w="160" w:type="dxa"/>
            <w:vAlign w:val="bottom"/>
          </w:tcPr>
          <w:p>
            <w:pPr>
              <w:spacing w:after="0"/>
              <w:rPr>
                <w:sz w:val="9"/>
                <w:szCs w:val="9"/>
                <w:color w:val="auto"/>
              </w:rPr>
            </w:pPr>
          </w:p>
        </w:tc>
        <w:tc>
          <w:tcPr>
            <w:tcW w:w="1120" w:type="dxa"/>
            <w:vAlign w:val="bottom"/>
          </w:tcPr>
          <w:p>
            <w:pPr>
              <w:jc w:val="center"/>
              <w:ind w:right="42"/>
              <w:spacing w:after="0" w:line="106" w:lineRule="exact"/>
              <w:rPr>
                <w:sz w:val="20"/>
                <w:szCs w:val="20"/>
                <w:color w:val="auto"/>
              </w:rPr>
            </w:pPr>
            <w:r>
              <w:rPr>
                <w:rFonts w:ascii="Arial" w:cs="Arial" w:eastAsia="Arial" w:hAnsi="Arial"/>
                <w:sz w:val="12"/>
                <w:szCs w:val="12"/>
                <w:b w:val="1"/>
                <w:bCs w:val="1"/>
                <w:color w:val="auto"/>
                <w:w w:val="92"/>
              </w:rPr>
              <w:t>Net Realized Gain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7"/>
              </w:rPr>
              <w:t>Gross Realized Gains</w:t>
            </w:r>
          </w:p>
        </w:tc>
        <w:tc>
          <w:tcPr>
            <w:tcW w:w="14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6"/>
              </w:rPr>
              <w:t>Gross Realized Losses</w:t>
            </w:r>
          </w:p>
        </w:tc>
        <w:tc>
          <w:tcPr>
            <w:tcW w:w="120" w:type="dxa"/>
            <w:vAlign w:val="bottom"/>
          </w:tcPr>
          <w:p>
            <w:pPr>
              <w:spacing w:after="0"/>
              <w:rPr>
                <w:sz w:val="9"/>
                <w:szCs w:val="9"/>
                <w:color w:val="auto"/>
              </w:rPr>
            </w:pPr>
          </w:p>
        </w:tc>
        <w:tc>
          <w:tcPr>
            <w:tcW w:w="1140" w:type="dxa"/>
            <w:vAlign w:val="bottom"/>
          </w:tcPr>
          <w:p>
            <w:pPr>
              <w:jc w:val="center"/>
              <w:ind w:right="60"/>
              <w:spacing w:after="0" w:line="106" w:lineRule="exact"/>
              <w:rPr>
                <w:sz w:val="20"/>
                <w:szCs w:val="20"/>
                <w:color w:val="auto"/>
              </w:rPr>
            </w:pPr>
            <w:r>
              <w:rPr>
                <w:rFonts w:ascii="Arial" w:cs="Arial" w:eastAsia="Arial" w:hAnsi="Arial"/>
                <w:sz w:val="12"/>
                <w:szCs w:val="12"/>
                <w:b w:val="1"/>
                <w:bCs w:val="1"/>
                <w:color w:val="auto"/>
                <w:w w:val="92"/>
              </w:rPr>
              <w:t>Net Realized Gain</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(Loss)</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3"/>
              </w:rPr>
              <w:t>(Loss)</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Available-for-sale securities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603"/>
        </w:trPr>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80"/>
              <w:spacing w:after="0"/>
              <w:rPr>
                <w:sz w:val="20"/>
                <w:szCs w:val="20"/>
                <w:color w:val="auto"/>
              </w:rPr>
            </w:pPr>
            <w:r>
              <w:rPr>
                <w:rFonts w:ascii="Arial" w:cs="Arial" w:eastAsia="Arial" w:hAnsi="Arial"/>
                <w:sz w:val="12"/>
                <w:szCs w:val="12"/>
                <w:color w:val="auto"/>
              </w:rPr>
              <w:t>15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33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38"/>
        </w:trPr>
        <w:tc>
          <w:tcPr>
            <w:tcW w:w="3460" w:type="dxa"/>
            <w:vAlign w:val="bottom"/>
            <w:gridSpan w:val="3"/>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60" w:type="dxa"/>
            <w:vAlign w:val="bottom"/>
          </w:tcPr>
          <w:p>
            <w:pPr>
              <w:spacing w:after="0"/>
              <w:rPr>
                <w:sz w:val="12"/>
                <w:szCs w:val="12"/>
                <w:color w:val="auto"/>
              </w:rPr>
            </w:pPr>
          </w:p>
        </w:tc>
        <w:tc>
          <w:tcPr>
            <w:tcW w:w="3880" w:type="dxa"/>
            <w:vAlign w:val="bottom"/>
            <w:gridSpan w:val="6"/>
          </w:tcPr>
          <w:p>
            <w:pPr>
              <w:ind w:left="780"/>
              <w:spacing w:after="0"/>
              <w:rPr>
                <w:sz w:val="20"/>
                <w:szCs w:val="20"/>
                <w:color w:val="auto"/>
              </w:rPr>
            </w:pPr>
            <w:r>
              <w:rPr>
                <w:rFonts w:ascii="Arial" w:cs="Arial" w:eastAsia="Arial" w:hAnsi="Arial"/>
                <w:sz w:val="12"/>
                <w:szCs w:val="12"/>
                <w:color w:val="auto"/>
              </w:rPr>
              <w:t>Notes to Consolidated Financial Statements (unaudited)</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4"/>
        </w:trPr>
        <w:tc>
          <w:tcPr>
            <w:tcW w:w="1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4"/>
          </w:tcPr>
          <w:p>
            <w:pPr>
              <w:jc w:val="center"/>
              <w:ind w:left="1000"/>
              <w:spacing w:after="0"/>
              <w:rPr>
                <w:sz w:val="20"/>
                <w:szCs w:val="20"/>
                <w:color w:val="auto"/>
              </w:rPr>
            </w:pPr>
            <w:r>
              <w:rPr>
                <w:rFonts w:ascii="Arial" w:cs="Arial" w:eastAsia="Arial" w:hAnsi="Arial"/>
                <w:sz w:val="12"/>
                <w:szCs w:val="12"/>
                <w:b w:val="1"/>
                <w:bCs w:val="1"/>
                <w:color w:val="auto"/>
                <w:w w:val="92"/>
              </w:rPr>
              <w:t>For the Three Months Ended</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For the Six Months Ended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June 30, 2020</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9"/>
              </w:rPr>
              <w:t>June 30, 2020</w:t>
            </w: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w w:val="87"/>
              </w:rPr>
              <w:t>Gross Realized Gains</w:t>
            </w:r>
          </w:p>
        </w:tc>
        <w:tc>
          <w:tcPr>
            <w:tcW w:w="13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6"/>
              </w:rPr>
              <w:t>Gross Realized Losses</w:t>
            </w:r>
          </w:p>
        </w:tc>
        <w:tc>
          <w:tcPr>
            <w:tcW w:w="160" w:type="dxa"/>
            <w:vAlign w:val="bottom"/>
          </w:tcPr>
          <w:p>
            <w:pPr>
              <w:spacing w:after="0"/>
              <w:rPr>
                <w:sz w:val="9"/>
                <w:szCs w:val="9"/>
                <w:color w:val="auto"/>
              </w:rPr>
            </w:pPr>
          </w:p>
        </w:tc>
        <w:tc>
          <w:tcPr>
            <w:tcW w:w="1120" w:type="dxa"/>
            <w:vAlign w:val="bottom"/>
          </w:tcPr>
          <w:p>
            <w:pPr>
              <w:jc w:val="center"/>
              <w:ind w:right="42"/>
              <w:spacing w:after="0" w:line="106" w:lineRule="exact"/>
              <w:rPr>
                <w:sz w:val="20"/>
                <w:szCs w:val="20"/>
                <w:color w:val="auto"/>
              </w:rPr>
            </w:pPr>
            <w:r>
              <w:rPr>
                <w:rFonts w:ascii="Arial" w:cs="Arial" w:eastAsia="Arial" w:hAnsi="Arial"/>
                <w:sz w:val="12"/>
                <w:szCs w:val="12"/>
                <w:b w:val="1"/>
                <w:bCs w:val="1"/>
                <w:color w:val="auto"/>
                <w:w w:val="92"/>
              </w:rPr>
              <w:t>Net Realized Gain</w:t>
            </w:r>
          </w:p>
        </w:tc>
        <w:tc>
          <w:tcPr>
            <w:tcW w:w="80" w:type="dxa"/>
            <w:vAlign w:val="bottom"/>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88"/>
              </w:rPr>
              <w:t>Gross Realized Gains</w:t>
            </w:r>
            <w:r>
              <w:rPr>
                <w:rFonts w:ascii="Arial" w:cs="Arial" w:eastAsia="Arial" w:hAnsi="Arial"/>
                <w:sz w:val="15"/>
                <w:szCs w:val="15"/>
                <w:b w:val="1"/>
                <w:bCs w:val="1"/>
                <w:color w:val="auto"/>
                <w:w w:val="88"/>
                <w:vertAlign w:val="superscript"/>
              </w:rPr>
              <w:t>(1)</w:t>
            </w:r>
          </w:p>
        </w:tc>
        <w:tc>
          <w:tcPr>
            <w:tcW w:w="140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86"/>
              </w:rPr>
              <w:t>Gross Realized Losses</w:t>
            </w:r>
          </w:p>
        </w:tc>
        <w:tc>
          <w:tcPr>
            <w:tcW w:w="120" w:type="dxa"/>
            <w:vAlign w:val="bottom"/>
          </w:tcPr>
          <w:p>
            <w:pPr>
              <w:spacing w:after="0"/>
              <w:rPr>
                <w:sz w:val="9"/>
                <w:szCs w:val="9"/>
                <w:color w:val="auto"/>
              </w:rPr>
            </w:pPr>
          </w:p>
        </w:tc>
        <w:tc>
          <w:tcPr>
            <w:tcW w:w="1140" w:type="dxa"/>
            <w:vAlign w:val="bottom"/>
          </w:tcPr>
          <w:p>
            <w:pPr>
              <w:jc w:val="center"/>
              <w:ind w:right="60"/>
              <w:spacing w:after="0" w:line="106" w:lineRule="exact"/>
              <w:rPr>
                <w:sz w:val="20"/>
                <w:szCs w:val="20"/>
                <w:color w:val="auto"/>
              </w:rPr>
            </w:pPr>
            <w:r>
              <w:rPr>
                <w:rFonts w:ascii="Arial" w:cs="Arial" w:eastAsia="Arial" w:hAnsi="Arial"/>
                <w:sz w:val="12"/>
                <w:szCs w:val="12"/>
                <w:b w:val="1"/>
                <w:bCs w:val="1"/>
                <w:color w:val="auto"/>
                <w:w w:val="92"/>
              </w:rPr>
              <w:t>Net Realized Gain</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(Loss)</w:t>
            </w:r>
          </w:p>
        </w:tc>
        <w:tc>
          <w:tcPr>
            <w:tcW w:w="1240" w:type="dxa"/>
            <w:vAlign w:val="bottom"/>
            <w:tcBorders>
              <w:bottom w:val="single" w:sz="8" w:color="auto"/>
            </w:tcBorders>
            <w:gridSpan w:val="2"/>
            <w:vMerge w:val="continue"/>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3"/>
              </w:rPr>
              <w:t>(Loss)</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3"/>
          </w:tcPr>
          <w:p>
            <w:pPr>
              <w:jc w:val="right"/>
              <w:ind w:right="220"/>
              <w:spacing w:after="0"/>
              <w:rPr>
                <w:sz w:val="20"/>
                <w:szCs w:val="20"/>
                <w:color w:val="auto"/>
              </w:rPr>
            </w:pPr>
            <w:r>
              <w:rPr>
                <w:rFonts w:ascii="Arial" w:cs="Arial" w:eastAsia="Arial" w:hAnsi="Arial"/>
                <w:sz w:val="11"/>
                <w:szCs w:val="11"/>
                <w:i w:val="1"/>
                <w:iCs w:val="1"/>
                <w:color w:val="auto"/>
              </w:rPr>
              <w:t>(Dollars in thousands)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Available-for-sale securities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760</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00"/>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The gross gains for the six-months ended June 30, 2020 included $75 thousand related to a previously disclosed OTTI municipal security that was settled in 2020.</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Equity Securities</w:t>
      </w:r>
    </w:p>
    <w:p>
      <w:pPr>
        <w:spacing w:after="0" w:line="113" w:lineRule="exact"/>
        <w:rPr>
          <w:sz w:val="20"/>
          <w:szCs w:val="20"/>
          <w:color w:val="auto"/>
        </w:rPr>
      </w:pPr>
    </w:p>
    <w:p>
      <w:pPr>
        <w:ind w:left="100" w:right="60" w:firstLine="324"/>
        <w:spacing w:after="0" w:line="276" w:lineRule="auto"/>
        <w:rPr>
          <w:sz w:val="20"/>
          <w:szCs w:val="20"/>
          <w:color w:val="auto"/>
        </w:rPr>
      </w:pPr>
      <w:r>
        <w:rPr>
          <w:rFonts w:ascii="Arial" w:cs="Arial" w:eastAsia="Arial" w:hAnsi="Arial"/>
          <w:sz w:val="12"/>
          <w:szCs w:val="12"/>
          <w:color w:val="auto"/>
        </w:rPr>
        <w:t>Equity securities consist of a $2 million investment in a Community Reinvestment Act (“CRA”) mutual fund, a $100 thousand private equity investment and an $11 million privately-held security acquired in the fourth quarter of 2020 as part of a debt restructuring. Equity securities are included in “Other assets” on the Consolidated Balance Sheets.</w:t>
      </w:r>
    </w:p>
    <w:p>
      <w:pPr>
        <w:spacing w:after="0" w:line="79"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2"/>
          <w:szCs w:val="12"/>
          <w:color w:val="auto"/>
        </w:rPr>
        <w:t>The privately-held security was acquired in partial satisfaction of debts previously contracted. The Company elected a measurement alternative that allows the security to remain at cost until an impairment is identified or an observable price change for an identical or similar investment of the same issuer occurs. Impairment is recorded when there is evidence that the expected fair value of the investment has declined to below the recorded cost. No changes to the cost basis occurred during the six-months ended June 30, 2021. The Company is required to make good faith efforts to dispose of the security. The shares may be held for a maximum of five years, subject to a five-year extension that would result in a change to Tier 1 capital.</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is a summary of the unrealized and realized gains and losses recognized in net income on equity securities:</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5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2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w w:val="94"/>
              </w:rPr>
              <w:t>Three Months Ended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96"/>
              </w:rPr>
              <w:t>Six Months Ended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2"/>
                <w:szCs w:val="12"/>
                <w:b w:val="1"/>
                <w:bCs w:val="1"/>
                <w:color w:val="auto"/>
                <w:w w:val="87"/>
              </w:rPr>
              <w:t>June 30,</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w w:val="83"/>
              </w:rPr>
              <w:t>June 30,</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3"/>
          </w:tcPr>
          <w:p>
            <w:pPr>
              <w:jc w:val="right"/>
              <w:ind w:right="400"/>
              <w:spacing w:after="0"/>
              <w:rPr>
                <w:sz w:val="20"/>
                <w:szCs w:val="20"/>
                <w:color w:val="auto"/>
              </w:rPr>
            </w:pPr>
            <w:r>
              <w:rPr>
                <w:rFonts w:ascii="Arial" w:cs="Arial" w:eastAsia="Arial" w:hAnsi="Arial"/>
                <w:sz w:val="11"/>
                <w:szCs w:val="11"/>
                <w:i w:val="1"/>
                <w:iCs w:val="1"/>
                <w:color w:val="auto"/>
                <w:w w:val="95"/>
              </w:rPr>
              <w:t>(Dollars in thousands)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Net gains (losses) recognized during the reporting period on equity securities</w:t>
            </w:r>
          </w:p>
        </w:tc>
        <w:tc>
          <w:tcPr>
            <w:tcW w:w="10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(33)</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w w:val="93"/>
              </w:rPr>
              <w:t>Less: net gains recognized during the reporting period on equity securities sold during the reporting period</w:t>
            </w:r>
          </w:p>
        </w:tc>
        <w:tc>
          <w:tcPr>
            <w:tcW w:w="10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color w:val="auto"/>
                <w:w w:val="99"/>
              </w:rPr>
              <w:t>—</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7"/>
        </w:trPr>
        <w:tc>
          <w:tcPr>
            <w:tcW w:w="5320" w:type="dxa"/>
            <w:vAlign w:val="bottom"/>
            <w:shd w:val="clear" w:color="auto" w:fill="CCEEFF"/>
          </w:tcPr>
          <w:p>
            <w:pPr>
              <w:ind w:left="120"/>
              <w:spacing w:after="0" w:line="97" w:lineRule="exact"/>
              <w:rPr>
                <w:sz w:val="20"/>
                <w:szCs w:val="20"/>
                <w:color w:val="auto"/>
              </w:rPr>
            </w:pPr>
            <w:r>
              <w:rPr>
                <w:rFonts w:ascii="Arial" w:cs="Arial" w:eastAsia="Arial" w:hAnsi="Arial"/>
                <w:sz w:val="11"/>
                <w:szCs w:val="11"/>
                <w:color w:val="auto"/>
              </w:rPr>
              <w:t>Unrealized gain (losses) recognized during the reporting period on equity securities still held at the</w:t>
            </w:r>
          </w:p>
        </w:tc>
        <w:tc>
          <w:tcPr>
            <w:tcW w:w="1020" w:type="dxa"/>
            <w:vAlign w:val="bottom"/>
            <w:vMerge w:val="restart"/>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0" w:type="dxa"/>
            <w:vAlign w:val="bottom"/>
            <w:vMerge w:val="restart"/>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8"/>
                <w:szCs w:val="8"/>
                <w:color w:val="auto"/>
              </w:rPr>
            </w:pPr>
          </w:p>
        </w:tc>
        <w:tc>
          <w:tcPr>
            <w:tcW w:w="1060" w:type="dxa"/>
            <w:vAlign w:val="bottom"/>
            <w:vMerge w:val="restart"/>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center"/>
              <w:ind w:left="80"/>
              <w:spacing w:after="0"/>
              <w:rPr>
                <w:sz w:val="20"/>
                <w:szCs w:val="20"/>
                <w:color w:val="auto"/>
              </w:rPr>
            </w:pPr>
            <w:r>
              <w:rPr>
                <w:rFonts w:ascii="Arial" w:cs="Arial" w:eastAsia="Arial" w:hAnsi="Arial"/>
                <w:sz w:val="12"/>
                <w:szCs w:val="12"/>
                <w:color w:val="auto"/>
                <w:w w:val="93"/>
              </w:rPr>
              <w:t>(33)</w:t>
            </w:r>
          </w:p>
        </w:tc>
        <w:tc>
          <w:tcPr>
            <w:tcW w:w="2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8"/>
                <w:szCs w:val="8"/>
                <w:color w:val="auto"/>
              </w:rPr>
            </w:pPr>
          </w:p>
        </w:tc>
        <w:tc>
          <w:tcPr>
            <w:tcW w:w="680" w:type="dxa"/>
            <w:vAlign w:val="bottom"/>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1"/>
        </w:trPr>
        <w:tc>
          <w:tcPr>
            <w:tcW w:w="5320" w:type="dxa"/>
            <w:vAlign w:val="bottom"/>
            <w:tcBorders>
              <w:bottom w:val="single" w:sz="8" w:color="CCEEFF"/>
            </w:tcBorders>
            <w:shd w:val="clear" w:color="auto" w:fill="CCEEFF"/>
          </w:tcPr>
          <w:p>
            <w:pPr>
              <w:ind w:left="220"/>
              <w:spacing w:after="0" w:line="135" w:lineRule="exact"/>
              <w:rPr>
                <w:sz w:val="20"/>
                <w:szCs w:val="20"/>
                <w:color w:val="auto"/>
              </w:rPr>
            </w:pPr>
            <w:r>
              <w:rPr>
                <w:rFonts w:ascii="Arial" w:cs="Arial" w:eastAsia="Arial" w:hAnsi="Arial"/>
                <w:sz w:val="12"/>
                <w:szCs w:val="12"/>
                <w:color w:val="auto"/>
              </w:rPr>
              <w:t>reporting date</w:t>
            </w: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Note 4:</w:t>
            </w:r>
          </w:p>
        </w:tc>
        <w:tc>
          <w:tcPr>
            <w:tcW w:w="5800" w:type="dxa"/>
            <w:vAlign w:val="bottom"/>
          </w:tcPr>
          <w:p>
            <w:pPr>
              <w:ind w:left="400"/>
              <w:spacing w:after="0"/>
              <w:rPr>
                <w:sz w:val="20"/>
                <w:szCs w:val="20"/>
                <w:color w:val="auto"/>
              </w:rPr>
            </w:pPr>
            <w:r>
              <w:rPr>
                <w:rFonts w:ascii="Arial" w:cs="Arial" w:eastAsia="Arial" w:hAnsi="Arial"/>
                <w:sz w:val="14"/>
                <w:szCs w:val="14"/>
                <w:b w:val="1"/>
                <w:bCs w:val="1"/>
                <w:color w:val="auto"/>
              </w:rPr>
              <w:t>Loans and Allowance for Loan Losses (“ALLL”)</w:t>
            </w:r>
          </w:p>
        </w:tc>
        <w:tc>
          <w:tcPr>
            <w:tcW w:w="1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46"/>
        </w:trPr>
        <w:tc>
          <w:tcPr>
            <w:tcW w:w="100" w:type="dxa"/>
            <w:vAlign w:val="bottom"/>
          </w:tcPr>
          <w:p>
            <w:pPr>
              <w:spacing w:after="0"/>
              <w:rPr>
                <w:sz w:val="21"/>
                <w:szCs w:val="21"/>
                <w:color w:val="auto"/>
              </w:rPr>
            </w:pPr>
          </w:p>
        </w:tc>
        <w:tc>
          <w:tcPr>
            <w:tcW w:w="6140" w:type="dxa"/>
            <w:vAlign w:val="bottom"/>
            <w:gridSpan w:val="2"/>
          </w:tcPr>
          <w:p>
            <w:pPr>
              <w:ind w:left="320"/>
              <w:spacing w:after="0"/>
              <w:rPr>
                <w:sz w:val="20"/>
                <w:szCs w:val="20"/>
                <w:color w:val="auto"/>
              </w:rPr>
            </w:pPr>
            <w:r>
              <w:rPr>
                <w:rFonts w:ascii="Arial" w:cs="Arial" w:eastAsia="Arial" w:hAnsi="Arial"/>
                <w:sz w:val="12"/>
                <w:szCs w:val="12"/>
                <w:color w:val="auto"/>
              </w:rPr>
              <w:t>Categories of loans at June 30, 2021 and December 31, 2020 include:</w:t>
            </w:r>
          </w:p>
        </w:tc>
        <w:tc>
          <w:tcPr>
            <w:tcW w:w="1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171"/>
        </w:trPr>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June 30, 2021</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December 31, 2020</w:t>
            </w:r>
          </w:p>
        </w:tc>
      </w:tr>
      <w:tr>
        <w:trPr>
          <w:trHeight w:val="131"/>
        </w:trPr>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1"/>
                <w:szCs w:val="11"/>
                <w:i w:val="1"/>
                <w:iCs w:val="1"/>
                <w:color w:val="auto"/>
              </w:rPr>
              <w:t>(Dollars in thousands)</w:t>
            </w:r>
          </w:p>
        </w:tc>
        <w:tc>
          <w:tcPr>
            <w:tcW w:w="172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Commercial</w:t>
            </w:r>
          </w:p>
        </w:tc>
        <w:tc>
          <w:tcPr>
            <w:tcW w:w="1860" w:type="dxa"/>
            <w:vAlign w:val="bottom"/>
            <w:shd w:val="clear" w:color="auto" w:fill="CCEEFF"/>
          </w:tcPr>
          <w:p>
            <w:pPr>
              <w:jc w:val="right"/>
              <w:ind w:right="14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1,187,824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1,338,757</w:t>
            </w:r>
          </w:p>
        </w:tc>
      </w:tr>
      <w:tr>
        <w:trPr>
          <w:trHeight w:val="153"/>
        </w:trPr>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Energy</w:t>
            </w:r>
          </w:p>
        </w:tc>
        <w:tc>
          <w:tcPr>
            <w:tcW w:w="186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326,473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345,233</w:t>
            </w:r>
          </w:p>
        </w:tc>
      </w:tr>
      <w:tr>
        <w:trPr>
          <w:trHeight w:val="153"/>
        </w:trPr>
        <w:tc>
          <w:tcPr>
            <w:tcW w:w="10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Commercial real estate</w:t>
            </w:r>
          </w:p>
        </w:tc>
        <w:tc>
          <w:tcPr>
            <w:tcW w:w="18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1,208,715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1,179,534</w:t>
            </w:r>
          </w:p>
        </w:tc>
      </w:tr>
      <w:tr>
        <w:trPr>
          <w:trHeight w:val="153"/>
        </w:trPr>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Construction and land development</w:t>
            </w:r>
          </w:p>
        </w:tc>
        <w:tc>
          <w:tcPr>
            <w:tcW w:w="186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623,557</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563,144</w:t>
            </w:r>
          </w:p>
        </w:tc>
      </w:tr>
      <w:tr>
        <w:trPr>
          <w:trHeight w:val="153"/>
        </w:trPr>
        <w:tc>
          <w:tcPr>
            <w:tcW w:w="10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Residential and multifamily real estate</w:t>
            </w:r>
          </w:p>
        </w:tc>
        <w:tc>
          <w:tcPr>
            <w:tcW w:w="18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641,669</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680,932</w:t>
            </w:r>
          </w:p>
        </w:tc>
      </w:tr>
      <w:tr>
        <w:trPr>
          <w:trHeight w:val="153"/>
        </w:trPr>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Paycheck Protection Program (“PPP”)</w:t>
            </w:r>
          </w:p>
        </w:tc>
        <w:tc>
          <w:tcPr>
            <w:tcW w:w="186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197,084</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292,230</w:t>
            </w:r>
          </w:p>
        </w:tc>
      </w:tr>
      <w:tr>
        <w:trPr>
          <w:trHeight w:val="153"/>
        </w:trPr>
        <w:tc>
          <w:tcPr>
            <w:tcW w:w="10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Consumer</w:t>
            </w:r>
          </w:p>
        </w:tc>
        <w:tc>
          <w:tcPr>
            <w:tcW w:w="18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67,003</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55,270</w:t>
            </w:r>
          </w:p>
        </w:tc>
      </w:tr>
      <w:tr>
        <w:trPr>
          <w:trHeight w:val="142"/>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0" w:type="dxa"/>
            <w:vAlign w:val="bottom"/>
          </w:tcPr>
          <w:p>
            <w:pPr>
              <w:ind w:left="80"/>
              <w:spacing w:after="0"/>
              <w:rPr>
                <w:sz w:val="20"/>
                <w:szCs w:val="20"/>
                <w:color w:val="auto"/>
              </w:rPr>
            </w:pPr>
            <w:r>
              <w:rPr>
                <w:rFonts w:ascii="Arial" w:cs="Arial" w:eastAsia="Arial" w:hAnsi="Arial"/>
                <w:sz w:val="12"/>
                <w:szCs w:val="12"/>
                <w:color w:val="auto"/>
              </w:rPr>
              <w:t>Gross loans</w:t>
            </w:r>
          </w:p>
        </w:tc>
        <w:tc>
          <w:tcPr>
            <w:tcW w:w="1860" w:type="dxa"/>
            <w:vAlign w:val="bottom"/>
          </w:tcPr>
          <w:p>
            <w:pPr>
              <w:spacing w:after="0"/>
              <w:rPr>
                <w:sz w:val="12"/>
                <w:szCs w:val="12"/>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4,252,325</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4,455,100</w:t>
            </w:r>
          </w:p>
        </w:tc>
      </w:tr>
      <w:tr>
        <w:trPr>
          <w:trHeight w:val="153"/>
        </w:trPr>
        <w:tc>
          <w:tcPr>
            <w:tcW w:w="10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color w:val="auto"/>
              </w:rPr>
              <w:t>Less: Allowance for loan losses</w:t>
            </w:r>
          </w:p>
        </w:tc>
        <w:tc>
          <w:tcPr>
            <w:tcW w:w="18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75,493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75,295</w:t>
            </w:r>
          </w:p>
        </w:tc>
      </w:tr>
      <w:tr>
        <w:trPr>
          <w:trHeight w:val="153"/>
        </w:trPr>
        <w:tc>
          <w:tcPr>
            <w:tcW w:w="100" w:type="dxa"/>
            <w:vAlign w:val="bottom"/>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Net deferred loan fees and costs</w:t>
            </w:r>
          </w:p>
        </w:tc>
        <w:tc>
          <w:tcPr>
            <w:tcW w:w="1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14,381</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13,203</w:t>
            </w:r>
          </w:p>
        </w:tc>
      </w:tr>
      <w:tr>
        <w:trPr>
          <w:trHeight w:val="158"/>
        </w:trPr>
        <w:tc>
          <w:tcPr>
            <w:tcW w:w="100" w:type="dxa"/>
            <w:vAlign w:val="bottom"/>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5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loans</w:t>
            </w:r>
          </w:p>
        </w:tc>
        <w:tc>
          <w:tcPr>
            <w:tcW w:w="1860" w:type="dxa"/>
            <w:vAlign w:val="bottom"/>
            <w:tcBorders>
              <w:bottom w:val="single" w:sz="8" w:color="auto"/>
            </w:tcBorders>
            <w:shd w:val="clear" w:color="auto" w:fill="CCEEFF"/>
          </w:tcPr>
          <w:p>
            <w:pPr>
              <w:jc w:val="right"/>
              <w:ind w:right="140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4,162,451</w:t>
            </w: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4,366,602</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Allowance for Loan Losses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6" w:name="page17"/>
    <w:bookmarkEnd w:id="16"/>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ind w:left="100" w:right="160" w:firstLine="324"/>
        <w:spacing w:after="0" w:line="276" w:lineRule="auto"/>
        <w:rPr>
          <w:sz w:val="20"/>
          <w:szCs w:val="20"/>
          <w:color w:val="auto"/>
        </w:rPr>
      </w:pPr>
      <w:r>
        <w:rPr>
          <w:rFonts w:ascii="Arial" w:cs="Arial" w:eastAsia="Arial" w:hAnsi="Arial"/>
          <w:sz w:val="12"/>
          <w:szCs w:val="12"/>
          <w:color w:val="auto"/>
        </w:rPr>
        <w:t>The ALLL is established as losses are estimated to have occurred through a provision for loan losses charged against income. Loan losses are charged against the allowance when management believes the loan balance is not collectible. Subsequent recoveries, if any, are credited to the allowance.</w:t>
      </w:r>
    </w:p>
    <w:p>
      <w:pPr>
        <w:spacing w:after="0" w:line="79" w:lineRule="exact"/>
        <w:rPr>
          <w:sz w:val="20"/>
          <w:szCs w:val="20"/>
          <w:color w:val="auto"/>
        </w:rPr>
      </w:pPr>
    </w:p>
    <w:p>
      <w:pPr>
        <w:ind w:left="100" w:right="80" w:firstLine="324"/>
        <w:spacing w:after="0" w:line="263" w:lineRule="auto"/>
        <w:rPr>
          <w:sz w:val="20"/>
          <w:szCs w:val="20"/>
          <w:color w:val="auto"/>
        </w:rPr>
      </w:pPr>
      <w:r>
        <w:rPr>
          <w:rFonts w:ascii="Arial" w:cs="Arial" w:eastAsia="Arial" w:hAnsi="Arial"/>
          <w:sz w:val="12"/>
          <w:szCs w:val="12"/>
          <w:color w:val="auto"/>
        </w:rPr>
        <w:t>The ALLL is evaluated on a regular basis by management and is based upon management’s periodic review of its ability to collect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86"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The ALLL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all loans on accrual and is based on historical charge-off experience and expected loss given default derived from the Company’s internal risk rating process and loan categories. Other adjustments may be made to the allowance for pools of loans after an assessment of internal or external influences on credit quality that are not fully reflected in the historical loss or risk rating data.</w:t>
      </w:r>
    </w:p>
    <w:p>
      <w:pPr>
        <w:spacing w:after="0" w:line="88" w:lineRule="exact"/>
        <w:rPr>
          <w:sz w:val="20"/>
          <w:szCs w:val="20"/>
          <w:color w:val="auto"/>
        </w:rPr>
      </w:pPr>
    </w:p>
    <w:p>
      <w:pPr>
        <w:ind w:left="100" w:right="320" w:firstLine="324"/>
        <w:spacing w:after="0" w:line="276" w:lineRule="auto"/>
        <w:rPr>
          <w:sz w:val="20"/>
          <w:szCs w:val="20"/>
          <w:color w:val="auto"/>
        </w:rPr>
      </w:pPr>
      <w:r>
        <w:rPr>
          <w:rFonts w:ascii="Arial" w:cs="Arial" w:eastAsia="Arial" w:hAnsi="Arial"/>
          <w:sz w:val="12"/>
          <w:szCs w:val="12"/>
          <w:color w:val="auto"/>
        </w:rPr>
        <w:t>The Company evaluates the loan risk grading system definitions, portfolio segment definitions and ALLL methodology on an ongoing basis. No changes to loan definitions, segmentation, or ALLL methodology occurred during the second quarter of 2021.</w:t>
      </w:r>
    </w:p>
    <w:p>
      <w:pPr>
        <w:spacing w:after="0" w:line="79"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The following tables summarize the activity in the ALLL by portfolio segment and disaggregated based on the Company’s impairment methodology. The allocation in one portfolio segment does not preclude its availability to absorb losses in other segments: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Commercial Real</w:t>
            </w:r>
          </w:p>
        </w:tc>
        <w:tc>
          <w:tcPr>
            <w:tcW w:w="12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1"/>
              </w:rPr>
              <w:t>Construction and Land</w:t>
            </w:r>
          </w:p>
        </w:tc>
        <w:tc>
          <w:tcPr>
            <w:tcW w:w="14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Residential and</w:t>
            </w: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7"/>
        </w:trPr>
        <w:tc>
          <w:tcPr>
            <w:tcW w:w="1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Commercial</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Energy</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4"/>
              </w:rPr>
              <w:t>Estate</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9"/>
              </w:rPr>
              <w:t>Development</w:t>
            </w: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8"/>
              </w:rPr>
              <w:t>Multifamily Real Estate</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PPP</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Consumer</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Total</w:t>
            </w:r>
          </w:p>
        </w:tc>
      </w:tr>
      <w:tr>
        <w:trPr>
          <w:trHeight w:val="151"/>
        </w:trPr>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5"/>
          </w:tcPr>
          <w:p>
            <w:pPr>
              <w:ind w:left="580"/>
              <w:spacing w:after="0"/>
              <w:rPr>
                <w:sz w:val="20"/>
                <w:szCs w:val="20"/>
                <w:color w:val="auto"/>
              </w:rPr>
            </w:pPr>
            <w:r>
              <w:rPr>
                <w:rFonts w:ascii="Arial" w:cs="Arial" w:eastAsia="Arial" w:hAnsi="Arial"/>
                <w:sz w:val="11"/>
                <w:szCs w:val="11"/>
                <w:i w:val="1"/>
                <w:iCs w:val="1"/>
                <w:color w:val="auto"/>
              </w:rPr>
              <w:t>(Dollars in thousands)</w:t>
            </w: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9"/>
        </w:trPr>
        <w:tc>
          <w:tcPr>
            <w:tcW w:w="17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w w:val="94"/>
              </w:rPr>
              <w:t>Three months ended June 30, 2021</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5"/>
        </w:trPr>
        <w:tc>
          <w:tcPr>
            <w:tcW w:w="1560" w:type="dxa"/>
            <w:vAlign w:val="bottom"/>
          </w:tcPr>
          <w:p>
            <w:pPr>
              <w:spacing w:after="0"/>
              <w:rPr>
                <w:sz w:val="20"/>
                <w:szCs w:val="20"/>
                <w:color w:val="auto"/>
              </w:rPr>
            </w:pPr>
            <w:r>
              <w:rPr>
                <w:rFonts w:ascii="Arial" w:cs="Arial" w:eastAsia="Arial" w:hAnsi="Arial"/>
                <w:sz w:val="11"/>
                <w:szCs w:val="11"/>
                <w:color w:val="auto"/>
              </w:rPr>
              <w:t>Allowance for loan losses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9"/>
        </w:trPr>
        <w:tc>
          <w:tcPr>
            <w:tcW w:w="1560" w:type="dxa"/>
            <w:vAlign w:val="bottom"/>
            <w:shd w:val="clear" w:color="auto" w:fill="CCEEFF"/>
          </w:tcPr>
          <w:p>
            <w:pPr>
              <w:spacing w:after="0"/>
              <w:rPr>
                <w:sz w:val="20"/>
                <w:szCs w:val="20"/>
                <w:color w:val="auto"/>
              </w:rPr>
            </w:pPr>
            <w:r>
              <w:rPr>
                <w:rFonts w:ascii="Arial" w:cs="Arial" w:eastAsia="Arial" w:hAnsi="Arial"/>
                <w:sz w:val="11"/>
                <w:szCs w:val="11"/>
                <w:color w:val="auto"/>
              </w:rPr>
              <w:t>Beginning balance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23,464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6,056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74,551</w:t>
            </w:r>
          </w:p>
        </w:tc>
      </w:tr>
      <w:tr>
        <w:trPr>
          <w:trHeight w:val="155"/>
        </w:trPr>
        <w:tc>
          <w:tcPr>
            <w:tcW w:w="1560" w:type="dxa"/>
            <w:vAlign w:val="bottom"/>
          </w:tcPr>
          <w:p>
            <w:pPr>
              <w:ind w:left="60"/>
              <w:spacing w:after="0"/>
              <w:rPr>
                <w:sz w:val="20"/>
                <w:szCs w:val="20"/>
                <w:color w:val="auto"/>
              </w:rPr>
            </w:pPr>
            <w:r>
              <w:rPr>
                <w:rFonts w:ascii="Arial" w:cs="Arial" w:eastAsia="Arial" w:hAnsi="Arial"/>
                <w:sz w:val="11"/>
                <w:szCs w:val="11"/>
                <w:color w:val="auto"/>
              </w:rPr>
              <w:t>Provision charged to expense</w:t>
            </w:r>
          </w:p>
        </w:tc>
        <w:tc>
          <w:tcPr>
            <w:tcW w:w="18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7,532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(1,428)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3"/>
                <w:szCs w:val="13"/>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3,500</w:t>
            </w:r>
          </w:p>
        </w:tc>
      </w:tr>
      <w:tr>
        <w:trPr>
          <w:trHeight w:val="168"/>
        </w:trPr>
        <w:tc>
          <w:tcPr>
            <w:tcW w:w="1560" w:type="dxa"/>
            <w:vAlign w:val="bottom"/>
            <w:shd w:val="clear" w:color="auto" w:fill="CCEEFF"/>
          </w:tcPr>
          <w:p>
            <w:pPr>
              <w:ind w:left="60"/>
              <w:spacing w:after="0"/>
              <w:rPr>
                <w:sz w:val="20"/>
                <w:szCs w:val="20"/>
                <w:color w:val="auto"/>
              </w:rPr>
            </w:pPr>
            <w:r>
              <w:rPr>
                <w:rFonts w:ascii="Arial" w:cs="Arial" w:eastAsia="Arial" w:hAnsi="Arial"/>
                <w:sz w:val="11"/>
                <w:szCs w:val="11"/>
                <w:color w:val="auto"/>
              </w:rPr>
              <w:t>Charge-offs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(2,566)</w:t>
            </w:r>
          </w:p>
        </w:tc>
      </w:tr>
      <w:tr>
        <w:trPr>
          <w:trHeight w:val="156"/>
        </w:trPr>
        <w:tc>
          <w:tcPr>
            <w:tcW w:w="1560" w:type="dxa"/>
            <w:vAlign w:val="bottom"/>
            <w:tcBorders>
              <w:bottom w:val="single" w:sz="8" w:color="CCEEFF"/>
            </w:tcBorders>
          </w:tcPr>
          <w:p>
            <w:pPr>
              <w:ind w:left="60"/>
              <w:spacing w:after="0"/>
              <w:rPr>
                <w:sz w:val="20"/>
                <w:szCs w:val="20"/>
                <w:color w:val="auto"/>
              </w:rPr>
            </w:pPr>
            <w:r>
              <w:rPr>
                <w:rFonts w:ascii="Arial" w:cs="Arial" w:eastAsia="Arial" w:hAnsi="Arial"/>
                <w:sz w:val="11"/>
                <w:szCs w:val="11"/>
                <w:color w:val="auto"/>
              </w:rPr>
              <w:t>Recoveries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w:t>
            </w:r>
          </w:p>
        </w:tc>
      </w:tr>
      <w:tr>
        <w:trPr>
          <w:trHeight w:val="173"/>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28,433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17,849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19,181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3,885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5,826</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75,493</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Commercial Real</w:t>
            </w:r>
          </w:p>
        </w:tc>
        <w:tc>
          <w:tcPr>
            <w:tcW w:w="12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Construction and Land</w:t>
            </w:r>
          </w:p>
        </w:tc>
        <w:tc>
          <w:tcPr>
            <w:tcW w:w="140" w:type="dxa"/>
            <w:vAlign w:val="bottom"/>
          </w:tcPr>
          <w:p>
            <w:pPr>
              <w:spacing w:after="0"/>
              <w:rPr>
                <w:sz w:val="10"/>
                <w:szCs w:val="10"/>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Residential and</w:t>
            </w: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7"/>
        </w:trPr>
        <w:tc>
          <w:tcPr>
            <w:tcW w:w="1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Commercial</w:t>
            </w: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Energy</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4"/>
              </w:rPr>
              <w:t>Estate</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86"/>
              </w:rPr>
              <w:t>Development</w:t>
            </w: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8"/>
              </w:rPr>
              <w:t>Multifamily Real Estate</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PPP</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b w:val="1"/>
                <w:bCs w:val="1"/>
                <w:color w:val="auto"/>
              </w:rPr>
              <w:t>Consumer</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Total</w:t>
            </w:r>
          </w:p>
        </w:tc>
      </w:tr>
      <w:tr>
        <w:trPr>
          <w:trHeight w:val="151"/>
        </w:trPr>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ind w:left="560"/>
              <w:spacing w:after="0"/>
              <w:rPr>
                <w:sz w:val="20"/>
                <w:szCs w:val="20"/>
                <w:color w:val="auto"/>
              </w:rPr>
            </w:pPr>
            <w:r>
              <w:rPr>
                <w:rFonts w:ascii="Arial" w:cs="Arial" w:eastAsia="Arial" w:hAnsi="Arial"/>
                <w:sz w:val="11"/>
                <w:szCs w:val="11"/>
                <w:i w:val="1"/>
                <w:iCs w:val="1"/>
                <w:color w:val="auto"/>
              </w:rPr>
              <w:t>(Dollars in thousands)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17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w w:val="94"/>
              </w:rPr>
              <w:t>Three months ended June 30, 2020</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6"/>
        </w:trPr>
        <w:tc>
          <w:tcPr>
            <w:tcW w:w="1560" w:type="dxa"/>
            <w:vAlign w:val="bottom"/>
          </w:tcPr>
          <w:p>
            <w:pPr>
              <w:spacing w:after="0"/>
              <w:rPr>
                <w:sz w:val="20"/>
                <w:szCs w:val="20"/>
                <w:color w:val="auto"/>
              </w:rPr>
            </w:pPr>
            <w:r>
              <w:rPr>
                <w:rFonts w:ascii="Arial" w:cs="Arial" w:eastAsia="Arial" w:hAnsi="Arial"/>
                <w:sz w:val="11"/>
                <w:szCs w:val="11"/>
                <w:color w:val="auto"/>
              </w:rPr>
              <w:t>Allowance for loan losses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1560" w:type="dxa"/>
            <w:vAlign w:val="bottom"/>
            <w:shd w:val="clear" w:color="auto" w:fill="CCEEFF"/>
          </w:tcPr>
          <w:p>
            <w:pPr>
              <w:spacing w:after="0"/>
              <w:rPr>
                <w:sz w:val="20"/>
                <w:szCs w:val="20"/>
                <w:color w:val="auto"/>
              </w:rPr>
            </w:pPr>
            <w:r>
              <w:rPr>
                <w:rFonts w:ascii="Arial" w:cs="Arial" w:eastAsia="Arial" w:hAnsi="Arial"/>
                <w:sz w:val="11"/>
                <w:szCs w:val="11"/>
                <w:color w:val="auto"/>
              </w:rPr>
              <w:t>Beginning balance</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21,129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12,623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4,687</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51,458</w:t>
            </w:r>
          </w:p>
        </w:tc>
      </w:tr>
      <w:tr>
        <w:trPr>
          <w:trHeight w:val="156"/>
        </w:trPr>
        <w:tc>
          <w:tcPr>
            <w:tcW w:w="1560" w:type="dxa"/>
            <w:vAlign w:val="bottom"/>
          </w:tcPr>
          <w:p>
            <w:pPr>
              <w:ind w:left="60"/>
              <w:spacing w:after="0"/>
              <w:rPr>
                <w:sz w:val="20"/>
                <w:szCs w:val="20"/>
                <w:color w:val="auto"/>
              </w:rPr>
            </w:pPr>
            <w:r>
              <w:rPr>
                <w:rFonts w:ascii="Arial" w:cs="Arial" w:eastAsia="Arial" w:hAnsi="Arial"/>
                <w:sz w:val="11"/>
                <w:szCs w:val="11"/>
                <w:color w:val="auto"/>
              </w:rPr>
              <w:t>Provision charged to expense</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5,499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10,773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4,276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370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3"/>
                <w:szCs w:val="13"/>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21,000</w:t>
            </w:r>
          </w:p>
        </w:tc>
      </w:tr>
      <w:tr>
        <w:trPr>
          <w:trHeight w:val="168"/>
        </w:trPr>
        <w:tc>
          <w:tcPr>
            <w:tcW w:w="1560" w:type="dxa"/>
            <w:vAlign w:val="bottom"/>
            <w:shd w:val="clear" w:color="auto" w:fill="CCEEFF"/>
          </w:tcPr>
          <w:p>
            <w:pPr>
              <w:ind w:left="60"/>
              <w:spacing w:after="0"/>
              <w:rPr>
                <w:sz w:val="20"/>
                <w:szCs w:val="20"/>
                <w:color w:val="auto"/>
              </w:rPr>
            </w:pPr>
            <w:r>
              <w:rPr>
                <w:rFonts w:ascii="Arial" w:cs="Arial" w:eastAsia="Arial" w:hAnsi="Arial"/>
                <w:sz w:val="11"/>
                <w:szCs w:val="11"/>
                <w:color w:val="auto"/>
              </w:rPr>
              <w:t>Charge-offs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(1,276)</w:t>
            </w:r>
          </w:p>
        </w:tc>
      </w:tr>
      <w:tr>
        <w:trPr>
          <w:trHeight w:val="155"/>
        </w:trPr>
        <w:tc>
          <w:tcPr>
            <w:tcW w:w="1560" w:type="dxa"/>
            <w:vAlign w:val="bottom"/>
            <w:tcBorders>
              <w:bottom w:val="single" w:sz="8" w:color="CCEEFF"/>
            </w:tcBorders>
          </w:tcPr>
          <w:p>
            <w:pPr>
              <w:ind w:left="60"/>
              <w:spacing w:after="0"/>
              <w:rPr>
                <w:sz w:val="20"/>
                <w:szCs w:val="20"/>
                <w:color w:val="auto"/>
              </w:rPr>
            </w:pPr>
            <w:r>
              <w:rPr>
                <w:rFonts w:ascii="Arial" w:cs="Arial" w:eastAsia="Arial" w:hAnsi="Arial"/>
                <w:sz w:val="11"/>
                <w:szCs w:val="11"/>
                <w:color w:val="auto"/>
              </w:rPr>
              <w:t>Recoveries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w:t>
            </w:r>
          </w:p>
        </w:tc>
      </w:tr>
      <w:tr>
        <w:trPr>
          <w:trHeight w:val="174"/>
        </w:trPr>
        <w:tc>
          <w:tcPr>
            <w:tcW w:w="1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26,543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17,372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16,899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5,019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4,868</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71,185</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168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3"/>
          </w:tcPr>
          <w:p>
            <w:pPr>
              <w:ind w:left="80"/>
              <w:spacing w:after="0"/>
              <w:rPr>
                <w:sz w:val="20"/>
                <w:szCs w:val="20"/>
                <w:color w:val="auto"/>
              </w:rPr>
            </w:pPr>
            <w:r>
              <w:rPr>
                <w:rFonts w:ascii="Arial" w:cs="Arial" w:eastAsia="Arial" w:hAnsi="Arial"/>
                <w:sz w:val="12"/>
                <w:szCs w:val="12"/>
                <w:color w:val="auto"/>
              </w:rPr>
              <w:t>Notes to Consolidated Financial Statements (unaudited)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520"/>
        </w:trPr>
        <w:tc>
          <w:tcPr>
            <w:tcW w:w="8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1"/>
              </w:rPr>
              <w:t>Commercial Real</w:t>
            </w:r>
          </w:p>
        </w:tc>
        <w:tc>
          <w:tcPr>
            <w:tcW w:w="1160" w:type="dxa"/>
            <w:vAlign w:val="bottom"/>
            <w:gridSpan w:val="4"/>
          </w:tcPr>
          <w:p>
            <w:pPr>
              <w:ind w:left="20"/>
              <w:spacing w:after="0"/>
              <w:rPr>
                <w:sz w:val="20"/>
                <w:szCs w:val="20"/>
                <w:color w:val="auto"/>
              </w:rPr>
            </w:pPr>
            <w:r>
              <w:rPr>
                <w:rFonts w:ascii="Arial" w:cs="Arial" w:eastAsia="Arial" w:hAnsi="Arial"/>
                <w:sz w:val="11"/>
                <w:szCs w:val="11"/>
                <w:b w:val="1"/>
                <w:bCs w:val="1"/>
                <w:color w:val="auto"/>
                <w:w w:val="92"/>
              </w:rPr>
              <w:t>Construction and Land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Residential and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7"/>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Commercial</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Energy</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1"/>
                <w:szCs w:val="11"/>
                <w:b w:val="1"/>
                <w:bCs w:val="1"/>
                <w:color w:val="auto"/>
                <w:w w:val="90"/>
              </w:rPr>
              <w:t>Estate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Development</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w w:val="96"/>
              </w:rPr>
              <w:t>Multifamily Real Estate</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PPP</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Consumer</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Total</w:t>
            </w:r>
          </w:p>
        </w:tc>
      </w:tr>
      <w:tr>
        <w:trPr>
          <w:trHeight w:val="151"/>
        </w:trPr>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8"/>
          </w:tcPr>
          <w:p>
            <w:pPr>
              <w:ind w:left="520"/>
              <w:spacing w:after="0"/>
              <w:rPr>
                <w:sz w:val="20"/>
                <w:szCs w:val="20"/>
                <w:color w:val="auto"/>
              </w:rPr>
            </w:pPr>
            <w:r>
              <w:rPr>
                <w:rFonts w:ascii="Arial" w:cs="Arial" w:eastAsia="Arial" w:hAnsi="Arial"/>
                <w:sz w:val="11"/>
                <w:szCs w:val="11"/>
                <w:i w:val="1"/>
                <w:iCs w:val="1"/>
                <w:color w:val="auto"/>
              </w:rPr>
              <w:t>(Dollars in thousands)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1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w w:val="97"/>
              </w:rPr>
              <w:t>Six months ended June 30, 2021</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6"/>
        </w:trPr>
        <w:tc>
          <w:tcPr>
            <w:tcW w:w="1680" w:type="dxa"/>
            <w:vAlign w:val="bottom"/>
            <w:gridSpan w:val="2"/>
          </w:tcPr>
          <w:p>
            <w:pPr>
              <w:spacing w:after="0"/>
              <w:rPr>
                <w:sz w:val="20"/>
                <w:szCs w:val="20"/>
                <w:color w:val="auto"/>
              </w:rPr>
            </w:pPr>
            <w:r>
              <w:rPr>
                <w:rFonts w:ascii="Arial" w:cs="Arial" w:eastAsia="Arial" w:hAnsi="Arial"/>
                <w:sz w:val="11"/>
                <w:szCs w:val="11"/>
                <w:color w:val="auto"/>
              </w:rPr>
              <w:t>Allowance for loan losses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1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Beginning balance</w:t>
            </w:r>
          </w:p>
        </w:tc>
        <w:tc>
          <w:tcPr>
            <w:tcW w:w="180" w:type="dxa"/>
            <w:vAlign w:val="bottom"/>
            <w:gridSpan w:val="2"/>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24,693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11"/>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18,341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22,354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3,612</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51"/>
              <w:spacing w:after="0"/>
              <w:rPr>
                <w:sz w:val="20"/>
                <w:szCs w:val="20"/>
                <w:color w:val="auto"/>
              </w:rPr>
            </w:pPr>
            <w:r>
              <w:rPr>
                <w:rFonts w:ascii="Arial" w:cs="Arial" w:eastAsia="Arial" w:hAnsi="Arial"/>
                <w:sz w:val="11"/>
                <w:szCs w:val="11"/>
                <w:color w:val="auto"/>
                <w:w w:val="97"/>
              </w:rPr>
              <w:t>$</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75,295</w:t>
            </w:r>
          </w:p>
        </w:tc>
      </w:tr>
      <w:tr>
        <w:trPr>
          <w:trHeight w:val="156"/>
        </w:trPr>
        <w:tc>
          <w:tcPr>
            <w:tcW w:w="1680" w:type="dxa"/>
            <w:vAlign w:val="bottom"/>
            <w:gridSpan w:val="2"/>
          </w:tcPr>
          <w:p>
            <w:pPr>
              <w:ind w:left="60"/>
              <w:spacing w:after="0"/>
              <w:rPr>
                <w:sz w:val="20"/>
                <w:szCs w:val="20"/>
                <w:color w:val="auto"/>
              </w:rPr>
            </w:pPr>
            <w:r>
              <w:rPr>
                <w:rFonts w:ascii="Arial" w:cs="Arial" w:eastAsia="Arial" w:hAnsi="Arial"/>
                <w:sz w:val="11"/>
                <w:szCs w:val="11"/>
                <w:color w:val="auto"/>
              </w:rPr>
              <w:t>Provision charged to expense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14,547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(492)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(3,173)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273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(139)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11,000</w:t>
            </w:r>
          </w:p>
        </w:tc>
      </w:tr>
      <w:tr>
        <w:trPr>
          <w:trHeight w:val="168"/>
        </w:trPr>
        <w:tc>
          <w:tcPr>
            <w:tcW w:w="16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Charge-offs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(10,832)</w:t>
            </w:r>
          </w:p>
        </w:tc>
      </w:tr>
      <w:tr>
        <w:trPr>
          <w:trHeight w:val="155"/>
        </w:trPr>
        <w:tc>
          <w:tcPr>
            <w:tcW w:w="1680" w:type="dxa"/>
            <w:vAlign w:val="bottom"/>
            <w:tcBorders>
              <w:bottom w:val="single" w:sz="8" w:color="CCEEFF"/>
            </w:tcBorders>
            <w:gridSpan w:val="2"/>
          </w:tcPr>
          <w:p>
            <w:pPr>
              <w:ind w:left="60"/>
              <w:spacing w:after="0"/>
              <w:rPr>
                <w:sz w:val="20"/>
                <w:szCs w:val="20"/>
                <w:color w:val="auto"/>
              </w:rPr>
            </w:pPr>
            <w:r>
              <w:rPr>
                <w:rFonts w:ascii="Arial" w:cs="Arial" w:eastAsia="Arial" w:hAnsi="Arial"/>
                <w:sz w:val="11"/>
                <w:szCs w:val="11"/>
                <w:color w:val="auto"/>
              </w:rPr>
              <w:t>Recoveries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w:t>
            </w:r>
          </w:p>
        </w:tc>
      </w:tr>
      <w:tr>
        <w:trPr>
          <w:trHeight w:val="174"/>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180" w:type="dxa"/>
            <w:vAlign w:val="bottom"/>
            <w:tcBorders>
              <w:bottom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28,433</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111"/>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17,849</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19,181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3,885</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5,826</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gridSpan w:val="2"/>
            <w:shd w:val="clear" w:color="auto" w:fill="CCEEFF"/>
          </w:tcPr>
          <w:p>
            <w:pPr>
              <w:jc w:val="right"/>
              <w:ind w:right="151"/>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75,493</w:t>
            </w:r>
          </w:p>
        </w:tc>
      </w:tr>
      <w:tr>
        <w:trPr>
          <w:trHeight w:val="468"/>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Commercial Real</w:t>
            </w:r>
          </w:p>
        </w:tc>
        <w:tc>
          <w:tcPr>
            <w:tcW w:w="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Construction and Land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Residential and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7"/>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Commercial</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Energy</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340"/>
              <w:spacing w:after="0"/>
              <w:rPr>
                <w:sz w:val="20"/>
                <w:szCs w:val="20"/>
                <w:color w:val="auto"/>
              </w:rPr>
            </w:pPr>
            <w:r>
              <w:rPr>
                <w:rFonts w:ascii="Arial" w:cs="Arial" w:eastAsia="Arial" w:hAnsi="Arial"/>
                <w:sz w:val="11"/>
                <w:szCs w:val="11"/>
                <w:b w:val="1"/>
                <w:bCs w:val="1"/>
                <w:color w:val="auto"/>
              </w:rPr>
              <w:t>Estate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86"/>
              </w:rPr>
              <w:t>Development</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5"/>
              </w:rPr>
              <w:t>Multifamily Real Estate</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PPP</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Consumer</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Total</w:t>
            </w:r>
          </w:p>
        </w:tc>
      </w:tr>
      <w:tr>
        <w:trPr>
          <w:trHeight w:val="151"/>
        </w:trPr>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8"/>
          </w:tcPr>
          <w:p>
            <w:pPr>
              <w:ind w:left="540"/>
              <w:spacing w:after="0"/>
              <w:rPr>
                <w:sz w:val="20"/>
                <w:szCs w:val="20"/>
                <w:color w:val="auto"/>
              </w:rPr>
            </w:pPr>
            <w:r>
              <w:rPr>
                <w:rFonts w:ascii="Arial" w:cs="Arial" w:eastAsia="Arial" w:hAnsi="Arial"/>
                <w:sz w:val="11"/>
                <w:szCs w:val="11"/>
                <w:i w:val="1"/>
                <w:iCs w:val="1"/>
                <w:color w:val="auto"/>
              </w:rPr>
              <w:t>(Dollars in thousands)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1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w w:val="97"/>
              </w:rPr>
              <w:t>Six months ended June 30, 2020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6"/>
        </w:trPr>
        <w:tc>
          <w:tcPr>
            <w:tcW w:w="1680" w:type="dxa"/>
            <w:vAlign w:val="bottom"/>
            <w:gridSpan w:val="2"/>
          </w:tcPr>
          <w:p>
            <w:pPr>
              <w:spacing w:after="0"/>
              <w:rPr>
                <w:sz w:val="20"/>
                <w:szCs w:val="20"/>
                <w:color w:val="auto"/>
              </w:rPr>
            </w:pPr>
            <w:r>
              <w:rPr>
                <w:rFonts w:ascii="Arial" w:cs="Arial" w:eastAsia="Arial" w:hAnsi="Arial"/>
                <w:sz w:val="11"/>
                <w:szCs w:val="11"/>
                <w:color w:val="auto"/>
              </w:rPr>
              <w:t>Allowance for loan losses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1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Beginning balance</w:t>
            </w:r>
          </w:p>
        </w:tc>
        <w:tc>
          <w:tcPr>
            <w:tcW w:w="180" w:type="dxa"/>
            <w:vAlign w:val="bottom"/>
            <w:gridSpan w:val="2"/>
            <w:shd w:val="clear" w:color="auto" w:fill="CCEEFF"/>
          </w:tcPr>
          <w:p>
            <w:pPr>
              <w:jc w:val="right"/>
              <w:ind w:right="51"/>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35,864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91"/>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3,516</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56,896</w:t>
            </w:r>
          </w:p>
        </w:tc>
      </w:tr>
      <w:tr>
        <w:trPr>
          <w:trHeight w:val="156"/>
        </w:trPr>
        <w:tc>
          <w:tcPr>
            <w:tcW w:w="1680" w:type="dxa"/>
            <w:vAlign w:val="bottom"/>
            <w:gridSpan w:val="2"/>
          </w:tcPr>
          <w:p>
            <w:pPr>
              <w:ind w:left="60"/>
              <w:spacing w:after="0"/>
              <w:rPr>
                <w:sz w:val="20"/>
                <w:szCs w:val="20"/>
                <w:color w:val="auto"/>
              </w:rPr>
            </w:pPr>
            <w:r>
              <w:rPr>
                <w:rFonts w:ascii="Arial" w:cs="Arial" w:eastAsia="Arial" w:hAnsi="Arial"/>
                <w:sz w:val="11"/>
                <w:szCs w:val="11"/>
                <w:color w:val="auto"/>
              </w:rPr>
              <w:t>Provision charged to expense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8,771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13,085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8,814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1,503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2,511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3"/>
                <w:szCs w:val="13"/>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color w:val="auto"/>
              </w:rPr>
              <w:t>266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34,950</w:t>
            </w:r>
          </w:p>
        </w:tc>
      </w:tr>
      <w:tr>
        <w:trPr>
          <w:trHeight w:val="168"/>
        </w:trPr>
        <w:tc>
          <w:tcPr>
            <w:tcW w:w="16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Charge-offs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(18,165)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(2,278)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(20,736)</w:t>
            </w:r>
          </w:p>
        </w:tc>
      </w:tr>
      <w:tr>
        <w:trPr>
          <w:trHeight w:val="155"/>
        </w:trPr>
        <w:tc>
          <w:tcPr>
            <w:tcW w:w="1680" w:type="dxa"/>
            <w:vAlign w:val="bottom"/>
            <w:tcBorders>
              <w:bottom w:val="single" w:sz="8" w:color="CCEEFF"/>
            </w:tcBorders>
            <w:gridSpan w:val="2"/>
          </w:tcPr>
          <w:p>
            <w:pPr>
              <w:ind w:left="60"/>
              <w:spacing w:after="0"/>
              <w:rPr>
                <w:sz w:val="20"/>
                <w:szCs w:val="20"/>
                <w:color w:val="auto"/>
              </w:rPr>
            </w:pPr>
            <w:r>
              <w:rPr>
                <w:rFonts w:ascii="Arial" w:cs="Arial" w:eastAsia="Arial" w:hAnsi="Arial"/>
                <w:sz w:val="11"/>
                <w:szCs w:val="11"/>
                <w:color w:val="auto"/>
              </w:rPr>
              <w:t>Recoveries</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75</w:t>
            </w:r>
          </w:p>
        </w:tc>
      </w:tr>
      <w:tr>
        <w:trPr>
          <w:trHeight w:val="174"/>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26,543</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17,372</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16,899</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5,019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4,868</w:t>
            </w:r>
          </w:p>
        </w:tc>
        <w:tc>
          <w:tcPr>
            <w:tcW w:w="4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484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71,185</w:t>
            </w:r>
          </w:p>
        </w:tc>
      </w:tr>
      <w:tr>
        <w:trPr>
          <w:trHeight w:val="459"/>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9"/>
              </w:rPr>
              <w:t>Commercial Real</w:t>
            </w:r>
          </w:p>
        </w:tc>
        <w:tc>
          <w:tcPr>
            <w:tcW w:w="1160" w:type="dxa"/>
            <w:vAlign w:val="bottom"/>
            <w:gridSpan w:val="4"/>
          </w:tcPr>
          <w:p>
            <w:pPr>
              <w:spacing w:after="0"/>
              <w:rPr>
                <w:sz w:val="20"/>
                <w:szCs w:val="20"/>
                <w:color w:val="auto"/>
              </w:rPr>
            </w:pPr>
            <w:r>
              <w:rPr>
                <w:rFonts w:ascii="Arial" w:cs="Arial" w:eastAsia="Arial" w:hAnsi="Arial"/>
                <w:sz w:val="11"/>
                <w:szCs w:val="11"/>
                <w:b w:val="1"/>
                <w:bCs w:val="1"/>
                <w:color w:val="auto"/>
                <w:w w:val="94"/>
              </w:rPr>
              <w:t>Construction and Land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88"/>
              </w:rPr>
              <w:t>Residential and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0"/>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Commercial</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ind w:left="160"/>
              <w:spacing w:after="0"/>
              <w:rPr>
                <w:sz w:val="20"/>
                <w:szCs w:val="20"/>
                <w:color w:val="auto"/>
              </w:rPr>
            </w:pPr>
            <w:r>
              <w:rPr>
                <w:rFonts w:ascii="Arial" w:cs="Arial" w:eastAsia="Arial" w:hAnsi="Arial"/>
                <w:sz w:val="11"/>
                <w:szCs w:val="11"/>
                <w:b w:val="1"/>
                <w:bCs w:val="1"/>
                <w:color w:val="auto"/>
              </w:rPr>
              <w:t>Energy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4"/>
              </w:rPr>
              <w:t>Estate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Development</w:t>
            </w:r>
          </w:p>
        </w:tc>
        <w:tc>
          <w:tcPr>
            <w:tcW w:w="1260" w:type="dxa"/>
            <w:vAlign w:val="bottom"/>
            <w:gridSpan w:val="6"/>
          </w:tcPr>
          <w:p>
            <w:pPr>
              <w:jc w:val="center"/>
              <w:ind w:right="40"/>
              <w:spacing w:after="0"/>
              <w:rPr>
                <w:sz w:val="20"/>
                <w:szCs w:val="20"/>
                <w:color w:val="auto"/>
              </w:rPr>
            </w:pPr>
            <w:r>
              <w:rPr>
                <w:rFonts w:ascii="Arial" w:cs="Arial" w:eastAsia="Arial" w:hAnsi="Arial"/>
                <w:sz w:val="11"/>
                <w:szCs w:val="11"/>
                <w:b w:val="1"/>
                <w:bCs w:val="1"/>
                <w:color w:val="auto"/>
                <w:w w:val="91"/>
              </w:rPr>
              <w:t>Multifamily Real Estate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PPP</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Consumer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406"/>
              <w:spacing w:after="0"/>
              <w:rPr>
                <w:sz w:val="20"/>
                <w:szCs w:val="20"/>
                <w:color w:val="auto"/>
              </w:rPr>
            </w:pPr>
            <w:r>
              <w:rPr>
                <w:rFonts w:ascii="Arial" w:cs="Arial" w:eastAsia="Arial" w:hAnsi="Arial"/>
                <w:sz w:val="11"/>
                <w:szCs w:val="11"/>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8255</wp:posOffset>
            </wp:positionV>
            <wp:extent cx="612076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0765" cy="571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1"/>
          <w:szCs w:val="1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June 30, 2021</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Period end allowance for loan losses allocated to:</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660" w:type="dxa"/>
            <w:vAlign w:val="bottom"/>
            <w:shd w:val="clear" w:color="auto" w:fill="CCEEFF"/>
          </w:tcPr>
          <w:p>
            <w:pPr>
              <w:ind w:left="60"/>
              <w:spacing w:after="0"/>
              <w:rPr>
                <w:sz w:val="20"/>
                <w:szCs w:val="20"/>
                <w:color w:val="auto"/>
              </w:rPr>
            </w:pPr>
            <w:r>
              <w:rPr>
                <w:rFonts w:ascii="Arial" w:cs="Arial" w:eastAsia="Arial" w:hAnsi="Arial"/>
                <w:sz w:val="11"/>
                <w:szCs w:val="11"/>
                <w:color w:val="auto"/>
              </w:rPr>
              <w:t>Individually evaluated for</w:t>
            </w: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16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4,166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5,855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13,001</w:t>
            </w:r>
          </w:p>
        </w:tc>
      </w:tr>
      <w:tr>
        <w:trPr>
          <w:trHeight w:val="119"/>
        </w:trPr>
        <w:tc>
          <w:tcPr>
            <w:tcW w:w="1660" w:type="dxa"/>
            <w:vAlign w:val="bottom"/>
          </w:tcPr>
          <w:p>
            <w:pPr>
              <w:ind w:left="60"/>
              <w:spacing w:after="0" w:line="119" w:lineRule="exact"/>
              <w:rPr>
                <w:sz w:val="20"/>
                <w:szCs w:val="20"/>
                <w:color w:val="auto"/>
              </w:rPr>
            </w:pPr>
            <w:r>
              <w:rPr>
                <w:rFonts w:ascii="Arial" w:cs="Arial" w:eastAsia="Arial" w:hAnsi="Arial"/>
                <w:sz w:val="11"/>
                <w:szCs w:val="11"/>
                <w:color w:val="auto"/>
              </w:rPr>
              <w:t>Collectively evaluated for</w:t>
            </w: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43"/>
        </w:trPr>
        <w:tc>
          <w:tcPr>
            <w:tcW w:w="16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24,267</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11,994</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16,201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5,826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319</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62,492</w:t>
            </w:r>
          </w:p>
        </w:tc>
      </w:tr>
      <w:tr>
        <w:trPr>
          <w:trHeight w:val="160"/>
        </w:trPr>
        <w:tc>
          <w:tcPr>
            <w:tcW w:w="1660" w:type="dxa"/>
            <w:vAlign w:val="bottom"/>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28,433</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17,849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5,826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75,493</w:t>
            </w:r>
          </w:p>
        </w:tc>
      </w:tr>
      <w:tr>
        <w:trPr>
          <w:trHeight w:val="133"/>
        </w:trPr>
        <w:tc>
          <w:tcPr>
            <w:tcW w:w="1660" w:type="dxa"/>
            <w:vAlign w:val="bottom"/>
            <w:tcBorders>
              <w:top w:val="single" w:sz="8" w:color="CCEEFF"/>
            </w:tcBorders>
          </w:tcPr>
          <w:p>
            <w:pPr>
              <w:spacing w:after="0"/>
              <w:rPr>
                <w:sz w:val="20"/>
                <w:szCs w:val="20"/>
                <w:color w:val="auto"/>
              </w:rPr>
            </w:pPr>
            <w:r>
              <w:rPr>
                <w:rFonts w:ascii="Arial" w:cs="Arial" w:eastAsia="Arial" w:hAnsi="Arial"/>
                <w:sz w:val="11"/>
                <w:szCs w:val="11"/>
                <w:color w:val="auto"/>
              </w:rPr>
              <w:t>Allocated to loans:</w:t>
            </w: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45"/>
        </w:trPr>
        <w:tc>
          <w:tcPr>
            <w:tcW w:w="1660" w:type="dxa"/>
            <w:vAlign w:val="bottom"/>
            <w:shd w:val="clear" w:color="auto" w:fill="CCEEFF"/>
          </w:tcPr>
          <w:p>
            <w:pPr>
              <w:ind w:left="60"/>
              <w:spacing w:after="0"/>
              <w:rPr>
                <w:sz w:val="20"/>
                <w:szCs w:val="20"/>
                <w:color w:val="auto"/>
              </w:rPr>
            </w:pPr>
            <w:r>
              <w:rPr>
                <w:rFonts w:ascii="Arial" w:cs="Arial" w:eastAsia="Arial" w:hAnsi="Arial"/>
                <w:sz w:val="11"/>
                <w:szCs w:val="11"/>
                <w:color w:val="auto"/>
              </w:rPr>
              <w:t>Individually evaluated for</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16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33,073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26,591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35,748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4,574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100,225</w:t>
            </w:r>
          </w:p>
        </w:tc>
      </w:tr>
      <w:tr>
        <w:trPr>
          <w:trHeight w:val="119"/>
        </w:trPr>
        <w:tc>
          <w:tcPr>
            <w:tcW w:w="1660" w:type="dxa"/>
            <w:vAlign w:val="bottom"/>
          </w:tcPr>
          <w:p>
            <w:pPr>
              <w:ind w:left="60"/>
              <w:spacing w:after="0" w:line="119" w:lineRule="exact"/>
              <w:rPr>
                <w:sz w:val="20"/>
                <w:szCs w:val="20"/>
                <w:color w:val="auto"/>
              </w:rPr>
            </w:pPr>
            <w:r>
              <w:rPr>
                <w:rFonts w:ascii="Arial" w:cs="Arial" w:eastAsia="Arial" w:hAnsi="Arial"/>
                <w:sz w:val="11"/>
                <w:szCs w:val="11"/>
                <w:color w:val="auto"/>
              </w:rPr>
              <w:t>Collectively evaluated for</w:t>
            </w: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43"/>
        </w:trPr>
        <w:tc>
          <w:tcPr>
            <w:tcW w:w="16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1,154,751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299,882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1,172,967</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623,557</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637,095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197,084</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66,764</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4,152,100</w:t>
            </w:r>
          </w:p>
        </w:tc>
      </w:tr>
      <w:tr>
        <w:trPr>
          <w:trHeight w:val="174"/>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1,187,824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326,473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1,208,715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623,557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641,669</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197,084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67,003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4,252,325</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8"/>
        </w:trPr>
        <w:tc>
          <w:tcPr>
            <w:tcW w:w="288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1040" w:type="dxa"/>
            <w:vAlign w:val="bottom"/>
          </w:tcPr>
          <w:p>
            <w:pPr>
              <w:spacing w:after="0"/>
              <w:rPr>
                <w:sz w:val="12"/>
                <w:szCs w:val="12"/>
                <w:color w:val="auto"/>
              </w:rPr>
            </w:pPr>
          </w:p>
        </w:tc>
        <w:tc>
          <w:tcPr>
            <w:tcW w:w="3980" w:type="dxa"/>
            <w:vAlign w:val="bottom"/>
            <w:gridSpan w:val="3"/>
          </w:tcPr>
          <w:p>
            <w:pPr>
              <w:ind w:left="380"/>
              <w:spacing w:after="0"/>
              <w:rPr>
                <w:sz w:val="20"/>
                <w:szCs w:val="20"/>
                <w:color w:val="auto"/>
              </w:rPr>
            </w:pPr>
            <w:r>
              <w:rPr>
                <w:rFonts w:ascii="Arial" w:cs="Arial" w:eastAsia="Arial" w:hAnsi="Arial"/>
                <w:sz w:val="12"/>
                <w:szCs w:val="12"/>
                <w:color w:val="auto"/>
              </w:rPr>
              <w:t>Notes to Consolidated Financial Statements (unaudited)</w:t>
            </w:r>
          </w:p>
        </w:tc>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520"/>
        </w:trPr>
        <w:tc>
          <w:tcPr>
            <w:tcW w:w="86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jc w:val="center"/>
              <w:ind w:left="124"/>
              <w:spacing w:after="0"/>
              <w:rPr>
                <w:sz w:val="20"/>
                <w:szCs w:val="20"/>
                <w:color w:val="auto"/>
              </w:rPr>
            </w:pPr>
            <w:r>
              <w:rPr>
                <w:rFonts w:ascii="Arial" w:cs="Arial" w:eastAsia="Arial" w:hAnsi="Arial"/>
                <w:sz w:val="11"/>
                <w:szCs w:val="11"/>
                <w:b w:val="1"/>
                <w:bCs w:val="1"/>
                <w:color w:val="auto"/>
                <w:w w:val="89"/>
              </w:rPr>
              <w:t>Commercial Real</w:t>
            </w:r>
          </w:p>
        </w:tc>
        <w:tc>
          <w:tcPr>
            <w:tcW w:w="1280" w:type="dxa"/>
            <w:vAlign w:val="bottom"/>
          </w:tcPr>
          <w:p>
            <w:pPr>
              <w:jc w:val="center"/>
              <w:ind w:left="26"/>
              <w:spacing w:after="0"/>
              <w:rPr>
                <w:sz w:val="20"/>
                <w:szCs w:val="20"/>
                <w:color w:val="auto"/>
              </w:rPr>
            </w:pPr>
            <w:r>
              <w:rPr>
                <w:rFonts w:ascii="Arial" w:cs="Arial" w:eastAsia="Arial" w:hAnsi="Arial"/>
                <w:sz w:val="11"/>
                <w:szCs w:val="11"/>
                <w:b w:val="1"/>
                <w:bCs w:val="1"/>
                <w:color w:val="auto"/>
                <w:w w:val="89"/>
              </w:rPr>
              <w:t>Construction and Land</w:t>
            </w:r>
          </w:p>
        </w:tc>
        <w:tc>
          <w:tcPr>
            <w:tcW w:w="144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Residential and</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0"/>
        </w:trPr>
        <w:tc>
          <w:tcPr>
            <w:tcW w:w="860" w:type="dxa"/>
            <w:vAlign w:val="bottom"/>
          </w:tcPr>
          <w:p>
            <w:pPr>
              <w:spacing w:after="0"/>
              <w:rPr>
                <w:sz w:val="12"/>
                <w:szCs w:val="12"/>
                <w:color w:val="auto"/>
              </w:rPr>
            </w:pPr>
          </w:p>
        </w:tc>
        <w:tc>
          <w:tcPr>
            <w:tcW w:w="2020" w:type="dxa"/>
            <w:vAlign w:val="bottom"/>
          </w:tcPr>
          <w:p>
            <w:pPr>
              <w:ind w:left="1080"/>
              <w:spacing w:after="0"/>
              <w:rPr>
                <w:sz w:val="20"/>
                <w:szCs w:val="20"/>
                <w:color w:val="auto"/>
              </w:rPr>
            </w:pPr>
            <w:r>
              <w:rPr>
                <w:rFonts w:ascii="Arial" w:cs="Arial" w:eastAsia="Arial" w:hAnsi="Arial"/>
                <w:sz w:val="11"/>
                <w:szCs w:val="11"/>
                <w:b w:val="1"/>
                <w:bCs w:val="1"/>
                <w:color w:val="auto"/>
              </w:rPr>
              <w:t>Commercial</w:t>
            </w:r>
          </w:p>
        </w:tc>
        <w:tc>
          <w:tcPr>
            <w:tcW w:w="1040" w:type="dxa"/>
            <w:vAlign w:val="bottom"/>
          </w:tcPr>
          <w:p>
            <w:pPr>
              <w:ind w:left="380"/>
              <w:spacing w:after="0"/>
              <w:rPr>
                <w:sz w:val="20"/>
                <w:szCs w:val="20"/>
                <w:color w:val="auto"/>
              </w:rPr>
            </w:pPr>
            <w:r>
              <w:rPr>
                <w:rFonts w:ascii="Arial" w:cs="Arial" w:eastAsia="Arial" w:hAnsi="Arial"/>
                <w:sz w:val="11"/>
                <w:szCs w:val="11"/>
                <w:b w:val="1"/>
                <w:bCs w:val="1"/>
                <w:color w:val="auto"/>
              </w:rPr>
              <w:t>Energy</w:t>
            </w:r>
          </w:p>
        </w:tc>
        <w:tc>
          <w:tcPr>
            <w:tcW w:w="1260" w:type="dxa"/>
            <w:vAlign w:val="bottom"/>
          </w:tcPr>
          <w:p>
            <w:pPr>
              <w:jc w:val="center"/>
              <w:ind w:left="124"/>
              <w:spacing w:after="0"/>
              <w:rPr>
                <w:sz w:val="20"/>
                <w:szCs w:val="20"/>
                <w:color w:val="auto"/>
              </w:rPr>
            </w:pPr>
            <w:r>
              <w:rPr>
                <w:rFonts w:ascii="Arial" w:cs="Arial" w:eastAsia="Arial" w:hAnsi="Arial"/>
                <w:sz w:val="11"/>
                <w:szCs w:val="11"/>
                <w:b w:val="1"/>
                <w:bCs w:val="1"/>
                <w:color w:val="auto"/>
                <w:w w:val="84"/>
              </w:rPr>
              <w:t>Estate</w:t>
            </w:r>
          </w:p>
        </w:tc>
        <w:tc>
          <w:tcPr>
            <w:tcW w:w="1280" w:type="dxa"/>
            <w:vAlign w:val="bottom"/>
          </w:tcPr>
          <w:p>
            <w:pPr>
              <w:jc w:val="center"/>
              <w:ind w:left="26"/>
              <w:spacing w:after="0"/>
              <w:rPr>
                <w:sz w:val="20"/>
                <w:szCs w:val="20"/>
                <w:color w:val="auto"/>
              </w:rPr>
            </w:pPr>
            <w:r>
              <w:rPr>
                <w:rFonts w:ascii="Arial" w:cs="Arial" w:eastAsia="Arial" w:hAnsi="Arial"/>
                <w:sz w:val="11"/>
                <w:szCs w:val="11"/>
                <w:b w:val="1"/>
                <w:bCs w:val="1"/>
                <w:color w:val="auto"/>
                <w:w w:val="86"/>
              </w:rPr>
              <w:t>Development</w:t>
            </w:r>
          </w:p>
        </w:tc>
        <w:tc>
          <w:tcPr>
            <w:tcW w:w="1440" w:type="dxa"/>
            <w:vAlign w:val="bottom"/>
          </w:tcPr>
          <w:p>
            <w:pPr>
              <w:jc w:val="center"/>
              <w:ind w:right="166"/>
              <w:spacing w:after="0"/>
              <w:rPr>
                <w:sz w:val="20"/>
                <w:szCs w:val="20"/>
                <w:color w:val="auto"/>
              </w:rPr>
            </w:pPr>
            <w:r>
              <w:rPr>
                <w:rFonts w:ascii="Arial" w:cs="Arial" w:eastAsia="Arial" w:hAnsi="Arial"/>
                <w:sz w:val="11"/>
                <w:szCs w:val="11"/>
                <w:b w:val="1"/>
                <w:bCs w:val="1"/>
                <w:color w:val="auto"/>
                <w:w w:val="91"/>
              </w:rPr>
              <w:t>Multifamily Real Estate</w:t>
            </w:r>
          </w:p>
        </w:tc>
        <w:tc>
          <w:tcPr>
            <w:tcW w:w="920" w:type="dxa"/>
            <w:vAlign w:val="bottom"/>
          </w:tcPr>
          <w:p>
            <w:pPr>
              <w:ind w:left="300"/>
              <w:spacing w:after="0"/>
              <w:rPr>
                <w:sz w:val="20"/>
                <w:szCs w:val="20"/>
                <w:color w:val="auto"/>
              </w:rPr>
            </w:pPr>
            <w:r>
              <w:rPr>
                <w:rFonts w:ascii="Arial" w:cs="Arial" w:eastAsia="Arial" w:hAnsi="Arial"/>
                <w:sz w:val="11"/>
                <w:szCs w:val="11"/>
                <w:b w:val="1"/>
                <w:bCs w:val="1"/>
                <w:color w:val="auto"/>
              </w:rPr>
              <w:t>PPP</w:t>
            </w:r>
          </w:p>
        </w:tc>
        <w:tc>
          <w:tcPr>
            <w:tcW w:w="1360" w:type="dxa"/>
            <w:vAlign w:val="bottom"/>
          </w:tcPr>
          <w:p>
            <w:pPr>
              <w:ind w:left="440"/>
              <w:spacing w:after="0"/>
              <w:rPr>
                <w:sz w:val="20"/>
                <w:szCs w:val="20"/>
                <w:color w:val="auto"/>
              </w:rPr>
            </w:pPr>
            <w:r>
              <w:rPr>
                <w:rFonts w:ascii="Arial" w:cs="Arial" w:eastAsia="Arial" w:hAnsi="Arial"/>
                <w:sz w:val="11"/>
                <w:szCs w:val="11"/>
                <w:b w:val="1"/>
                <w:bCs w:val="1"/>
                <w:color w:val="auto"/>
              </w:rPr>
              <w:t>Consumer</w:t>
            </w:r>
          </w:p>
        </w:tc>
        <w:tc>
          <w:tcPr>
            <w:tcW w:w="660" w:type="dxa"/>
            <w:vAlign w:val="bottom"/>
          </w:tcPr>
          <w:p>
            <w:pPr>
              <w:ind w:left="420"/>
              <w:spacing w:after="0"/>
              <w:rPr>
                <w:sz w:val="20"/>
                <w:szCs w:val="20"/>
                <w:color w:val="auto"/>
              </w:rPr>
            </w:pPr>
            <w:r>
              <w:rPr>
                <w:rFonts w:ascii="Arial" w:cs="Arial" w:eastAsia="Arial" w:hAnsi="Arial"/>
                <w:sz w:val="11"/>
                <w:szCs w:val="11"/>
                <w:b w:val="1"/>
                <w:bCs w:val="1"/>
                <w:color w:val="auto"/>
                <w:w w:val="83"/>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8255</wp:posOffset>
            </wp:positionV>
            <wp:extent cx="61264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6480" cy="571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1"/>
          <w:szCs w:val="1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December 31, 2020</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Period end allowance for loan losses allocated to:</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640" w:type="dxa"/>
            <w:vAlign w:val="bottom"/>
            <w:shd w:val="clear" w:color="auto" w:fill="CCEEFF"/>
          </w:tcPr>
          <w:p>
            <w:pPr>
              <w:ind w:left="60"/>
              <w:spacing w:after="0"/>
              <w:rPr>
                <w:sz w:val="20"/>
                <w:szCs w:val="20"/>
                <w:color w:val="auto"/>
              </w:rPr>
            </w:pPr>
            <w:r>
              <w:rPr>
                <w:rFonts w:ascii="Arial" w:cs="Arial" w:eastAsia="Arial" w:hAnsi="Arial"/>
                <w:sz w:val="11"/>
                <w:szCs w:val="11"/>
                <w:color w:val="auto"/>
              </w:rPr>
              <w:t>Individually evaluated for</w:t>
            </w: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1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5,048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9,533</w:t>
            </w:r>
          </w:p>
        </w:tc>
      </w:tr>
      <w:tr>
        <w:trPr>
          <w:trHeight w:val="119"/>
        </w:trPr>
        <w:tc>
          <w:tcPr>
            <w:tcW w:w="1640" w:type="dxa"/>
            <w:vAlign w:val="bottom"/>
          </w:tcPr>
          <w:p>
            <w:pPr>
              <w:ind w:left="60"/>
              <w:spacing w:after="0" w:line="119" w:lineRule="exact"/>
              <w:rPr>
                <w:sz w:val="20"/>
                <w:szCs w:val="20"/>
                <w:color w:val="auto"/>
              </w:rPr>
            </w:pPr>
            <w:r>
              <w:rPr>
                <w:rFonts w:ascii="Arial" w:cs="Arial" w:eastAsia="Arial" w:hAnsi="Arial"/>
                <w:sz w:val="11"/>
                <w:szCs w:val="11"/>
                <w:color w:val="auto"/>
              </w:rPr>
              <w:t>Collectively evaluated for</w:t>
            </w: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43"/>
        </w:trPr>
        <w:tc>
          <w:tcPr>
            <w:tcW w:w="16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23,578</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14,971</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17,306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3,612</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5,842</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453</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65,762</w:t>
            </w:r>
          </w:p>
        </w:tc>
      </w:tr>
      <w:tr>
        <w:trPr>
          <w:trHeight w:val="178"/>
        </w:trPr>
        <w:tc>
          <w:tcPr>
            <w:tcW w:w="1640" w:type="dxa"/>
            <w:vAlign w:val="bottom"/>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24,693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22,354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75,295</w:t>
            </w:r>
          </w:p>
        </w:tc>
      </w:tr>
      <w:tr>
        <w:trPr>
          <w:trHeight w:val="133"/>
        </w:trPr>
        <w:tc>
          <w:tcPr>
            <w:tcW w:w="1640" w:type="dxa"/>
            <w:vAlign w:val="bottom"/>
            <w:tcBorders>
              <w:top w:val="single" w:sz="8" w:color="CCEEFF"/>
            </w:tcBorders>
          </w:tcPr>
          <w:p>
            <w:pPr>
              <w:spacing w:after="0"/>
              <w:rPr>
                <w:sz w:val="20"/>
                <w:szCs w:val="20"/>
                <w:color w:val="auto"/>
              </w:rPr>
            </w:pPr>
            <w:r>
              <w:rPr>
                <w:rFonts w:ascii="Arial" w:cs="Arial" w:eastAsia="Arial" w:hAnsi="Arial"/>
                <w:sz w:val="11"/>
                <w:szCs w:val="11"/>
                <w:color w:val="auto"/>
              </w:rPr>
              <w:t>Allocated to loans:</w:t>
            </w: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45"/>
        </w:trPr>
        <w:tc>
          <w:tcPr>
            <w:tcW w:w="1640" w:type="dxa"/>
            <w:vAlign w:val="bottom"/>
            <w:shd w:val="clear" w:color="auto" w:fill="CCEEFF"/>
          </w:tcPr>
          <w:p>
            <w:pPr>
              <w:ind w:left="60"/>
              <w:spacing w:after="0"/>
              <w:rPr>
                <w:sz w:val="20"/>
                <w:szCs w:val="20"/>
                <w:color w:val="auto"/>
              </w:rPr>
            </w:pPr>
            <w:r>
              <w:rPr>
                <w:rFonts w:ascii="Arial" w:cs="Arial" w:eastAsia="Arial" w:hAnsi="Arial"/>
                <w:sz w:val="11"/>
                <w:szCs w:val="11"/>
                <w:color w:val="auto"/>
              </w:rPr>
              <w:t>Individually evaluated for</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1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44,678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26,045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44,318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6,329</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121,614</w:t>
            </w:r>
          </w:p>
        </w:tc>
      </w:tr>
      <w:tr>
        <w:trPr>
          <w:trHeight w:val="119"/>
        </w:trPr>
        <w:tc>
          <w:tcPr>
            <w:tcW w:w="1640" w:type="dxa"/>
            <w:vAlign w:val="bottom"/>
          </w:tcPr>
          <w:p>
            <w:pPr>
              <w:ind w:left="60"/>
              <w:spacing w:after="0" w:line="119" w:lineRule="exact"/>
              <w:rPr>
                <w:sz w:val="20"/>
                <w:szCs w:val="20"/>
                <w:color w:val="auto"/>
              </w:rPr>
            </w:pPr>
            <w:r>
              <w:rPr>
                <w:rFonts w:ascii="Arial" w:cs="Arial" w:eastAsia="Arial" w:hAnsi="Arial"/>
                <w:sz w:val="11"/>
                <w:szCs w:val="11"/>
                <w:color w:val="auto"/>
              </w:rPr>
              <w:t>Collectively evaluated for</w:t>
            </w: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43"/>
        </w:trPr>
        <w:tc>
          <w:tcPr>
            <w:tcW w:w="16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impairment</w:t>
            </w: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1,294,079</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319,188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1,135,216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563,144</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674,603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292,230</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55,026</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4,333,486</w:t>
            </w:r>
          </w:p>
        </w:tc>
      </w:tr>
      <w:tr>
        <w:trPr>
          <w:trHeight w:val="173"/>
        </w:trPr>
        <w:tc>
          <w:tcPr>
            <w:tcW w:w="1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Ending balance</w:t>
            </w: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1,338,757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345,233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1,179,534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563,144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680,932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292,230</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55,270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4,455,100</w:t>
            </w:r>
          </w:p>
        </w:tc>
      </w:tr>
    </w:tbl>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19" w:name="page20"/>
    <w:bookmarkEnd w:id="19"/>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Credit Risk Profile</w:t>
      </w:r>
    </w:p>
    <w:p>
      <w:pPr>
        <w:spacing w:after="0" w:line="113"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The Company analyzes its loan portfolio based on internal rating categories (grades 1 - 8), portfolio segmentation and payment activity. These categories are utilized to develop the associated ALLL. A description of the loan grades and segments follows: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Loan Grades</w:t>
      </w:r>
    </w:p>
    <w:p>
      <w:pPr>
        <w:spacing w:after="0" w:line="110" w:lineRule="exact"/>
        <w:rPr>
          <w:sz w:val="20"/>
          <w:szCs w:val="20"/>
          <w:color w:val="auto"/>
        </w:rPr>
      </w:pPr>
    </w:p>
    <w:p>
      <w:pPr>
        <w:ind w:left="860" w:right="120" w:hanging="436"/>
        <w:spacing w:after="0" w:line="330" w:lineRule="auto"/>
        <w:tabs>
          <w:tab w:leader="none" w:pos="857"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Pass (risk rating 1-4) </w:t>
      </w:r>
      <w:r>
        <w:rPr>
          <w:rFonts w:ascii="Arial" w:cs="Arial" w:eastAsia="Arial" w:hAnsi="Arial"/>
          <w:sz w:val="11"/>
          <w:szCs w:val="11"/>
          <w:color w:val="auto"/>
        </w:rPr>
        <w:t>- The category includes loans that are considered satisfactory. The category includes borrowers that generally maintain good liquidity and financial condition or the credit is currently protected</w:t>
      </w:r>
      <w:r>
        <w:rPr>
          <w:rFonts w:ascii="Arial" w:cs="Arial" w:eastAsia="Arial" w:hAnsi="Arial"/>
          <w:sz w:val="11"/>
          <w:szCs w:val="11"/>
          <w:b w:val="1"/>
          <w:bCs w:val="1"/>
          <w:color w:val="auto"/>
        </w:rPr>
        <w:t xml:space="preserve"> </w:t>
      </w:r>
      <w:r>
        <w:rPr>
          <w:rFonts w:ascii="Arial" w:cs="Arial" w:eastAsia="Arial" w:hAnsi="Arial"/>
          <w:sz w:val="11"/>
          <w:szCs w:val="11"/>
          <w:color w:val="auto"/>
        </w:rPr>
        <w:t>with sales trends remaining flat or declining. Most ratios compare favorably with industry norms and Company policies. Debt is programmed and timely repayment is expected.</w:t>
      </w:r>
    </w:p>
    <w:p>
      <w:pPr>
        <w:spacing w:after="0" w:line="12" w:lineRule="exact"/>
        <w:rPr>
          <w:rFonts w:ascii="Arial" w:cs="Arial" w:eastAsia="Arial" w:hAnsi="Arial"/>
          <w:sz w:val="11"/>
          <w:szCs w:val="11"/>
          <w:color w:val="auto"/>
        </w:rPr>
      </w:pPr>
    </w:p>
    <w:p>
      <w:pPr>
        <w:jc w:val="both"/>
        <w:ind w:left="860" w:right="100" w:hanging="436"/>
        <w:spacing w:after="0" w:line="266" w:lineRule="auto"/>
        <w:tabs>
          <w:tab w:leader="none" w:pos="857"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Special Mention (risk rating 5) </w:t>
      </w:r>
      <w:r>
        <w:rPr>
          <w:rFonts w:ascii="Arial" w:cs="Arial" w:eastAsia="Arial" w:hAnsi="Arial"/>
          <w:sz w:val="12"/>
          <w:szCs w:val="12"/>
          <w:color w:val="auto"/>
        </w:rPr>
        <w:t>- The category includes borrowers that generally exhibit adverse trends in operations or an imbalanced position in their balance sheet that has not reached a point where repayment is</w:t>
      </w:r>
      <w:r>
        <w:rPr>
          <w:rFonts w:ascii="Arial" w:cs="Arial" w:eastAsia="Arial" w:hAnsi="Arial"/>
          <w:sz w:val="12"/>
          <w:szCs w:val="12"/>
          <w:b w:val="1"/>
          <w:bCs w:val="1"/>
          <w:color w:val="auto"/>
        </w:rPr>
        <w:t xml:space="preserve"> </w:t>
      </w:r>
      <w:r>
        <w:rPr>
          <w:rFonts w:ascii="Arial" w:cs="Arial" w:eastAsia="Arial" w:hAnsi="Arial"/>
          <w:sz w:val="12"/>
          <w:szCs w:val="12"/>
          <w:color w:val="auto"/>
        </w:rPr>
        <w:t>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45" w:lineRule="exact"/>
        <w:rPr>
          <w:rFonts w:ascii="Arial" w:cs="Arial" w:eastAsia="Arial" w:hAnsi="Arial"/>
          <w:sz w:val="12"/>
          <w:szCs w:val="12"/>
          <w:color w:val="auto"/>
        </w:rPr>
      </w:pPr>
    </w:p>
    <w:p>
      <w:pPr>
        <w:ind w:left="860" w:hanging="436"/>
        <w:spacing w:after="0" w:line="302" w:lineRule="auto"/>
        <w:tabs>
          <w:tab w:leader="none" w:pos="857"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Substandard (risk rating 6) </w:t>
      </w:r>
      <w:r>
        <w:rPr>
          <w:rFonts w:ascii="Arial" w:cs="Arial" w:eastAsia="Arial" w:hAnsi="Arial"/>
          <w:sz w:val="11"/>
          <w:szCs w:val="11"/>
          <w:color w:val="auto"/>
        </w:rPr>
        <w:t>- The category includes borrowers that generally exhibit well-defined weakness(es) that jeopardize repayment. Credits are inadequately protected by the current worth and paying capacity</w:t>
      </w:r>
      <w:r>
        <w:rPr>
          <w:rFonts w:ascii="Arial" w:cs="Arial" w:eastAsia="Arial" w:hAnsi="Arial"/>
          <w:sz w:val="11"/>
          <w:szCs w:val="11"/>
          <w:b w:val="1"/>
          <w:bCs w:val="1"/>
          <w:color w:val="auto"/>
        </w:rPr>
        <w:t xml:space="preserve"> </w:t>
      </w:r>
      <w:r>
        <w:rPr>
          <w:rFonts w:ascii="Arial" w:cs="Arial" w:eastAsia="Arial" w:hAnsi="Arial"/>
          <w:sz w:val="11"/>
          <w:szCs w:val="11"/>
          <w:color w:val="auto"/>
        </w:rPr>
        <w:t>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26" w:lineRule="exact"/>
        <w:rPr>
          <w:rFonts w:ascii="Arial" w:cs="Arial" w:eastAsia="Arial" w:hAnsi="Arial"/>
          <w:sz w:val="11"/>
          <w:szCs w:val="11"/>
          <w:color w:val="auto"/>
        </w:rPr>
      </w:pPr>
    </w:p>
    <w:p>
      <w:pPr>
        <w:jc w:val="both"/>
        <w:ind w:left="860" w:right="80" w:hanging="436"/>
        <w:spacing w:after="0" w:line="266" w:lineRule="auto"/>
        <w:tabs>
          <w:tab w:leader="none" w:pos="857"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Doubtful (risk rating 7) </w:t>
      </w:r>
      <w:r>
        <w:rPr>
          <w:rFonts w:ascii="Arial" w:cs="Arial" w:eastAsia="Arial" w:hAnsi="Arial"/>
          <w:sz w:val="12"/>
          <w:szCs w:val="12"/>
          <w:color w:val="auto"/>
        </w:rPr>
        <w:t>- The category includes borrowers that exhibit weaknesses inherent in a substandard credit and characteristics that these weaknesses make collection or liquidation in full highly questionable</w:t>
      </w:r>
      <w:r>
        <w:rPr>
          <w:rFonts w:ascii="Arial" w:cs="Arial" w:eastAsia="Arial" w:hAnsi="Arial"/>
          <w:sz w:val="12"/>
          <w:szCs w:val="12"/>
          <w:b w:val="1"/>
          <w:bCs w:val="1"/>
          <w:color w:val="auto"/>
        </w:rPr>
        <w:t xml:space="preserve"> </w:t>
      </w:r>
      <w:r>
        <w:rPr>
          <w:rFonts w:ascii="Arial" w:cs="Arial" w:eastAsia="Arial" w:hAnsi="Arial"/>
          <w:sz w:val="12"/>
          <w:szCs w:val="12"/>
          <w:color w:val="auto"/>
        </w:rPr>
        <w:t>or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45" w:lineRule="exact"/>
        <w:rPr>
          <w:rFonts w:ascii="Arial" w:cs="Arial" w:eastAsia="Arial" w:hAnsi="Arial"/>
          <w:sz w:val="12"/>
          <w:szCs w:val="12"/>
          <w:color w:val="auto"/>
        </w:rPr>
      </w:pPr>
    </w:p>
    <w:p>
      <w:pPr>
        <w:ind w:left="860" w:hanging="436"/>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 xml:space="preserve">Loss (risk rating 8) </w:t>
      </w:r>
      <w:r>
        <w:rPr>
          <w:rFonts w:ascii="Arial" w:cs="Arial" w:eastAsia="Arial" w:hAnsi="Arial"/>
          <w:sz w:val="12"/>
          <w:szCs w:val="12"/>
          <w:color w:val="auto"/>
        </w:rPr>
        <w:t>- Credits which are considered uncollectible or of such little value that their continuance as a bankable asset is not warranted.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Loan Portfolio Segments</w:t>
      </w:r>
    </w:p>
    <w:p>
      <w:pPr>
        <w:spacing w:after="0" w:line="110" w:lineRule="exact"/>
        <w:rPr>
          <w:sz w:val="20"/>
          <w:szCs w:val="20"/>
          <w:color w:val="auto"/>
        </w:rPr>
      </w:pPr>
    </w:p>
    <w:p>
      <w:pPr>
        <w:ind w:left="860" w:right="160" w:hanging="436"/>
        <w:spacing w:after="0" w:line="283"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Commercial </w:t>
      </w:r>
      <w:r>
        <w:rPr>
          <w:rFonts w:ascii="Arial" w:cs="Arial" w:eastAsia="Arial" w:hAnsi="Arial"/>
          <w:sz w:val="12"/>
          <w:szCs w:val="12"/>
          <w:color w:val="auto"/>
        </w:rPr>
        <w:t>- The category includes loans to commercial customers for use in financing working capital, equipment purchases and expansions. Repayment is primarily from the cash flow of a borrower’s principal</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operation. Credit risk is driven by creditworthiness of a borrower and the economic conditions that impact the cash flow stability from business operations.</w:t>
      </w:r>
    </w:p>
    <w:p>
      <w:pPr>
        <w:spacing w:after="0" w:line="34" w:lineRule="exact"/>
        <w:rPr>
          <w:rFonts w:ascii="Arial" w:cs="Arial" w:eastAsia="Arial" w:hAnsi="Arial"/>
          <w:sz w:val="12"/>
          <w:szCs w:val="12"/>
          <w:color w:val="auto"/>
        </w:rPr>
      </w:pPr>
    </w:p>
    <w:p>
      <w:pPr>
        <w:jc w:val="both"/>
        <w:ind w:left="860" w:right="340" w:hanging="436"/>
        <w:spacing w:after="0" w:line="26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Energy </w:t>
      </w:r>
      <w:r>
        <w:rPr>
          <w:rFonts w:ascii="Arial" w:cs="Arial" w:eastAsia="Arial" w:hAnsi="Arial"/>
          <w:sz w:val="12"/>
          <w:szCs w:val="12"/>
          <w:color w:val="auto"/>
        </w:rPr>
        <w:t>- The category includes loans to oil and natural gas customers for use in financing working capital needs, exploration and production activities, and acquisitions. The loans are repaid primarily from the</w:t>
      </w:r>
      <w:r>
        <w:rPr>
          <w:rFonts w:ascii="Arial" w:cs="Arial" w:eastAsia="Arial" w:hAnsi="Arial"/>
          <w:sz w:val="12"/>
          <w:szCs w:val="12"/>
          <w:b w:val="1"/>
          <w:bCs w:val="1"/>
          <w:color w:val="auto"/>
        </w:rPr>
        <w:t xml:space="preserve"> </w:t>
      </w:r>
      <w:r>
        <w:rPr>
          <w:rFonts w:ascii="Arial" w:cs="Arial" w:eastAsia="Arial" w:hAnsi="Arial"/>
          <w:sz w:val="12"/>
          <w:szCs w:val="12"/>
          <w:color w:val="auto"/>
        </w:rPr>
        <w:t>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45" w:lineRule="exact"/>
        <w:rPr>
          <w:rFonts w:ascii="Arial" w:cs="Arial" w:eastAsia="Arial" w:hAnsi="Arial"/>
          <w:sz w:val="12"/>
          <w:szCs w:val="12"/>
          <w:color w:val="auto"/>
        </w:rPr>
      </w:pPr>
    </w:p>
    <w:p>
      <w:pPr>
        <w:ind w:left="860" w:hanging="436"/>
        <w:spacing w:after="0" w:line="266"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Commercial Real Estate </w:t>
      </w:r>
      <w:r>
        <w:rPr>
          <w:rFonts w:ascii="Arial" w:cs="Arial" w:eastAsia="Arial" w:hAnsi="Arial"/>
          <w:sz w:val="12"/>
          <w:szCs w:val="12"/>
          <w:color w:val="auto"/>
        </w:rPr>
        <w:t>- The category includes loans that typically involve larger principal amounts and repayment of these loans is generally dependent on the successful operations of the property securing the</w:t>
      </w:r>
      <w:r>
        <w:rPr>
          <w:rFonts w:ascii="Arial" w:cs="Arial" w:eastAsia="Arial" w:hAnsi="Arial"/>
          <w:sz w:val="12"/>
          <w:szCs w:val="12"/>
          <w:b w:val="1"/>
          <w:bCs w:val="1"/>
          <w:color w:val="auto"/>
        </w:rPr>
        <w:t xml:space="preserve"> </w:t>
      </w:r>
      <w:r>
        <w:rPr>
          <w:rFonts w:ascii="Arial" w:cs="Arial" w:eastAsia="Arial" w:hAnsi="Arial"/>
          <w:sz w:val="12"/>
          <w:szCs w:val="12"/>
          <w:color w:val="auto"/>
        </w:rPr>
        <w:t>loan or the business 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45" w:lineRule="exact"/>
        <w:rPr>
          <w:rFonts w:ascii="Arial" w:cs="Arial" w:eastAsia="Arial" w:hAnsi="Arial"/>
          <w:sz w:val="12"/>
          <w:szCs w:val="12"/>
          <w:color w:val="auto"/>
        </w:rPr>
      </w:pPr>
    </w:p>
    <w:p>
      <w:pPr>
        <w:ind w:left="860" w:right="60" w:hanging="436"/>
        <w:spacing w:after="0" w:line="292" w:lineRule="auto"/>
        <w:tabs>
          <w:tab w:leader="none" w:pos="857"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 xml:space="preserve">Construction and Land Development </w:t>
      </w:r>
      <w:r>
        <w:rPr>
          <w:rFonts w:ascii="Arial" w:cs="Arial" w:eastAsia="Arial" w:hAnsi="Arial"/>
          <w:sz w:val="11"/>
          <w:szCs w:val="11"/>
          <w:color w:val="auto"/>
        </w:rPr>
        <w:t>- The category includes loans that are usually based upon estimates of costs and estimated value of the completed project and include independent appraisal reviews and a</w:t>
      </w:r>
      <w:r>
        <w:rPr>
          <w:rFonts w:ascii="Arial" w:cs="Arial" w:eastAsia="Arial" w:hAnsi="Arial"/>
          <w:sz w:val="11"/>
          <w:szCs w:val="11"/>
          <w:b w:val="1"/>
          <w:bCs w:val="1"/>
          <w:color w:val="auto"/>
        </w:rPr>
        <w:t xml:space="preserve"> </w:t>
      </w:r>
      <w:r>
        <w:rPr>
          <w:rFonts w:ascii="Arial" w:cs="Arial" w:eastAsia="Arial" w:hAnsi="Arial"/>
          <w:sz w:val="11"/>
          <w:szCs w:val="11"/>
          <w:color w:val="auto"/>
        </w:rPr>
        <w:t>financial analysis of the developers and property owners. Sources of repayment include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32" w:lineRule="exact"/>
        <w:rPr>
          <w:rFonts w:ascii="Arial" w:cs="Arial" w:eastAsia="Arial" w:hAnsi="Arial"/>
          <w:sz w:val="11"/>
          <w:szCs w:val="11"/>
          <w:color w:val="auto"/>
        </w:rPr>
      </w:pPr>
    </w:p>
    <w:p>
      <w:pPr>
        <w:ind w:left="860" w:hanging="436"/>
        <w:spacing w:after="0" w:line="283"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Residential and Multifamily Real Estate </w:t>
      </w:r>
      <w:r>
        <w:rPr>
          <w:rFonts w:ascii="Arial" w:cs="Arial" w:eastAsia="Arial" w:hAnsi="Arial"/>
          <w:sz w:val="12"/>
          <w:szCs w:val="12"/>
          <w:color w:val="auto"/>
        </w:rPr>
        <w:t>- The category includes loans that are generally secured by owner-occupied 1-4 family residences or multifamily properties. Repayment of these loans is primarily dependent</w:t>
      </w:r>
      <w:r>
        <w:rPr>
          <w:rFonts w:ascii="Arial" w:cs="Arial" w:eastAsia="Arial" w:hAnsi="Arial"/>
          <w:sz w:val="12"/>
          <w:szCs w:val="12"/>
          <w:b w:val="1"/>
          <w:bCs w:val="1"/>
          <w:color w:val="auto"/>
        </w:rPr>
        <w:t xml:space="preserve"> </w:t>
      </w:r>
      <w:r>
        <w:rPr>
          <w:rFonts w:ascii="Arial" w:cs="Arial" w:eastAsia="Arial" w:hAnsi="Arial"/>
          <w:sz w:val="12"/>
          <w:szCs w:val="12"/>
          <w:color w:val="auto"/>
        </w:rPr>
        <w:t>on the personal income and credit rating of the borrowers or underlying tenants. Credit risk in these loans can be impacted by economic</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20" w:name="page21"/>
    <w:bookmarkEnd w:id="20"/>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conditions within or outside the borrower’s market areas that might impact either property values, a borrower’s personal income, or residents’ income.</w:t>
      </w:r>
    </w:p>
    <w:p>
      <w:pPr>
        <w:spacing w:after="0" w:line="74" w:lineRule="exact"/>
        <w:rPr>
          <w:sz w:val="20"/>
          <w:szCs w:val="20"/>
          <w:color w:val="auto"/>
        </w:rPr>
      </w:pPr>
    </w:p>
    <w:p>
      <w:pPr>
        <w:ind w:left="860" w:right="180" w:hanging="436"/>
        <w:spacing w:after="0" w:line="283" w:lineRule="auto"/>
        <w:tabs>
          <w:tab w:leader="none" w:pos="857"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PPP </w:t>
      </w:r>
      <w:r>
        <w:rPr>
          <w:rFonts w:ascii="Arial" w:cs="Arial" w:eastAsia="Arial" w:hAnsi="Arial"/>
          <w:sz w:val="12"/>
          <w:szCs w:val="12"/>
          <w:color w:val="auto"/>
        </w:rPr>
        <w:t>- The category includes loans that were established by the CARES Act which authorized forgivable loans to small businesses to pay their employees during the COVID-19 pandemic. The loans are 100 percent</w:t>
      </w:r>
      <w:r>
        <w:rPr>
          <w:rFonts w:ascii="Arial" w:cs="Arial" w:eastAsia="Arial" w:hAnsi="Arial"/>
          <w:sz w:val="12"/>
          <w:szCs w:val="12"/>
          <w:b w:val="1"/>
          <w:bCs w:val="1"/>
          <w:color w:val="auto"/>
        </w:rPr>
        <w:t xml:space="preserve"> </w:t>
      </w:r>
      <w:r>
        <w:rPr>
          <w:rFonts w:ascii="Arial" w:cs="Arial" w:eastAsia="Arial" w:hAnsi="Arial"/>
          <w:sz w:val="12"/>
          <w:szCs w:val="12"/>
          <w:color w:val="auto"/>
        </w:rPr>
        <w:t>guaranteed by the SBA and repayment is primarily dependent on the borrower’s cash flow or SBA repayment approval.</w:t>
      </w:r>
    </w:p>
    <w:p>
      <w:pPr>
        <w:spacing w:after="0" w:line="34" w:lineRule="exact"/>
        <w:rPr>
          <w:rFonts w:ascii="Arial" w:cs="Arial" w:eastAsia="Arial" w:hAnsi="Arial"/>
          <w:sz w:val="12"/>
          <w:szCs w:val="12"/>
          <w:color w:val="auto"/>
        </w:rPr>
      </w:pPr>
    </w:p>
    <w:p>
      <w:pPr>
        <w:ind w:left="860" w:right="40" w:hanging="436"/>
        <w:spacing w:after="0" w:line="330" w:lineRule="auto"/>
        <w:tabs>
          <w:tab w:leader="none" w:pos="857" w:val="left"/>
        </w:tabs>
        <w:numPr>
          <w:ilvl w:val="0"/>
          <w:numId w:val="5"/>
        </w:numPr>
        <w:rPr>
          <w:rFonts w:ascii="Arial" w:cs="Arial" w:eastAsia="Arial" w:hAnsi="Arial"/>
          <w:sz w:val="11"/>
          <w:szCs w:val="11"/>
          <w:color w:val="auto"/>
        </w:rPr>
      </w:pPr>
      <w:r>
        <w:rPr>
          <w:rFonts w:ascii="Arial" w:cs="Arial" w:eastAsia="Arial" w:hAnsi="Arial"/>
          <w:sz w:val="11"/>
          <w:szCs w:val="11"/>
          <w:b w:val="1"/>
          <w:bCs w:val="1"/>
          <w:color w:val="auto"/>
        </w:rPr>
        <w:t xml:space="preserve">Consumer </w:t>
      </w:r>
      <w:r>
        <w:rPr>
          <w:rFonts w:ascii="Arial" w:cs="Arial" w:eastAsia="Arial" w:hAnsi="Arial"/>
          <w:sz w:val="11"/>
          <w:szCs w:val="11"/>
          <w:color w:val="auto"/>
        </w:rPr>
        <w:t>- The category includes revolving lines of credit and various term loans such as automobile loans and loans for other personal purposes. Repayment is primarily dependent on the personal income and credit</w:t>
      </w:r>
      <w:r>
        <w:rPr>
          <w:rFonts w:ascii="Arial" w:cs="Arial" w:eastAsia="Arial" w:hAnsi="Arial"/>
          <w:sz w:val="11"/>
          <w:szCs w:val="11"/>
          <w:b w:val="1"/>
          <w:bCs w:val="1"/>
          <w:color w:val="auto"/>
        </w:rPr>
        <w:t xml:space="preserve"> </w:t>
      </w:r>
      <w:r>
        <w:rPr>
          <w:rFonts w:ascii="Arial" w:cs="Arial" w:eastAsia="Arial" w:hAnsi="Arial"/>
          <w:sz w:val="11"/>
          <w:szCs w:val="11"/>
          <w:color w:val="auto"/>
        </w:rPr>
        <w:t>rating of the borrowers. Credit risk is driven by consumer economic factors (such as unemployment and general economic conditions in the borrower’s market area) and the creditworthiness of a borrower.</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credit risk profile of the Company’s loan portfolio based on internal rating categories (grades 1 - 8), portfolio segmentation, and payment activity:</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1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Substandard</w:t>
            </w:r>
          </w:p>
        </w:tc>
        <w:tc>
          <w:tcPr>
            <w:tcW w:w="46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Substandard</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6"/>
        </w:trPr>
        <w:tc>
          <w:tcPr>
            <w:tcW w:w="1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Pass</w:t>
            </w: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Special Mention</w:t>
            </w:r>
          </w:p>
        </w:tc>
        <w:tc>
          <w:tcPr>
            <w:tcW w:w="142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rPr>
              <w:t>Performing</w:t>
            </w:r>
          </w:p>
        </w:tc>
        <w:tc>
          <w:tcPr>
            <w:tcW w:w="148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rPr>
              <w:t>Nonperforming</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Doubtful</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Loss</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69"/>
        </w:trPr>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ind w:left="220"/>
              <w:spacing w:after="0"/>
              <w:rPr>
                <w:sz w:val="20"/>
                <w:szCs w:val="20"/>
                <w:color w:val="auto"/>
              </w:rPr>
            </w:pPr>
            <w:r>
              <w:rPr>
                <w:rFonts w:ascii="Arial" w:cs="Arial" w:eastAsia="Arial" w:hAnsi="Arial"/>
                <w:sz w:val="12"/>
                <w:szCs w:val="12"/>
                <w:i w:val="1"/>
                <w:iCs w:val="1"/>
                <w:color w:val="auto"/>
              </w:rPr>
              <w:t>(Dollars in thousands)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146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June 30, 2021</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71"/>
        </w:trPr>
        <w:tc>
          <w:tcPr>
            <w:tcW w:w="1460" w:type="dxa"/>
            <w:vAlign w:val="bottom"/>
          </w:tcPr>
          <w:p>
            <w:pPr>
              <w:ind w:left="340"/>
              <w:spacing w:after="0"/>
              <w:rPr>
                <w:sz w:val="20"/>
                <w:szCs w:val="20"/>
                <w:color w:val="auto"/>
              </w:rPr>
            </w:pPr>
            <w:r>
              <w:rPr>
                <w:rFonts w:ascii="Arial" w:cs="Arial" w:eastAsia="Arial" w:hAnsi="Arial"/>
                <w:sz w:val="12"/>
                <w:szCs w:val="12"/>
                <w:color w:val="auto"/>
              </w:rPr>
              <w:t>Commercial</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1,093,073</w:t>
            </w: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57,236</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21,558</w:t>
            </w:r>
          </w:p>
        </w:tc>
        <w:tc>
          <w:tcPr>
            <w:tcW w:w="8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14,296</w:t>
            </w:r>
          </w:p>
        </w:tc>
        <w:tc>
          <w:tcPr>
            <w:tcW w:w="8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1,661</w:t>
            </w:r>
          </w:p>
        </w:tc>
        <w:tc>
          <w:tcPr>
            <w:tcW w:w="80" w:type="dxa"/>
            <w:vAlign w:val="bottom"/>
          </w:tcPr>
          <w:p>
            <w:pPr>
              <w:spacing w:after="0"/>
              <w:rPr>
                <w:sz w:val="14"/>
                <w:szCs w:val="14"/>
                <w:color w:val="auto"/>
              </w:rPr>
            </w:pPr>
          </w:p>
        </w:tc>
        <w:tc>
          <w:tcPr>
            <w:tcW w:w="96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1,187,824</w:t>
            </w:r>
          </w:p>
        </w:tc>
      </w:tr>
      <w:tr>
        <w:trPr>
          <w:trHeight w:val="189"/>
        </w:trPr>
        <w:tc>
          <w:tcPr>
            <w:tcW w:w="14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Energy</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150,911</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101,951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47,107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326,473</w:t>
            </w:r>
          </w:p>
        </w:tc>
      </w:tr>
      <w:tr>
        <w:trPr>
          <w:trHeight w:val="171"/>
        </w:trPr>
        <w:tc>
          <w:tcPr>
            <w:tcW w:w="1460" w:type="dxa"/>
            <w:vAlign w:val="bottom"/>
          </w:tcPr>
          <w:p>
            <w:pPr>
              <w:ind w:left="340"/>
              <w:spacing w:after="0"/>
              <w:rPr>
                <w:sz w:val="20"/>
                <w:szCs w:val="20"/>
                <w:color w:val="auto"/>
              </w:rPr>
            </w:pPr>
            <w:r>
              <w:rPr>
                <w:rFonts w:ascii="Arial" w:cs="Arial" w:eastAsia="Arial" w:hAnsi="Arial"/>
                <w:sz w:val="12"/>
                <w:szCs w:val="12"/>
                <w:color w:val="auto"/>
                <w:w w:val="89"/>
              </w:rPr>
              <w:t>Commercial real estate</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1,079,503</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79,527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39,140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10,545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30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1,208,715</w:t>
            </w:r>
          </w:p>
        </w:tc>
      </w:tr>
      <w:tr>
        <w:trPr>
          <w:trHeight w:val="162"/>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Construction and land</w:t>
            </w: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1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development</w:t>
            </w:r>
          </w:p>
        </w:tc>
        <w:tc>
          <w:tcPr>
            <w:tcW w:w="5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622,427</w:t>
            </w: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623,557</w:t>
            </w:r>
          </w:p>
        </w:tc>
      </w:tr>
      <w:tr>
        <w:trPr>
          <w:trHeight w:val="153"/>
        </w:trPr>
        <w:tc>
          <w:tcPr>
            <w:tcW w:w="1460" w:type="dxa"/>
            <w:vAlign w:val="bottom"/>
          </w:tcPr>
          <w:p>
            <w:pPr>
              <w:ind w:left="20"/>
              <w:spacing w:after="0"/>
              <w:rPr>
                <w:sz w:val="20"/>
                <w:szCs w:val="20"/>
                <w:color w:val="auto"/>
              </w:rPr>
            </w:pPr>
            <w:r>
              <w:rPr>
                <w:rFonts w:ascii="Arial" w:cs="Arial" w:eastAsia="Arial" w:hAnsi="Arial"/>
                <w:sz w:val="12"/>
                <w:szCs w:val="12"/>
                <w:color w:val="auto"/>
                <w:w w:val="99"/>
              </w:rPr>
              <w:t>Residential and multifamily</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1460" w:type="dxa"/>
            <w:vAlign w:val="bottom"/>
          </w:tcPr>
          <w:p>
            <w:pPr>
              <w:ind w:left="120"/>
              <w:spacing w:after="0"/>
              <w:rPr>
                <w:sz w:val="20"/>
                <w:szCs w:val="20"/>
                <w:color w:val="auto"/>
              </w:rPr>
            </w:pPr>
            <w:r>
              <w:rPr>
                <w:rFonts w:ascii="Arial" w:cs="Arial" w:eastAsia="Arial" w:hAnsi="Arial"/>
                <w:sz w:val="12"/>
                <w:szCs w:val="12"/>
                <w:color w:val="auto"/>
              </w:rPr>
              <w:t>real estate</w:t>
            </w:r>
          </w:p>
        </w:tc>
        <w:tc>
          <w:tcPr>
            <w:tcW w:w="5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633,077</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7,143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1,407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4"/>
                <w:szCs w:val="14"/>
                <w:color w:val="auto"/>
              </w:rPr>
            </w:pPr>
          </w:p>
        </w:tc>
        <w:tc>
          <w:tcPr>
            <w:tcW w:w="30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641,669</w:t>
            </w:r>
          </w:p>
        </w:tc>
      </w:tr>
      <w:tr>
        <w:trPr>
          <w:trHeight w:val="189"/>
        </w:trPr>
        <w:tc>
          <w:tcPr>
            <w:tcW w:w="14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PPP</w:t>
            </w:r>
          </w:p>
        </w:tc>
        <w:tc>
          <w:tcPr>
            <w:tcW w:w="5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197,084</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197,084</w:t>
            </w:r>
          </w:p>
        </w:tc>
      </w:tr>
      <w:tr>
        <w:trPr>
          <w:trHeight w:val="171"/>
        </w:trPr>
        <w:tc>
          <w:tcPr>
            <w:tcW w:w="146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Consumer</w:t>
            </w: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66,764</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67,003</w:t>
            </w:r>
          </w:p>
        </w:tc>
      </w:tr>
      <w:tr>
        <w:trPr>
          <w:trHeight w:val="194"/>
        </w:trPr>
        <w:tc>
          <w:tcPr>
            <w:tcW w:w="14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3,842,839</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238,756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116,078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49,300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4,252,325</w:t>
            </w:r>
          </w:p>
        </w:tc>
      </w:tr>
    </w:tbl>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Substandard</w:t>
            </w:r>
          </w:p>
        </w:tc>
        <w:tc>
          <w:tcPr>
            <w:tcW w:w="14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Substandard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6"/>
        </w:trPr>
        <w:tc>
          <w:tcPr>
            <w:tcW w:w="2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Pass</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Special Mention</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0"/>
              </w:rPr>
              <w:t>Performing</w:t>
            </w: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2"/>
              </w:rPr>
              <w:t>Nonperforming</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Doubtful</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Loss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Total</w:t>
            </w:r>
          </w:p>
        </w:tc>
      </w:tr>
      <w:tr>
        <w:trPr>
          <w:trHeight w:val="153"/>
        </w:trPr>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w w:val="91"/>
              </w:rPr>
              <w:t>(Dollars in thousands)</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7"/>
        </w:trPr>
        <w:tc>
          <w:tcPr>
            <w:tcW w:w="2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December 31, 2020</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1"/>
        </w:trPr>
        <w:tc>
          <w:tcPr>
            <w:tcW w:w="2020" w:type="dxa"/>
            <w:vAlign w:val="bottom"/>
          </w:tcPr>
          <w:p>
            <w:pPr>
              <w:ind w:left="20"/>
              <w:spacing w:after="0"/>
              <w:rPr>
                <w:sz w:val="20"/>
                <w:szCs w:val="20"/>
                <w:color w:val="auto"/>
              </w:rPr>
            </w:pPr>
            <w:r>
              <w:rPr>
                <w:rFonts w:ascii="Arial" w:cs="Arial" w:eastAsia="Arial" w:hAnsi="Arial"/>
                <w:sz w:val="12"/>
                <w:szCs w:val="12"/>
                <w:color w:val="auto"/>
              </w:rPr>
              <w:t>Commercial</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1,182,519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66,142</w:t>
            </w:r>
          </w:p>
        </w:tc>
        <w:tc>
          <w:tcPr>
            <w:tcW w:w="8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63,407</w:t>
            </w:r>
          </w:p>
        </w:tc>
        <w:tc>
          <w:tcPr>
            <w:tcW w:w="8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26,124</w:t>
            </w:r>
          </w:p>
        </w:tc>
        <w:tc>
          <w:tcPr>
            <w:tcW w:w="8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565</w:t>
            </w:r>
          </w:p>
        </w:tc>
        <w:tc>
          <w:tcPr>
            <w:tcW w:w="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1,338,757</w:t>
            </w:r>
          </w:p>
        </w:tc>
      </w:tr>
      <w:tr>
        <w:trPr>
          <w:trHeight w:val="189"/>
        </w:trPr>
        <w:tc>
          <w:tcPr>
            <w:tcW w:w="2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Energy</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145,598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90,134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83,574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22,177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345,233</w:t>
            </w:r>
          </w:p>
        </w:tc>
      </w:tr>
      <w:tr>
        <w:trPr>
          <w:trHeight w:val="171"/>
        </w:trPr>
        <w:tc>
          <w:tcPr>
            <w:tcW w:w="2020" w:type="dxa"/>
            <w:vAlign w:val="bottom"/>
          </w:tcPr>
          <w:p>
            <w:pPr>
              <w:ind w:left="20"/>
              <w:spacing w:after="0"/>
              <w:rPr>
                <w:sz w:val="20"/>
                <w:szCs w:val="20"/>
                <w:color w:val="auto"/>
              </w:rPr>
            </w:pPr>
            <w:r>
              <w:rPr>
                <w:rFonts w:ascii="Arial" w:cs="Arial" w:eastAsia="Arial" w:hAnsi="Arial"/>
                <w:sz w:val="12"/>
                <w:szCs w:val="12"/>
                <w:color w:val="auto"/>
              </w:rPr>
              <w:t>Commercial real estate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1,035,056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67,710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57,680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19,088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1,179,534</w:t>
            </w:r>
          </w:p>
        </w:tc>
      </w:tr>
      <w:tr>
        <w:trPr>
          <w:trHeight w:val="189"/>
        </w:trPr>
        <w:tc>
          <w:tcPr>
            <w:tcW w:w="2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Construction and land development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561,871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563,144</w:t>
            </w:r>
          </w:p>
        </w:tc>
      </w:tr>
      <w:tr>
        <w:trPr>
          <w:trHeight w:val="171"/>
        </w:trPr>
        <w:tc>
          <w:tcPr>
            <w:tcW w:w="2020" w:type="dxa"/>
            <w:vAlign w:val="bottom"/>
          </w:tcPr>
          <w:p>
            <w:pPr>
              <w:ind w:left="20"/>
              <w:spacing w:after="0"/>
              <w:rPr>
                <w:sz w:val="20"/>
                <w:szCs w:val="20"/>
                <w:color w:val="auto"/>
              </w:rPr>
            </w:pPr>
            <w:r>
              <w:rPr>
                <w:rFonts w:ascii="Arial" w:cs="Arial" w:eastAsia="Arial" w:hAnsi="Arial"/>
                <w:sz w:val="12"/>
                <w:szCs w:val="12"/>
                <w:color w:val="auto"/>
                <w:w w:val="97"/>
              </w:rPr>
              <w:t>Residential and multifamily real estate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672,327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Arial" w:cs="Arial" w:eastAsia="Arial" w:hAnsi="Arial"/>
                <w:sz w:val="12"/>
                <w:szCs w:val="12"/>
                <w:color w:val="auto"/>
              </w:rPr>
              <w:t>3,101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680,932</w:t>
            </w:r>
          </w:p>
        </w:tc>
      </w:tr>
      <w:tr>
        <w:trPr>
          <w:trHeight w:val="189"/>
        </w:trPr>
        <w:tc>
          <w:tcPr>
            <w:tcW w:w="2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PPP</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292,230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292,230</w:t>
            </w:r>
          </w:p>
        </w:tc>
      </w:tr>
      <w:tr>
        <w:trPr>
          <w:trHeight w:val="171"/>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Consumer</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55,026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55,270</w:t>
            </w:r>
          </w:p>
        </w:tc>
      </w:tr>
      <w:tr>
        <w:trPr>
          <w:trHeight w:val="194"/>
        </w:trPr>
        <w:tc>
          <w:tcPr>
            <w:tcW w:w="20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3,944,627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224,416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211,008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70,734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4,455,100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8"/>
        </w:trPr>
        <w:tc>
          <w:tcPr>
            <w:tcW w:w="860" w:type="dxa"/>
            <w:vAlign w:val="bottom"/>
            <w:tcBorders>
              <w:bottom w:val="single" w:sz="8" w:color="0000FF"/>
            </w:tcBorders>
            <w:gridSpan w:val="2"/>
          </w:tcPr>
          <w:p>
            <w:pPr>
              <w:spacing w:after="0"/>
              <w:rPr>
                <w:rFonts w:ascii="Arial" w:cs="Arial" w:eastAsia="Arial" w:hAnsi="Arial"/>
                <w:sz w:val="12"/>
                <w:szCs w:val="12"/>
                <w:color w:val="0000FF"/>
                <w:w w:val="88"/>
              </w:rPr>
            </w:pPr>
            <w:hyperlink w:anchor="page1">
              <w:r>
                <w:rPr>
                  <w:rFonts w:ascii="Arial" w:cs="Arial" w:eastAsia="Arial" w:hAnsi="Arial"/>
                  <w:sz w:val="12"/>
                  <w:szCs w:val="12"/>
                  <w:color w:val="0000FF"/>
                  <w:w w:val="88"/>
                </w:rPr>
                <w:t>Table of Contents</w:t>
              </w:r>
            </w:hyperlink>
          </w:p>
        </w:tc>
        <w:tc>
          <w:tcPr>
            <w:tcW w:w="11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gridSpan w:val="11"/>
          </w:tcPr>
          <w:p>
            <w:pPr>
              <w:jc w:val="right"/>
              <w:ind w:right="320"/>
              <w:spacing w:after="0"/>
              <w:rPr>
                <w:sz w:val="20"/>
                <w:szCs w:val="20"/>
                <w:color w:val="auto"/>
              </w:rPr>
            </w:pPr>
            <w:r>
              <w:rPr>
                <w:rFonts w:ascii="Arial" w:cs="Arial" w:eastAsia="Arial" w:hAnsi="Arial"/>
                <w:sz w:val="12"/>
                <w:szCs w:val="12"/>
                <w:color w:val="auto"/>
                <w:w w:val="90"/>
              </w:rPr>
              <w:t>Notes to Consolidated Financial Statements (unaudited)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4"/>
        </w:trPr>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2"/>
                <w:szCs w:val="12"/>
                <w:i w:val="1"/>
                <w:iCs w:val="1"/>
                <w:color w:val="auto"/>
                <w:w w:val="92"/>
              </w:rPr>
              <w:t>Loan Portfolio Aging Analysis</w:t>
            </w:r>
          </w:p>
        </w:tc>
        <w:tc>
          <w:tcPr>
            <w:tcW w:w="5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6140" w:type="dxa"/>
            <w:vAlign w:val="bottom"/>
            <w:gridSpan w:val="20"/>
          </w:tcPr>
          <w:p>
            <w:pPr>
              <w:ind w:left="320"/>
              <w:spacing w:after="0"/>
              <w:rPr>
                <w:sz w:val="20"/>
                <w:szCs w:val="20"/>
                <w:color w:val="auto"/>
              </w:rPr>
            </w:pPr>
            <w:r>
              <w:rPr>
                <w:rFonts w:ascii="Arial" w:cs="Arial" w:eastAsia="Arial" w:hAnsi="Arial"/>
                <w:sz w:val="12"/>
                <w:szCs w:val="12"/>
                <w:color w:val="auto"/>
                <w:w w:val="92"/>
              </w:rPr>
              <w:t>The following tables present the Company’s loan portfolio aging analysis as of June 30, 2021 and December 31, 2020:</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30-59 Days Past</w:t>
            </w:r>
          </w:p>
        </w:tc>
        <w:tc>
          <w:tcPr>
            <w:tcW w:w="1280" w:type="dxa"/>
            <w:vAlign w:val="bottom"/>
            <w:gridSpan w:val="4"/>
          </w:tcPr>
          <w:p>
            <w:pPr>
              <w:ind w:left="360"/>
              <w:spacing w:after="0" w:line="135" w:lineRule="exact"/>
              <w:rPr>
                <w:sz w:val="20"/>
                <w:szCs w:val="20"/>
                <w:color w:val="auto"/>
              </w:rPr>
            </w:pPr>
            <w:r>
              <w:rPr>
                <w:rFonts w:ascii="Arial" w:cs="Arial" w:eastAsia="Arial" w:hAnsi="Arial"/>
                <w:sz w:val="12"/>
                <w:szCs w:val="12"/>
                <w:b w:val="1"/>
                <w:bCs w:val="1"/>
                <w:color w:val="auto"/>
                <w:w w:val="98"/>
              </w:rPr>
              <w:t>60-89 Days Past</w:t>
            </w:r>
          </w:p>
        </w:tc>
        <w:tc>
          <w:tcPr>
            <w:tcW w:w="1380" w:type="dxa"/>
            <w:vAlign w:val="bottom"/>
            <w:gridSpan w:val="5"/>
            <w:vMerge w:val="restart"/>
          </w:tcPr>
          <w:p>
            <w:pPr>
              <w:ind w:left="380"/>
              <w:spacing w:after="0"/>
              <w:rPr>
                <w:sz w:val="20"/>
                <w:szCs w:val="20"/>
                <w:color w:val="auto"/>
              </w:rPr>
            </w:pPr>
            <w:r>
              <w:rPr>
                <w:rFonts w:ascii="Arial" w:cs="Arial" w:eastAsia="Arial" w:hAnsi="Arial"/>
                <w:sz w:val="12"/>
                <w:szCs w:val="12"/>
                <w:b w:val="1"/>
                <w:bCs w:val="1"/>
                <w:color w:val="auto"/>
              </w:rPr>
              <w:t>90 Days or More</w:t>
            </w:r>
          </w:p>
        </w:tc>
        <w:tc>
          <w:tcPr>
            <w:tcW w:w="400" w:type="dxa"/>
            <w:vAlign w:val="bottom"/>
          </w:tcPr>
          <w:p>
            <w:pPr>
              <w:spacing w:after="0"/>
              <w:rPr>
                <w:sz w:val="11"/>
                <w:szCs w:val="11"/>
                <w:color w:val="auto"/>
              </w:rPr>
            </w:pPr>
          </w:p>
        </w:tc>
        <w:tc>
          <w:tcPr>
            <w:tcW w:w="1300" w:type="dxa"/>
            <w:vAlign w:val="bottom"/>
            <w:gridSpan w:val="5"/>
            <w:vMerge w:val="restart"/>
          </w:tcPr>
          <w:p>
            <w:pPr>
              <w:jc w:val="right"/>
              <w:ind w:right="460"/>
              <w:spacing w:after="0"/>
              <w:rPr>
                <w:sz w:val="20"/>
                <w:szCs w:val="20"/>
                <w:color w:val="auto"/>
              </w:rPr>
            </w:pPr>
            <w:r>
              <w:rPr>
                <w:rFonts w:ascii="Arial" w:cs="Arial" w:eastAsia="Arial" w:hAnsi="Arial"/>
                <w:sz w:val="12"/>
                <w:szCs w:val="12"/>
                <w:b w:val="1"/>
                <w:bCs w:val="1"/>
                <w:color w:val="auto"/>
                <w:w w:val="91"/>
              </w:rPr>
              <w:t>Total Past Due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Current</w:t>
            </w:r>
          </w:p>
        </w:tc>
        <w:tc>
          <w:tcPr>
            <w:tcW w:w="160" w:type="dxa"/>
            <w:vAlign w:val="bottom"/>
          </w:tcPr>
          <w:p>
            <w:pPr>
              <w:spacing w:after="0"/>
              <w:rPr>
                <w:sz w:val="11"/>
                <w:szCs w:val="11"/>
                <w:color w:val="auto"/>
              </w:rPr>
            </w:pPr>
          </w:p>
        </w:tc>
        <w:tc>
          <w:tcPr>
            <w:tcW w:w="104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Total Loans</w:t>
            </w:r>
          </w:p>
        </w:tc>
        <w:tc>
          <w:tcPr>
            <w:tcW w:w="80" w:type="dxa"/>
            <w:vAlign w:val="bottom"/>
          </w:tcPr>
          <w:p>
            <w:pPr>
              <w:spacing w:after="0"/>
              <w:rPr>
                <w:sz w:val="11"/>
                <w:szCs w:val="11"/>
                <w:color w:val="auto"/>
              </w:rPr>
            </w:pPr>
          </w:p>
        </w:tc>
        <w:tc>
          <w:tcPr>
            <w:tcW w:w="12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w w:val="90"/>
              </w:rPr>
              <w:t>Loans &gt;= 90 Days</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Due</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Due</w:t>
            </w:r>
          </w:p>
        </w:tc>
        <w:tc>
          <w:tcPr>
            <w:tcW w:w="1380" w:type="dxa"/>
            <w:vAlign w:val="bottom"/>
            <w:tcBorders>
              <w:bottom w:val="single" w:sz="8" w:color="auto"/>
            </w:tcBorders>
            <w:gridSpan w:val="5"/>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w w:val="86"/>
              </w:rPr>
              <w:t>Receivable</w:t>
            </w: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and Accruing</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1"/>
                <w:szCs w:val="11"/>
                <w:i w:val="1"/>
                <w:iCs w:val="1"/>
                <w:color w:val="auto"/>
                <w:w w:val="93"/>
              </w:rPr>
              <w:t>(Dollars in thousands)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860" w:type="dxa"/>
            <w:vAlign w:val="bottom"/>
            <w:gridSpan w:val="4"/>
            <w:shd w:val="clear" w:color="auto" w:fill="CCEEFF"/>
          </w:tcPr>
          <w:p>
            <w:pPr>
              <w:ind w:left="340"/>
              <w:spacing w:after="0"/>
              <w:rPr>
                <w:sz w:val="20"/>
                <w:szCs w:val="20"/>
                <w:color w:val="auto"/>
              </w:rPr>
            </w:pPr>
            <w:r>
              <w:rPr>
                <w:rFonts w:ascii="Arial" w:cs="Arial" w:eastAsia="Arial" w:hAnsi="Arial"/>
                <w:sz w:val="12"/>
                <w:szCs w:val="12"/>
                <w:b w:val="1"/>
                <w:bCs w:val="1"/>
                <w:color w:val="auto"/>
              </w:rPr>
              <w:t>June 30, 2021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tcPr>
          <w:p>
            <w:pPr>
              <w:ind w:left="340"/>
              <w:spacing w:after="0"/>
              <w:rPr>
                <w:sz w:val="20"/>
                <w:szCs w:val="20"/>
                <w:color w:val="auto"/>
              </w:rPr>
            </w:pPr>
            <w:r>
              <w:rPr>
                <w:rFonts w:ascii="Arial" w:cs="Arial" w:eastAsia="Arial" w:hAnsi="Arial"/>
                <w:sz w:val="12"/>
                <w:szCs w:val="12"/>
                <w:color w:val="auto"/>
              </w:rPr>
              <w:t>Commercial</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3"/>
              <w:spacing w:after="0"/>
              <w:rPr>
                <w:sz w:val="20"/>
                <w:szCs w:val="20"/>
                <w:color w:val="auto"/>
              </w:rPr>
            </w:pPr>
            <w:r>
              <w:rPr>
                <w:rFonts w:ascii="Arial" w:cs="Arial" w:eastAsia="Arial" w:hAnsi="Arial"/>
                <w:sz w:val="12"/>
                <w:szCs w:val="12"/>
                <w:color w:val="auto"/>
              </w:rPr>
              <w:t>1,689</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10,879</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12,578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1,175,246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1,187,824</w:t>
            </w:r>
          </w:p>
        </w:tc>
        <w:tc>
          <w:tcPr>
            <w:tcW w:w="60" w:type="dxa"/>
            <w:vAlign w:val="bottom"/>
          </w:tcPr>
          <w:p>
            <w:pPr>
              <w:spacing w:after="0"/>
              <w:rPr>
                <w:sz w:val="13"/>
                <w:szCs w:val="13"/>
                <w:color w:val="auto"/>
              </w:rPr>
            </w:pPr>
          </w:p>
        </w:tc>
        <w:tc>
          <w:tcPr>
            <w:tcW w:w="44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shd w:val="clear" w:color="auto" w:fill="CCEEFF"/>
          </w:tcPr>
          <w:p>
            <w:pPr>
              <w:ind w:left="340"/>
              <w:spacing w:after="0"/>
              <w:rPr>
                <w:sz w:val="20"/>
                <w:szCs w:val="20"/>
                <w:color w:val="auto"/>
              </w:rPr>
            </w:pPr>
            <w:r>
              <w:rPr>
                <w:rFonts w:ascii="Arial" w:cs="Arial" w:eastAsia="Arial" w:hAnsi="Arial"/>
                <w:sz w:val="12"/>
                <w:szCs w:val="12"/>
                <w:color w:val="auto"/>
              </w:rPr>
              <w:t>Energy</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7,648</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14,389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312,084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326,473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tcPr>
          <w:p>
            <w:pPr>
              <w:ind w:left="340"/>
              <w:spacing w:after="0"/>
              <w:rPr>
                <w:sz w:val="20"/>
                <w:szCs w:val="20"/>
                <w:color w:val="auto"/>
              </w:rPr>
            </w:pPr>
            <w:r>
              <w:rPr>
                <w:rFonts w:ascii="Arial" w:cs="Arial" w:eastAsia="Arial" w:hAnsi="Arial"/>
                <w:sz w:val="12"/>
                <w:szCs w:val="12"/>
                <w:color w:val="auto"/>
              </w:rPr>
              <w:t>Commercial real estate</w:t>
            </w:r>
          </w:p>
        </w:tc>
        <w:tc>
          <w:tcPr>
            <w:tcW w:w="80" w:type="dxa"/>
            <w:vAlign w:val="bottom"/>
          </w:tcPr>
          <w:p>
            <w:pPr>
              <w:spacing w:after="0"/>
              <w:rPr>
                <w:sz w:val="13"/>
                <w:szCs w:val="13"/>
                <w:color w:val="auto"/>
              </w:rPr>
            </w:pPr>
          </w:p>
        </w:tc>
        <w:tc>
          <w:tcPr>
            <w:tcW w:w="900" w:type="dxa"/>
            <w:vAlign w:val="bottom"/>
            <w:gridSpan w:val="2"/>
          </w:tcPr>
          <w:p>
            <w:pPr>
              <w:jc w:val="right"/>
              <w:ind w:right="3"/>
              <w:spacing w:after="0"/>
              <w:rPr>
                <w:sz w:val="20"/>
                <w:szCs w:val="20"/>
                <w:color w:val="auto"/>
              </w:rPr>
            </w:pPr>
            <w:r>
              <w:rPr>
                <w:rFonts w:ascii="Arial" w:cs="Arial" w:eastAsia="Arial" w:hAnsi="Arial"/>
                <w:sz w:val="12"/>
                <w:szCs w:val="12"/>
                <w:color w:val="auto"/>
              </w:rPr>
              <w:t>4,661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4,028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8,689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1,200,026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1,208,715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860" w:type="dxa"/>
            <w:vAlign w:val="bottom"/>
            <w:gridSpan w:val="4"/>
            <w:shd w:val="clear" w:color="auto" w:fill="CCEEFF"/>
          </w:tcPr>
          <w:p>
            <w:pPr>
              <w:ind w:left="20"/>
              <w:spacing w:after="0" w:line="117" w:lineRule="exact"/>
              <w:rPr>
                <w:sz w:val="20"/>
                <w:szCs w:val="20"/>
                <w:color w:val="auto"/>
              </w:rPr>
            </w:pPr>
            <w:r>
              <w:rPr>
                <w:rFonts w:ascii="Arial" w:cs="Arial" w:eastAsia="Arial" w:hAnsi="Arial"/>
                <w:sz w:val="12"/>
                <w:szCs w:val="12"/>
                <w:color w:val="auto"/>
              </w:rPr>
              <w:t>Construction and land</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623,557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623,557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development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860" w:type="dxa"/>
            <w:vAlign w:val="bottom"/>
            <w:gridSpan w:val="4"/>
          </w:tcPr>
          <w:p>
            <w:pPr>
              <w:ind w:left="20"/>
              <w:spacing w:after="0" w:line="117" w:lineRule="exact"/>
              <w:rPr>
                <w:sz w:val="20"/>
                <w:szCs w:val="20"/>
                <w:color w:val="auto"/>
              </w:rPr>
            </w:pPr>
            <w:r>
              <w:rPr>
                <w:rFonts w:ascii="Arial" w:cs="Arial" w:eastAsia="Arial" w:hAnsi="Arial"/>
                <w:sz w:val="12"/>
                <w:szCs w:val="12"/>
                <w:color w:val="auto"/>
              </w:rPr>
              <w:t>Residential and multifamily</w:t>
            </w:r>
          </w:p>
        </w:tc>
        <w:tc>
          <w:tcPr>
            <w:tcW w:w="80" w:type="dxa"/>
            <w:vAlign w:val="bottom"/>
          </w:tcPr>
          <w:p>
            <w:pPr>
              <w:spacing w:after="0"/>
              <w:rPr>
                <w:sz w:val="10"/>
                <w:szCs w:val="10"/>
                <w:color w:val="auto"/>
              </w:rPr>
            </w:pPr>
          </w:p>
        </w:tc>
        <w:tc>
          <w:tcPr>
            <w:tcW w:w="900" w:type="dxa"/>
            <w:vAlign w:val="bottom"/>
            <w:gridSpan w:val="2"/>
            <w:vMerge w:val="restart"/>
          </w:tcPr>
          <w:p>
            <w:pPr>
              <w:jc w:val="right"/>
              <w:ind w:right="3"/>
              <w:spacing w:after="0"/>
              <w:rPr>
                <w:sz w:val="20"/>
                <w:szCs w:val="20"/>
                <w:color w:val="auto"/>
              </w:rPr>
            </w:pPr>
            <w:r>
              <w:rPr>
                <w:rFonts w:ascii="Arial" w:cs="Arial" w:eastAsia="Arial" w:hAnsi="Arial"/>
                <w:sz w:val="12"/>
                <w:szCs w:val="12"/>
                <w:color w:val="auto"/>
              </w:rPr>
              <w:t>4,722</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2,958</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7,680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633,989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641,669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1,776</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tcPr>
          <w:p>
            <w:pPr>
              <w:ind w:left="120"/>
              <w:spacing w:after="0"/>
              <w:rPr>
                <w:sz w:val="20"/>
                <w:szCs w:val="20"/>
                <w:color w:val="auto"/>
              </w:rPr>
            </w:pPr>
            <w:r>
              <w:rPr>
                <w:rFonts w:ascii="Arial" w:cs="Arial" w:eastAsia="Arial" w:hAnsi="Arial"/>
                <w:sz w:val="12"/>
                <w:szCs w:val="12"/>
                <w:color w:val="auto"/>
              </w:rPr>
              <w:t>real estate</w:t>
            </w: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shd w:val="clear" w:color="auto" w:fill="CCEEFF"/>
          </w:tcPr>
          <w:p>
            <w:pPr>
              <w:ind w:left="340"/>
              <w:spacing w:after="0"/>
              <w:rPr>
                <w:sz w:val="20"/>
                <w:szCs w:val="20"/>
                <w:color w:val="auto"/>
              </w:rPr>
            </w:pPr>
            <w:r>
              <w:rPr>
                <w:rFonts w:ascii="Arial" w:cs="Arial" w:eastAsia="Arial" w:hAnsi="Arial"/>
                <w:sz w:val="12"/>
                <w:szCs w:val="12"/>
                <w:color w:val="auto"/>
              </w:rPr>
              <w:t>PPP</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197,084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197,084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tcPr>
          <w:p>
            <w:pPr>
              <w:ind w:left="340"/>
              <w:spacing w:after="0"/>
              <w:rPr>
                <w:sz w:val="20"/>
                <w:szCs w:val="20"/>
                <w:color w:val="auto"/>
              </w:rPr>
            </w:pPr>
            <w:r>
              <w:rPr>
                <w:rFonts w:ascii="Arial" w:cs="Arial" w:eastAsia="Arial" w:hAnsi="Arial"/>
                <w:sz w:val="12"/>
                <w:szCs w:val="12"/>
                <w:color w:val="auto"/>
              </w:rPr>
              <w:t>Consumer</w:t>
            </w:r>
          </w:p>
        </w:tc>
        <w:tc>
          <w:tcPr>
            <w:tcW w:w="80" w:type="dxa"/>
            <w:vAlign w:val="bottom"/>
          </w:tcPr>
          <w:p>
            <w:pPr>
              <w:spacing w:after="0"/>
              <w:rPr>
                <w:sz w:val="13"/>
                <w:szCs w:val="13"/>
                <w:color w:val="auto"/>
              </w:rPr>
            </w:pPr>
          </w:p>
        </w:tc>
        <w:tc>
          <w:tcPr>
            <w:tcW w:w="900" w:type="dxa"/>
            <w:vAlign w:val="bottom"/>
            <w:gridSpan w:val="2"/>
          </w:tcPr>
          <w:p>
            <w:pPr>
              <w:jc w:val="right"/>
              <w:ind w:right="3"/>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66,965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67,003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2"/>
                <w:szCs w:val="12"/>
                <w:color w:val="auto"/>
              </w:rPr>
              <w:t>18,758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24,606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43,374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4,208,951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4,252,325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1,776</w:t>
            </w:r>
          </w:p>
        </w:tc>
        <w:tc>
          <w:tcPr>
            <w:tcW w:w="0" w:type="dxa"/>
            <w:vAlign w:val="bottom"/>
          </w:tcPr>
          <w:p>
            <w:pPr>
              <w:spacing w:after="0"/>
              <w:rPr>
                <w:sz w:val="1"/>
                <w:szCs w:val="1"/>
                <w:color w:val="auto"/>
              </w:rPr>
            </w:pPr>
          </w:p>
        </w:tc>
      </w:tr>
      <w:tr>
        <w:trPr>
          <w:trHeight w:val="306"/>
        </w:trPr>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3"/>
              </w:rPr>
              <w:t>30-59 Days Past Due</w:t>
            </w:r>
          </w:p>
        </w:tc>
        <w:tc>
          <w:tcPr>
            <w:tcW w:w="80" w:type="dxa"/>
            <w:vAlign w:val="bottom"/>
          </w:tcPr>
          <w:p>
            <w:pPr>
              <w:spacing w:after="0"/>
              <w:rPr>
                <w:sz w:val="24"/>
                <w:szCs w:val="24"/>
                <w:color w:val="auto"/>
              </w:rPr>
            </w:pPr>
          </w:p>
        </w:tc>
        <w:tc>
          <w:tcPr>
            <w:tcW w:w="13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60-89 Days Past Due</w:t>
            </w:r>
          </w:p>
        </w:tc>
        <w:tc>
          <w:tcPr>
            <w:tcW w:w="120" w:type="dxa"/>
            <w:vAlign w:val="bottom"/>
          </w:tcPr>
          <w:p>
            <w:pPr>
              <w:spacing w:after="0"/>
              <w:rPr>
                <w:sz w:val="24"/>
                <w:szCs w:val="24"/>
                <w:color w:val="auto"/>
              </w:rPr>
            </w:pP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7"/>
              </w:rPr>
              <w:t>90 Days or More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Total Past Due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vMerge w:val="restart"/>
          </w:tcPr>
          <w:p>
            <w:pPr>
              <w:ind w:left="240"/>
              <w:spacing w:after="0"/>
              <w:rPr>
                <w:sz w:val="20"/>
                <w:szCs w:val="20"/>
                <w:color w:val="auto"/>
              </w:rPr>
            </w:pPr>
            <w:r>
              <w:rPr>
                <w:rFonts w:ascii="Arial" w:cs="Arial" w:eastAsia="Arial" w:hAnsi="Arial"/>
                <w:sz w:val="12"/>
                <w:szCs w:val="12"/>
                <w:b w:val="1"/>
                <w:bCs w:val="1"/>
                <w:color w:val="auto"/>
              </w:rPr>
              <w:t>Current</w:t>
            </w:r>
          </w:p>
        </w:tc>
        <w:tc>
          <w:tcPr>
            <w:tcW w:w="120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88"/>
              </w:rPr>
              <w:t>Total Loans Receivable</w:t>
            </w:r>
          </w:p>
        </w:tc>
        <w:tc>
          <w:tcPr>
            <w:tcW w:w="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b w:val="1"/>
                <w:bCs w:val="1"/>
                <w:color w:val="auto"/>
                <w:w w:val="91"/>
              </w:rPr>
              <w:t>Loans &gt;= 90 Days and</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w w:val="92"/>
              </w:rPr>
              <w:t>Accruing</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1"/>
                <w:szCs w:val="11"/>
                <w:i w:val="1"/>
                <w:iCs w:val="1"/>
                <w:color w:val="auto"/>
                <w:w w:val="91"/>
              </w:rPr>
              <w:t>(Dollars in thousands)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860" w:type="dxa"/>
            <w:vAlign w:val="bottom"/>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December 31, 2020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color w:val="auto"/>
              </w:rPr>
              <w:t>Commercial</w:t>
            </w:r>
          </w:p>
        </w:tc>
        <w:tc>
          <w:tcPr>
            <w:tcW w:w="80" w:type="dxa"/>
            <w:vAlign w:val="bottom"/>
          </w:tcPr>
          <w:p>
            <w:pPr>
              <w:spacing w:after="0"/>
              <w:rPr>
                <w:sz w:val="13"/>
                <w:szCs w:val="13"/>
                <w:color w:val="auto"/>
              </w:rPr>
            </w:pPr>
          </w:p>
        </w:tc>
        <w:tc>
          <w:tcPr>
            <w:tcW w:w="900" w:type="dxa"/>
            <w:vAlign w:val="bottom"/>
            <w:gridSpan w:val="2"/>
          </w:tcPr>
          <w:p>
            <w:pPr>
              <w:jc w:val="right"/>
              <w:ind w:right="563"/>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8,497</w:t>
            </w:r>
          </w:p>
        </w:tc>
        <w:tc>
          <w:tcPr>
            <w:tcW w:w="7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2"/>
              </w:rPr>
              <w:t>11,236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spacing w:after="0"/>
              <w:rPr>
                <w:sz w:val="20"/>
                <w:szCs w:val="20"/>
                <w:color w:val="auto"/>
              </w:rPr>
            </w:pPr>
            <w:r>
              <w:rPr>
                <w:rFonts w:ascii="Arial" w:cs="Arial" w:eastAsia="Arial" w:hAnsi="Arial"/>
                <w:sz w:val="12"/>
                <w:szCs w:val="12"/>
                <w:color w:val="auto"/>
              </w:rPr>
              <w:t>19,997</w:t>
            </w:r>
          </w:p>
        </w:tc>
        <w:tc>
          <w:tcPr>
            <w:tcW w:w="24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2"/>
                <w:szCs w:val="12"/>
                <w:color w:val="auto"/>
              </w:rPr>
              <w:t>1,318,760</w:t>
            </w:r>
          </w:p>
        </w:tc>
        <w:tc>
          <w:tcPr>
            <w:tcW w:w="10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1,338,757</w:t>
            </w: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Energy</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7,173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338,060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345,233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color w:val="auto"/>
              </w:rPr>
              <w:t>Commercial real estate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7,677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4,825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color w:val="auto"/>
              </w:rPr>
              <w:t>12,565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2"/>
                <w:szCs w:val="12"/>
                <w:color w:val="auto"/>
              </w:rPr>
              <w:t>1,166,969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1,179,534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w w:val="96"/>
              </w:rPr>
              <w:t>Construction and land development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563,144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563,144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color w:val="auto"/>
                <w:w w:val="90"/>
              </w:rPr>
              <w:t>Residential and multifamily real estate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1,577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color w:val="auto"/>
              </w:rPr>
              <w:t>5,097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2"/>
                <w:szCs w:val="12"/>
                <w:color w:val="auto"/>
              </w:rPr>
              <w:t>675,835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680,932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652</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PPP</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292,230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292,230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86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Consumer</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55,270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55,270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10,137</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7,941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26,754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44,832</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4,410,268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4,455,100</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55" w:right="359" w:bottom="1440" w:gutter="0" w:footer="0" w:header="0"/>
        </w:sectPr>
      </w:pPr>
    </w:p>
    <w:bookmarkStart w:id="22" w:name="page23"/>
    <w:bookmarkEnd w:id="22"/>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Impaired Loans</w:t>
      </w:r>
    </w:p>
    <w:p>
      <w:pPr>
        <w:spacing w:after="0" w:line="113" w:lineRule="exact"/>
        <w:rPr>
          <w:sz w:val="20"/>
          <w:szCs w:val="20"/>
          <w:color w:val="auto"/>
        </w:rPr>
      </w:pPr>
    </w:p>
    <w:p>
      <w:pPr>
        <w:jc w:val="both"/>
        <w:ind w:left="100" w:right="40" w:firstLine="324"/>
        <w:spacing w:after="0" w:line="263" w:lineRule="auto"/>
        <w:rPr>
          <w:sz w:val="20"/>
          <w:szCs w:val="20"/>
          <w:color w:val="auto"/>
        </w:rPr>
      </w:pPr>
      <w:r>
        <w:rPr>
          <w:rFonts w:ascii="Arial" w:cs="Arial" w:eastAsia="Arial" w:hAnsi="Arial"/>
          <w:sz w:val="12"/>
          <w:szCs w:val="12"/>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TDRs where concessions have been granted to borrowers experiencing financial difficulties. The intent of concessions is to maximize collection.</w:t>
      </w:r>
    </w:p>
    <w:p>
      <w:pPr>
        <w:spacing w:after="0" w:line="86" w:lineRule="exact"/>
        <w:rPr>
          <w:sz w:val="20"/>
          <w:szCs w:val="20"/>
          <w:color w:val="auto"/>
        </w:rPr>
      </w:pPr>
    </w:p>
    <w:p>
      <w:pPr>
        <w:ind w:left="100" w:right="520" w:firstLine="324"/>
        <w:spacing w:after="0" w:line="324" w:lineRule="auto"/>
        <w:rPr>
          <w:sz w:val="20"/>
          <w:szCs w:val="20"/>
          <w:color w:val="auto"/>
        </w:rPr>
      </w:pPr>
      <w:r>
        <w:rPr>
          <w:rFonts w:ascii="Arial" w:cs="Arial" w:eastAsia="Arial" w:hAnsi="Arial"/>
          <w:sz w:val="10"/>
          <w:szCs w:val="10"/>
          <w:color w:val="auto"/>
        </w:rPr>
        <w:t>Groups of loans with similar risk characteristics are collectively evaluated for impairment based on the group’s historical loss experience adjusted for changes in trends, conditions and other relevant factors that affect repayment of the loans. The following tables present loans individually evaluated for impairment, including all restructured and formerly restructured loans, for the periods ended June 30, 2021 and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gridSpan w:val="2"/>
          </w:tcPr>
          <w:p>
            <w:pPr>
              <w:ind w:left="500"/>
              <w:spacing w:after="0"/>
              <w:rPr>
                <w:sz w:val="20"/>
                <w:szCs w:val="20"/>
                <w:color w:val="auto"/>
              </w:rPr>
            </w:pPr>
            <w:r>
              <w:rPr>
                <w:rFonts w:ascii="Arial" w:cs="Arial" w:eastAsia="Arial" w:hAnsi="Arial"/>
                <w:sz w:val="12"/>
                <w:szCs w:val="12"/>
                <w:b w:val="1"/>
                <w:bCs w:val="1"/>
                <w:color w:val="auto"/>
              </w:rPr>
              <w:t>Unpaid</w:t>
            </w:r>
          </w:p>
        </w:tc>
        <w:tc>
          <w:tcPr>
            <w:tcW w:w="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1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Recorded Balance</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b w:val="1"/>
                <w:bCs w:val="1"/>
                <w:color w:val="auto"/>
              </w:rPr>
              <w:t>Principal Balance</w:t>
            </w:r>
          </w:p>
        </w:tc>
        <w:tc>
          <w:tcPr>
            <w:tcW w:w="6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Specific Allowance</w:t>
            </w:r>
          </w:p>
        </w:tc>
      </w:tr>
      <w:tr>
        <w:trPr>
          <w:trHeight w:val="131"/>
        </w:trPr>
        <w:tc>
          <w:tcPr>
            <w:tcW w:w="1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2"/>
          </w:tcPr>
          <w:p>
            <w:pPr>
              <w:ind w:left="240"/>
              <w:spacing w:after="0"/>
              <w:rPr>
                <w:sz w:val="20"/>
                <w:szCs w:val="20"/>
                <w:color w:val="auto"/>
              </w:rPr>
            </w:pPr>
            <w:r>
              <w:rPr>
                <w:rFonts w:ascii="Arial" w:cs="Arial" w:eastAsia="Arial" w:hAnsi="Arial"/>
                <w:sz w:val="11"/>
                <w:szCs w:val="11"/>
                <w:i w:val="1"/>
                <w:iCs w:val="1"/>
                <w:color w:val="auto"/>
              </w:rPr>
              <w:t>(Dollars in thousands)</w:t>
            </w:r>
          </w:p>
        </w:tc>
        <w:tc>
          <w:tcPr>
            <w:tcW w:w="6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June 30, 2021</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tcPr>
          <w:p>
            <w:pPr>
              <w:ind w:left="340"/>
              <w:spacing w:after="0"/>
              <w:rPr>
                <w:sz w:val="20"/>
                <w:szCs w:val="20"/>
                <w:color w:val="auto"/>
              </w:rPr>
            </w:pPr>
            <w:r>
              <w:rPr>
                <w:rFonts w:ascii="Arial" w:cs="Arial" w:eastAsia="Arial" w:hAnsi="Arial"/>
                <w:sz w:val="12"/>
                <w:szCs w:val="12"/>
                <w:b w:val="1"/>
                <w:bCs w:val="1"/>
                <w:color w:val="auto"/>
              </w:rPr>
              <w:t>Loans without a specific valuation</w:t>
            </w:r>
          </w:p>
        </w:tc>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Commercial</w:t>
            </w:r>
          </w:p>
        </w:tc>
        <w:tc>
          <w:tcPr>
            <w:tcW w:w="1840" w:type="dxa"/>
            <w:vAlign w:val="bottom"/>
            <w:shd w:val="clear" w:color="auto" w:fill="CCEEFF"/>
          </w:tcPr>
          <w:p>
            <w:pPr>
              <w:jc w:val="right"/>
              <w:ind w:right="13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17,297</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17,297</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Energy</w:t>
            </w:r>
          </w:p>
        </w:tc>
        <w:tc>
          <w:tcPr>
            <w:tcW w:w="1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87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Commercial real estate</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Construction and land development</w:t>
            </w:r>
          </w:p>
        </w:tc>
        <w:tc>
          <w:tcPr>
            <w:tcW w:w="18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Residential and multifamily real estate</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PPP</w:t>
            </w:r>
          </w:p>
        </w:tc>
        <w:tc>
          <w:tcPr>
            <w:tcW w:w="18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Consumer</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tcPr>
          <w:p>
            <w:pPr>
              <w:ind w:left="340"/>
              <w:spacing w:after="0"/>
              <w:rPr>
                <w:sz w:val="20"/>
                <w:szCs w:val="20"/>
                <w:color w:val="auto"/>
              </w:rPr>
            </w:pPr>
            <w:r>
              <w:rPr>
                <w:rFonts w:ascii="Arial" w:cs="Arial" w:eastAsia="Arial" w:hAnsi="Arial"/>
                <w:sz w:val="12"/>
                <w:szCs w:val="12"/>
                <w:b w:val="1"/>
                <w:bCs w:val="1"/>
                <w:color w:val="auto"/>
              </w:rPr>
              <w:t>Loans with a specific valuation</w:t>
            </w:r>
          </w:p>
        </w:tc>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Commercial</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15,776</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32,410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4,166</w:t>
            </w:r>
          </w:p>
        </w:tc>
        <w:tc>
          <w:tcPr>
            <w:tcW w:w="8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Energy</w:t>
            </w:r>
          </w:p>
        </w:tc>
        <w:tc>
          <w:tcPr>
            <w:tcW w:w="1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26,504</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34,596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5,855</w:t>
            </w:r>
          </w:p>
        </w:tc>
        <w:tc>
          <w:tcPr>
            <w:tcW w:w="8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Commercial real estate</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26,140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26,140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2,980</w:t>
            </w:r>
          </w:p>
        </w:tc>
        <w:tc>
          <w:tcPr>
            <w:tcW w:w="8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Construction and land development</w:t>
            </w:r>
          </w:p>
        </w:tc>
        <w:tc>
          <w:tcPr>
            <w:tcW w:w="18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Residential and multifamily real estate</w:t>
            </w:r>
          </w:p>
        </w:tc>
        <w:tc>
          <w:tcPr>
            <w:tcW w:w="1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PPP</w:t>
            </w:r>
          </w:p>
        </w:tc>
        <w:tc>
          <w:tcPr>
            <w:tcW w:w="18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Consumer</w:t>
            </w:r>
          </w:p>
        </w:tc>
        <w:tc>
          <w:tcPr>
            <w:tcW w:w="1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tcPr>
          <w:p>
            <w:pPr>
              <w:ind w:left="340"/>
              <w:spacing w:after="0"/>
              <w:rPr>
                <w:sz w:val="20"/>
                <w:szCs w:val="20"/>
                <w:color w:val="auto"/>
              </w:rPr>
            </w:pPr>
            <w:r>
              <w:rPr>
                <w:rFonts w:ascii="Arial" w:cs="Arial" w:eastAsia="Arial" w:hAnsi="Arial"/>
                <w:sz w:val="12"/>
                <w:szCs w:val="12"/>
                <w:b w:val="1"/>
                <w:bCs w:val="1"/>
                <w:color w:val="auto"/>
              </w:rPr>
              <w:t>Total</w:t>
            </w:r>
          </w:p>
        </w:tc>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Commercial</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33,073</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49,707</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4,166</w:t>
            </w:r>
          </w:p>
        </w:tc>
        <w:tc>
          <w:tcPr>
            <w:tcW w:w="8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Energy</w:t>
            </w:r>
          </w:p>
        </w:tc>
        <w:tc>
          <w:tcPr>
            <w:tcW w:w="18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26,591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34,683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5,855</w:t>
            </w:r>
          </w:p>
        </w:tc>
        <w:tc>
          <w:tcPr>
            <w:tcW w:w="8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Commercial real estate</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35,748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37,332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2,980</w:t>
            </w:r>
          </w:p>
        </w:tc>
        <w:tc>
          <w:tcPr>
            <w:tcW w:w="80" w:type="dxa"/>
            <w:vAlign w:val="bottom"/>
            <w:shd w:val="clear" w:color="auto" w:fill="CCEEFF"/>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Construction and land development</w:t>
            </w:r>
          </w:p>
        </w:tc>
        <w:tc>
          <w:tcPr>
            <w:tcW w:w="18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Residential and multifamily real estate</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4,830</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tcPr>
          <w:p>
            <w:pPr>
              <w:ind w:left="480"/>
              <w:spacing w:after="0"/>
              <w:rPr>
                <w:sz w:val="20"/>
                <w:szCs w:val="20"/>
                <w:color w:val="auto"/>
              </w:rPr>
            </w:pPr>
            <w:r>
              <w:rPr>
                <w:rFonts w:ascii="Arial" w:cs="Arial" w:eastAsia="Arial" w:hAnsi="Arial"/>
                <w:sz w:val="12"/>
                <w:szCs w:val="12"/>
                <w:color w:val="auto"/>
              </w:rPr>
              <w:t>PPP</w:t>
            </w:r>
          </w:p>
        </w:tc>
        <w:tc>
          <w:tcPr>
            <w:tcW w:w="18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Consumer</w:t>
            </w:r>
          </w:p>
        </w:tc>
        <w:tc>
          <w:tcPr>
            <w:tcW w:w="1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42"/>
        </w:trPr>
        <w:tc>
          <w:tcPr>
            <w:tcW w:w="1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Borders>
              <w:top w:val="single" w:sz="8" w:color="auto"/>
              <w:bottom w:val="single" w:sz="8" w:color="auto"/>
            </w:tcBorders>
          </w:tcPr>
          <w:p>
            <w:pPr>
              <w:jc w:val="right"/>
              <w:ind w:right="1380"/>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2"/>
              </w:rPr>
              <w:t>100,225</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126,791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13,001</w:t>
            </w:r>
          </w:p>
        </w:tc>
        <w:tc>
          <w:tcPr>
            <w:tcW w:w="8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7"/>
        </w:trPr>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40" w:type="dxa"/>
            <w:vAlign w:val="bottom"/>
          </w:tcPr>
          <w:p>
            <w:pPr>
              <w:jc w:val="right"/>
              <w:ind w:right="220"/>
              <w:spacing w:after="0"/>
              <w:rPr>
                <w:sz w:val="20"/>
                <w:szCs w:val="20"/>
                <w:color w:val="auto"/>
              </w:rPr>
            </w:pPr>
            <w:r>
              <w:rPr>
                <w:rFonts w:ascii="Arial" w:cs="Arial" w:eastAsia="Arial" w:hAnsi="Arial"/>
                <w:sz w:val="12"/>
                <w:szCs w:val="12"/>
                <w:color w:val="auto"/>
              </w:rPr>
              <w:t>23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4040" w:type="dxa"/>
            <w:vAlign w:val="bottom"/>
            <w:tcBorders>
              <w:bottom w:val="single" w:sz="8" w:color="9A9A9A"/>
            </w:tcBorders>
          </w:tcPr>
          <w:p>
            <w:pPr>
              <w:spacing w:after="0"/>
              <w:rPr>
                <w:sz w:val="6"/>
                <w:szCs w:val="6"/>
                <w:color w:val="auto"/>
              </w:rPr>
            </w:pPr>
          </w:p>
        </w:tc>
        <w:tc>
          <w:tcPr>
            <w:tcW w:w="18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38"/>
        </w:trPr>
        <w:tc>
          <w:tcPr>
            <w:tcW w:w="314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4080" w:type="dxa"/>
            <w:vAlign w:val="bottom"/>
            <w:gridSpan w:val="5"/>
          </w:tcPr>
          <w:p>
            <w:pPr>
              <w:jc w:val="right"/>
              <w:ind w:right="180"/>
              <w:spacing w:after="0"/>
              <w:rPr>
                <w:sz w:val="20"/>
                <w:szCs w:val="20"/>
                <w:color w:val="auto"/>
              </w:rPr>
            </w:pPr>
            <w:r>
              <w:rPr>
                <w:rFonts w:ascii="Arial" w:cs="Arial" w:eastAsia="Arial" w:hAnsi="Arial"/>
                <w:sz w:val="12"/>
                <w:szCs w:val="12"/>
                <w:color w:val="auto"/>
              </w:rPr>
              <w:t>Notes to Consolidated Financial Statements (unaudited)</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534"/>
        </w:trPr>
        <w:tc>
          <w:tcPr>
            <w:tcW w:w="860" w:type="dxa"/>
            <w:vAlign w:val="bottom"/>
            <w:tcBorders>
              <w:top w:val="single" w:sz="8" w:color="0000FF"/>
            </w:tcBorders>
          </w:tcPr>
          <w:p>
            <w:pPr>
              <w:spacing w:after="0"/>
              <w:rPr>
                <w:sz w:val="24"/>
                <w:szCs w:val="24"/>
                <w:color w:val="auto"/>
              </w:rPr>
            </w:pPr>
          </w:p>
        </w:tc>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Unpaid</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57"/>
        </w:trPr>
        <w:tc>
          <w:tcPr>
            <w:tcW w:w="8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Recorded Balance</w:t>
            </w: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2"/>
                <w:szCs w:val="12"/>
                <w:b w:val="1"/>
                <w:bCs w:val="1"/>
                <w:color w:val="auto"/>
                <w:w w:val="89"/>
              </w:rPr>
              <w:t>Principal Balance</w:t>
            </w: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Specific Allowance</w:t>
            </w:r>
          </w:p>
        </w:tc>
      </w:tr>
      <w:tr>
        <w:trPr>
          <w:trHeight w:val="131"/>
        </w:trPr>
        <w:tc>
          <w:tcPr>
            <w:tcW w:w="8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1"/>
                <w:szCs w:val="11"/>
                <w:i w:val="1"/>
                <w:iCs w:val="1"/>
                <w:color w:val="auto"/>
                <w:w w:val="91"/>
              </w:rPr>
              <w:t>(Dollars in thousands)</w:t>
            </w:r>
          </w:p>
        </w:tc>
        <w:tc>
          <w:tcPr>
            <w:tcW w:w="36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55"/>
        </w:trPr>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December 31, 2020</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Loans without a specific valuation</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Commercial</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36,111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50,245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Energy</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3,864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6,677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Commercial real estate</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Construction and land development</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Residential and multifamily real estate</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PPP</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Consumer</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Loans with a specific valuation</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Commercial</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8,567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8,567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Energy</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22,181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27,460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3,370</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Commercial real estate</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34,239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34,239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5,048</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Construction and land development</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Residential and multifamily real estate</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PPP</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Consumer</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Commercial</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44,678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58,812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Energy</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26,045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34,137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3,370</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Commercial real estate</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44,318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45,902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5,048</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Construction and land development</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Residential and multifamily real estate</w:t>
            </w: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tcPr>
          <w:p>
            <w:pPr>
              <w:ind w:left="140"/>
              <w:spacing w:after="0"/>
              <w:rPr>
                <w:sz w:val="20"/>
                <w:szCs w:val="20"/>
                <w:color w:val="auto"/>
              </w:rPr>
            </w:pPr>
            <w:r>
              <w:rPr>
                <w:rFonts w:ascii="Arial" w:cs="Arial" w:eastAsia="Arial" w:hAnsi="Arial"/>
                <w:sz w:val="12"/>
                <w:szCs w:val="12"/>
                <w:color w:val="auto"/>
              </w:rPr>
              <w:t>PPP</w:t>
            </w: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Consumer</w:t>
            </w:r>
          </w:p>
        </w:tc>
        <w:tc>
          <w:tcPr>
            <w:tcW w:w="14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40" w:type="dxa"/>
            <w:vAlign w:val="bottom"/>
          </w:tcPr>
          <w:p>
            <w:pPr>
              <w:jc w:val="right"/>
              <w:spacing w:after="0"/>
              <w:rPr>
                <w:sz w:val="20"/>
                <w:szCs w:val="20"/>
                <w:color w:val="auto"/>
              </w:rPr>
            </w:pPr>
            <w:r>
              <w:rPr>
                <w:rFonts w:ascii="Arial" w:cs="Arial" w:eastAsia="Arial" w:hAnsi="Arial"/>
                <w:sz w:val="12"/>
                <w:szCs w:val="12"/>
                <w:color w:val="auto"/>
              </w:rPr>
              <w:t>121,614</w:t>
            </w:r>
          </w:p>
        </w:tc>
        <w:tc>
          <w:tcPr>
            <w:tcW w:w="8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800" w:type="dxa"/>
            <w:vAlign w:val="bottom"/>
          </w:tcPr>
          <w:p>
            <w:pPr>
              <w:jc w:val="right"/>
              <w:spacing w:after="0"/>
              <w:rPr>
                <w:sz w:val="20"/>
                <w:szCs w:val="20"/>
                <w:color w:val="auto"/>
              </w:rPr>
            </w:pPr>
            <w:r>
              <w:rPr>
                <w:rFonts w:ascii="Arial" w:cs="Arial" w:eastAsia="Arial" w:hAnsi="Arial"/>
                <w:sz w:val="12"/>
                <w:szCs w:val="12"/>
                <w:color w:val="auto"/>
              </w:rPr>
              <w:t>145,680</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840" w:type="dxa"/>
            <w:vAlign w:val="bottom"/>
          </w:tcPr>
          <w:p>
            <w:pPr>
              <w:jc w:val="right"/>
              <w:spacing w:after="0"/>
              <w:rPr>
                <w:sz w:val="20"/>
                <w:szCs w:val="20"/>
                <w:color w:val="auto"/>
              </w:rPr>
            </w:pPr>
            <w:r>
              <w:rPr>
                <w:rFonts w:ascii="Arial" w:cs="Arial" w:eastAsia="Arial" w:hAnsi="Arial"/>
                <w:sz w:val="12"/>
                <w:szCs w:val="12"/>
                <w:color w:val="auto"/>
              </w:rPr>
              <w:t>9,533</w:t>
            </w:r>
          </w:p>
        </w:tc>
      </w:tr>
      <w:tr>
        <w:trPr>
          <w:trHeight w:val="20"/>
        </w:trPr>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100" w:right="140" w:firstLine="324"/>
        <w:spacing w:after="0" w:line="270" w:lineRule="auto"/>
        <w:rPr>
          <w:sz w:val="20"/>
          <w:szCs w:val="20"/>
          <w:color w:val="auto"/>
        </w:rPr>
      </w:pPr>
      <w:r>
        <w:rPr>
          <w:rFonts w:ascii="Arial" w:cs="Arial" w:eastAsia="Arial" w:hAnsi="Arial"/>
          <w:sz w:val="12"/>
          <w:szCs w:val="12"/>
          <w:color w:val="auto"/>
        </w:rPr>
        <w:t>The table below shows interest income recognized during the three- and six- month periods ended June 30, 2021 and 2020 for impaired loans, including all restructured and formerly restructured loans, held at the end of each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w w:val="96"/>
              </w:rPr>
              <w:t>Three Months Ended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Six Months Ended</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1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2"/>
                <w:szCs w:val="12"/>
                <w:b w:val="1"/>
                <w:bCs w:val="1"/>
                <w:color w:val="auto"/>
                <w:w w:val="87"/>
              </w:rPr>
              <w:t>June 30,</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b w:val="1"/>
                <w:bCs w:val="1"/>
                <w:color w:val="auto"/>
                <w:w w:val="91"/>
              </w:rPr>
              <w:t>June 30,</w:t>
            </w:r>
          </w:p>
        </w:tc>
        <w:tc>
          <w:tcPr>
            <w:tcW w:w="8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2"/>
                <w:szCs w:val="12"/>
                <w:color w:val="auto"/>
              </w:rPr>
            </w:pPr>
          </w:p>
        </w:tc>
      </w:tr>
      <w:tr>
        <w:trPr>
          <w:trHeight w:val="131"/>
        </w:trPr>
        <w:tc>
          <w:tcPr>
            <w:tcW w:w="10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1"/>
                <w:szCs w:val="11"/>
                <w:i w:val="1"/>
                <w:iCs w:val="1"/>
                <w:color w:val="auto"/>
              </w:rPr>
              <w:t>(Dollars in thousands)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w:t>
            </w:r>
          </w:p>
        </w:tc>
        <w:tc>
          <w:tcPr>
            <w:tcW w:w="118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320" w:type="dxa"/>
            <w:vAlign w:val="bottom"/>
            <w:gridSpan w:val="3"/>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6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480" w:type="dxa"/>
            <w:vAlign w:val="bottom"/>
          </w:tcPr>
          <w:p>
            <w:pPr>
              <w:ind w:left="340"/>
              <w:spacing w:after="0"/>
              <w:rPr>
                <w:sz w:val="20"/>
                <w:szCs w:val="20"/>
                <w:color w:val="auto"/>
              </w:rPr>
            </w:pPr>
            <w:r>
              <w:rPr>
                <w:rFonts w:ascii="Arial" w:cs="Arial" w:eastAsia="Arial" w:hAnsi="Arial"/>
                <w:sz w:val="12"/>
                <w:szCs w:val="12"/>
                <w:color w:val="auto"/>
              </w:rPr>
              <w:t>Energy</w:t>
            </w:r>
          </w:p>
        </w:tc>
        <w:tc>
          <w:tcPr>
            <w:tcW w:w="11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210</w:t>
            </w:r>
          </w:p>
        </w:tc>
        <w:tc>
          <w:tcPr>
            <w:tcW w:w="6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 real estate</w:t>
            </w: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6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480" w:type="dxa"/>
            <w:vAlign w:val="bottom"/>
          </w:tcPr>
          <w:p>
            <w:pPr>
              <w:ind w:left="340"/>
              <w:spacing w:after="0"/>
              <w:rPr>
                <w:sz w:val="20"/>
                <w:szCs w:val="20"/>
                <w:color w:val="auto"/>
              </w:rPr>
            </w:pPr>
            <w:r>
              <w:rPr>
                <w:rFonts w:ascii="Arial" w:cs="Arial" w:eastAsia="Arial" w:hAnsi="Arial"/>
                <w:sz w:val="12"/>
                <w:szCs w:val="12"/>
                <w:color w:val="auto"/>
              </w:rPr>
              <w:t>Construction and land development</w:t>
            </w:r>
          </w:p>
        </w:tc>
        <w:tc>
          <w:tcPr>
            <w:tcW w:w="11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Residential and multifamily real estate</w:t>
            </w: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6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4480" w:type="dxa"/>
            <w:vAlign w:val="bottom"/>
          </w:tcPr>
          <w:p>
            <w:pPr>
              <w:ind w:left="340"/>
              <w:spacing w:after="0"/>
              <w:rPr>
                <w:sz w:val="20"/>
                <w:szCs w:val="20"/>
                <w:color w:val="auto"/>
              </w:rPr>
            </w:pPr>
            <w:r>
              <w:rPr>
                <w:rFonts w:ascii="Arial" w:cs="Arial" w:eastAsia="Arial" w:hAnsi="Arial"/>
                <w:sz w:val="12"/>
                <w:szCs w:val="12"/>
                <w:color w:val="auto"/>
              </w:rPr>
              <w:t>PPP</w:t>
            </w:r>
          </w:p>
        </w:tc>
        <w:tc>
          <w:tcPr>
            <w:tcW w:w="11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100" w:type="dxa"/>
            <w:vAlign w:val="bottom"/>
          </w:tcPr>
          <w:p>
            <w:pPr>
              <w:spacing w:after="0"/>
              <w:rPr>
                <w:sz w:val="13"/>
                <w:szCs w:val="13"/>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Consumer</w:t>
            </w:r>
          </w:p>
        </w:tc>
        <w:tc>
          <w:tcPr>
            <w:tcW w:w="11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4480" w:type="dxa"/>
            <w:vAlign w:val="bottom"/>
          </w:tcPr>
          <w:p>
            <w:pPr>
              <w:ind w:left="420"/>
              <w:spacing w:after="0"/>
              <w:rPr>
                <w:sz w:val="20"/>
                <w:szCs w:val="20"/>
                <w:color w:val="auto"/>
              </w:rPr>
            </w:pPr>
            <w:r>
              <w:rPr>
                <w:rFonts w:ascii="Arial" w:cs="Arial" w:eastAsia="Arial" w:hAnsi="Arial"/>
                <w:sz w:val="12"/>
                <w:szCs w:val="12"/>
                <w:color w:val="auto"/>
              </w:rPr>
              <w:t>Total interest income recognized</w:t>
            </w:r>
          </w:p>
        </w:tc>
        <w:tc>
          <w:tcPr>
            <w:tcW w:w="118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615</w:t>
            </w:r>
          </w:p>
        </w:tc>
        <w:tc>
          <w:tcPr>
            <w:tcW w:w="1320" w:type="dxa"/>
            <w:vAlign w:val="bottom"/>
            <w:gridSpan w:val="3"/>
          </w:tcPr>
          <w:p>
            <w:pPr>
              <w:jc w:val="right"/>
              <w:ind w:right="82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166</w:t>
            </w:r>
          </w:p>
        </w:tc>
        <w:tc>
          <w:tcPr>
            <w:tcW w:w="80" w:type="dxa"/>
            <w:vAlign w:val="bottom"/>
          </w:tcPr>
          <w:p>
            <w:pPr>
              <w:spacing w:after="0"/>
              <w:rPr>
                <w:sz w:val="12"/>
                <w:szCs w:val="12"/>
                <w:color w:val="auto"/>
              </w:rPr>
            </w:pPr>
          </w:p>
        </w:tc>
        <w:tc>
          <w:tcPr>
            <w:tcW w:w="74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1,260</w:t>
            </w:r>
          </w:p>
        </w:tc>
        <w:tc>
          <w:tcPr>
            <w:tcW w:w="8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507</w:t>
            </w:r>
          </w:p>
        </w:tc>
        <w:tc>
          <w:tcPr>
            <w:tcW w:w="6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78"/>
        </w:trPr>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24</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44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24" w:name="page25"/>
    <w:bookmarkEnd w:id="24"/>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200" w:lineRule="exact"/>
        <w:rPr>
          <w:sz w:val="20"/>
          <w:szCs w:val="20"/>
          <w:color w:val="auto"/>
        </w:rPr>
      </w:pPr>
    </w:p>
    <w:p>
      <w:pPr>
        <w:spacing w:after="0" w:line="274" w:lineRule="exact"/>
        <w:rPr>
          <w:sz w:val="20"/>
          <w:szCs w:val="20"/>
          <w:color w:val="auto"/>
        </w:rPr>
      </w:pPr>
    </w:p>
    <w:p>
      <w:pPr>
        <w:ind w:left="100" w:right="100" w:firstLine="324"/>
        <w:spacing w:after="0" w:line="270" w:lineRule="auto"/>
        <w:rPr>
          <w:sz w:val="20"/>
          <w:szCs w:val="20"/>
          <w:color w:val="auto"/>
        </w:rPr>
      </w:pPr>
      <w:r>
        <w:rPr>
          <w:rFonts w:ascii="Arial" w:cs="Arial" w:eastAsia="Arial" w:hAnsi="Arial"/>
          <w:sz w:val="12"/>
          <w:szCs w:val="12"/>
          <w:color w:val="auto"/>
        </w:rPr>
        <w:t>The table below shows the three- and six-month average balance of impaired loans for the periods ended June 30, 2021 and 2020 by loan category for impaired loans, including all restructured and formerly restructured loans, held at the end of each period:</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Three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Six Months Ended</w:t>
            </w:r>
          </w:p>
        </w:tc>
        <w:tc>
          <w:tcPr>
            <w:tcW w:w="900" w:type="dxa"/>
            <w:vAlign w:val="bottom"/>
          </w:tcPr>
          <w:p>
            <w:pPr>
              <w:spacing w:after="0"/>
              <w:rPr>
                <w:sz w:val="13"/>
                <w:szCs w:val="13"/>
                <w:color w:val="auto"/>
              </w:rPr>
            </w:pPr>
          </w:p>
        </w:tc>
      </w:tr>
      <w:tr>
        <w:trPr>
          <w:trHeight w:val="157"/>
        </w:trPr>
        <w:tc>
          <w:tcPr>
            <w:tcW w:w="44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2"/>
                <w:szCs w:val="12"/>
                <w:b w:val="1"/>
                <w:bCs w:val="1"/>
                <w:color w:val="auto"/>
                <w:w w:val="87"/>
              </w:rPr>
              <w:t>June 30,</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w w:val="87"/>
              </w:rPr>
              <w:t>June 30,</w:t>
            </w:r>
          </w:p>
        </w:tc>
        <w:tc>
          <w:tcPr>
            <w:tcW w:w="900" w:type="dxa"/>
            <w:vAlign w:val="bottom"/>
            <w:tcBorders>
              <w:bottom w:val="single" w:sz="8" w:color="auto"/>
            </w:tcBorders>
          </w:tcPr>
          <w:p>
            <w:pPr>
              <w:spacing w:after="0"/>
              <w:rPr>
                <w:sz w:val="13"/>
                <w:szCs w:val="13"/>
                <w:color w:val="auto"/>
              </w:rPr>
            </w:pPr>
          </w:p>
        </w:tc>
      </w:tr>
      <w:tr>
        <w:trPr>
          <w:trHeight w:val="142"/>
        </w:trPr>
        <w:tc>
          <w:tcPr>
            <w:tcW w:w="446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r>
      <w:tr>
        <w:trPr>
          <w:trHeight w:val="131"/>
        </w:trPr>
        <w:tc>
          <w:tcPr>
            <w:tcW w:w="4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1"/>
                <w:szCs w:val="11"/>
                <w:i w:val="1"/>
                <w:iCs w:val="1"/>
                <w:color w:val="auto"/>
              </w:rPr>
              <w:t>(Dollars in thousands)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5"/>
        </w:trPr>
        <w:tc>
          <w:tcPr>
            <w:tcW w:w="44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w:t>
            </w:r>
          </w:p>
        </w:tc>
        <w:tc>
          <w:tcPr>
            <w:tcW w:w="11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40,112</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41,389</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19,002</w:t>
            </w:r>
          </w:p>
        </w:tc>
      </w:tr>
      <w:tr>
        <w:trPr>
          <w:trHeight w:val="153"/>
        </w:trPr>
        <w:tc>
          <w:tcPr>
            <w:tcW w:w="4460" w:type="dxa"/>
            <w:vAlign w:val="bottom"/>
          </w:tcPr>
          <w:p>
            <w:pPr>
              <w:ind w:left="340"/>
              <w:spacing w:after="0"/>
              <w:rPr>
                <w:sz w:val="20"/>
                <w:szCs w:val="20"/>
                <w:color w:val="auto"/>
              </w:rPr>
            </w:pPr>
            <w:r>
              <w:rPr>
                <w:rFonts w:ascii="Arial" w:cs="Arial" w:eastAsia="Arial" w:hAnsi="Arial"/>
                <w:sz w:val="12"/>
                <w:szCs w:val="12"/>
                <w:color w:val="auto"/>
              </w:rPr>
              <w:t>Energy</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26,859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16,798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27,145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17,527</w:t>
            </w:r>
          </w:p>
        </w:tc>
      </w:tr>
      <w:tr>
        <w:trPr>
          <w:trHeight w:val="153"/>
        </w:trPr>
        <w:tc>
          <w:tcPr>
            <w:tcW w:w="44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 real estate</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35,866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10,958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36,040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11,044</w:t>
            </w:r>
          </w:p>
        </w:tc>
      </w:tr>
      <w:tr>
        <w:trPr>
          <w:trHeight w:val="153"/>
        </w:trPr>
        <w:tc>
          <w:tcPr>
            <w:tcW w:w="4460" w:type="dxa"/>
            <w:vAlign w:val="bottom"/>
          </w:tcPr>
          <w:p>
            <w:pPr>
              <w:ind w:left="340"/>
              <w:spacing w:after="0"/>
              <w:rPr>
                <w:sz w:val="20"/>
                <w:szCs w:val="20"/>
                <w:color w:val="auto"/>
              </w:rPr>
            </w:pPr>
            <w:r>
              <w:rPr>
                <w:rFonts w:ascii="Arial" w:cs="Arial" w:eastAsia="Arial" w:hAnsi="Arial"/>
                <w:sz w:val="12"/>
                <w:szCs w:val="12"/>
                <w:color w:val="auto"/>
              </w:rPr>
              <w:t>Construction and land development</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Residential and multifamily real estate</w:t>
            </w:r>
          </w:p>
        </w:tc>
        <w:tc>
          <w:tcPr>
            <w:tcW w:w="1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6,953</w:t>
            </w:r>
          </w:p>
        </w:tc>
      </w:tr>
      <w:tr>
        <w:trPr>
          <w:trHeight w:val="153"/>
        </w:trPr>
        <w:tc>
          <w:tcPr>
            <w:tcW w:w="4460" w:type="dxa"/>
            <w:vAlign w:val="bottom"/>
          </w:tcPr>
          <w:p>
            <w:pPr>
              <w:ind w:left="340"/>
              <w:spacing w:after="0"/>
              <w:rPr>
                <w:sz w:val="20"/>
                <w:szCs w:val="20"/>
                <w:color w:val="auto"/>
              </w:rPr>
            </w:pPr>
            <w:r>
              <w:rPr>
                <w:rFonts w:ascii="Arial" w:cs="Arial" w:eastAsia="Arial" w:hAnsi="Arial"/>
                <w:sz w:val="12"/>
                <w:szCs w:val="12"/>
                <w:color w:val="auto"/>
              </w:rPr>
              <w:t>PPP</w:t>
            </w:r>
          </w:p>
        </w:tc>
        <w:tc>
          <w:tcPr>
            <w:tcW w:w="1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Consumer</w:t>
            </w:r>
          </w:p>
        </w:tc>
        <w:tc>
          <w:tcPr>
            <w:tcW w:w="1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w:t>
            </w:r>
          </w:p>
        </w:tc>
      </w:tr>
      <w:tr>
        <w:trPr>
          <w:trHeight w:val="142"/>
        </w:trPr>
        <w:tc>
          <w:tcPr>
            <w:tcW w:w="4460" w:type="dxa"/>
            <w:vAlign w:val="bottom"/>
          </w:tcPr>
          <w:p>
            <w:pPr>
              <w:ind w:left="420"/>
              <w:spacing w:after="0"/>
              <w:rPr>
                <w:sz w:val="20"/>
                <w:szCs w:val="20"/>
                <w:color w:val="auto"/>
              </w:rPr>
            </w:pPr>
            <w:r>
              <w:rPr>
                <w:rFonts w:ascii="Arial" w:cs="Arial" w:eastAsia="Arial" w:hAnsi="Arial"/>
                <w:sz w:val="12"/>
                <w:szCs w:val="12"/>
                <w:color w:val="auto"/>
              </w:rPr>
              <w:t>Total average impaired loans</w:t>
            </w:r>
          </w:p>
        </w:tc>
        <w:tc>
          <w:tcPr>
            <w:tcW w:w="11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2"/>
              </w:rPr>
              <w:t>107,668</w:t>
            </w:r>
          </w:p>
        </w:tc>
        <w:tc>
          <w:tcPr>
            <w:tcW w:w="88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46,971</w:t>
            </w:r>
          </w:p>
        </w:tc>
        <w:tc>
          <w:tcPr>
            <w:tcW w:w="80" w:type="dxa"/>
            <w:vAlign w:val="bottom"/>
          </w:tcPr>
          <w:p>
            <w:pPr>
              <w:spacing w:after="0"/>
              <w:rPr>
                <w:sz w:val="12"/>
                <w:szCs w:val="12"/>
                <w:color w:val="auto"/>
              </w:rPr>
            </w:pP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109,416</w:t>
            </w:r>
          </w:p>
        </w:tc>
        <w:tc>
          <w:tcPr>
            <w:tcW w:w="82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54,779</w:t>
            </w:r>
          </w:p>
        </w:tc>
      </w:tr>
      <w:tr>
        <w:trPr>
          <w:trHeight w:val="20"/>
        </w:trPr>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Non-accrual Loans</w:t>
      </w:r>
    </w:p>
    <w:p>
      <w:pPr>
        <w:spacing w:after="0" w:line="113" w:lineRule="exact"/>
        <w:rPr>
          <w:sz w:val="20"/>
          <w:szCs w:val="20"/>
          <w:color w:val="auto"/>
        </w:rPr>
      </w:pPr>
    </w:p>
    <w:p>
      <w:pPr>
        <w:ind w:left="100" w:right="220" w:firstLine="324"/>
        <w:spacing w:after="0" w:line="323" w:lineRule="auto"/>
        <w:rPr>
          <w:sz w:val="20"/>
          <w:szCs w:val="20"/>
          <w:color w:val="auto"/>
        </w:rPr>
      </w:pPr>
      <w:r>
        <w:rPr>
          <w:rFonts w:ascii="Arial" w:cs="Arial" w:eastAsia="Arial" w:hAnsi="Arial"/>
          <w:sz w:val="11"/>
          <w:szCs w:val="11"/>
          <w:color w:val="auto"/>
        </w:rPr>
        <w:t>Non-accrual loans are loans for which the Company does not record interest income. The accrual of interest on loans is discontinued at the time the loan is 90 days past due unless the credit is well-secured and in process of collection. Past due status is based on contractual terms of the loan. In all cases, loans are placed on non-accrual or charged-off at an earlier date, if collection of principal or interest is considered doubtful.</w:t>
      </w:r>
    </w:p>
    <w:p>
      <w:pPr>
        <w:spacing w:after="0" w:line="56" w:lineRule="exact"/>
        <w:rPr>
          <w:sz w:val="20"/>
          <w:szCs w:val="20"/>
          <w:color w:val="auto"/>
        </w:rPr>
      </w:pPr>
    </w:p>
    <w:p>
      <w:pPr>
        <w:ind w:left="100" w:right="260" w:firstLine="324"/>
        <w:spacing w:after="0" w:line="263" w:lineRule="auto"/>
        <w:rPr>
          <w:sz w:val="20"/>
          <w:szCs w:val="20"/>
          <w:color w:val="auto"/>
        </w:rPr>
      </w:pPr>
      <w:r>
        <w:rPr>
          <w:rFonts w:ascii="Arial" w:cs="Arial" w:eastAsia="Arial" w:hAnsi="Arial"/>
          <w:sz w:val="12"/>
          <w:szCs w:val="12"/>
          <w:color w:val="auto"/>
        </w:rPr>
        <w:t>All interest accrued but not collected for loans that are placed on non-accrual or charged-off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by loan category at June 30, 2021 and December 31, 2020:</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6720" w:type="dxa"/>
            <w:vAlign w:val="bottom"/>
          </w:tcPr>
          <w:p>
            <w:pPr>
              <w:spacing w:after="0"/>
              <w:rPr>
                <w:sz w:val="13"/>
                <w:szCs w:val="13"/>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June 30, 2021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6"/>
              </w:rPr>
              <w:t>December 31, 2020</w:t>
            </w:r>
          </w:p>
        </w:tc>
      </w:tr>
      <w:tr>
        <w:trPr>
          <w:trHeight w:val="131"/>
        </w:trPr>
        <w:tc>
          <w:tcPr>
            <w:tcW w:w="6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1"/>
                <w:szCs w:val="11"/>
                <w:i w:val="1"/>
                <w:iCs w:val="1"/>
                <w:color w:val="auto"/>
              </w:rPr>
              <w:t>(Dollars in thousands)</w:t>
            </w:r>
          </w:p>
        </w:tc>
        <w:tc>
          <w:tcPr>
            <w:tcW w:w="1520" w:type="dxa"/>
            <w:vAlign w:val="bottom"/>
          </w:tcPr>
          <w:p>
            <w:pPr>
              <w:spacing w:after="0"/>
              <w:rPr>
                <w:sz w:val="11"/>
                <w:szCs w:val="11"/>
                <w:color w:val="auto"/>
              </w:rPr>
            </w:pPr>
          </w:p>
        </w:tc>
      </w:tr>
      <w:tr>
        <w:trPr>
          <w:trHeight w:val="155"/>
        </w:trPr>
        <w:tc>
          <w:tcPr>
            <w:tcW w:w="67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w:t>
            </w:r>
          </w:p>
        </w:tc>
        <w:tc>
          <w:tcPr>
            <w:tcW w:w="1700" w:type="dxa"/>
            <w:vAlign w:val="bottom"/>
            <w:shd w:val="clear" w:color="auto" w:fill="CCEEFF"/>
          </w:tcPr>
          <w:p>
            <w:pPr>
              <w:jc w:val="right"/>
              <w:ind w:right="12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15,957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26,691</w:t>
            </w:r>
          </w:p>
        </w:tc>
      </w:tr>
      <w:tr>
        <w:trPr>
          <w:trHeight w:val="153"/>
        </w:trPr>
        <w:tc>
          <w:tcPr>
            <w:tcW w:w="6720" w:type="dxa"/>
            <w:vAlign w:val="bottom"/>
          </w:tcPr>
          <w:p>
            <w:pPr>
              <w:ind w:left="340"/>
              <w:spacing w:after="0"/>
              <w:rPr>
                <w:sz w:val="20"/>
                <w:szCs w:val="20"/>
                <w:color w:val="auto"/>
              </w:rPr>
            </w:pPr>
            <w:r>
              <w:rPr>
                <w:rFonts w:ascii="Arial" w:cs="Arial" w:eastAsia="Arial" w:hAnsi="Arial"/>
                <w:sz w:val="12"/>
                <w:szCs w:val="12"/>
                <w:color w:val="auto"/>
              </w:rPr>
              <w:t>Energy</w:t>
            </w:r>
          </w:p>
        </w:tc>
        <w:tc>
          <w:tcPr>
            <w:tcW w:w="1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26,504</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25,927</w:t>
            </w:r>
          </w:p>
        </w:tc>
      </w:tr>
      <w:tr>
        <w:trPr>
          <w:trHeight w:val="153"/>
        </w:trPr>
        <w:tc>
          <w:tcPr>
            <w:tcW w:w="67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 real estate</w:t>
            </w:r>
          </w:p>
        </w:tc>
        <w:tc>
          <w:tcPr>
            <w:tcW w:w="17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19,088</w:t>
            </w:r>
          </w:p>
        </w:tc>
      </w:tr>
      <w:tr>
        <w:trPr>
          <w:trHeight w:val="153"/>
        </w:trPr>
        <w:tc>
          <w:tcPr>
            <w:tcW w:w="6720" w:type="dxa"/>
            <w:vAlign w:val="bottom"/>
          </w:tcPr>
          <w:p>
            <w:pPr>
              <w:ind w:left="340"/>
              <w:spacing w:after="0"/>
              <w:rPr>
                <w:sz w:val="20"/>
                <w:szCs w:val="20"/>
                <w:color w:val="auto"/>
              </w:rPr>
            </w:pPr>
            <w:r>
              <w:rPr>
                <w:rFonts w:ascii="Arial" w:cs="Arial" w:eastAsia="Arial" w:hAnsi="Arial"/>
                <w:sz w:val="12"/>
                <w:szCs w:val="12"/>
                <w:color w:val="auto"/>
              </w:rPr>
              <w:t>Construction and land development</w:t>
            </w:r>
          </w:p>
        </w:tc>
        <w:tc>
          <w:tcPr>
            <w:tcW w:w="17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7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Residential and multifamily real estate</w:t>
            </w:r>
          </w:p>
        </w:tc>
        <w:tc>
          <w:tcPr>
            <w:tcW w:w="17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3,101</w:t>
            </w:r>
          </w:p>
        </w:tc>
      </w:tr>
      <w:tr>
        <w:trPr>
          <w:trHeight w:val="153"/>
        </w:trPr>
        <w:tc>
          <w:tcPr>
            <w:tcW w:w="6720" w:type="dxa"/>
            <w:vAlign w:val="bottom"/>
          </w:tcPr>
          <w:p>
            <w:pPr>
              <w:ind w:left="340"/>
              <w:spacing w:after="0"/>
              <w:rPr>
                <w:sz w:val="20"/>
                <w:szCs w:val="20"/>
                <w:color w:val="auto"/>
              </w:rPr>
            </w:pPr>
            <w:r>
              <w:rPr>
                <w:rFonts w:ascii="Arial" w:cs="Arial" w:eastAsia="Arial" w:hAnsi="Arial"/>
                <w:sz w:val="12"/>
                <w:szCs w:val="12"/>
                <w:color w:val="auto"/>
              </w:rPr>
              <w:t>PPP</w:t>
            </w:r>
          </w:p>
        </w:tc>
        <w:tc>
          <w:tcPr>
            <w:tcW w:w="17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7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Consumer</w:t>
            </w:r>
          </w:p>
        </w:tc>
        <w:tc>
          <w:tcPr>
            <w:tcW w:w="17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w:t>
            </w:r>
          </w:p>
        </w:tc>
      </w:tr>
      <w:tr>
        <w:trPr>
          <w:trHeight w:val="142"/>
        </w:trPr>
        <w:tc>
          <w:tcPr>
            <w:tcW w:w="6720" w:type="dxa"/>
            <w:vAlign w:val="bottom"/>
          </w:tcPr>
          <w:p>
            <w:pPr>
              <w:ind w:left="420"/>
              <w:spacing w:after="0"/>
              <w:rPr>
                <w:sz w:val="20"/>
                <w:szCs w:val="20"/>
                <w:color w:val="auto"/>
              </w:rPr>
            </w:pPr>
            <w:r>
              <w:rPr>
                <w:rFonts w:ascii="Arial" w:cs="Arial" w:eastAsia="Arial" w:hAnsi="Arial"/>
                <w:sz w:val="12"/>
                <w:szCs w:val="12"/>
                <w:color w:val="auto"/>
              </w:rPr>
              <w:t>Total non-accrual loans</w:t>
            </w:r>
          </w:p>
        </w:tc>
        <w:tc>
          <w:tcPr>
            <w:tcW w:w="1700" w:type="dxa"/>
            <w:vAlign w:val="bottom"/>
            <w:tcBorders>
              <w:bottom w:val="single" w:sz="8" w:color="auto"/>
            </w:tcBorders>
          </w:tcPr>
          <w:p>
            <w:pPr>
              <w:jc w:val="right"/>
              <w:ind w:right="124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54,652</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75,051</w:t>
            </w:r>
          </w:p>
        </w:tc>
      </w:tr>
      <w:tr>
        <w:trPr>
          <w:trHeight w:val="20"/>
        </w:trPr>
        <w:tc>
          <w:tcPr>
            <w:tcW w:w="6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Troubled Debt Restructurings</w:t>
      </w:r>
    </w:p>
    <w:p>
      <w:pPr>
        <w:spacing w:after="0" w:line="113"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Restructured loans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79" w:lineRule="exact"/>
        <w:rPr>
          <w:sz w:val="20"/>
          <w:szCs w:val="20"/>
          <w:color w:val="auto"/>
        </w:rPr>
      </w:pPr>
    </w:p>
    <w:p>
      <w:pPr>
        <w:ind w:left="100" w:right="180" w:firstLine="324"/>
        <w:spacing w:after="0" w:line="276" w:lineRule="auto"/>
        <w:rPr>
          <w:sz w:val="20"/>
          <w:szCs w:val="20"/>
          <w:color w:val="auto"/>
        </w:rPr>
      </w:pPr>
      <w:r>
        <w:rPr>
          <w:rFonts w:ascii="Arial" w:cs="Arial" w:eastAsia="Arial" w:hAnsi="Arial"/>
          <w:sz w:val="12"/>
          <w:szCs w:val="12"/>
          <w:color w:val="auto"/>
        </w:rPr>
        <w:t>For the three- and six-month periods ended June 30, 2021 and 2020, the modifications related to the TDRs below did not impact the ALLL because the loans were previously impaired and evaluated on an individual basis or enough collateral was obtained.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5" w:name="page26"/>
    <w:bookmarkEnd w:id="25"/>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ind w:left="100" w:right="460" w:firstLine="324"/>
        <w:spacing w:after="0" w:line="270" w:lineRule="auto"/>
        <w:rPr>
          <w:sz w:val="20"/>
          <w:szCs w:val="20"/>
          <w:color w:val="auto"/>
        </w:rPr>
      </w:pPr>
      <w:r>
        <w:rPr>
          <w:rFonts w:ascii="Arial" w:cs="Arial" w:eastAsia="Arial" w:hAnsi="Arial"/>
          <w:sz w:val="12"/>
          <w:szCs w:val="12"/>
          <w:color w:val="auto"/>
        </w:rPr>
        <w:t>The table below presents loans restructured, excluding loans restructured as a result of the COVID-19 pandemic, during the three- and six-month periods ended June 30, 2021 and 2020, including the post-modification outstanding balance and the type of concession made: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43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w w:val="96"/>
              </w:rPr>
              <w:t>Six Months Ended</w:t>
            </w:r>
          </w:p>
        </w:tc>
        <w:tc>
          <w:tcPr>
            <w:tcW w:w="920" w:type="dxa"/>
            <w:vAlign w:val="bottom"/>
            <w:tcBorders>
              <w:bottom w:val="single" w:sz="8" w:color="auto"/>
            </w:tcBorders>
          </w:tcPr>
          <w:p>
            <w:pPr>
              <w:spacing w:after="0"/>
              <w:rPr>
                <w:sz w:val="13"/>
                <w:szCs w:val="13"/>
                <w:color w:val="auto"/>
              </w:rPr>
            </w:pPr>
          </w:p>
        </w:tc>
      </w:tr>
      <w:tr>
        <w:trPr>
          <w:trHeight w:val="138"/>
        </w:trPr>
        <w:tc>
          <w:tcPr>
            <w:tcW w:w="43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360"/>
              <w:spacing w:after="0"/>
              <w:rPr>
                <w:sz w:val="20"/>
                <w:szCs w:val="20"/>
                <w:color w:val="auto"/>
              </w:rPr>
            </w:pPr>
            <w:r>
              <w:rPr>
                <w:rFonts w:ascii="Arial" w:cs="Arial" w:eastAsia="Arial" w:hAnsi="Arial"/>
                <w:sz w:val="12"/>
                <w:szCs w:val="12"/>
                <w:b w:val="1"/>
                <w:bCs w:val="1"/>
                <w:color w:val="auto"/>
                <w:w w:val="99"/>
              </w:rPr>
              <w:t>June 30,</w:t>
            </w:r>
          </w:p>
        </w:tc>
      </w:tr>
      <w:tr>
        <w:trPr>
          <w:trHeight w:val="157"/>
        </w:trPr>
        <w:tc>
          <w:tcPr>
            <w:tcW w:w="4360" w:type="dxa"/>
            <w:vAlign w:val="bottom"/>
          </w:tcPr>
          <w:p>
            <w:pPr>
              <w:spacing w:after="0"/>
              <w:rPr>
                <w:sz w:val="13"/>
                <w:szCs w:val="13"/>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r>
      <w:tr>
        <w:trPr>
          <w:trHeight w:val="131"/>
        </w:trPr>
        <w:tc>
          <w:tcPr>
            <w:tcW w:w="4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60" w:type="dxa"/>
            <w:vAlign w:val="bottom"/>
            <w:gridSpan w:val="3"/>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5"/>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w:t>
            </w: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4360" w:type="dxa"/>
            <w:vAlign w:val="bottom"/>
          </w:tcPr>
          <w:p>
            <w:pPr>
              <w:ind w:left="420"/>
              <w:spacing w:after="0"/>
              <w:rPr>
                <w:sz w:val="20"/>
                <w:szCs w:val="20"/>
                <w:color w:val="auto"/>
              </w:rPr>
            </w:pPr>
            <w:r>
              <w:rPr>
                <w:rFonts w:ascii="Arial" w:cs="Arial" w:eastAsia="Arial" w:hAnsi="Arial"/>
                <w:sz w:val="12"/>
                <w:szCs w:val="12"/>
                <w:color w:val="auto"/>
              </w:rPr>
              <w:t>- Interest rate reduction</w:t>
            </w:r>
          </w:p>
        </w:tc>
        <w:tc>
          <w:tcPr>
            <w:tcW w:w="1300" w:type="dxa"/>
            <w:vAlign w:val="bottom"/>
          </w:tcPr>
          <w:p>
            <w:pPr>
              <w:jc w:val="right"/>
              <w:ind w:right="840"/>
              <w:spacing w:after="0"/>
              <w:rPr>
                <w:sz w:val="20"/>
                <w:szCs w:val="20"/>
                <w:color w:val="auto"/>
              </w:rPr>
            </w:pPr>
            <w:r>
              <w:rPr>
                <w:rFonts w:ascii="Arial" w:cs="Arial" w:eastAsia="Arial" w:hAnsi="Arial"/>
                <w:sz w:val="12"/>
                <w:szCs w:val="12"/>
                <w:color w:val="auto"/>
              </w:rPr>
              <w:t>$</w:t>
            </w: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3,171</w:t>
            </w:r>
          </w:p>
        </w:tc>
      </w:tr>
      <w:tr>
        <w:trPr>
          <w:trHeight w:val="153"/>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Energy</w:t>
            </w: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4360" w:type="dxa"/>
            <w:vAlign w:val="bottom"/>
          </w:tcPr>
          <w:p>
            <w:pPr>
              <w:ind w:left="420"/>
              <w:spacing w:after="0"/>
              <w:rPr>
                <w:sz w:val="20"/>
                <w:szCs w:val="20"/>
                <w:color w:val="auto"/>
              </w:rPr>
            </w:pPr>
            <w:r>
              <w:rPr>
                <w:rFonts w:ascii="Arial" w:cs="Arial" w:eastAsia="Arial" w:hAnsi="Arial"/>
                <w:sz w:val="12"/>
                <w:szCs w:val="12"/>
                <w:color w:val="auto"/>
              </w:rPr>
              <w:t>- Extension of maturity date</w:t>
            </w:r>
          </w:p>
        </w:tc>
        <w:tc>
          <w:tcPr>
            <w:tcW w:w="130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26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c>
          <w:tcPr>
            <w:tcW w:w="42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2,340</w:t>
            </w:r>
          </w:p>
        </w:tc>
      </w:tr>
      <w:tr>
        <w:trPr>
          <w:trHeight w:val="153"/>
        </w:trPr>
        <w:tc>
          <w:tcPr>
            <w:tcW w:w="43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Residential and multifamily real estate</w:t>
            </w: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436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rPr>
              <w:t>- Payment deferral</w:t>
            </w:r>
          </w:p>
        </w:tc>
        <w:tc>
          <w:tcPr>
            <w:tcW w:w="1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65</w:t>
            </w: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r>
      <w:tr>
        <w:trPr>
          <w:trHeight w:val="158"/>
        </w:trPr>
        <w:tc>
          <w:tcPr>
            <w:tcW w:w="4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Total troubled debt restructurings</w:t>
            </w:r>
          </w:p>
        </w:tc>
        <w:tc>
          <w:tcPr>
            <w:tcW w:w="130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rPr>
              <w:t>65</w:t>
            </w: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5,576</w:t>
            </w:r>
          </w:p>
        </w:tc>
      </w:tr>
    </w:tbl>
    <w:p>
      <w:pPr>
        <w:spacing w:after="0" w:line="162" w:lineRule="exact"/>
        <w:rPr>
          <w:sz w:val="20"/>
          <w:szCs w:val="20"/>
          <w:color w:val="auto"/>
        </w:rPr>
      </w:pPr>
    </w:p>
    <w:p>
      <w:pPr>
        <w:ind w:left="100" w:right="200" w:firstLine="324"/>
        <w:spacing w:after="0" w:line="270" w:lineRule="auto"/>
        <w:rPr>
          <w:sz w:val="20"/>
          <w:szCs w:val="20"/>
          <w:color w:val="auto"/>
        </w:rPr>
      </w:pPr>
      <w:r>
        <w:rPr>
          <w:rFonts w:ascii="Arial" w:cs="Arial" w:eastAsia="Arial" w:hAnsi="Arial"/>
          <w:sz w:val="12"/>
          <w:szCs w:val="12"/>
          <w:color w:val="auto"/>
        </w:rPr>
        <w:t>The balance of restructured loans, excluding loans restructured as a result of the COVID-19 pandemic, is provided below as of June 30, 2021 and December 31, 2020. In addition, the balance of those loans that have been in default at any time during the past twelve months at June 30, 2021 and December 31, 2020 is provided below:</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28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560"/>
              <w:spacing w:after="0"/>
              <w:rPr>
                <w:sz w:val="20"/>
                <w:szCs w:val="20"/>
                <w:color w:val="auto"/>
              </w:rPr>
            </w:pPr>
            <w:r>
              <w:rPr>
                <w:rFonts w:ascii="Arial" w:cs="Arial" w:eastAsia="Arial" w:hAnsi="Arial"/>
                <w:sz w:val="12"/>
                <w:szCs w:val="12"/>
                <w:b w:val="1"/>
                <w:bCs w:val="1"/>
                <w:color w:val="auto"/>
                <w:w w:val="99"/>
              </w:rPr>
              <w:t>June 30, 2021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w w:val="90"/>
              </w:rPr>
              <w:t>December 31, 2020</w:t>
            </w: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800" w:type="dxa"/>
            <w:vAlign w:val="bottom"/>
          </w:tcPr>
          <w:p>
            <w:pPr>
              <w:spacing w:after="0"/>
              <w:rPr>
                <w:sz w:val="9"/>
                <w:szCs w:val="9"/>
                <w:color w:val="auto"/>
              </w:rPr>
            </w:pPr>
          </w:p>
        </w:tc>
        <w:tc>
          <w:tcPr>
            <w:tcW w:w="90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jc w:val="right"/>
              <w:ind w:right="21"/>
              <w:spacing w:after="0" w:line="106" w:lineRule="exact"/>
              <w:rPr>
                <w:sz w:val="20"/>
                <w:szCs w:val="20"/>
                <w:color w:val="auto"/>
              </w:rPr>
            </w:pPr>
            <w:r>
              <w:rPr>
                <w:rFonts w:ascii="Arial" w:cs="Arial" w:eastAsia="Arial" w:hAnsi="Arial"/>
                <w:sz w:val="12"/>
                <w:szCs w:val="12"/>
                <w:b w:val="1"/>
                <w:bCs w:val="1"/>
                <w:color w:val="auto"/>
                <w:w w:val="87"/>
              </w:rPr>
              <w:t>Balance 90 days past</w:t>
            </w:r>
          </w:p>
        </w:tc>
        <w:tc>
          <w:tcPr>
            <w:tcW w:w="80" w:type="dxa"/>
            <w:vAlign w:val="bottom"/>
          </w:tcPr>
          <w:p>
            <w:pPr>
              <w:spacing w:after="0"/>
              <w:rPr>
                <w:sz w:val="9"/>
                <w:szCs w:val="9"/>
                <w:color w:val="auto"/>
              </w:rPr>
            </w:pPr>
          </w:p>
        </w:tc>
        <w:tc>
          <w:tcPr>
            <w:tcW w:w="92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jc w:val="right"/>
              <w:ind w:right="40"/>
              <w:spacing w:after="0" w:line="106" w:lineRule="exact"/>
              <w:rPr>
                <w:sz w:val="20"/>
                <w:szCs w:val="20"/>
                <w:color w:val="auto"/>
              </w:rPr>
            </w:pPr>
            <w:r>
              <w:rPr>
                <w:rFonts w:ascii="Arial" w:cs="Arial" w:eastAsia="Arial" w:hAnsi="Arial"/>
                <w:sz w:val="12"/>
                <w:szCs w:val="12"/>
                <w:b w:val="1"/>
                <w:bCs w:val="1"/>
                <w:color w:val="auto"/>
                <w:w w:val="87"/>
              </w:rPr>
              <w:t>Balance 90 days past</w:t>
            </w: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Outstanding Balance</w:t>
            </w:r>
          </w:p>
        </w:tc>
        <w:tc>
          <w:tcPr>
            <w:tcW w:w="1540" w:type="dxa"/>
            <w:vAlign w:val="bottom"/>
            <w:gridSpan w:val="3"/>
          </w:tcPr>
          <w:p>
            <w:pPr>
              <w:jc w:val="center"/>
              <w:ind w:right="180"/>
              <w:spacing w:after="0" w:line="117" w:lineRule="exact"/>
              <w:rPr>
                <w:sz w:val="20"/>
                <w:szCs w:val="20"/>
                <w:color w:val="auto"/>
              </w:rPr>
            </w:pPr>
            <w:r>
              <w:rPr>
                <w:rFonts w:ascii="Arial" w:cs="Arial" w:eastAsia="Arial" w:hAnsi="Arial"/>
                <w:sz w:val="12"/>
                <w:szCs w:val="12"/>
                <w:b w:val="1"/>
                <w:bCs w:val="1"/>
                <w:color w:val="auto"/>
                <w:w w:val="90"/>
              </w:rPr>
              <w:t>due at any time during</w:t>
            </w:r>
          </w:p>
        </w:tc>
        <w:tc>
          <w:tcPr>
            <w:tcW w:w="9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Outstanding Balance</w:t>
            </w:r>
          </w:p>
        </w:tc>
        <w:tc>
          <w:tcPr>
            <w:tcW w:w="1400" w:type="dxa"/>
            <w:vAlign w:val="bottom"/>
            <w:gridSpan w:val="2"/>
          </w:tcPr>
          <w:p>
            <w:pPr>
              <w:jc w:val="right"/>
              <w:ind w:right="160"/>
              <w:spacing w:after="0" w:line="117" w:lineRule="exact"/>
              <w:rPr>
                <w:sz w:val="20"/>
                <w:szCs w:val="20"/>
                <w:color w:val="auto"/>
              </w:rPr>
            </w:pPr>
            <w:r>
              <w:rPr>
                <w:rFonts w:ascii="Arial" w:cs="Arial" w:eastAsia="Arial" w:hAnsi="Arial"/>
                <w:sz w:val="12"/>
                <w:szCs w:val="12"/>
                <w:b w:val="1"/>
                <w:bCs w:val="1"/>
                <w:color w:val="auto"/>
                <w:w w:val="90"/>
              </w:rPr>
              <w:t>due at any time during</w:t>
            </w:r>
          </w:p>
        </w:tc>
        <w:tc>
          <w:tcPr>
            <w:tcW w:w="0" w:type="dxa"/>
            <w:vAlign w:val="bottom"/>
          </w:tcPr>
          <w:p>
            <w:pPr>
              <w:spacing w:after="0"/>
              <w:rPr>
                <w:sz w:val="1"/>
                <w:szCs w:val="1"/>
                <w:color w:val="auto"/>
              </w:rPr>
            </w:pPr>
          </w:p>
        </w:tc>
      </w:tr>
      <w:tr>
        <w:trPr>
          <w:trHeight w:val="153"/>
        </w:trPr>
        <w:tc>
          <w:tcPr>
            <w:tcW w:w="2800" w:type="dxa"/>
            <w:vAlign w:val="bottom"/>
          </w:tcPr>
          <w:p>
            <w:pPr>
              <w:spacing w:after="0"/>
              <w:rPr>
                <w:sz w:val="13"/>
                <w:szCs w:val="13"/>
                <w:color w:val="auto"/>
              </w:rPr>
            </w:pP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of Loans</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1540" w:type="dxa"/>
            <w:vAlign w:val="bottom"/>
            <w:tcBorders>
              <w:bottom w:val="single" w:sz="8" w:color="auto"/>
            </w:tcBorders>
            <w:gridSpan w:val="3"/>
          </w:tcPr>
          <w:p>
            <w:pPr>
              <w:jc w:val="center"/>
              <w:ind w:right="180"/>
              <w:spacing w:after="0" w:line="153" w:lineRule="exact"/>
              <w:rPr>
                <w:sz w:val="20"/>
                <w:szCs w:val="20"/>
                <w:color w:val="auto"/>
              </w:rPr>
            </w:pPr>
            <w:r>
              <w:rPr>
                <w:rFonts w:ascii="Arial" w:cs="Arial" w:eastAsia="Arial" w:hAnsi="Arial"/>
                <w:sz w:val="12"/>
                <w:szCs w:val="12"/>
                <w:b w:val="1"/>
                <w:bCs w:val="1"/>
                <w:color w:val="auto"/>
                <w:w w:val="85"/>
              </w:rPr>
              <w:t>previous 12 months</w:t>
            </w:r>
            <w:r>
              <w:rPr>
                <w:rFonts w:ascii="Arial" w:cs="Arial" w:eastAsia="Arial" w:hAnsi="Arial"/>
                <w:sz w:val="15"/>
                <w:szCs w:val="15"/>
                <w:b w:val="1"/>
                <w:bCs w:val="1"/>
                <w:color w:val="auto"/>
                <w:w w:val="85"/>
                <w:vertAlign w:val="superscript"/>
              </w:rPr>
              <w:t>(1)</w:t>
            </w: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of Loans</w:t>
            </w: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1400" w:type="dxa"/>
            <w:vAlign w:val="bottom"/>
            <w:tcBorders>
              <w:bottom w:val="single" w:sz="8" w:color="auto"/>
            </w:tcBorders>
            <w:gridSpan w:val="2"/>
          </w:tcPr>
          <w:p>
            <w:pPr>
              <w:jc w:val="right"/>
              <w:ind w:right="200"/>
              <w:spacing w:after="0" w:line="153" w:lineRule="exact"/>
              <w:rPr>
                <w:sz w:val="20"/>
                <w:szCs w:val="20"/>
                <w:color w:val="auto"/>
              </w:rPr>
            </w:pPr>
            <w:r>
              <w:rPr>
                <w:rFonts w:ascii="Arial" w:cs="Arial" w:eastAsia="Arial" w:hAnsi="Arial"/>
                <w:sz w:val="12"/>
                <w:szCs w:val="12"/>
                <w:b w:val="1"/>
                <w:bCs w:val="1"/>
                <w:color w:val="auto"/>
                <w:w w:val="89"/>
              </w:rPr>
              <w:t>previous 12 months</w:t>
            </w:r>
            <w:r>
              <w:rPr>
                <w:rFonts w:ascii="Arial" w:cs="Arial" w:eastAsia="Arial" w:hAnsi="Arial"/>
                <w:sz w:val="15"/>
                <w:szCs w:val="15"/>
                <w:b w:val="1"/>
                <w:bCs w:val="1"/>
                <w:color w:val="auto"/>
                <w:w w:val="89"/>
                <w:vertAlign w:val="superscript"/>
              </w:rPr>
              <w:t>(1)</w:t>
            </w: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gridSpan w:val="4"/>
          </w:tcPr>
          <w:p>
            <w:pPr>
              <w:ind w:left="900"/>
              <w:spacing w:after="0"/>
              <w:rPr>
                <w:sz w:val="20"/>
                <w:szCs w:val="20"/>
                <w:color w:val="auto"/>
              </w:rPr>
            </w:pPr>
            <w:r>
              <w:rPr>
                <w:rFonts w:ascii="Arial" w:cs="Arial" w:eastAsia="Arial" w:hAnsi="Arial"/>
                <w:sz w:val="11"/>
                <w:szCs w:val="11"/>
                <w:i w:val="1"/>
                <w:iCs w:val="1"/>
                <w:color w:val="auto"/>
              </w:rPr>
              <w:t>(Dollars in thousands)</w:t>
            </w: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w:t>
            </w:r>
          </w:p>
        </w:tc>
        <w:tc>
          <w:tcPr>
            <w:tcW w:w="820" w:type="dxa"/>
            <w:vAlign w:val="bottom"/>
            <w:shd w:val="clear" w:color="auto" w:fill="CCEEFF"/>
          </w:tcPr>
          <w:p>
            <w:pPr>
              <w:jc w:val="center"/>
              <w:ind w:left="260"/>
              <w:spacing w:after="0"/>
              <w:rPr>
                <w:sz w:val="20"/>
                <w:szCs w:val="20"/>
                <w:color w:val="auto"/>
              </w:rPr>
            </w:pPr>
            <w:r>
              <w:rPr>
                <w:rFonts w:ascii="Arial" w:cs="Arial" w:eastAsia="Arial" w:hAnsi="Arial"/>
                <w:sz w:val="12"/>
                <w:szCs w:val="12"/>
                <w:color w:val="auto"/>
                <w:w w:val="89"/>
              </w:rPr>
              <w:t>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21,522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22,759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2,776</w:t>
            </w:r>
          </w:p>
        </w:tc>
        <w:tc>
          <w:tcPr>
            <w:tcW w:w="0" w:type="dxa"/>
            <w:vAlign w:val="bottom"/>
          </w:tcPr>
          <w:p>
            <w:pPr>
              <w:spacing w:after="0"/>
              <w:rPr>
                <w:sz w:val="1"/>
                <w:szCs w:val="1"/>
                <w:color w:val="auto"/>
              </w:rPr>
            </w:pPr>
          </w:p>
        </w:tc>
      </w:tr>
      <w:tr>
        <w:trPr>
          <w:trHeight w:val="153"/>
        </w:trPr>
        <w:tc>
          <w:tcPr>
            <w:tcW w:w="2800" w:type="dxa"/>
            <w:vAlign w:val="bottom"/>
          </w:tcPr>
          <w:p>
            <w:pPr>
              <w:ind w:left="340"/>
              <w:spacing w:after="0"/>
              <w:rPr>
                <w:sz w:val="20"/>
                <w:szCs w:val="20"/>
                <w:color w:val="auto"/>
              </w:rPr>
            </w:pPr>
            <w:r>
              <w:rPr>
                <w:rFonts w:ascii="Arial" w:cs="Arial" w:eastAsia="Arial" w:hAnsi="Arial"/>
                <w:sz w:val="12"/>
                <w:szCs w:val="12"/>
                <w:color w:val="auto"/>
              </w:rPr>
              <w:t>Energy</w:t>
            </w:r>
          </w:p>
        </w:tc>
        <w:tc>
          <w:tcPr>
            <w:tcW w:w="820" w:type="dxa"/>
            <w:vAlign w:val="bottom"/>
          </w:tcPr>
          <w:p>
            <w:pPr>
              <w:jc w:val="center"/>
              <w:ind w:left="260"/>
              <w:spacing w:after="0"/>
              <w:rPr>
                <w:sz w:val="20"/>
                <w:szCs w:val="20"/>
                <w:color w:val="auto"/>
              </w:rPr>
            </w:pPr>
            <w:r>
              <w:rPr>
                <w:rFonts w:ascii="Arial" w:cs="Arial" w:eastAsia="Arial" w:hAnsi="Arial"/>
                <w:sz w:val="12"/>
                <w:szCs w:val="12"/>
                <w:color w:val="auto"/>
                <w:w w:val="89"/>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10,676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2,399</w:t>
            </w:r>
          </w:p>
        </w:tc>
        <w:tc>
          <w:tcPr>
            <w:tcW w:w="80" w:type="dxa"/>
            <w:vAlign w:val="bottom"/>
          </w:tcPr>
          <w:p>
            <w:pPr>
              <w:spacing w:after="0"/>
              <w:rPr>
                <w:sz w:val="13"/>
                <w:szCs w:val="13"/>
                <w:color w:val="auto"/>
              </w:rPr>
            </w:pPr>
          </w:p>
        </w:tc>
        <w:tc>
          <w:tcPr>
            <w:tcW w:w="840" w:type="dxa"/>
            <w:vAlign w:val="bottom"/>
          </w:tcPr>
          <w:p>
            <w:pPr>
              <w:jc w:val="center"/>
              <w:ind w:left="280"/>
              <w:spacing w:after="0"/>
              <w:rPr>
                <w:sz w:val="20"/>
                <w:szCs w:val="20"/>
                <w:color w:val="auto"/>
              </w:rPr>
            </w:pPr>
            <w:r>
              <w:rPr>
                <w:rFonts w:ascii="Arial" w:cs="Arial" w:eastAsia="Arial" w:hAnsi="Arial"/>
                <w:sz w:val="12"/>
                <w:szCs w:val="12"/>
                <w:color w:val="auto"/>
                <w:w w:val="89"/>
              </w:rPr>
              <w:t>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11,053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2,713</w:t>
            </w:r>
          </w:p>
        </w:tc>
        <w:tc>
          <w:tcPr>
            <w:tcW w:w="0" w:type="dxa"/>
            <w:vAlign w:val="bottom"/>
          </w:tcPr>
          <w:p>
            <w:pPr>
              <w:spacing w:after="0"/>
              <w:rPr>
                <w:sz w:val="1"/>
                <w:szCs w:val="1"/>
                <w:color w:val="auto"/>
              </w:rPr>
            </w:pPr>
          </w:p>
        </w:tc>
      </w:tr>
      <w:tr>
        <w:trPr>
          <w:trHeight w:val="153"/>
        </w:trPr>
        <w:tc>
          <w:tcPr>
            <w:tcW w:w="28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 real estate</w:t>
            </w:r>
          </w:p>
        </w:tc>
        <w:tc>
          <w:tcPr>
            <w:tcW w:w="820" w:type="dxa"/>
            <w:vAlign w:val="bottom"/>
            <w:shd w:val="clear" w:color="auto" w:fill="CCEEFF"/>
          </w:tcPr>
          <w:p>
            <w:pPr>
              <w:jc w:val="center"/>
              <w:ind w:left="260"/>
              <w:spacing w:after="0"/>
              <w:rPr>
                <w:sz w:val="20"/>
                <w:szCs w:val="20"/>
                <w:color w:val="auto"/>
              </w:rPr>
            </w:pPr>
            <w:r>
              <w:rPr>
                <w:rFonts w:ascii="Arial" w:cs="Arial" w:eastAsia="Arial" w:hAnsi="Arial"/>
                <w:sz w:val="12"/>
                <w:szCs w:val="12"/>
                <w:color w:val="auto"/>
                <w:w w:val="89"/>
              </w:rPr>
              <w:t>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26,038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00" w:type="dxa"/>
            <w:vAlign w:val="bottom"/>
          </w:tcPr>
          <w:p>
            <w:pPr>
              <w:ind w:left="340"/>
              <w:spacing w:after="0"/>
              <w:rPr>
                <w:sz w:val="20"/>
                <w:szCs w:val="20"/>
                <w:color w:val="auto"/>
              </w:rPr>
            </w:pPr>
            <w:r>
              <w:rPr>
                <w:rFonts w:ascii="Arial" w:cs="Arial" w:eastAsia="Arial" w:hAnsi="Arial"/>
                <w:sz w:val="12"/>
                <w:szCs w:val="12"/>
                <w:color w:val="auto"/>
              </w:rPr>
              <w:t>Construction and land development</w:t>
            </w:r>
          </w:p>
        </w:tc>
        <w:tc>
          <w:tcPr>
            <w:tcW w:w="900" w:type="dxa"/>
            <w:vAlign w:val="bottom"/>
            <w:gridSpan w:val="2"/>
          </w:tcPr>
          <w:p>
            <w:pPr>
              <w:jc w:val="center"/>
              <w:ind w:left="200"/>
              <w:spacing w:after="0"/>
              <w:rPr>
                <w:sz w:val="20"/>
                <w:szCs w:val="20"/>
                <w:color w:val="auto"/>
              </w:rPr>
            </w:pPr>
            <w:r>
              <w:rPr>
                <w:rFonts w:ascii="Arial" w:cs="Arial" w:eastAsia="Arial" w:hAnsi="Arial"/>
                <w:sz w:val="12"/>
                <w:szCs w:val="12"/>
                <w:color w:val="auto"/>
                <w:w w:val="99"/>
              </w:rPr>
              <w:t>—</w:t>
            </w:r>
          </w:p>
        </w:tc>
        <w:tc>
          <w:tcPr>
            <w:tcW w:w="420" w:type="dxa"/>
            <w:vAlign w:val="bottom"/>
          </w:tcPr>
          <w:p>
            <w:pPr>
              <w:spacing w:after="0"/>
              <w:rPr>
                <w:sz w:val="13"/>
                <w:szCs w:val="13"/>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center"/>
              <w:ind w:left="180"/>
              <w:spacing w:after="0"/>
              <w:rPr>
                <w:sz w:val="20"/>
                <w:szCs w:val="20"/>
                <w:color w:val="auto"/>
              </w:rPr>
            </w:pPr>
            <w:r>
              <w:rPr>
                <w:rFonts w:ascii="Arial" w:cs="Arial" w:eastAsia="Arial" w:hAnsi="Arial"/>
                <w:sz w:val="12"/>
                <w:szCs w:val="12"/>
                <w:color w:val="auto"/>
                <w:w w:val="99"/>
              </w:rPr>
              <w:t>—</w:t>
            </w:r>
          </w:p>
        </w:tc>
        <w:tc>
          <w:tcPr>
            <w:tcW w:w="400" w:type="dxa"/>
            <w:vAlign w:val="bottom"/>
          </w:tcPr>
          <w:p>
            <w:pPr>
              <w:spacing w:after="0"/>
              <w:rPr>
                <w:sz w:val="13"/>
                <w:szCs w:val="13"/>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Residential and multifamily real estate</w:t>
            </w:r>
          </w:p>
        </w:tc>
        <w:tc>
          <w:tcPr>
            <w:tcW w:w="820" w:type="dxa"/>
            <w:vAlign w:val="bottom"/>
            <w:shd w:val="clear" w:color="auto" w:fill="CCEEFF"/>
          </w:tcPr>
          <w:p>
            <w:pPr>
              <w:jc w:val="center"/>
              <w:ind w:left="260"/>
              <w:spacing w:after="0"/>
              <w:rPr>
                <w:sz w:val="20"/>
                <w:szCs w:val="20"/>
                <w:color w:val="auto"/>
              </w:rPr>
            </w:pPr>
            <w:r>
              <w:rPr>
                <w:rFonts w:ascii="Arial" w:cs="Arial" w:eastAsia="Arial" w:hAnsi="Arial"/>
                <w:sz w:val="12"/>
                <w:szCs w:val="12"/>
                <w:color w:val="auto"/>
                <w:w w:val="89"/>
              </w:rPr>
              <w:t>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00" w:type="dxa"/>
            <w:vAlign w:val="bottom"/>
          </w:tcPr>
          <w:p>
            <w:pPr>
              <w:ind w:left="340"/>
              <w:spacing w:after="0"/>
              <w:rPr>
                <w:sz w:val="20"/>
                <w:szCs w:val="20"/>
                <w:color w:val="auto"/>
              </w:rPr>
            </w:pPr>
            <w:r>
              <w:rPr>
                <w:rFonts w:ascii="Arial" w:cs="Arial" w:eastAsia="Arial" w:hAnsi="Arial"/>
                <w:sz w:val="12"/>
                <w:szCs w:val="12"/>
                <w:color w:val="auto"/>
              </w:rPr>
              <w:t>PPP</w:t>
            </w:r>
          </w:p>
        </w:tc>
        <w:tc>
          <w:tcPr>
            <w:tcW w:w="900" w:type="dxa"/>
            <w:vAlign w:val="bottom"/>
            <w:gridSpan w:val="2"/>
          </w:tcPr>
          <w:p>
            <w:pPr>
              <w:jc w:val="center"/>
              <w:ind w:left="200"/>
              <w:spacing w:after="0"/>
              <w:rPr>
                <w:sz w:val="20"/>
                <w:szCs w:val="20"/>
                <w:color w:val="auto"/>
              </w:rPr>
            </w:pPr>
            <w:r>
              <w:rPr>
                <w:rFonts w:ascii="Arial" w:cs="Arial" w:eastAsia="Arial" w:hAnsi="Arial"/>
                <w:sz w:val="12"/>
                <w:szCs w:val="12"/>
                <w:color w:val="auto"/>
                <w:w w:val="99"/>
              </w:rPr>
              <w:t>—</w:t>
            </w:r>
          </w:p>
        </w:tc>
        <w:tc>
          <w:tcPr>
            <w:tcW w:w="420" w:type="dxa"/>
            <w:vAlign w:val="bottom"/>
          </w:tcPr>
          <w:p>
            <w:pPr>
              <w:spacing w:after="0"/>
              <w:rPr>
                <w:sz w:val="13"/>
                <w:szCs w:val="13"/>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center"/>
              <w:ind w:left="180"/>
              <w:spacing w:after="0"/>
              <w:rPr>
                <w:sz w:val="20"/>
                <w:szCs w:val="20"/>
                <w:color w:val="auto"/>
              </w:rPr>
            </w:pPr>
            <w:r>
              <w:rPr>
                <w:rFonts w:ascii="Arial" w:cs="Arial" w:eastAsia="Arial" w:hAnsi="Arial"/>
                <w:sz w:val="12"/>
                <w:szCs w:val="12"/>
                <w:color w:val="auto"/>
                <w:w w:val="99"/>
              </w:rPr>
              <w:t>—</w:t>
            </w:r>
          </w:p>
        </w:tc>
        <w:tc>
          <w:tcPr>
            <w:tcW w:w="400" w:type="dxa"/>
            <w:vAlign w:val="bottom"/>
          </w:tcPr>
          <w:p>
            <w:pPr>
              <w:spacing w:after="0"/>
              <w:rPr>
                <w:sz w:val="13"/>
                <w:szCs w:val="13"/>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Consumer</w:t>
            </w:r>
          </w:p>
        </w:tc>
        <w:tc>
          <w:tcPr>
            <w:tcW w:w="900" w:type="dxa"/>
            <w:vAlign w:val="bottom"/>
            <w:gridSpan w:val="2"/>
            <w:shd w:val="clear" w:color="auto" w:fill="CCEEFF"/>
          </w:tcPr>
          <w:p>
            <w:pPr>
              <w:jc w:val="center"/>
              <w:ind w:left="200"/>
              <w:spacing w:after="0"/>
              <w:rPr>
                <w:sz w:val="20"/>
                <w:szCs w:val="20"/>
                <w:color w:val="auto"/>
              </w:rPr>
            </w:pPr>
            <w:r>
              <w:rPr>
                <w:rFonts w:ascii="Arial" w:cs="Arial" w:eastAsia="Arial" w:hAnsi="Arial"/>
                <w:sz w:val="12"/>
                <w:szCs w:val="12"/>
                <w:color w:val="auto"/>
                <w:w w:val="99"/>
              </w:rPr>
              <w:t>—</w:t>
            </w:r>
          </w:p>
        </w:tc>
        <w:tc>
          <w:tcPr>
            <w:tcW w:w="42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center"/>
              <w:ind w:left="180"/>
              <w:spacing w:after="0"/>
              <w:rPr>
                <w:sz w:val="20"/>
                <w:szCs w:val="20"/>
                <w:color w:val="auto"/>
              </w:rPr>
            </w:pPr>
            <w:r>
              <w:rPr>
                <w:rFonts w:ascii="Arial" w:cs="Arial" w:eastAsia="Arial" w:hAnsi="Arial"/>
                <w:sz w:val="12"/>
                <w:szCs w:val="12"/>
                <w:color w:val="auto"/>
                <w:w w:val="99"/>
              </w:rPr>
              <w:t>—</w:t>
            </w:r>
          </w:p>
        </w:tc>
        <w:tc>
          <w:tcPr>
            <w:tcW w:w="40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800" w:type="dxa"/>
            <w:vAlign w:val="bottom"/>
          </w:tcPr>
          <w:p>
            <w:pPr>
              <w:ind w:left="400"/>
              <w:spacing w:after="0" w:line="133" w:lineRule="exact"/>
              <w:rPr>
                <w:sz w:val="20"/>
                <w:szCs w:val="20"/>
                <w:color w:val="auto"/>
              </w:rPr>
            </w:pPr>
            <w:r>
              <w:rPr>
                <w:rFonts w:ascii="Arial" w:cs="Arial" w:eastAsia="Arial" w:hAnsi="Arial"/>
                <w:sz w:val="12"/>
                <w:szCs w:val="12"/>
                <w:color w:val="auto"/>
              </w:rPr>
              <w:t>Total troubled debt restructured loans</w:t>
            </w:r>
          </w:p>
        </w:tc>
        <w:tc>
          <w:tcPr>
            <w:tcW w:w="820" w:type="dxa"/>
            <w:vAlign w:val="bottom"/>
            <w:tcBorders>
              <w:top w:val="single" w:sz="8" w:color="auto"/>
            </w:tcBorders>
          </w:tcPr>
          <w:p>
            <w:pPr>
              <w:jc w:val="center"/>
              <w:ind w:left="280"/>
              <w:spacing w:after="0"/>
              <w:rPr>
                <w:sz w:val="20"/>
                <w:szCs w:val="20"/>
                <w:color w:val="auto"/>
              </w:rPr>
            </w:pPr>
            <w:r>
              <w:rPr>
                <w:rFonts w:ascii="Arial" w:cs="Arial" w:eastAsia="Arial" w:hAnsi="Arial"/>
                <w:sz w:val="12"/>
                <w:szCs w:val="12"/>
                <w:color w:val="auto"/>
                <w:w w:val="89"/>
              </w:rPr>
              <w:t>14</w:t>
            </w: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61,319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7,004</w:t>
            </w:r>
          </w:p>
        </w:tc>
        <w:tc>
          <w:tcPr>
            <w:tcW w:w="80" w:type="dxa"/>
            <w:vAlign w:val="bottom"/>
          </w:tcPr>
          <w:p>
            <w:pPr>
              <w:spacing w:after="0"/>
              <w:rPr>
                <w:sz w:val="12"/>
                <w:szCs w:val="12"/>
                <w:color w:val="auto"/>
              </w:rPr>
            </w:pPr>
          </w:p>
        </w:tc>
        <w:tc>
          <w:tcPr>
            <w:tcW w:w="840" w:type="dxa"/>
            <w:vAlign w:val="bottom"/>
            <w:tcBorders>
              <w:top w:val="single" w:sz="8" w:color="auto"/>
            </w:tcBorders>
          </w:tcPr>
          <w:p>
            <w:pPr>
              <w:jc w:val="center"/>
              <w:ind w:left="260"/>
              <w:spacing w:after="0"/>
              <w:rPr>
                <w:sz w:val="20"/>
                <w:szCs w:val="20"/>
                <w:color w:val="auto"/>
              </w:rPr>
            </w:pPr>
            <w:r>
              <w:rPr>
                <w:rFonts w:ascii="Arial" w:cs="Arial" w:eastAsia="Arial" w:hAnsi="Arial"/>
                <w:sz w:val="12"/>
                <w:szCs w:val="12"/>
                <w:color w:val="auto"/>
                <w:w w:val="89"/>
              </w:rPr>
              <w:t>17</w:t>
            </w: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63,095</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0</wp:posOffset>
            </wp:positionV>
            <wp:extent cx="533209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2095" cy="5715"/>
                    </a:xfrm>
                    <a:prstGeom prst="rect">
                      <a:avLst/>
                    </a:prstGeom>
                    <a:noFill/>
                  </pic:spPr>
                </pic:pic>
              </a:graphicData>
            </a:graphic>
          </wp:anchor>
        </w:drawing>
      </w:r>
    </w:p>
    <w:p>
      <w:pPr>
        <w:ind w:left="540" w:hanging="104"/>
        <w:spacing w:after="0"/>
        <w:tabs>
          <w:tab w:leader="none" w:pos="540" w:val="left"/>
        </w:tabs>
        <w:numPr>
          <w:ilvl w:val="0"/>
          <w:numId w:val="6"/>
        </w:numPr>
        <w:rPr>
          <w:rFonts w:ascii="Arial" w:cs="Arial" w:eastAsia="Arial" w:hAnsi="Arial"/>
          <w:sz w:val="12"/>
          <w:szCs w:val="12"/>
          <w:color w:val="auto"/>
          <w:vertAlign w:val="superscript"/>
        </w:rPr>
      </w:pPr>
      <w:r>
        <w:rPr>
          <w:rFonts w:ascii="Arial" w:cs="Arial" w:eastAsia="Arial" w:hAnsi="Arial"/>
          <w:sz w:val="9"/>
          <w:szCs w:val="9"/>
          <w:color w:val="auto"/>
        </w:rPr>
        <w:t>Default is considered to mean 90 days or more past due as to interest or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-82550</wp:posOffset>
            </wp:positionV>
            <wp:extent cx="533209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2095" cy="5715"/>
                    </a:xfrm>
                    <a:prstGeom prst="rect">
                      <a:avLst/>
                    </a:prstGeom>
                    <a:noFill/>
                  </pic:spPr>
                </pic:pic>
              </a:graphicData>
            </a:graphic>
          </wp:anchor>
        </w:drawing>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TDRs above had an allowance of $5 million and $4 million as of June 30, 2021 and December 31, 2020, respectively.</w:t>
      </w:r>
    </w:p>
    <w:p>
      <w:pPr>
        <w:spacing w:after="0" w:line="384"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5:</w:t>
      </w:r>
      <w:r>
        <w:rPr>
          <w:sz w:val="20"/>
          <w:szCs w:val="20"/>
          <w:color w:val="auto"/>
        </w:rPr>
        <w:tab/>
      </w:r>
      <w:r>
        <w:rPr>
          <w:rFonts w:ascii="Arial" w:cs="Arial" w:eastAsia="Arial" w:hAnsi="Arial"/>
          <w:sz w:val="13"/>
          <w:szCs w:val="13"/>
          <w:b w:val="1"/>
          <w:bCs w:val="1"/>
          <w:color w:val="auto"/>
        </w:rPr>
        <w:t>Derivatives and Hedging</w:t>
      </w:r>
    </w:p>
    <w:p>
      <w:pPr>
        <w:spacing w:after="0" w:line="118" w:lineRule="exact"/>
        <w:rPr>
          <w:sz w:val="20"/>
          <w:szCs w:val="20"/>
          <w:color w:val="auto"/>
        </w:rPr>
      </w:pPr>
    </w:p>
    <w:p>
      <w:pPr>
        <w:ind w:left="100" w:right="160" w:firstLine="324"/>
        <w:spacing w:after="0" w:line="340" w:lineRule="auto"/>
        <w:rPr>
          <w:sz w:val="20"/>
          <w:szCs w:val="20"/>
          <w:color w:val="auto"/>
        </w:rPr>
      </w:pPr>
      <w:r>
        <w:rPr>
          <w:rFonts w:ascii="Arial" w:cs="Arial" w:eastAsia="Arial" w:hAnsi="Arial"/>
          <w:sz w:val="10"/>
          <w:szCs w:val="10"/>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 party, such that the Company minimizes its net risk exposure resulting from such transactions. As the interest rate derivatives associated with this program do not meet the strict hedge accounting requirements, changes in the fair value of both the customer derivatives and the offsetting derivatives are recognized directly in earnings.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6" w:name="page27"/>
    <w:bookmarkEnd w:id="26"/>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and December 31, 2020, the Company had the following outstanding derivatives that were not designated as hedges in qualifying hedging relationships:</w:t>
      </w:r>
    </w:p>
    <w:p>
      <w:pPr>
        <w:spacing w:after="0" w:line="15" w:lineRule="exact"/>
        <w:rPr>
          <w:sz w:val="20"/>
          <w:szCs w:val="20"/>
          <w:color w:val="auto"/>
        </w:rPr>
      </w:pPr>
    </w:p>
    <w:tbl>
      <w:tblPr>
        <w:tblLayout w:type="fixed"/>
        <w:tblInd w:w="100" w:type="dxa"/>
        <w:tblCellMar>
          <w:top w:w="0" w:type="dxa"/>
          <w:left w:w="0" w:type="dxa"/>
          <w:bottom w:w="0" w:type="dxa"/>
          <w:right w:w="0" w:type="dxa"/>
        </w:tblCellMar>
      </w:tblPr>
      <w:tr>
        <w:trPr>
          <w:trHeight w:val="160"/>
        </w:trPr>
        <w:tc>
          <w:tcPr>
            <w:tcW w:w="2400" w:type="dxa"/>
            <w:vAlign w:val="bottom"/>
          </w:tcPr>
          <w:p>
            <w:pPr>
              <w:spacing w:after="0"/>
              <w:rPr>
                <w:sz w:val="13"/>
                <w:szCs w:val="13"/>
                <w:color w:val="auto"/>
              </w:rPr>
            </w:pPr>
          </w:p>
        </w:tc>
        <w:tc>
          <w:tcPr>
            <w:tcW w:w="19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7"/>
              </w:rPr>
              <w:t>June 30, 2021</w:t>
            </w:r>
          </w:p>
        </w:tc>
        <w:tc>
          <w:tcPr>
            <w:tcW w:w="150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8"/>
              </w:rPr>
              <w:t>December 31, 2020</w:t>
            </w:r>
          </w:p>
        </w:tc>
        <w:tc>
          <w:tcPr>
            <w:tcW w:w="1460" w:type="dxa"/>
            <w:vAlign w:val="bottom"/>
            <w:tcBorders>
              <w:top w:val="single" w:sz="8" w:color="auto"/>
              <w:bottom w:val="single" w:sz="8" w:color="auto"/>
            </w:tcBorders>
          </w:tcPr>
          <w:p>
            <w:pPr>
              <w:spacing w:after="0"/>
              <w:rPr>
                <w:sz w:val="13"/>
                <w:szCs w:val="13"/>
                <w:color w:val="auto"/>
              </w:rPr>
            </w:pPr>
          </w:p>
        </w:tc>
      </w:tr>
      <w:tr>
        <w:trPr>
          <w:trHeight w:val="142"/>
        </w:trPr>
        <w:tc>
          <w:tcPr>
            <w:tcW w:w="2400" w:type="dxa"/>
            <w:vAlign w:val="bottom"/>
          </w:tcPr>
          <w:p>
            <w:pPr>
              <w:ind w:left="340"/>
              <w:spacing w:after="0"/>
              <w:rPr>
                <w:sz w:val="20"/>
                <w:szCs w:val="20"/>
                <w:color w:val="auto"/>
              </w:rPr>
            </w:pPr>
            <w:r>
              <w:rPr>
                <w:rFonts w:ascii="Arial" w:cs="Arial" w:eastAsia="Arial" w:hAnsi="Arial"/>
                <w:sz w:val="12"/>
                <w:szCs w:val="12"/>
                <w:b w:val="1"/>
                <w:bCs w:val="1"/>
                <w:color w:val="auto"/>
              </w:rPr>
              <w:t>Product</w:t>
            </w:r>
          </w:p>
        </w:tc>
        <w:tc>
          <w:tcPr>
            <w:tcW w:w="1900" w:type="dxa"/>
            <w:vAlign w:val="bottom"/>
            <w:tcBorders>
              <w:bottom w:val="single" w:sz="8" w:color="auto"/>
            </w:tcBorders>
          </w:tcPr>
          <w:p>
            <w:pPr>
              <w:jc w:val="center"/>
              <w:ind w:left="460"/>
              <w:spacing w:after="0"/>
              <w:rPr>
                <w:sz w:val="20"/>
                <w:szCs w:val="20"/>
                <w:color w:val="auto"/>
              </w:rPr>
            </w:pPr>
            <w:r>
              <w:rPr>
                <w:rFonts w:ascii="Arial" w:cs="Arial" w:eastAsia="Arial" w:hAnsi="Arial"/>
                <w:sz w:val="12"/>
                <w:szCs w:val="12"/>
                <w:b w:val="1"/>
                <w:bCs w:val="1"/>
                <w:color w:val="auto"/>
                <w:w w:val="92"/>
              </w:rPr>
              <w:t>Number of Instruments</w:t>
            </w:r>
          </w:p>
        </w:tc>
        <w:tc>
          <w:tcPr>
            <w:tcW w:w="9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Notional Amount</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 of Instruments</w:t>
            </w:r>
          </w:p>
        </w:tc>
        <w:tc>
          <w:tcPr>
            <w:tcW w:w="10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99"/>
              </w:rPr>
              <w:t>Notional Amount</w:t>
            </w:r>
          </w:p>
        </w:tc>
      </w:tr>
      <w:tr>
        <w:trPr>
          <w:trHeight w:val="131"/>
        </w:trPr>
        <w:tc>
          <w:tcPr>
            <w:tcW w:w="2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0" w:type="dxa"/>
            <w:vAlign w:val="bottom"/>
            <w:gridSpan w:val="3"/>
          </w:tcPr>
          <w:p>
            <w:pPr>
              <w:ind w:left="1220"/>
              <w:spacing w:after="0"/>
              <w:rPr>
                <w:sz w:val="20"/>
                <w:szCs w:val="20"/>
                <w:color w:val="auto"/>
              </w:rPr>
            </w:pPr>
            <w:r>
              <w:rPr>
                <w:rFonts w:ascii="Arial" w:cs="Arial" w:eastAsia="Arial" w:hAnsi="Arial"/>
                <w:sz w:val="11"/>
                <w:szCs w:val="11"/>
                <w:i w:val="1"/>
                <w:iCs w:val="1"/>
                <w:color w:val="auto"/>
                <w:w w:val="89"/>
              </w:rPr>
              <w:t>(Dollars in thousands)</w:t>
            </w: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55"/>
        </w:trPr>
        <w:tc>
          <w:tcPr>
            <w:tcW w:w="24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Back-to-back swaps</w:t>
            </w:r>
          </w:p>
        </w:tc>
        <w:tc>
          <w:tcPr>
            <w:tcW w:w="190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56</w:t>
            </w:r>
          </w:p>
        </w:tc>
        <w:tc>
          <w:tcPr>
            <w:tcW w:w="9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568,413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56</w:t>
            </w:r>
          </w:p>
        </w:tc>
        <w:tc>
          <w:tcPr>
            <w:tcW w:w="10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515,567</w:t>
            </w:r>
          </w:p>
        </w:tc>
      </w:tr>
    </w:tbl>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presents the fair value of the Company’s derivative financial instruments and their classification on the Balance Sheet as of June 30, 2021 and December 31, 2020:</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19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91"/>
              </w:rPr>
              <w:t>Asset Derivatives</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2"/>
              </w:rPr>
              <w:t>Liability Derivatives</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38"/>
        </w:trPr>
        <w:tc>
          <w:tcPr>
            <w:tcW w:w="1960" w:type="dxa"/>
            <w:vAlign w:val="bottom"/>
          </w:tcPr>
          <w:p>
            <w:pPr>
              <w:spacing w:after="0"/>
              <w:rPr>
                <w:sz w:val="12"/>
                <w:szCs w:val="12"/>
                <w:color w:val="auto"/>
              </w:rPr>
            </w:pPr>
          </w:p>
        </w:tc>
        <w:tc>
          <w:tcPr>
            <w:tcW w:w="1520" w:type="dxa"/>
            <w:vAlign w:val="bottom"/>
          </w:tcPr>
          <w:p>
            <w:pPr>
              <w:jc w:val="center"/>
              <w:ind w:left="140"/>
              <w:spacing w:after="0"/>
              <w:rPr>
                <w:sz w:val="20"/>
                <w:szCs w:val="20"/>
                <w:color w:val="auto"/>
              </w:rPr>
            </w:pPr>
            <w:r>
              <w:rPr>
                <w:rFonts w:ascii="Arial" w:cs="Arial" w:eastAsia="Arial" w:hAnsi="Arial"/>
                <w:sz w:val="12"/>
                <w:szCs w:val="12"/>
                <w:b w:val="1"/>
                <w:bCs w:val="1"/>
                <w:color w:val="auto"/>
                <w:w w:val="87"/>
              </w:rPr>
              <w:t>Balance Sheet</w:t>
            </w:r>
          </w:p>
        </w:tc>
        <w:tc>
          <w:tcPr>
            <w:tcW w:w="420" w:type="dxa"/>
            <w:vAlign w:val="bottom"/>
          </w:tcPr>
          <w:p>
            <w:pPr>
              <w:spacing w:after="0"/>
              <w:rPr>
                <w:sz w:val="12"/>
                <w:szCs w:val="12"/>
                <w:color w:val="auto"/>
              </w:rPr>
            </w:pPr>
          </w:p>
        </w:tc>
        <w:tc>
          <w:tcPr>
            <w:tcW w:w="1240" w:type="dxa"/>
            <w:vAlign w:val="bottom"/>
          </w:tcPr>
          <w:p>
            <w:pPr>
              <w:jc w:val="center"/>
              <w:ind w:right="280"/>
              <w:spacing w:after="0"/>
              <w:rPr>
                <w:sz w:val="20"/>
                <w:szCs w:val="20"/>
                <w:color w:val="auto"/>
              </w:rPr>
            </w:pPr>
            <w:r>
              <w:rPr>
                <w:rFonts w:ascii="Arial" w:cs="Arial" w:eastAsia="Arial" w:hAnsi="Arial"/>
                <w:sz w:val="12"/>
                <w:szCs w:val="12"/>
                <w:b w:val="1"/>
                <w:bCs w:val="1"/>
                <w:color w:val="auto"/>
                <w:w w:val="87"/>
              </w:rPr>
              <w:t>June 30,</w:t>
            </w:r>
          </w:p>
        </w:tc>
        <w:tc>
          <w:tcPr>
            <w:tcW w:w="360" w:type="dxa"/>
            <w:vAlign w:val="bottom"/>
          </w:tcPr>
          <w:p>
            <w:pPr>
              <w:spacing w:after="0"/>
              <w:rPr>
                <w:sz w:val="12"/>
                <w:szCs w:val="12"/>
                <w:color w:val="auto"/>
              </w:rPr>
            </w:pPr>
          </w:p>
        </w:tc>
        <w:tc>
          <w:tcPr>
            <w:tcW w:w="1020" w:type="dxa"/>
            <w:vAlign w:val="bottom"/>
          </w:tcPr>
          <w:p>
            <w:pPr>
              <w:jc w:val="center"/>
              <w:ind w:right="82"/>
              <w:spacing w:after="0"/>
              <w:rPr>
                <w:sz w:val="20"/>
                <w:szCs w:val="20"/>
                <w:color w:val="auto"/>
              </w:rPr>
            </w:pPr>
            <w:r>
              <w:rPr>
                <w:rFonts w:ascii="Arial" w:cs="Arial" w:eastAsia="Arial" w:hAnsi="Arial"/>
                <w:sz w:val="12"/>
                <w:szCs w:val="12"/>
                <w:b w:val="1"/>
                <w:bCs w:val="1"/>
                <w:color w:val="auto"/>
                <w:w w:val="87"/>
              </w:rPr>
              <w:t>December 31,</w:t>
            </w:r>
          </w:p>
        </w:tc>
        <w:tc>
          <w:tcPr>
            <w:tcW w:w="80" w:type="dxa"/>
            <w:vAlign w:val="bottom"/>
          </w:tcPr>
          <w:p>
            <w:pPr>
              <w:spacing w:after="0"/>
              <w:rPr>
                <w:sz w:val="12"/>
                <w:szCs w:val="12"/>
                <w:color w:val="auto"/>
              </w:rPr>
            </w:pPr>
          </w:p>
        </w:tc>
        <w:tc>
          <w:tcPr>
            <w:tcW w:w="1540" w:type="dxa"/>
            <w:vAlign w:val="bottom"/>
          </w:tcPr>
          <w:p>
            <w:pPr>
              <w:jc w:val="center"/>
              <w:ind w:left="160"/>
              <w:spacing w:after="0"/>
              <w:rPr>
                <w:sz w:val="20"/>
                <w:szCs w:val="20"/>
                <w:color w:val="auto"/>
              </w:rPr>
            </w:pPr>
            <w:r>
              <w:rPr>
                <w:rFonts w:ascii="Arial" w:cs="Arial" w:eastAsia="Arial" w:hAnsi="Arial"/>
                <w:sz w:val="12"/>
                <w:szCs w:val="12"/>
                <w:b w:val="1"/>
                <w:bCs w:val="1"/>
                <w:color w:val="auto"/>
                <w:w w:val="87"/>
              </w:rPr>
              <w:t>Balance Sheet</w:t>
            </w:r>
          </w:p>
        </w:tc>
        <w:tc>
          <w:tcPr>
            <w:tcW w:w="380" w:type="dxa"/>
            <w:vAlign w:val="bottom"/>
          </w:tcPr>
          <w:p>
            <w:pPr>
              <w:spacing w:after="0"/>
              <w:rPr>
                <w:sz w:val="12"/>
                <w:szCs w:val="12"/>
                <w:color w:val="auto"/>
              </w:rPr>
            </w:pPr>
          </w:p>
        </w:tc>
        <w:tc>
          <w:tcPr>
            <w:tcW w:w="1280" w:type="dxa"/>
            <w:vAlign w:val="bottom"/>
          </w:tcPr>
          <w:p>
            <w:pPr>
              <w:jc w:val="center"/>
              <w:ind w:right="220"/>
              <w:spacing w:after="0"/>
              <w:rPr>
                <w:sz w:val="20"/>
                <w:szCs w:val="20"/>
                <w:color w:val="auto"/>
              </w:rPr>
            </w:pPr>
            <w:r>
              <w:rPr>
                <w:rFonts w:ascii="Arial" w:cs="Arial" w:eastAsia="Arial" w:hAnsi="Arial"/>
                <w:sz w:val="12"/>
                <w:szCs w:val="12"/>
                <w:b w:val="1"/>
                <w:bCs w:val="1"/>
                <w:color w:val="auto"/>
                <w:w w:val="91"/>
              </w:rPr>
              <w:t>June 30,</w:t>
            </w:r>
          </w:p>
        </w:tc>
        <w:tc>
          <w:tcPr>
            <w:tcW w:w="380" w:type="dxa"/>
            <w:vAlign w:val="bottom"/>
          </w:tcPr>
          <w:p>
            <w:pPr>
              <w:spacing w:after="0"/>
              <w:rPr>
                <w:sz w:val="12"/>
                <w:szCs w:val="12"/>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89"/>
              </w:rPr>
              <w:t>December 31,</w:t>
            </w:r>
          </w:p>
        </w:tc>
      </w:tr>
      <w:tr>
        <w:trPr>
          <w:trHeight w:val="157"/>
        </w:trPr>
        <w:tc>
          <w:tcPr>
            <w:tcW w:w="1960" w:type="dxa"/>
            <w:vAlign w:val="bottom"/>
          </w:tcPr>
          <w:p>
            <w:pPr>
              <w:spacing w:after="0"/>
              <w:rPr>
                <w:sz w:val="13"/>
                <w:szCs w:val="13"/>
                <w:color w:val="auto"/>
              </w:rPr>
            </w:pPr>
          </w:p>
        </w:tc>
        <w:tc>
          <w:tcPr>
            <w:tcW w:w="152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7"/>
              </w:rPr>
              <w:t>Location</w:t>
            </w: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91"/>
              </w:rPr>
              <w:t>Location</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r>
      <w:tr>
        <w:trPr>
          <w:trHeight w:val="131"/>
        </w:trPr>
        <w:tc>
          <w:tcPr>
            <w:tcW w:w="1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40" w:type="dxa"/>
            <w:vAlign w:val="bottom"/>
            <w:gridSpan w:val="3"/>
          </w:tcPr>
          <w:p>
            <w:pPr>
              <w:ind w:left="740"/>
              <w:spacing w:after="0"/>
              <w:rPr>
                <w:sz w:val="20"/>
                <w:szCs w:val="20"/>
                <w:color w:val="auto"/>
              </w:rPr>
            </w:pPr>
            <w:r>
              <w:rPr>
                <w:rFonts w:ascii="Arial" w:cs="Arial" w:eastAsia="Arial" w:hAnsi="Arial"/>
                <w:sz w:val="11"/>
                <w:szCs w:val="11"/>
                <w:i w:val="1"/>
                <w:iCs w:val="1"/>
                <w:color w:val="auto"/>
              </w:rPr>
              <w:t>(Dollars in thousands)</w:t>
            </w: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5"/>
        </w:trPr>
        <w:tc>
          <w:tcPr>
            <w:tcW w:w="3480" w:type="dxa"/>
            <w:vAlign w:val="bottom"/>
            <w:gridSpan w:val="2"/>
            <w:shd w:val="clear" w:color="auto" w:fill="CCEEFF"/>
          </w:tcPr>
          <w:p>
            <w:pPr>
              <w:ind w:left="340"/>
              <w:spacing w:after="0"/>
              <w:rPr>
                <w:sz w:val="20"/>
                <w:szCs w:val="20"/>
                <w:color w:val="auto"/>
              </w:rPr>
            </w:pPr>
            <w:r>
              <w:rPr>
                <w:rFonts w:ascii="Arial" w:cs="Arial" w:eastAsia="Arial" w:hAnsi="Arial"/>
                <w:sz w:val="12"/>
                <w:szCs w:val="12"/>
                <w:b w:val="1"/>
                <w:bCs w:val="1"/>
                <w:color w:val="auto"/>
              </w:rPr>
              <w:t>Derivatives not designated as hedging instruments</w:t>
            </w:r>
          </w:p>
        </w:tc>
        <w:tc>
          <w:tcPr>
            <w:tcW w:w="4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1960" w:type="dxa"/>
            <w:vAlign w:val="bottom"/>
          </w:tcPr>
          <w:p>
            <w:pPr>
              <w:ind w:left="420"/>
              <w:spacing w:after="0"/>
              <w:rPr>
                <w:sz w:val="20"/>
                <w:szCs w:val="20"/>
                <w:color w:val="auto"/>
              </w:rPr>
            </w:pPr>
            <w:r>
              <w:rPr>
                <w:rFonts w:ascii="Arial" w:cs="Arial" w:eastAsia="Arial" w:hAnsi="Arial"/>
                <w:sz w:val="12"/>
                <w:szCs w:val="12"/>
                <w:color w:val="auto"/>
              </w:rPr>
              <w:t>Interest rate products</w:t>
            </w:r>
          </w:p>
        </w:tc>
        <w:tc>
          <w:tcPr>
            <w:tcW w:w="1520" w:type="dxa"/>
            <w:vAlign w:val="bottom"/>
          </w:tcPr>
          <w:p>
            <w:pPr>
              <w:ind w:left="320"/>
              <w:spacing w:after="0"/>
              <w:rPr>
                <w:sz w:val="20"/>
                <w:szCs w:val="20"/>
                <w:color w:val="auto"/>
              </w:rPr>
            </w:pPr>
            <w:r>
              <w:rPr>
                <w:rFonts w:ascii="Arial" w:cs="Arial" w:eastAsia="Arial" w:hAnsi="Arial"/>
                <w:sz w:val="12"/>
                <w:szCs w:val="12"/>
                <w:color w:val="auto"/>
              </w:rPr>
              <w:t>Other assets</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80"/>
              <w:spacing w:after="0"/>
              <w:rPr>
                <w:sz w:val="20"/>
                <w:szCs w:val="20"/>
                <w:color w:val="auto"/>
              </w:rPr>
            </w:pPr>
            <w:r>
              <w:rPr>
                <w:rFonts w:ascii="Arial" w:cs="Arial" w:eastAsia="Arial" w:hAnsi="Arial"/>
                <w:sz w:val="12"/>
                <w:szCs w:val="12"/>
                <w:color w:val="auto"/>
              </w:rPr>
              <w:t>17,137</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24,094</w:t>
            </w:r>
          </w:p>
        </w:tc>
        <w:tc>
          <w:tcPr>
            <w:tcW w:w="80" w:type="dxa"/>
            <w:vAlign w:val="bottom"/>
          </w:tcPr>
          <w:p>
            <w:pPr>
              <w:spacing w:after="0"/>
              <w:rPr>
                <w:sz w:val="13"/>
                <w:szCs w:val="13"/>
                <w:color w:val="auto"/>
              </w:rPr>
            </w:pPr>
          </w:p>
        </w:tc>
        <w:tc>
          <w:tcPr>
            <w:tcW w:w="1540" w:type="dxa"/>
            <w:vAlign w:val="bottom"/>
          </w:tcPr>
          <w:p>
            <w:pPr>
              <w:ind w:left="340"/>
              <w:spacing w:after="0"/>
              <w:rPr>
                <w:sz w:val="20"/>
                <w:szCs w:val="20"/>
                <w:color w:val="auto"/>
              </w:rPr>
            </w:pPr>
            <w:r>
              <w:rPr>
                <w:rFonts w:ascii="Arial" w:cs="Arial" w:eastAsia="Arial" w:hAnsi="Arial"/>
                <w:sz w:val="12"/>
                <w:szCs w:val="12"/>
                <w:color w:val="auto"/>
              </w:rPr>
              <w:t>Other liabilities</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180"/>
              <w:spacing w:after="0"/>
              <w:rPr>
                <w:sz w:val="20"/>
                <w:szCs w:val="20"/>
                <w:color w:val="auto"/>
              </w:rPr>
            </w:pPr>
            <w:r>
              <w:rPr>
                <w:rFonts w:ascii="Arial" w:cs="Arial" w:eastAsia="Arial" w:hAnsi="Arial"/>
                <w:sz w:val="12"/>
                <w:szCs w:val="12"/>
                <w:color w:val="auto"/>
              </w:rPr>
              <w:t>17,372</w:t>
            </w: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24,454</w:t>
            </w:r>
          </w:p>
        </w:tc>
      </w:tr>
    </w:tbl>
    <w:p>
      <w:pPr>
        <w:spacing w:after="0" w:line="153"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The effect of the Company’s derivative financial instruments that are not designated as hedging instruments are reported on the Consolidated Statements of Operations as swap fees and credit valuation adjustments, net, which includes swap fees earned upon origination and credit valuation adjustments that represents the risk of a counterparty’s default. The effect of the Company’s derivative financial instruments gain (loss) are reported on the Consolidated Statements of Cash Flows within “Other assets” and “Other liabilities”.</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Time Deposits and Borrowings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scheduled maturities, excluding interest, of the Company’s borrowings at June 30, 2021 were as follows:</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16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June 30, 2021</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00" w:type="dxa"/>
            <w:vAlign w:val="bottom"/>
          </w:tcPr>
          <w:p>
            <w:pPr>
              <w:spacing w:after="0"/>
              <w:rPr>
                <w:sz w:val="9"/>
                <w:szCs w:val="9"/>
                <w:color w:val="auto"/>
              </w:rPr>
            </w:pPr>
          </w:p>
        </w:tc>
        <w:tc>
          <w:tcPr>
            <w:tcW w:w="138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rPr>
              <w:t>Within One Year</w:t>
            </w:r>
          </w:p>
        </w:tc>
        <w:tc>
          <w:tcPr>
            <w:tcW w:w="140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w w:val="98"/>
              </w:rPr>
              <w:t>One to Two Years</w:t>
            </w:r>
          </w:p>
        </w:tc>
        <w:tc>
          <w:tcPr>
            <w:tcW w:w="440" w:type="dxa"/>
            <w:vAlign w:val="bottom"/>
          </w:tcPr>
          <w:p>
            <w:pPr>
              <w:spacing w:after="0"/>
              <w:rPr>
                <w:sz w:val="9"/>
                <w:szCs w:val="9"/>
                <w:color w:val="auto"/>
              </w:rPr>
            </w:pPr>
          </w:p>
        </w:tc>
        <w:tc>
          <w:tcPr>
            <w:tcW w:w="960" w:type="dxa"/>
            <w:vAlign w:val="bottom"/>
            <w:gridSpan w:val="2"/>
          </w:tcPr>
          <w:p>
            <w:pPr>
              <w:ind w:left="40"/>
              <w:spacing w:after="0" w:line="106" w:lineRule="exact"/>
              <w:rPr>
                <w:sz w:val="20"/>
                <w:szCs w:val="20"/>
                <w:color w:val="auto"/>
              </w:rPr>
            </w:pPr>
            <w:r>
              <w:rPr>
                <w:rFonts w:ascii="Arial" w:cs="Arial" w:eastAsia="Arial" w:hAnsi="Arial"/>
                <w:sz w:val="12"/>
                <w:szCs w:val="12"/>
                <w:b w:val="1"/>
                <w:bCs w:val="1"/>
                <w:color w:val="auto"/>
              </w:rPr>
              <w:t>Two to Three</w:t>
            </w:r>
          </w:p>
        </w:tc>
        <w:tc>
          <w:tcPr>
            <w:tcW w:w="420" w:type="dxa"/>
            <w:vAlign w:val="bottom"/>
          </w:tcPr>
          <w:p>
            <w:pPr>
              <w:spacing w:after="0"/>
              <w:rPr>
                <w:sz w:val="9"/>
                <w:szCs w:val="9"/>
                <w:color w:val="auto"/>
              </w:rPr>
            </w:pPr>
          </w:p>
        </w:tc>
        <w:tc>
          <w:tcPr>
            <w:tcW w:w="92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Three to Four</w:t>
            </w:r>
          </w:p>
        </w:tc>
        <w:tc>
          <w:tcPr>
            <w:tcW w:w="440" w:type="dxa"/>
            <w:vAlign w:val="bottom"/>
          </w:tcPr>
          <w:p>
            <w:pPr>
              <w:spacing w:after="0"/>
              <w:rPr>
                <w:sz w:val="9"/>
                <w:szCs w:val="9"/>
                <w:color w:val="auto"/>
              </w:rPr>
            </w:pPr>
          </w:p>
        </w:tc>
        <w:tc>
          <w:tcPr>
            <w:tcW w:w="900" w:type="dxa"/>
            <w:vAlign w:val="bottom"/>
            <w:gridSpan w:val="2"/>
          </w:tcPr>
          <w:p>
            <w:pPr>
              <w:ind w:left="40"/>
              <w:spacing w:after="0" w:line="106" w:lineRule="exact"/>
              <w:rPr>
                <w:sz w:val="20"/>
                <w:szCs w:val="20"/>
                <w:color w:val="auto"/>
              </w:rPr>
            </w:pPr>
            <w:r>
              <w:rPr>
                <w:rFonts w:ascii="Arial" w:cs="Arial" w:eastAsia="Arial" w:hAnsi="Arial"/>
                <w:sz w:val="12"/>
                <w:szCs w:val="12"/>
                <w:b w:val="1"/>
                <w:bCs w:val="1"/>
                <w:color w:val="auto"/>
              </w:rPr>
              <w:t>Four to Five</w:t>
            </w:r>
          </w:p>
        </w:tc>
        <w:tc>
          <w:tcPr>
            <w:tcW w:w="380" w:type="dxa"/>
            <w:vAlign w:val="bottom"/>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After Five Years</w:t>
            </w:r>
          </w:p>
        </w:tc>
        <w:tc>
          <w:tcPr>
            <w:tcW w:w="560" w:type="dxa"/>
            <w:vAlign w:val="bottom"/>
          </w:tcPr>
          <w:p>
            <w:pPr>
              <w:spacing w:after="0"/>
              <w:rPr>
                <w:sz w:val="9"/>
                <w:szCs w:val="9"/>
                <w:color w:val="auto"/>
              </w:rPr>
            </w:pPr>
          </w:p>
        </w:tc>
        <w:tc>
          <w:tcPr>
            <w:tcW w:w="800" w:type="dxa"/>
            <w:vAlign w:val="bottom"/>
            <w:vMerge w:val="restart"/>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Years</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Years</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Years</w:t>
            </w: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3"/>
          </w:tcPr>
          <w:p>
            <w:pPr>
              <w:ind w:left="300"/>
              <w:spacing w:after="0"/>
              <w:rPr>
                <w:sz w:val="20"/>
                <w:szCs w:val="20"/>
                <w:color w:val="auto"/>
              </w:rPr>
            </w:pPr>
            <w:r>
              <w:rPr>
                <w:rFonts w:ascii="Arial" w:cs="Arial" w:eastAsia="Arial" w:hAnsi="Arial"/>
                <w:sz w:val="11"/>
                <w:szCs w:val="11"/>
                <w:i w:val="1"/>
                <w:iCs w:val="1"/>
                <w:color w:val="auto"/>
                <w:w w:val="95"/>
              </w:rPr>
              <w:t>(Dollars in thousands)</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Time deposits</w:t>
            </w:r>
          </w:p>
        </w:tc>
        <w:tc>
          <w:tcPr>
            <w:tcW w:w="6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644,849</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118,554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38,898</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804,047</w:t>
            </w:r>
          </w:p>
        </w:tc>
        <w:tc>
          <w:tcPr>
            <w:tcW w:w="0" w:type="dxa"/>
            <w:vAlign w:val="bottom"/>
          </w:tcPr>
          <w:p>
            <w:pPr>
              <w:spacing w:after="0"/>
              <w:rPr>
                <w:sz w:val="1"/>
                <w:szCs w:val="1"/>
                <w:color w:val="auto"/>
              </w:rPr>
            </w:pPr>
          </w:p>
        </w:tc>
      </w:tr>
      <w:tr>
        <w:trPr>
          <w:trHeight w:val="153"/>
        </w:trPr>
        <w:tc>
          <w:tcPr>
            <w:tcW w:w="1600" w:type="dxa"/>
            <w:vAlign w:val="bottom"/>
          </w:tcPr>
          <w:p>
            <w:pPr>
              <w:ind w:left="340"/>
              <w:spacing w:after="0"/>
              <w:rPr>
                <w:sz w:val="20"/>
                <w:szCs w:val="20"/>
                <w:color w:val="auto"/>
              </w:rPr>
            </w:pPr>
            <w:r>
              <w:rPr>
                <w:rFonts w:ascii="Arial" w:cs="Arial" w:eastAsia="Arial" w:hAnsi="Arial"/>
                <w:sz w:val="12"/>
                <w:szCs w:val="12"/>
                <w:color w:val="auto"/>
              </w:rPr>
              <w:t>FHLB borrowings</w:t>
            </w:r>
          </w:p>
        </w:tc>
        <w:tc>
          <w:tcPr>
            <w:tcW w:w="6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21,500</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41,500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5,100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215,000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283,100</w:t>
            </w:r>
          </w:p>
        </w:tc>
        <w:tc>
          <w:tcPr>
            <w:tcW w:w="0" w:type="dxa"/>
            <w:vAlign w:val="bottom"/>
          </w:tcPr>
          <w:p>
            <w:pPr>
              <w:spacing w:after="0"/>
              <w:rPr>
                <w:sz w:val="1"/>
                <w:szCs w:val="1"/>
                <w:color w:val="auto"/>
              </w:rPr>
            </w:pPr>
          </w:p>
        </w:tc>
      </w:tr>
      <w:tr>
        <w:trPr>
          <w:trHeight w:val="117"/>
        </w:trPr>
        <w:tc>
          <w:tcPr>
            <w:tcW w:w="1600" w:type="dxa"/>
            <w:vAlign w:val="bottom"/>
            <w:shd w:val="clear" w:color="auto" w:fill="CCEEFF"/>
          </w:tcPr>
          <w:p>
            <w:pPr>
              <w:ind w:left="340"/>
              <w:spacing w:after="0" w:line="117" w:lineRule="exact"/>
              <w:rPr>
                <w:sz w:val="20"/>
                <w:szCs w:val="20"/>
                <w:color w:val="auto"/>
              </w:rPr>
            </w:pPr>
            <w:r>
              <w:rPr>
                <w:rFonts w:ascii="Arial" w:cs="Arial" w:eastAsia="Arial" w:hAnsi="Arial"/>
                <w:sz w:val="12"/>
                <w:szCs w:val="12"/>
                <w:color w:val="auto"/>
              </w:rPr>
              <w:t>Trust preferred</w:t>
            </w:r>
          </w:p>
        </w:tc>
        <w:tc>
          <w:tcPr>
            <w:tcW w:w="6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986</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986</w:t>
            </w:r>
          </w:p>
        </w:tc>
        <w:tc>
          <w:tcPr>
            <w:tcW w:w="0" w:type="dxa"/>
            <w:vAlign w:val="bottom"/>
          </w:tcPr>
          <w:p>
            <w:pPr>
              <w:spacing w:after="0"/>
              <w:rPr>
                <w:sz w:val="1"/>
                <w:szCs w:val="1"/>
                <w:color w:val="auto"/>
              </w:rPr>
            </w:pPr>
          </w:p>
        </w:tc>
      </w:tr>
      <w:tr>
        <w:trPr>
          <w:trHeight w:val="153"/>
        </w:trPr>
        <w:tc>
          <w:tcPr>
            <w:tcW w:w="160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securities</w:t>
            </w:r>
            <w:r>
              <w:rPr>
                <w:rFonts w:ascii="Arial" w:cs="Arial" w:eastAsia="Arial" w:hAnsi="Arial"/>
                <w:sz w:val="15"/>
                <w:szCs w:val="15"/>
                <w:color w:val="auto"/>
                <w:vertAlign w:val="superscript"/>
              </w:rPr>
              <w:t>(1)</w:t>
            </w:r>
          </w:p>
        </w:tc>
        <w:tc>
          <w:tcPr>
            <w:tcW w:w="64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666,349</w:t>
            </w: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160,054</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38,898</w:t>
            </w: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5,390</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1,456</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215,986</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1,088,133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200" w:hanging="100"/>
        <w:spacing w:after="0"/>
        <w:tabs>
          <w:tab w:leader="none" w:pos="200" w:val="left"/>
        </w:tabs>
        <w:numPr>
          <w:ilvl w:val="0"/>
          <w:numId w:val="7"/>
        </w:numPr>
        <w:rPr>
          <w:rFonts w:ascii="Arial" w:cs="Arial" w:eastAsia="Arial" w:hAnsi="Arial"/>
          <w:sz w:val="12"/>
          <w:szCs w:val="12"/>
          <w:color w:val="auto"/>
          <w:vertAlign w:val="superscript"/>
        </w:rPr>
      </w:pPr>
      <w:r>
        <w:rPr>
          <w:rFonts w:ascii="Arial" w:cs="Arial" w:eastAsia="Arial" w:hAnsi="Arial"/>
          <w:sz w:val="9"/>
          <w:szCs w:val="9"/>
          <w:color w:val="auto"/>
        </w:rPr>
        <w:t>The contract value of the trust preferred securities is $2.6 million and is currently being accreted to the maturity date of 2035.</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Note 7:</w:t>
            </w:r>
          </w:p>
        </w:tc>
        <w:tc>
          <w:tcPr>
            <w:tcW w:w="48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Change in Accumulated Other Comprehensive Income (“AOCI”)</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11200" w:type="dxa"/>
            <w:vAlign w:val="bottom"/>
            <w:gridSpan w:val="15"/>
          </w:tcPr>
          <w:p>
            <w:pPr>
              <w:ind w:left="320"/>
              <w:spacing w:after="0"/>
              <w:rPr>
                <w:sz w:val="20"/>
                <w:szCs w:val="20"/>
                <w:color w:val="auto"/>
              </w:rPr>
            </w:pPr>
            <w:r>
              <w:rPr>
                <w:rFonts w:ascii="Arial" w:cs="Arial" w:eastAsia="Arial" w:hAnsi="Arial"/>
                <w:sz w:val="12"/>
                <w:szCs w:val="12"/>
                <w:color w:val="auto"/>
              </w:rPr>
              <w:t>Amounts reclassified from AOCI and the affected line items in the Consolidated Statements of Operations during the three- and six-months ended June 30, 2021 and 2020, were as follows:</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2"/>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w w:val="94"/>
              </w:rPr>
              <w:t>Six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2"/>
                <w:szCs w:val="12"/>
                <w:b w:val="1"/>
                <w:bCs w:val="1"/>
                <w:color w:val="auto"/>
                <w:w w:val="83"/>
              </w:rPr>
              <w:t>June 30,</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2"/>
                <w:szCs w:val="12"/>
                <w:b w:val="1"/>
                <w:bCs w:val="1"/>
                <w:color w:val="auto"/>
                <w:w w:val="83"/>
              </w:rPr>
              <w:t>June 30,</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Pr>
          <w:p>
            <w:pPr>
              <w:ind w:left="880"/>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12"/>
                <w:szCs w:val="12"/>
                <w:b w:val="1"/>
                <w:bCs w:val="1"/>
                <w:color w:val="auto"/>
              </w:rPr>
              <w:t>Statements of Operations</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1"/>
                <w:szCs w:val="11"/>
                <w:i w:val="1"/>
                <w:iCs w:val="1"/>
                <w:color w:val="auto"/>
                <w:w w:val="93"/>
              </w:rPr>
              <w:t>(Dollars in thousands)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660" w:type="dxa"/>
            <w:vAlign w:val="bottom"/>
            <w:gridSpan w:val="2"/>
            <w:shd w:val="clear" w:color="auto" w:fill="CCEEFF"/>
          </w:tcPr>
          <w:p>
            <w:pPr>
              <w:ind w:left="20"/>
              <w:spacing w:after="0" w:line="120" w:lineRule="exact"/>
              <w:rPr>
                <w:sz w:val="20"/>
                <w:szCs w:val="20"/>
                <w:color w:val="auto"/>
              </w:rPr>
            </w:pPr>
            <w:r>
              <w:rPr>
                <w:rFonts w:ascii="Arial" w:cs="Arial" w:eastAsia="Arial" w:hAnsi="Arial"/>
                <w:sz w:val="12"/>
                <w:szCs w:val="12"/>
                <w:color w:val="auto"/>
              </w:rPr>
              <w:t>Unrealized gains (losses) on available-for-sale</w:t>
            </w:r>
          </w:p>
        </w:tc>
        <w:tc>
          <w:tcPr>
            <w:tcW w:w="1000" w:type="dxa"/>
            <w:vAlign w:val="bottom"/>
            <w:vMerge w:val="restart"/>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12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14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80" w:type="dxa"/>
            <w:vAlign w:val="bottom"/>
            <w:shd w:val="clear" w:color="auto" w:fill="CCEEFF"/>
          </w:tcPr>
          <w:p>
            <w:pPr>
              <w:spacing w:after="0"/>
              <w:rPr>
                <w:sz w:val="10"/>
                <w:szCs w:val="10"/>
                <w:color w:val="auto"/>
              </w:rPr>
            </w:pPr>
          </w:p>
        </w:tc>
        <w:tc>
          <w:tcPr>
            <w:tcW w:w="2740" w:type="dxa"/>
            <w:vAlign w:val="bottom"/>
            <w:shd w:val="clear" w:color="auto" w:fill="CCEEFF"/>
          </w:tcPr>
          <w:p>
            <w:pPr>
              <w:ind w:left="340"/>
              <w:spacing w:after="0" w:line="120" w:lineRule="exact"/>
              <w:rPr>
                <w:sz w:val="20"/>
                <w:szCs w:val="20"/>
                <w:color w:val="auto"/>
              </w:rPr>
            </w:pPr>
            <w:r>
              <w:rPr>
                <w:rFonts w:ascii="Arial" w:cs="Arial" w:eastAsia="Arial" w:hAnsi="Arial"/>
                <w:sz w:val="12"/>
                <w:szCs w:val="12"/>
                <w:color w:val="auto"/>
              </w:rPr>
              <w:t>Gain (loss) on sale of available-for-sale debt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6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securities</w:t>
            </w:r>
          </w:p>
        </w:tc>
        <w:tc>
          <w:tcPr>
            <w:tcW w:w="100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tax expense (benefit) effect</w:t>
            </w:r>
          </w:p>
        </w:tc>
        <w:tc>
          <w:tcPr>
            <w:tcW w:w="10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174</w:t>
            </w:r>
          </w:p>
        </w:tc>
        <w:tc>
          <w:tcPr>
            <w:tcW w:w="8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Income tax expense (benefit)</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Net reclassified amount</w:t>
            </w:r>
          </w:p>
        </w:tc>
        <w:tc>
          <w:tcPr>
            <w:tcW w:w="100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w:t>
            </w:r>
          </w:p>
        </w:tc>
        <w:tc>
          <w:tcPr>
            <w:tcW w:w="80" w:type="dxa"/>
            <w:vAlign w:val="bottom"/>
            <w:tcBorders>
              <w:bottom w:val="single" w:sz="8" w:color="CCEEFF"/>
            </w:tcBorders>
            <w:shd w:val="clear" w:color="auto" w:fill="CCEEFF"/>
          </w:tcPr>
          <w:p>
            <w:pPr>
              <w:spacing w:after="0"/>
              <w:rPr>
                <w:sz w:val="13"/>
                <w:szCs w:val="13"/>
                <w:color w:val="auto"/>
              </w:rPr>
            </w:pPr>
          </w:p>
        </w:tc>
        <w:tc>
          <w:tcPr>
            <w:tcW w:w="27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7" w:name="page28"/>
    <w:bookmarkEnd w:id="27"/>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8:</w:t>
      </w:r>
      <w:r>
        <w:rPr>
          <w:sz w:val="20"/>
          <w:szCs w:val="20"/>
          <w:color w:val="auto"/>
        </w:rPr>
        <w:tab/>
      </w:r>
      <w:r>
        <w:rPr>
          <w:rFonts w:ascii="Arial" w:cs="Arial" w:eastAsia="Arial" w:hAnsi="Arial"/>
          <w:sz w:val="13"/>
          <w:szCs w:val="13"/>
          <w:b w:val="1"/>
          <w:bCs w:val="1"/>
          <w:color w:val="auto"/>
        </w:rPr>
        <w:t>Regulatory Matters</w:t>
      </w:r>
    </w:p>
    <w:p>
      <w:pPr>
        <w:spacing w:after="0" w:line="118"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June 30, 2021, the Company and the Bank met all capital adequacy requirements to which they are subject.</w:t>
      </w:r>
    </w:p>
    <w:p>
      <w:pPr>
        <w:spacing w:after="0" w:line="86" w:lineRule="exact"/>
        <w:rPr>
          <w:sz w:val="20"/>
          <w:szCs w:val="20"/>
          <w:color w:val="auto"/>
        </w:rPr>
      </w:pPr>
    </w:p>
    <w:p>
      <w:pPr>
        <w:ind w:left="100" w:right="260" w:firstLine="324"/>
        <w:spacing w:after="0" w:line="263" w:lineRule="auto"/>
        <w:rPr>
          <w:sz w:val="20"/>
          <w:szCs w:val="20"/>
          <w:color w:val="auto"/>
        </w:rPr>
      </w:pPr>
      <w:r>
        <w:rPr>
          <w:rFonts w:ascii="Arial" w:cs="Arial" w:eastAsia="Arial" w:hAnsi="Arial"/>
          <w:sz w:val="12"/>
          <w:szCs w:val="12"/>
          <w:color w:val="auto"/>
        </w:rPr>
        <w:t>The capital rules require the Company to maintain a 2.5% capital conservation buffer with respect to Common Equity Tier I capital, Tier I capital to risk-weighted assets, and total capital to risk-weighted assets, which is included in the column “Minimum Capital Required - Basel III” within the table below. A financial institution with a conservation buffer of less than the required amount is subject to limitations on capital distributions, including dividend payments and stock repurchases, as well as certain discretionary bonus payments to executive officers.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Company’s and the Bank’s actual capital amounts and ratios as of June 30, 2021 and December 31, 2020 are presented in the following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Actual</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Minimum Capital Required - Basel III</w:t>
            </w:r>
          </w:p>
        </w:tc>
        <w:tc>
          <w:tcPr>
            <w:tcW w:w="80" w:type="dxa"/>
            <w:vAlign w:val="bottom"/>
          </w:tcPr>
          <w:p>
            <w:pPr>
              <w:spacing w:after="0"/>
              <w:rPr>
                <w:sz w:val="14"/>
                <w:szCs w:val="1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1"/>
              </w:rPr>
              <w:t>Required to be Considered Well Capitalized</w:t>
            </w:r>
          </w:p>
        </w:tc>
        <w:tc>
          <w:tcPr>
            <w:tcW w:w="20" w:type="dxa"/>
            <w:vAlign w:val="bottom"/>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580"/>
              <w:spacing w:after="0"/>
              <w:rPr>
                <w:sz w:val="20"/>
                <w:szCs w:val="20"/>
                <w:color w:val="auto"/>
              </w:rPr>
            </w:pPr>
            <w:r>
              <w:rPr>
                <w:rFonts w:ascii="Arial" w:cs="Arial" w:eastAsia="Arial" w:hAnsi="Arial"/>
                <w:sz w:val="12"/>
                <w:szCs w:val="12"/>
                <w:b w:val="1"/>
                <w:bCs w:val="1"/>
                <w:color w:val="auto"/>
              </w:rPr>
              <w:t>Amount</w:t>
            </w:r>
          </w:p>
        </w:tc>
        <w:tc>
          <w:tcPr>
            <w:tcW w:w="1020" w:type="dxa"/>
            <w:vAlign w:val="bottom"/>
            <w:gridSpan w:val="2"/>
          </w:tcPr>
          <w:p>
            <w:pPr>
              <w:ind w:left="200"/>
              <w:spacing w:after="0"/>
              <w:rPr>
                <w:sz w:val="20"/>
                <w:szCs w:val="20"/>
                <w:color w:val="auto"/>
              </w:rPr>
            </w:pPr>
            <w:r>
              <w:rPr>
                <w:rFonts w:ascii="Arial" w:cs="Arial" w:eastAsia="Arial" w:hAnsi="Arial"/>
                <w:sz w:val="12"/>
                <w:szCs w:val="12"/>
                <w:b w:val="1"/>
                <w:bCs w:val="1"/>
                <w:color w:val="auto"/>
              </w:rPr>
              <w:t>Ratio</w:t>
            </w:r>
          </w:p>
        </w:tc>
        <w:tc>
          <w:tcPr>
            <w:tcW w:w="1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tcPr>
          <w:p>
            <w:pPr>
              <w:ind w:left="280"/>
              <w:spacing w:after="0"/>
              <w:rPr>
                <w:sz w:val="20"/>
                <w:szCs w:val="20"/>
                <w:color w:val="auto"/>
              </w:rPr>
            </w:pPr>
            <w:r>
              <w:rPr>
                <w:rFonts w:ascii="Arial" w:cs="Arial" w:eastAsia="Arial" w:hAnsi="Arial"/>
                <w:sz w:val="12"/>
                <w:szCs w:val="12"/>
                <w:b w:val="1"/>
                <w:bCs w:val="1"/>
                <w:color w:val="auto"/>
              </w:rPr>
              <w:t>Ratio</w:t>
            </w:r>
          </w:p>
        </w:tc>
        <w:tc>
          <w:tcPr>
            <w:tcW w:w="200" w:type="dxa"/>
            <w:vAlign w:val="bottom"/>
          </w:tcPr>
          <w:p>
            <w:pPr>
              <w:spacing w:after="0"/>
              <w:rPr>
                <w:sz w:val="14"/>
                <w:szCs w:val="14"/>
                <w:color w:val="auto"/>
              </w:rPr>
            </w:pPr>
          </w:p>
        </w:tc>
        <w:tc>
          <w:tcPr>
            <w:tcW w:w="1140" w:type="dxa"/>
            <w:vAlign w:val="bottom"/>
          </w:tcPr>
          <w:p>
            <w:pPr>
              <w:jc w:val="right"/>
              <w:ind w:right="520"/>
              <w:spacing w:after="0"/>
              <w:rPr>
                <w:sz w:val="20"/>
                <w:szCs w:val="20"/>
                <w:color w:val="auto"/>
              </w:rPr>
            </w:pPr>
            <w:r>
              <w:rPr>
                <w:rFonts w:ascii="Arial" w:cs="Arial" w:eastAsia="Arial" w:hAnsi="Arial"/>
                <w:sz w:val="12"/>
                <w:szCs w:val="12"/>
                <w:b w:val="1"/>
                <w:bCs w:val="1"/>
                <w:color w:val="auto"/>
              </w:rPr>
              <w:t>Amount</w:t>
            </w:r>
          </w:p>
        </w:tc>
        <w:tc>
          <w:tcPr>
            <w:tcW w:w="1020" w:type="dxa"/>
            <w:vAlign w:val="bottom"/>
            <w:gridSpan w:val="2"/>
          </w:tcPr>
          <w:p>
            <w:pPr>
              <w:ind w:left="280"/>
              <w:spacing w:after="0"/>
              <w:rPr>
                <w:sz w:val="20"/>
                <w:szCs w:val="20"/>
                <w:color w:val="auto"/>
              </w:rPr>
            </w:pPr>
            <w:r>
              <w:rPr>
                <w:rFonts w:ascii="Arial" w:cs="Arial" w:eastAsia="Arial" w:hAnsi="Arial"/>
                <w:sz w:val="12"/>
                <w:szCs w:val="12"/>
                <w:b w:val="1"/>
                <w:bCs w:val="1"/>
                <w:color w:val="auto"/>
              </w:rPr>
              <w:t>Ratio</w:t>
            </w:r>
          </w:p>
        </w:tc>
      </w:tr>
      <w:tr>
        <w:trPr>
          <w:trHeight w:val="169"/>
        </w:trPr>
        <w:tc>
          <w:tcPr>
            <w:tcW w:w="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3"/>
          </w:tcPr>
          <w:p>
            <w:pPr>
              <w:ind w:left="500"/>
              <w:spacing w:after="0"/>
              <w:rPr>
                <w:sz w:val="20"/>
                <w:szCs w:val="20"/>
                <w:color w:val="auto"/>
              </w:rPr>
            </w:pPr>
            <w:r>
              <w:rPr>
                <w:rFonts w:ascii="Arial" w:cs="Arial" w:eastAsia="Arial" w:hAnsi="Arial"/>
                <w:sz w:val="12"/>
                <w:szCs w:val="12"/>
                <w:i w:val="1"/>
                <w:iCs w:val="1"/>
                <w:color w:val="auto"/>
              </w:rPr>
              <w:t>(Dollars in thousands)</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100" w:type="dxa"/>
            <w:vAlign w:val="bottom"/>
          </w:tcPr>
          <w:p>
            <w:pPr>
              <w:spacing w:after="0"/>
              <w:rPr>
                <w:sz w:val="16"/>
                <w:szCs w:val="16"/>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June 30, 2021</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00" w:type="dxa"/>
            <w:vAlign w:val="bottom"/>
          </w:tcPr>
          <w:p>
            <w:pPr>
              <w:spacing w:after="0"/>
              <w:rPr>
                <w:sz w:val="14"/>
                <w:szCs w:val="14"/>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Capital to Risk-Weighted Assets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671,355</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w w:val="90"/>
              </w:rPr>
              <w:t>13.7 %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515,660</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5"/>
                <w:szCs w:val="15"/>
                <w:color w:val="auto"/>
              </w:rPr>
            </w:pPr>
          </w:p>
        </w:tc>
      </w:tr>
      <w:tr>
        <w:trPr>
          <w:trHeight w:val="171"/>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Bank</w:t>
            </w:r>
          </w:p>
        </w:tc>
        <w:tc>
          <w:tcPr>
            <w:tcW w:w="200" w:type="dxa"/>
            <w:vAlign w:val="bottom"/>
          </w:tcPr>
          <w:p>
            <w:pPr>
              <w:spacing w:after="0"/>
              <w:rPr>
                <w:sz w:val="14"/>
                <w:szCs w:val="14"/>
                <w:color w:val="auto"/>
              </w:rPr>
            </w:pP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640,383</w:t>
            </w:r>
          </w:p>
        </w:tc>
        <w:tc>
          <w:tcPr>
            <w:tcW w:w="940" w:type="dxa"/>
            <w:vAlign w:val="bottom"/>
          </w:tcPr>
          <w:p>
            <w:pPr>
              <w:ind w:left="580"/>
              <w:spacing w:after="0"/>
              <w:rPr>
                <w:sz w:val="20"/>
                <w:szCs w:val="20"/>
                <w:color w:val="auto"/>
              </w:rPr>
            </w:pPr>
            <w:r>
              <w:rPr>
                <w:rFonts w:ascii="Arial" w:cs="Arial" w:eastAsia="Arial" w:hAnsi="Arial"/>
                <w:sz w:val="12"/>
                <w:szCs w:val="12"/>
                <w:color w:val="auto"/>
              </w:rPr>
              <w:t>13.0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ind w:left="520"/>
              <w:spacing w:after="0"/>
              <w:rPr>
                <w:sz w:val="20"/>
                <w:szCs w:val="20"/>
                <w:color w:val="auto"/>
              </w:rPr>
            </w:pPr>
            <w:r>
              <w:rPr>
                <w:rFonts w:ascii="Arial" w:cs="Arial" w:eastAsia="Arial" w:hAnsi="Arial"/>
                <w:sz w:val="12"/>
                <w:szCs w:val="12"/>
                <w:color w:val="auto"/>
              </w:rPr>
              <w:t>515,444</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40"/>
              <w:spacing w:after="0"/>
              <w:rPr>
                <w:sz w:val="20"/>
                <w:szCs w:val="20"/>
                <w:color w:val="auto"/>
              </w:rPr>
            </w:pPr>
            <w:r>
              <w:rPr>
                <w:rFonts w:ascii="Arial" w:cs="Arial" w:eastAsia="Arial" w:hAnsi="Arial"/>
                <w:sz w:val="12"/>
                <w:szCs w:val="12"/>
                <w:color w:val="auto"/>
              </w:rPr>
              <w:t>490,899</w:t>
            </w:r>
          </w:p>
        </w:tc>
        <w:tc>
          <w:tcPr>
            <w:tcW w:w="1000" w:type="dxa"/>
            <w:vAlign w:val="bottom"/>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Tier I Capital to Risk-Weighted Assets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tcPr>
          <w:p>
            <w:pPr>
              <w:spacing w:after="0"/>
              <w:rPr>
                <w:sz w:val="14"/>
                <w:szCs w:val="14"/>
                <w:color w:val="auto"/>
              </w:rPr>
            </w:pP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609,792</w:t>
            </w:r>
          </w:p>
        </w:tc>
        <w:tc>
          <w:tcPr>
            <w:tcW w:w="940" w:type="dxa"/>
            <w:vAlign w:val="bottom"/>
          </w:tcPr>
          <w:p>
            <w:pPr>
              <w:ind w:left="580"/>
              <w:spacing w:after="0"/>
              <w:rPr>
                <w:sz w:val="20"/>
                <w:szCs w:val="20"/>
                <w:color w:val="auto"/>
              </w:rPr>
            </w:pPr>
            <w:r>
              <w:rPr>
                <w:rFonts w:ascii="Arial" w:cs="Arial" w:eastAsia="Arial" w:hAnsi="Arial"/>
                <w:sz w:val="12"/>
                <w:szCs w:val="12"/>
                <w:color w:val="auto"/>
              </w:rPr>
              <w:t>12.4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ind w:left="520"/>
              <w:spacing w:after="0"/>
              <w:rPr>
                <w:sz w:val="20"/>
                <w:szCs w:val="20"/>
                <w:color w:val="auto"/>
              </w:rPr>
            </w:pPr>
            <w:r>
              <w:rPr>
                <w:rFonts w:ascii="Arial" w:cs="Arial" w:eastAsia="Arial" w:hAnsi="Arial"/>
                <w:sz w:val="12"/>
                <w:szCs w:val="12"/>
                <w:color w:val="auto"/>
              </w:rPr>
              <w:t>417,439</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N/A</w:t>
            </w:r>
          </w:p>
        </w:tc>
      </w:tr>
      <w:tr>
        <w:trPr>
          <w:trHeight w:val="189"/>
        </w:trPr>
        <w:tc>
          <w:tcPr>
            <w:tcW w:w="100" w:type="dxa"/>
            <w:vAlign w:val="bottom"/>
          </w:tcPr>
          <w:p>
            <w:pPr>
              <w:spacing w:after="0"/>
              <w:rPr>
                <w:sz w:val="16"/>
                <w:szCs w:val="16"/>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Bank</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578,846</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417,264</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392,719</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8.0</w:t>
            </w:r>
          </w:p>
        </w:tc>
        <w:tc>
          <w:tcPr>
            <w:tcW w:w="20" w:type="dxa"/>
            <w:vAlign w:val="bottom"/>
          </w:tcPr>
          <w:p>
            <w:pPr>
              <w:spacing w:after="0"/>
              <w:rPr>
                <w:sz w:val="16"/>
                <w:szCs w:val="16"/>
                <w:color w:val="auto"/>
              </w:rPr>
            </w:pPr>
          </w:p>
        </w:tc>
      </w:tr>
      <w:tr>
        <w:trPr>
          <w:trHeight w:val="171"/>
        </w:trPr>
        <w:tc>
          <w:tcPr>
            <w:tcW w:w="100" w:type="dxa"/>
            <w:vAlign w:val="bottom"/>
          </w:tcPr>
          <w:p>
            <w:pPr>
              <w:spacing w:after="0"/>
              <w:rPr>
                <w:sz w:val="14"/>
                <w:szCs w:val="14"/>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Common Equity Tier 1 to Risk-Weighted Assets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608,806</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343,773</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5"/>
                <w:szCs w:val="15"/>
                <w:color w:val="auto"/>
              </w:rPr>
            </w:pPr>
          </w:p>
        </w:tc>
      </w:tr>
      <w:tr>
        <w:trPr>
          <w:trHeight w:val="171"/>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Bank</w:t>
            </w:r>
          </w:p>
        </w:tc>
        <w:tc>
          <w:tcPr>
            <w:tcW w:w="200" w:type="dxa"/>
            <w:vAlign w:val="bottom"/>
          </w:tcPr>
          <w:p>
            <w:pPr>
              <w:spacing w:after="0"/>
              <w:rPr>
                <w:sz w:val="14"/>
                <w:szCs w:val="14"/>
                <w:color w:val="auto"/>
              </w:rPr>
            </w:pP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578,846</w:t>
            </w:r>
          </w:p>
        </w:tc>
        <w:tc>
          <w:tcPr>
            <w:tcW w:w="940" w:type="dxa"/>
            <w:vAlign w:val="bottom"/>
          </w:tcPr>
          <w:p>
            <w:pPr>
              <w:ind w:left="580"/>
              <w:spacing w:after="0"/>
              <w:rPr>
                <w:sz w:val="20"/>
                <w:szCs w:val="20"/>
                <w:color w:val="auto"/>
              </w:rPr>
            </w:pPr>
            <w:r>
              <w:rPr>
                <w:rFonts w:ascii="Arial" w:cs="Arial" w:eastAsia="Arial" w:hAnsi="Arial"/>
                <w:sz w:val="12"/>
                <w:szCs w:val="12"/>
                <w:color w:val="auto"/>
              </w:rPr>
              <w:t>11.8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ind w:left="520"/>
              <w:spacing w:after="0"/>
              <w:rPr>
                <w:sz w:val="20"/>
                <w:szCs w:val="20"/>
                <w:color w:val="auto"/>
              </w:rPr>
            </w:pPr>
            <w:r>
              <w:rPr>
                <w:rFonts w:ascii="Arial" w:cs="Arial" w:eastAsia="Arial" w:hAnsi="Arial"/>
                <w:sz w:val="12"/>
                <w:szCs w:val="12"/>
                <w:color w:val="auto"/>
              </w:rPr>
              <w:t>343,629</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40"/>
              <w:spacing w:after="0"/>
              <w:rPr>
                <w:sz w:val="20"/>
                <w:szCs w:val="20"/>
                <w:color w:val="auto"/>
              </w:rPr>
            </w:pPr>
            <w:r>
              <w:rPr>
                <w:rFonts w:ascii="Arial" w:cs="Arial" w:eastAsia="Arial" w:hAnsi="Arial"/>
                <w:sz w:val="12"/>
                <w:szCs w:val="12"/>
                <w:color w:val="auto"/>
              </w:rPr>
              <w:t>319,085</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6.5</w:t>
            </w:r>
          </w:p>
        </w:tc>
        <w:tc>
          <w:tcPr>
            <w:tcW w:w="2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Tier I Capital to Average Assets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tcPr>
          <w:p>
            <w:pPr>
              <w:spacing w:after="0"/>
              <w:rPr>
                <w:sz w:val="14"/>
                <w:szCs w:val="14"/>
                <w:color w:val="auto"/>
              </w:rPr>
            </w:pP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609,792</w:t>
            </w:r>
          </w:p>
        </w:tc>
        <w:tc>
          <w:tcPr>
            <w:tcW w:w="940" w:type="dxa"/>
            <w:vAlign w:val="bottom"/>
          </w:tcPr>
          <w:p>
            <w:pPr>
              <w:ind w:left="580"/>
              <w:spacing w:after="0"/>
              <w:rPr>
                <w:sz w:val="20"/>
                <w:szCs w:val="20"/>
                <w:color w:val="auto"/>
              </w:rPr>
            </w:pPr>
            <w:r>
              <w:rPr>
                <w:rFonts w:ascii="Arial" w:cs="Arial" w:eastAsia="Arial" w:hAnsi="Arial"/>
                <w:sz w:val="12"/>
                <w:szCs w:val="12"/>
                <w:color w:val="auto"/>
              </w:rPr>
              <w:t>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ind w:left="520"/>
              <w:spacing w:after="0"/>
              <w:rPr>
                <w:sz w:val="20"/>
                <w:szCs w:val="20"/>
                <w:color w:val="auto"/>
              </w:rPr>
            </w:pPr>
            <w:r>
              <w:rPr>
                <w:rFonts w:ascii="Arial" w:cs="Arial" w:eastAsia="Arial" w:hAnsi="Arial"/>
                <w:sz w:val="12"/>
                <w:szCs w:val="12"/>
                <w:color w:val="auto"/>
              </w:rPr>
              <w:t>225,540</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N/A</w:t>
            </w:r>
          </w:p>
        </w:tc>
      </w:tr>
      <w:tr>
        <w:trPr>
          <w:trHeight w:val="189"/>
        </w:trPr>
        <w:tc>
          <w:tcPr>
            <w:tcW w:w="100" w:type="dxa"/>
            <w:vAlign w:val="bottom"/>
          </w:tcPr>
          <w:p>
            <w:pPr>
              <w:spacing w:after="0"/>
              <w:rPr>
                <w:sz w:val="16"/>
                <w:szCs w:val="16"/>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Bank</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578,846</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w w:val="90"/>
              </w:rPr>
              <w:t>10.3 %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225,492</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4.0 %</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281,866</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5.0 %</w:t>
            </w:r>
          </w:p>
        </w:tc>
        <w:tc>
          <w:tcPr>
            <w:tcW w:w="20" w:type="dxa"/>
            <w:vAlign w:val="bottom"/>
          </w:tcPr>
          <w:p>
            <w:pPr>
              <w:spacing w:after="0"/>
              <w:rPr>
                <w:sz w:val="16"/>
                <w:szCs w:val="16"/>
                <w:color w:val="auto"/>
              </w:rPr>
            </w:pPr>
          </w:p>
        </w:tc>
      </w:tr>
      <w:tr>
        <w:trPr>
          <w:trHeight w:val="171"/>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b w:val="1"/>
                <w:bCs w:val="1"/>
                <w:color w:val="auto"/>
              </w:rPr>
              <w:t>December 31, 2020</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 Capital to Risk-Weighted Assets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656,806</w:t>
            </w:r>
          </w:p>
        </w:tc>
        <w:tc>
          <w:tcPr>
            <w:tcW w:w="940" w:type="dxa"/>
            <w:vAlign w:val="bottom"/>
          </w:tcPr>
          <w:p>
            <w:pPr>
              <w:ind w:left="580"/>
              <w:spacing w:after="0"/>
              <w:rPr>
                <w:sz w:val="20"/>
                <w:szCs w:val="20"/>
                <w:color w:val="auto"/>
              </w:rPr>
            </w:pPr>
            <w:r>
              <w:rPr>
                <w:rFonts w:ascii="Arial" w:cs="Arial" w:eastAsia="Arial" w:hAnsi="Arial"/>
                <w:sz w:val="12"/>
                <w:szCs w:val="12"/>
                <w:color w:val="auto"/>
                <w:w w:val="90"/>
              </w:rPr>
              <w:t>13.1 %</w:t>
            </w:r>
          </w:p>
        </w:tc>
        <w:tc>
          <w:tcPr>
            <w:tcW w:w="8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tcPr>
          <w:p>
            <w:pPr>
              <w:ind w:left="520"/>
              <w:spacing w:after="0"/>
              <w:rPr>
                <w:sz w:val="20"/>
                <w:szCs w:val="20"/>
                <w:color w:val="auto"/>
              </w:rPr>
            </w:pPr>
            <w:r>
              <w:rPr>
                <w:rFonts w:ascii="Arial" w:cs="Arial" w:eastAsia="Arial" w:hAnsi="Arial"/>
                <w:sz w:val="12"/>
                <w:szCs w:val="12"/>
                <w:color w:val="auto"/>
              </w:rPr>
              <w:t>527,486</w:t>
            </w:r>
          </w:p>
        </w:tc>
        <w:tc>
          <w:tcPr>
            <w:tcW w:w="1000" w:type="dxa"/>
            <w:vAlign w:val="bottom"/>
          </w:tcPr>
          <w:p>
            <w:pPr>
              <w:jc w:val="right"/>
              <w:spacing w:after="0"/>
              <w:rPr>
                <w:sz w:val="20"/>
                <w:szCs w:val="20"/>
                <w:color w:val="auto"/>
              </w:rPr>
            </w:pPr>
            <w:r>
              <w:rPr>
                <w:rFonts w:ascii="Arial" w:cs="Arial" w:eastAsia="Arial" w:hAnsi="Arial"/>
                <w:sz w:val="12"/>
                <w:szCs w:val="12"/>
                <w:color w:val="auto"/>
              </w:rPr>
              <w:t>10.5 %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N/A</w:t>
            </w:r>
          </w:p>
        </w:tc>
      </w:tr>
      <w:tr>
        <w:trPr>
          <w:trHeight w:val="189"/>
        </w:trPr>
        <w:tc>
          <w:tcPr>
            <w:tcW w:w="100" w:type="dxa"/>
            <w:vAlign w:val="bottom"/>
          </w:tcPr>
          <w:p>
            <w:pPr>
              <w:spacing w:after="0"/>
              <w:rPr>
                <w:sz w:val="16"/>
                <w:szCs w:val="16"/>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Bank</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611,533</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527,217</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502,111</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6"/>
                <w:szCs w:val="16"/>
                <w:color w:val="auto"/>
              </w:rPr>
            </w:pPr>
          </w:p>
        </w:tc>
      </w:tr>
      <w:tr>
        <w:trPr>
          <w:trHeight w:val="171"/>
        </w:trPr>
        <w:tc>
          <w:tcPr>
            <w:tcW w:w="100" w:type="dxa"/>
            <w:vAlign w:val="bottom"/>
          </w:tcPr>
          <w:p>
            <w:pPr>
              <w:spacing w:after="0"/>
              <w:rPr>
                <w:sz w:val="14"/>
                <w:szCs w:val="14"/>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Tier I Capital to Risk-Weighted Assets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593,865</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427,012</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5"/>
                <w:szCs w:val="15"/>
                <w:color w:val="auto"/>
              </w:rPr>
            </w:pPr>
          </w:p>
        </w:tc>
      </w:tr>
      <w:tr>
        <w:trPr>
          <w:trHeight w:val="171"/>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Bank</w:t>
            </w:r>
          </w:p>
        </w:tc>
        <w:tc>
          <w:tcPr>
            <w:tcW w:w="200" w:type="dxa"/>
            <w:vAlign w:val="bottom"/>
          </w:tcPr>
          <w:p>
            <w:pPr>
              <w:spacing w:after="0"/>
              <w:rPr>
                <w:sz w:val="14"/>
                <w:szCs w:val="14"/>
                <w:color w:val="auto"/>
              </w:rPr>
            </w:pP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548,615</w:t>
            </w:r>
          </w:p>
        </w:tc>
        <w:tc>
          <w:tcPr>
            <w:tcW w:w="940" w:type="dxa"/>
            <w:vAlign w:val="bottom"/>
          </w:tcPr>
          <w:p>
            <w:pPr>
              <w:ind w:left="580"/>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ind w:left="520"/>
              <w:spacing w:after="0"/>
              <w:rPr>
                <w:sz w:val="20"/>
                <w:szCs w:val="20"/>
                <w:color w:val="auto"/>
              </w:rPr>
            </w:pPr>
            <w:r>
              <w:rPr>
                <w:rFonts w:ascii="Arial" w:cs="Arial" w:eastAsia="Arial" w:hAnsi="Arial"/>
                <w:sz w:val="12"/>
                <w:szCs w:val="12"/>
                <w:color w:val="auto"/>
              </w:rPr>
              <w:t>426,794</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40"/>
              <w:spacing w:after="0"/>
              <w:rPr>
                <w:sz w:val="20"/>
                <w:szCs w:val="20"/>
                <w:color w:val="auto"/>
              </w:rPr>
            </w:pPr>
            <w:r>
              <w:rPr>
                <w:rFonts w:ascii="Arial" w:cs="Arial" w:eastAsia="Arial" w:hAnsi="Arial"/>
                <w:sz w:val="12"/>
                <w:szCs w:val="12"/>
                <w:color w:val="auto"/>
              </w:rPr>
              <w:t>401,689</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8.0</w:t>
            </w:r>
          </w:p>
        </w:tc>
        <w:tc>
          <w:tcPr>
            <w:tcW w:w="2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Common Equity Tier 1 to Risk-Weighted Assets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tcPr>
          <w:p>
            <w:pPr>
              <w:spacing w:after="0"/>
              <w:rPr>
                <w:sz w:val="14"/>
                <w:szCs w:val="14"/>
                <w:color w:val="auto"/>
              </w:rPr>
            </w:pP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592,902</w:t>
            </w:r>
          </w:p>
        </w:tc>
        <w:tc>
          <w:tcPr>
            <w:tcW w:w="940" w:type="dxa"/>
            <w:vAlign w:val="bottom"/>
          </w:tcPr>
          <w:p>
            <w:pPr>
              <w:ind w:left="580"/>
              <w:spacing w:after="0"/>
              <w:rPr>
                <w:sz w:val="20"/>
                <w:szCs w:val="20"/>
                <w:color w:val="auto"/>
              </w:rPr>
            </w:pPr>
            <w:r>
              <w:rPr>
                <w:rFonts w:ascii="Arial" w:cs="Arial" w:eastAsia="Arial" w:hAnsi="Arial"/>
                <w:sz w:val="12"/>
                <w:szCs w:val="12"/>
                <w:color w:val="auto"/>
              </w:rPr>
              <w:t>11.8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ind w:left="520"/>
              <w:spacing w:after="0"/>
              <w:rPr>
                <w:sz w:val="20"/>
                <w:szCs w:val="20"/>
                <w:color w:val="auto"/>
              </w:rPr>
            </w:pPr>
            <w:r>
              <w:rPr>
                <w:rFonts w:ascii="Arial" w:cs="Arial" w:eastAsia="Arial" w:hAnsi="Arial"/>
                <w:sz w:val="12"/>
                <w:szCs w:val="12"/>
                <w:color w:val="auto"/>
              </w:rPr>
              <w:t>351,657</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2"/>
                <w:szCs w:val="12"/>
                <w:color w:val="auto"/>
              </w:rPr>
              <w:t>N/A</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N/A</w:t>
            </w:r>
          </w:p>
        </w:tc>
      </w:tr>
      <w:tr>
        <w:trPr>
          <w:trHeight w:val="189"/>
        </w:trPr>
        <w:tc>
          <w:tcPr>
            <w:tcW w:w="100" w:type="dxa"/>
            <w:vAlign w:val="bottom"/>
          </w:tcPr>
          <w:p>
            <w:pPr>
              <w:spacing w:after="0"/>
              <w:rPr>
                <w:sz w:val="16"/>
                <w:szCs w:val="16"/>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Bank</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548,615</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351,478</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326,372</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6.5</w:t>
            </w:r>
          </w:p>
        </w:tc>
        <w:tc>
          <w:tcPr>
            <w:tcW w:w="20" w:type="dxa"/>
            <w:vAlign w:val="bottom"/>
          </w:tcPr>
          <w:p>
            <w:pPr>
              <w:spacing w:after="0"/>
              <w:rPr>
                <w:sz w:val="16"/>
                <w:szCs w:val="16"/>
                <w:color w:val="auto"/>
              </w:rPr>
            </w:pPr>
          </w:p>
        </w:tc>
      </w:tr>
      <w:tr>
        <w:trPr>
          <w:trHeight w:val="171"/>
        </w:trPr>
        <w:tc>
          <w:tcPr>
            <w:tcW w:w="100" w:type="dxa"/>
            <w:vAlign w:val="bottom"/>
          </w:tcPr>
          <w:p>
            <w:pPr>
              <w:spacing w:after="0"/>
              <w:rPr>
                <w:sz w:val="14"/>
                <w:szCs w:val="14"/>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Tier I Capital to Average Assets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 w:type="dxa"/>
            <w:vAlign w:val="bottom"/>
          </w:tcPr>
          <w:p>
            <w:pPr>
              <w:spacing w:after="0"/>
              <w:rPr>
                <w:sz w:val="15"/>
                <w:szCs w:val="15"/>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593,865</w:t>
            </w:r>
          </w:p>
        </w:tc>
        <w:tc>
          <w:tcPr>
            <w:tcW w:w="9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10.8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219,550</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20" w:type="dxa"/>
            <w:vAlign w:val="bottom"/>
          </w:tcPr>
          <w:p>
            <w:pPr>
              <w:spacing w:after="0"/>
              <w:rPr>
                <w:sz w:val="15"/>
                <w:szCs w:val="15"/>
                <w:color w:val="auto"/>
              </w:rPr>
            </w:pPr>
          </w:p>
        </w:tc>
      </w:tr>
      <w:tr>
        <w:trPr>
          <w:trHeight w:val="162"/>
        </w:trPr>
        <w:tc>
          <w:tcPr>
            <w:tcW w:w="10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2"/>
                <w:szCs w:val="12"/>
                <w:color w:val="auto"/>
              </w:rPr>
              <w:t>Bank</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300"/>
              <w:spacing w:after="0"/>
              <w:rPr>
                <w:sz w:val="20"/>
                <w:szCs w:val="20"/>
                <w:color w:val="auto"/>
              </w:rPr>
            </w:pPr>
            <w:r>
              <w:rPr>
                <w:rFonts w:ascii="Arial" w:cs="Arial" w:eastAsia="Arial" w:hAnsi="Arial"/>
                <w:sz w:val="12"/>
                <w:szCs w:val="12"/>
                <w:color w:val="auto"/>
              </w:rPr>
              <w:t>548,615</w:t>
            </w:r>
          </w:p>
        </w:tc>
        <w:tc>
          <w:tcPr>
            <w:tcW w:w="940" w:type="dxa"/>
            <w:vAlign w:val="bottom"/>
          </w:tcPr>
          <w:p>
            <w:pPr>
              <w:ind w:left="580"/>
              <w:spacing w:after="0"/>
              <w:rPr>
                <w:sz w:val="20"/>
                <w:szCs w:val="20"/>
                <w:color w:val="auto"/>
              </w:rPr>
            </w:pPr>
            <w:r>
              <w:rPr>
                <w:rFonts w:ascii="Arial" w:cs="Arial" w:eastAsia="Arial" w:hAnsi="Arial"/>
                <w:sz w:val="12"/>
                <w:szCs w:val="12"/>
                <w:color w:val="auto"/>
                <w:w w:val="90"/>
              </w:rPr>
              <w:t>10.0 %</w:t>
            </w:r>
          </w:p>
        </w:tc>
        <w:tc>
          <w:tcPr>
            <w:tcW w:w="8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00" w:type="dxa"/>
            <w:vAlign w:val="bottom"/>
          </w:tcPr>
          <w:p>
            <w:pPr>
              <w:ind w:left="520"/>
              <w:spacing w:after="0"/>
              <w:rPr>
                <w:sz w:val="20"/>
                <w:szCs w:val="20"/>
                <w:color w:val="auto"/>
              </w:rPr>
            </w:pPr>
            <w:r>
              <w:rPr>
                <w:rFonts w:ascii="Arial" w:cs="Arial" w:eastAsia="Arial" w:hAnsi="Arial"/>
                <w:sz w:val="12"/>
                <w:szCs w:val="12"/>
                <w:color w:val="auto"/>
              </w:rPr>
              <w:t>219,441</w:t>
            </w:r>
          </w:p>
        </w:tc>
        <w:tc>
          <w:tcPr>
            <w:tcW w:w="1000" w:type="dxa"/>
            <w:vAlign w:val="bottom"/>
          </w:tcPr>
          <w:p>
            <w:pPr>
              <w:jc w:val="right"/>
              <w:spacing w:after="0"/>
              <w:rPr>
                <w:sz w:val="20"/>
                <w:szCs w:val="20"/>
                <w:color w:val="auto"/>
              </w:rPr>
            </w:pPr>
            <w:r>
              <w:rPr>
                <w:rFonts w:ascii="Arial" w:cs="Arial" w:eastAsia="Arial" w:hAnsi="Arial"/>
                <w:sz w:val="12"/>
                <w:szCs w:val="12"/>
                <w:color w:val="auto"/>
              </w:rPr>
              <w:t>4.0 %</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40"/>
              <w:spacing w:after="0"/>
              <w:rPr>
                <w:sz w:val="20"/>
                <w:szCs w:val="20"/>
                <w:color w:val="auto"/>
              </w:rPr>
            </w:pPr>
            <w:r>
              <w:rPr>
                <w:rFonts w:ascii="Arial" w:cs="Arial" w:eastAsia="Arial" w:hAnsi="Arial"/>
                <w:sz w:val="12"/>
                <w:szCs w:val="12"/>
                <w:color w:val="auto"/>
              </w:rPr>
              <w:t>274,302</w:t>
            </w:r>
          </w:p>
        </w:tc>
        <w:tc>
          <w:tcPr>
            <w:tcW w:w="1000" w:type="dxa"/>
            <w:vAlign w:val="bottom"/>
          </w:tcPr>
          <w:p>
            <w:pPr>
              <w:jc w:val="right"/>
              <w:spacing w:after="0"/>
              <w:rPr>
                <w:sz w:val="20"/>
                <w:szCs w:val="20"/>
                <w:color w:val="auto"/>
              </w:rPr>
            </w:pPr>
            <w:r>
              <w:rPr>
                <w:rFonts w:ascii="Arial" w:cs="Arial" w:eastAsia="Arial" w:hAnsi="Arial"/>
                <w:sz w:val="12"/>
                <w:szCs w:val="12"/>
                <w:color w:val="auto"/>
              </w:rPr>
              <w:t>5.0 %</w:t>
            </w:r>
          </w:p>
        </w:tc>
        <w:tc>
          <w:tcPr>
            <w:tcW w:w="20" w:type="dxa"/>
            <w:vAlign w:val="bottom"/>
          </w:tcPr>
          <w:p>
            <w:pPr>
              <w:spacing w:after="0"/>
              <w:rPr>
                <w:sz w:val="14"/>
                <w:szCs w:val="14"/>
                <w:color w:val="auto"/>
              </w:rPr>
            </w:pPr>
          </w:p>
        </w:tc>
      </w:tr>
      <w:tr>
        <w:trPr>
          <w:trHeight w:val="891"/>
        </w:trPr>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4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8" w:name="page29"/>
    <w:bookmarkEnd w:id="28"/>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9:</w:t>
      </w:r>
      <w:r>
        <w:rPr>
          <w:sz w:val="20"/>
          <w:szCs w:val="20"/>
          <w:color w:val="auto"/>
        </w:rPr>
        <w:tab/>
      </w:r>
      <w:r>
        <w:rPr>
          <w:rFonts w:ascii="Arial" w:cs="Arial" w:eastAsia="Arial" w:hAnsi="Arial"/>
          <w:sz w:val="12"/>
          <w:szCs w:val="12"/>
          <w:b w:val="1"/>
          <w:bCs w:val="1"/>
          <w:color w:val="auto"/>
        </w:rPr>
        <w:t>Stock-Based Compensation</w:t>
      </w:r>
    </w:p>
    <w:p>
      <w:pPr>
        <w:spacing w:after="0" w:line="118" w:lineRule="exact"/>
        <w:rPr>
          <w:sz w:val="20"/>
          <w:szCs w:val="20"/>
          <w:color w:val="auto"/>
        </w:rPr>
      </w:pPr>
    </w:p>
    <w:p>
      <w:pPr>
        <w:ind w:left="100" w:right="180" w:firstLine="324"/>
        <w:spacing w:after="0" w:line="263" w:lineRule="auto"/>
        <w:rPr>
          <w:sz w:val="20"/>
          <w:szCs w:val="20"/>
          <w:color w:val="auto"/>
        </w:rPr>
      </w:pPr>
      <w:r>
        <w:rPr>
          <w:rFonts w:ascii="Arial" w:cs="Arial" w:eastAsia="Arial" w:hAnsi="Arial"/>
          <w:sz w:val="12"/>
          <w:szCs w:val="12"/>
          <w:color w:val="auto"/>
        </w:rPr>
        <w:t>The Company issues stock-based compensation in the form of nonvested restricted stock and stock appreciation rights under the 2018 Omnibus Equity Incentive Plan (“Omnibus Plan”). The Omnibus Plan will expire on the tenth anniversary of its effective date. In addition, the Company has an Employee Stock Purchase Plan that was reinstated during the third quarter of 2020. The aggregate number of shares authorized for future issuance under the Omnibus Plan is 1,806,384 shares as of June 30, 2021.</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summarizes the stock-based compensation for the three and six months ended June 30, 2021 and 2020:</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Six Months Ended</w:t>
            </w:r>
          </w:p>
        </w:tc>
        <w:tc>
          <w:tcPr>
            <w:tcW w:w="1020" w:type="dxa"/>
            <w:vAlign w:val="bottom"/>
          </w:tcPr>
          <w:p>
            <w:pPr>
              <w:spacing w:after="0"/>
              <w:rPr>
                <w:sz w:val="13"/>
                <w:szCs w:val="13"/>
                <w:color w:val="auto"/>
              </w:rPr>
            </w:pPr>
          </w:p>
        </w:tc>
      </w:tr>
      <w:tr>
        <w:trPr>
          <w:trHeight w:val="157"/>
        </w:trPr>
        <w:tc>
          <w:tcPr>
            <w:tcW w:w="388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2"/>
                <w:szCs w:val="12"/>
                <w:b w:val="1"/>
                <w:bCs w:val="1"/>
                <w:color w:val="auto"/>
                <w:w w:val="87"/>
              </w:rPr>
              <w:t>June 30,</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2"/>
                <w:szCs w:val="12"/>
                <w:b w:val="1"/>
                <w:bCs w:val="1"/>
                <w:color w:val="auto"/>
                <w:w w:val="87"/>
              </w:rPr>
              <w:t>June 30,</w:t>
            </w:r>
          </w:p>
        </w:tc>
        <w:tc>
          <w:tcPr>
            <w:tcW w:w="1020" w:type="dxa"/>
            <w:vAlign w:val="bottom"/>
            <w:tcBorders>
              <w:bottom w:val="single" w:sz="8" w:color="auto"/>
            </w:tcBorders>
          </w:tcPr>
          <w:p>
            <w:pPr>
              <w:spacing w:after="0"/>
              <w:rPr>
                <w:sz w:val="13"/>
                <w:szCs w:val="13"/>
                <w:color w:val="auto"/>
              </w:rPr>
            </w:pPr>
          </w:p>
        </w:tc>
      </w:tr>
      <w:tr>
        <w:trPr>
          <w:trHeight w:val="142"/>
        </w:trPr>
        <w:tc>
          <w:tcPr>
            <w:tcW w:w="3880" w:type="dxa"/>
            <w:vAlign w:val="bottom"/>
          </w:tcPr>
          <w:p>
            <w:pPr>
              <w:spacing w:after="0"/>
              <w:rPr>
                <w:sz w:val="12"/>
                <w:szCs w:val="12"/>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r>
      <w:tr>
        <w:trPr>
          <w:trHeight w:val="131"/>
        </w:trPr>
        <w:tc>
          <w:tcPr>
            <w:tcW w:w="3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1"/>
                <w:szCs w:val="11"/>
                <w:i w:val="1"/>
                <w:iCs w:val="1"/>
                <w:color w:val="auto"/>
              </w:rPr>
              <w:t>(Dollars in thousands)</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5"/>
        </w:trPr>
        <w:tc>
          <w:tcPr>
            <w:tcW w:w="38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Stock appreciation rights</w:t>
            </w:r>
          </w:p>
        </w:tc>
        <w:tc>
          <w:tcPr>
            <w:tcW w:w="13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1400" w:type="dxa"/>
            <w:vAlign w:val="bottom"/>
            <w:gridSpan w:val="3"/>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w:t>
            </w:r>
          </w:p>
        </w:tc>
      </w:tr>
      <w:tr>
        <w:trPr>
          <w:trHeight w:val="153"/>
        </w:trPr>
        <w:tc>
          <w:tcPr>
            <w:tcW w:w="3880" w:type="dxa"/>
            <w:vAlign w:val="bottom"/>
          </w:tcPr>
          <w:p>
            <w:pPr>
              <w:ind w:left="340"/>
              <w:spacing w:after="0"/>
              <w:rPr>
                <w:sz w:val="20"/>
                <w:szCs w:val="20"/>
                <w:color w:val="auto"/>
              </w:rPr>
            </w:pPr>
            <w:r>
              <w:rPr>
                <w:rFonts w:ascii="Arial" w:cs="Arial" w:eastAsia="Arial" w:hAnsi="Arial"/>
                <w:sz w:val="12"/>
                <w:szCs w:val="12"/>
                <w:color w:val="auto"/>
              </w:rPr>
              <w:t>Performance-based stock awards</w:t>
            </w:r>
          </w:p>
        </w:tc>
        <w:tc>
          <w:tcPr>
            <w:tcW w:w="13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96</w:t>
            </w:r>
          </w:p>
        </w:tc>
      </w:tr>
      <w:tr>
        <w:trPr>
          <w:trHeight w:val="153"/>
        </w:trPr>
        <w:tc>
          <w:tcPr>
            <w:tcW w:w="38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Restricted stock units and awards</w:t>
            </w:r>
          </w:p>
        </w:tc>
        <w:tc>
          <w:tcPr>
            <w:tcW w:w="13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1,426</w:t>
            </w:r>
          </w:p>
        </w:tc>
      </w:tr>
      <w:tr>
        <w:trPr>
          <w:trHeight w:val="153"/>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Employee stock purchase plan</w:t>
            </w:r>
          </w:p>
        </w:tc>
        <w:tc>
          <w:tcPr>
            <w:tcW w:w="1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3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Total stock-based compensation</w:t>
            </w:r>
          </w:p>
        </w:tc>
        <w:tc>
          <w:tcPr>
            <w:tcW w:w="130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1,082</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2,224</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2,016</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Performance-Based Stock Awards (“PBSAs”)</w:t>
      </w:r>
    </w:p>
    <w:p>
      <w:pPr>
        <w:spacing w:after="0" w:line="113" w:lineRule="exact"/>
        <w:rPr>
          <w:sz w:val="20"/>
          <w:szCs w:val="20"/>
          <w:color w:val="auto"/>
        </w:rPr>
      </w:pPr>
    </w:p>
    <w:p>
      <w:pPr>
        <w:jc w:val="both"/>
        <w:ind w:left="100" w:right="300" w:firstLine="324"/>
        <w:spacing w:after="0" w:line="263" w:lineRule="auto"/>
        <w:rPr>
          <w:sz w:val="20"/>
          <w:szCs w:val="20"/>
          <w:color w:val="auto"/>
        </w:rPr>
      </w:pPr>
      <w:r>
        <w:rPr>
          <w:rFonts w:ascii="Arial" w:cs="Arial" w:eastAsia="Arial" w:hAnsi="Arial"/>
          <w:sz w:val="12"/>
          <w:szCs w:val="12"/>
          <w:color w:val="auto"/>
        </w:rPr>
        <w:t>The Company awards PBSAs to key officers of the Company. The PBSAs typically cliff-vest at the end of three years 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six months ended June 30, 2021, the Company granted 63,631 PBSAs. The performance metrics include three-year cumulative, adjusted earnings per share and relative total shareholder return.</w:t>
      </w:r>
    </w:p>
    <w:p>
      <w:pPr>
        <w:spacing w:after="0" w:line="114"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6680" w:type="dxa"/>
            <w:vAlign w:val="bottom"/>
          </w:tcPr>
          <w:p>
            <w:pPr>
              <w:ind w:left="320"/>
              <w:spacing w:after="0"/>
              <w:rPr>
                <w:sz w:val="20"/>
                <w:szCs w:val="20"/>
                <w:color w:val="auto"/>
              </w:rPr>
            </w:pPr>
            <w:r>
              <w:rPr>
                <w:rFonts w:ascii="Arial" w:cs="Arial" w:eastAsia="Arial" w:hAnsi="Arial"/>
                <w:sz w:val="12"/>
                <w:szCs w:val="12"/>
                <w:color w:val="auto"/>
              </w:rPr>
              <w:t>The following table summarizes the status of and changes in the PBSAs:</w:t>
            </w: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4520" w:type="dxa"/>
            <w:vAlign w:val="bottom"/>
            <w:tcBorders>
              <w:bottom w:val="single" w:sz="8" w:color="auto"/>
            </w:tcBorders>
            <w:gridSpan w:val="3"/>
          </w:tcPr>
          <w:p>
            <w:pPr>
              <w:ind w:left="1540"/>
              <w:spacing w:after="0"/>
              <w:rPr>
                <w:sz w:val="20"/>
                <w:szCs w:val="20"/>
                <w:color w:val="auto"/>
              </w:rPr>
            </w:pPr>
            <w:r>
              <w:rPr>
                <w:rFonts w:ascii="Arial" w:cs="Arial" w:eastAsia="Arial" w:hAnsi="Arial"/>
                <w:sz w:val="12"/>
                <w:szCs w:val="12"/>
                <w:b w:val="1"/>
                <w:bCs w:val="1"/>
                <w:color w:val="auto"/>
              </w:rPr>
              <w:t>Performance-Based Stock Awards</w:t>
            </w:r>
          </w:p>
        </w:tc>
        <w:tc>
          <w:tcPr>
            <w:tcW w:w="0" w:type="dxa"/>
            <w:vAlign w:val="bottom"/>
          </w:tcPr>
          <w:p>
            <w:pPr>
              <w:spacing w:after="0"/>
              <w:rPr>
                <w:sz w:val="1"/>
                <w:szCs w:val="1"/>
                <w:color w:val="auto"/>
              </w:rPr>
            </w:pPr>
          </w:p>
        </w:tc>
      </w:tr>
      <w:tr>
        <w:trPr>
          <w:trHeight w:val="106"/>
        </w:trPr>
        <w:tc>
          <w:tcPr>
            <w:tcW w:w="6680" w:type="dxa"/>
            <w:vAlign w:val="bottom"/>
          </w:tcPr>
          <w:p>
            <w:pPr>
              <w:spacing w:after="0"/>
              <w:rPr>
                <w:sz w:val="9"/>
                <w:szCs w:val="9"/>
                <w:color w:val="auto"/>
              </w:rPr>
            </w:pPr>
          </w:p>
        </w:tc>
        <w:tc>
          <w:tcPr>
            <w:tcW w:w="2300" w:type="dxa"/>
            <w:vAlign w:val="bottom"/>
            <w:gridSpan w:val="2"/>
            <w:vMerge w:val="restart"/>
          </w:tcPr>
          <w:p>
            <w:pPr>
              <w:ind w:left="800"/>
              <w:spacing w:after="0"/>
              <w:rPr>
                <w:sz w:val="20"/>
                <w:szCs w:val="20"/>
                <w:color w:val="auto"/>
              </w:rPr>
            </w:pPr>
            <w:r>
              <w:rPr>
                <w:rFonts w:ascii="Arial" w:cs="Arial" w:eastAsia="Arial" w:hAnsi="Arial"/>
                <w:sz w:val="12"/>
                <w:szCs w:val="12"/>
                <w:b w:val="1"/>
                <w:bCs w:val="1"/>
                <w:color w:val="auto"/>
              </w:rPr>
              <w:t>Number of Shares</w:t>
            </w:r>
          </w:p>
        </w:tc>
        <w:tc>
          <w:tcPr>
            <w:tcW w:w="2220" w:type="dxa"/>
            <w:vAlign w:val="bottom"/>
          </w:tcPr>
          <w:p>
            <w:pPr>
              <w:ind w:left="360"/>
              <w:spacing w:after="0" w:line="106" w:lineRule="exact"/>
              <w:rPr>
                <w:sz w:val="20"/>
                <w:szCs w:val="20"/>
                <w:color w:val="auto"/>
              </w:rPr>
            </w:pPr>
            <w:r>
              <w:rPr>
                <w:rFonts w:ascii="Arial" w:cs="Arial" w:eastAsia="Arial" w:hAnsi="Arial"/>
                <w:sz w:val="12"/>
                <w:szCs w:val="12"/>
                <w:b w:val="1"/>
                <w:bCs w:val="1"/>
                <w:color w:val="auto"/>
                <w:w w:val="94"/>
              </w:rPr>
              <w:t>Weighted-Average Grant Date Fair</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220" w:type="dxa"/>
            <w:vAlign w:val="bottom"/>
          </w:tcPr>
          <w:p>
            <w:pPr>
              <w:ind w:left="96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2"/>
        </w:trPr>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Unvested, January 1, 2021</w:t>
            </w:r>
          </w:p>
        </w:tc>
        <w:tc>
          <w:tcPr>
            <w:tcW w:w="2220" w:type="dxa"/>
            <w:vAlign w:val="bottom"/>
            <w:tcBorders>
              <w:top w:val="single" w:sz="8" w:color="auto"/>
            </w:tcBorders>
            <w:shd w:val="clear" w:color="auto" w:fill="CCEEFF"/>
          </w:tcPr>
          <w:p>
            <w:pPr>
              <w:jc w:val="center"/>
              <w:ind w:left="260"/>
              <w:spacing w:after="0"/>
              <w:rPr>
                <w:sz w:val="20"/>
                <w:szCs w:val="20"/>
                <w:color w:val="auto"/>
              </w:rPr>
            </w:pPr>
            <w:r>
              <w:rPr>
                <w:rFonts w:ascii="Arial" w:cs="Arial" w:eastAsia="Arial" w:hAnsi="Arial"/>
                <w:sz w:val="12"/>
                <w:szCs w:val="12"/>
                <w:color w:val="auto"/>
                <w:w w:val="87"/>
              </w:rPr>
              <w:t>231,631</w:t>
            </w:r>
          </w:p>
        </w:tc>
        <w:tc>
          <w:tcPr>
            <w:tcW w:w="8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auto"/>
            </w:tcBorders>
            <w:shd w:val="clear" w:color="auto" w:fill="CCEEFF"/>
          </w:tcPr>
          <w:p>
            <w:pPr>
              <w:jc w:val="center"/>
              <w:ind w:left="260"/>
              <w:spacing w:after="0"/>
              <w:rPr>
                <w:sz w:val="20"/>
                <w:szCs w:val="20"/>
                <w:color w:val="auto"/>
              </w:rPr>
            </w:pPr>
            <w:r>
              <w:rPr>
                <w:rFonts w:ascii="Arial" w:cs="Arial" w:eastAsia="Arial" w:hAnsi="Arial"/>
                <w:sz w:val="12"/>
                <w:szCs w:val="12"/>
                <w:color w:val="auto"/>
                <w:w w:val="92"/>
              </w:rPr>
              <w:t>$10.51</w:t>
            </w:r>
          </w:p>
        </w:tc>
        <w:tc>
          <w:tcPr>
            <w:tcW w:w="0" w:type="dxa"/>
            <w:vAlign w:val="bottom"/>
          </w:tcPr>
          <w:p>
            <w:pPr>
              <w:spacing w:after="0"/>
              <w:rPr>
                <w:sz w:val="1"/>
                <w:szCs w:val="1"/>
                <w:color w:val="auto"/>
              </w:rPr>
            </w:pPr>
          </w:p>
        </w:tc>
      </w:tr>
      <w:tr>
        <w:trPr>
          <w:trHeight w:val="153"/>
        </w:trPr>
        <w:tc>
          <w:tcPr>
            <w:tcW w:w="6680" w:type="dxa"/>
            <w:vAlign w:val="bottom"/>
          </w:tcPr>
          <w:p>
            <w:pPr>
              <w:ind w:left="400"/>
              <w:spacing w:after="0"/>
              <w:rPr>
                <w:sz w:val="20"/>
                <w:szCs w:val="20"/>
                <w:color w:val="auto"/>
              </w:rPr>
            </w:pPr>
            <w:r>
              <w:rPr>
                <w:rFonts w:ascii="Arial" w:cs="Arial" w:eastAsia="Arial" w:hAnsi="Arial"/>
                <w:sz w:val="12"/>
                <w:szCs w:val="12"/>
                <w:color w:val="auto"/>
              </w:rPr>
              <w:t>Granted</w:t>
            </w:r>
          </w:p>
        </w:tc>
        <w:tc>
          <w:tcPr>
            <w:tcW w:w="2220" w:type="dxa"/>
            <w:vAlign w:val="bottom"/>
          </w:tcPr>
          <w:p>
            <w:pPr>
              <w:jc w:val="center"/>
              <w:ind w:left="260"/>
              <w:spacing w:after="0"/>
              <w:rPr>
                <w:sz w:val="20"/>
                <w:szCs w:val="20"/>
                <w:color w:val="auto"/>
              </w:rPr>
            </w:pPr>
            <w:r>
              <w:rPr>
                <w:rFonts w:ascii="Arial" w:cs="Arial" w:eastAsia="Arial" w:hAnsi="Arial"/>
                <w:sz w:val="12"/>
                <w:szCs w:val="12"/>
                <w:color w:val="auto"/>
                <w:w w:val="92"/>
              </w:rPr>
              <w:t>63,631</w:t>
            </w:r>
          </w:p>
        </w:tc>
        <w:tc>
          <w:tcPr>
            <w:tcW w:w="80" w:type="dxa"/>
            <w:vAlign w:val="bottom"/>
          </w:tcPr>
          <w:p>
            <w:pPr>
              <w:spacing w:after="0"/>
              <w:rPr>
                <w:sz w:val="13"/>
                <w:szCs w:val="13"/>
                <w:color w:val="auto"/>
              </w:rPr>
            </w:pPr>
          </w:p>
        </w:tc>
        <w:tc>
          <w:tcPr>
            <w:tcW w:w="2220" w:type="dxa"/>
            <w:vAlign w:val="bottom"/>
          </w:tcPr>
          <w:p>
            <w:pPr>
              <w:jc w:val="center"/>
              <w:ind w:left="260"/>
              <w:spacing w:after="0"/>
              <w:rPr>
                <w:sz w:val="20"/>
                <w:szCs w:val="20"/>
                <w:color w:val="auto"/>
              </w:rPr>
            </w:pPr>
            <w:r>
              <w:rPr>
                <w:rFonts w:ascii="Arial" w:cs="Arial" w:eastAsia="Arial" w:hAnsi="Arial"/>
                <w:sz w:val="12"/>
                <w:szCs w:val="12"/>
                <w:color w:val="auto"/>
                <w:w w:val="86"/>
              </w:rPr>
              <w:t>12.89</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Incremental performance shares</w:t>
            </w:r>
          </w:p>
        </w:tc>
        <w:tc>
          <w:tcPr>
            <w:tcW w:w="2220" w:type="dxa"/>
            <w:vAlign w:val="bottom"/>
            <w:shd w:val="clear" w:color="auto" w:fill="CCEEFF"/>
          </w:tcPr>
          <w:p>
            <w:pPr>
              <w:jc w:val="center"/>
              <w:ind w:left="260"/>
              <w:spacing w:after="0"/>
              <w:rPr>
                <w:sz w:val="20"/>
                <w:szCs w:val="20"/>
                <w:color w:val="auto"/>
              </w:rPr>
            </w:pPr>
            <w:r>
              <w:rPr>
                <w:rFonts w:ascii="Arial" w:cs="Arial" w:eastAsia="Arial" w:hAnsi="Arial"/>
                <w:sz w:val="12"/>
                <w:szCs w:val="12"/>
                <w:color w:val="auto"/>
                <w:w w:val="86"/>
              </w:rPr>
              <w:t>2,424</w:t>
            </w:r>
          </w:p>
        </w:tc>
        <w:tc>
          <w:tcPr>
            <w:tcW w:w="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ind w:left="260"/>
              <w:spacing w:after="0"/>
              <w:rPr>
                <w:sz w:val="20"/>
                <w:szCs w:val="20"/>
                <w:color w:val="auto"/>
              </w:rPr>
            </w:pPr>
            <w:r>
              <w:rPr>
                <w:rFonts w:ascii="Arial" w:cs="Arial" w:eastAsia="Arial" w:hAnsi="Arial"/>
                <w:sz w:val="12"/>
                <w:szCs w:val="12"/>
                <w:color w:val="auto"/>
                <w:w w:val="86"/>
              </w:rPr>
              <w:t>10.00</w:t>
            </w:r>
          </w:p>
        </w:tc>
        <w:tc>
          <w:tcPr>
            <w:tcW w:w="0" w:type="dxa"/>
            <w:vAlign w:val="bottom"/>
          </w:tcPr>
          <w:p>
            <w:pPr>
              <w:spacing w:after="0"/>
              <w:rPr>
                <w:sz w:val="1"/>
                <w:szCs w:val="1"/>
                <w:color w:val="auto"/>
              </w:rPr>
            </w:pPr>
          </w:p>
        </w:tc>
      </w:tr>
      <w:tr>
        <w:trPr>
          <w:trHeight w:val="153"/>
        </w:trPr>
        <w:tc>
          <w:tcPr>
            <w:tcW w:w="6680" w:type="dxa"/>
            <w:vAlign w:val="bottom"/>
          </w:tcPr>
          <w:p>
            <w:pPr>
              <w:ind w:left="400"/>
              <w:spacing w:after="0"/>
              <w:rPr>
                <w:sz w:val="20"/>
                <w:szCs w:val="20"/>
                <w:color w:val="auto"/>
              </w:rPr>
            </w:pPr>
            <w:r>
              <w:rPr>
                <w:rFonts w:ascii="Arial" w:cs="Arial" w:eastAsia="Arial" w:hAnsi="Arial"/>
                <w:sz w:val="12"/>
                <w:szCs w:val="12"/>
                <w:color w:val="auto"/>
              </w:rPr>
              <w:t>Vested</w:t>
            </w:r>
          </w:p>
        </w:tc>
        <w:tc>
          <w:tcPr>
            <w:tcW w:w="2220" w:type="dxa"/>
            <w:vAlign w:val="bottom"/>
          </w:tcPr>
          <w:p>
            <w:pPr>
              <w:jc w:val="center"/>
              <w:ind w:left="260"/>
              <w:spacing w:after="0"/>
              <w:rPr>
                <w:sz w:val="20"/>
                <w:szCs w:val="20"/>
                <w:color w:val="auto"/>
              </w:rPr>
            </w:pPr>
            <w:r>
              <w:rPr>
                <w:rFonts w:ascii="Arial" w:cs="Arial" w:eastAsia="Arial" w:hAnsi="Arial"/>
                <w:sz w:val="12"/>
                <w:szCs w:val="12"/>
                <w:color w:val="auto"/>
                <w:w w:val="93"/>
              </w:rPr>
              <w:t>(77,426)</w:t>
            </w:r>
          </w:p>
        </w:tc>
        <w:tc>
          <w:tcPr>
            <w:tcW w:w="80" w:type="dxa"/>
            <w:vAlign w:val="bottom"/>
          </w:tcPr>
          <w:p>
            <w:pPr>
              <w:spacing w:after="0"/>
              <w:rPr>
                <w:sz w:val="13"/>
                <w:szCs w:val="13"/>
                <w:color w:val="auto"/>
              </w:rPr>
            </w:pPr>
          </w:p>
        </w:tc>
        <w:tc>
          <w:tcPr>
            <w:tcW w:w="2220" w:type="dxa"/>
            <w:vAlign w:val="bottom"/>
          </w:tcPr>
          <w:p>
            <w:pPr>
              <w:jc w:val="center"/>
              <w:ind w:left="260"/>
              <w:spacing w:after="0"/>
              <w:rPr>
                <w:sz w:val="20"/>
                <w:szCs w:val="20"/>
                <w:color w:val="auto"/>
              </w:rPr>
            </w:pPr>
            <w:r>
              <w:rPr>
                <w:rFonts w:ascii="Arial" w:cs="Arial" w:eastAsia="Arial" w:hAnsi="Arial"/>
                <w:sz w:val="12"/>
                <w:szCs w:val="12"/>
                <w:color w:val="auto"/>
                <w:w w:val="86"/>
              </w:rPr>
              <w:t>11.31</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Forfeited</w:t>
            </w:r>
          </w:p>
        </w:tc>
        <w:tc>
          <w:tcPr>
            <w:tcW w:w="2220" w:type="dxa"/>
            <w:vAlign w:val="bottom"/>
            <w:tcBorders>
              <w:bottom w:val="single" w:sz="8" w:color="auto"/>
            </w:tcBorders>
            <w:shd w:val="clear" w:color="auto" w:fill="CCEEFF"/>
          </w:tcPr>
          <w:p>
            <w:pPr>
              <w:jc w:val="center"/>
              <w:ind w:left="260"/>
              <w:spacing w:after="0"/>
              <w:rPr>
                <w:sz w:val="20"/>
                <w:szCs w:val="20"/>
                <w:color w:val="auto"/>
              </w:rPr>
            </w:pPr>
            <w:r>
              <w:rPr>
                <w:rFonts w:ascii="Arial" w:cs="Arial" w:eastAsia="Arial" w:hAnsi="Arial"/>
                <w:sz w:val="12"/>
                <w:szCs w:val="12"/>
                <w:color w:val="auto"/>
                <w:w w:val="89"/>
              </w:rPr>
              <w:t>0</w:t>
            </w:r>
          </w:p>
        </w:tc>
        <w:tc>
          <w:tcPr>
            <w:tcW w:w="80" w:type="dxa"/>
            <w:vAlign w:val="bottom"/>
            <w:shd w:val="clear" w:color="auto" w:fill="CCEEFF"/>
          </w:tcPr>
          <w:p>
            <w:pPr>
              <w:spacing w:after="0"/>
              <w:rPr>
                <w:sz w:val="13"/>
                <w:szCs w:val="13"/>
                <w:color w:val="auto"/>
              </w:rPr>
            </w:pPr>
          </w:p>
        </w:tc>
        <w:tc>
          <w:tcPr>
            <w:tcW w:w="2220" w:type="dxa"/>
            <w:vAlign w:val="bottom"/>
            <w:tcBorders>
              <w:bottom w:val="single" w:sz="8" w:color="auto"/>
            </w:tcBorders>
            <w:shd w:val="clear" w:color="auto" w:fill="CCEEFF"/>
          </w:tcPr>
          <w:p>
            <w:pPr>
              <w:jc w:val="center"/>
              <w:ind w:left="260"/>
              <w:spacing w:after="0"/>
              <w:rPr>
                <w:sz w:val="20"/>
                <w:szCs w:val="20"/>
                <w:color w:val="auto"/>
              </w:rPr>
            </w:pPr>
            <w:r>
              <w:rPr>
                <w:rFonts w:ascii="Arial" w:cs="Arial" w:eastAsia="Arial" w:hAnsi="Arial"/>
                <w:sz w:val="12"/>
                <w:szCs w:val="12"/>
                <w:color w:val="auto"/>
                <w:w w:val="93"/>
              </w:rPr>
              <w:t>0.00</w:t>
            </w:r>
          </w:p>
        </w:tc>
        <w:tc>
          <w:tcPr>
            <w:tcW w:w="0" w:type="dxa"/>
            <w:vAlign w:val="bottom"/>
          </w:tcPr>
          <w:p>
            <w:pPr>
              <w:spacing w:after="0"/>
              <w:rPr>
                <w:sz w:val="1"/>
                <w:szCs w:val="1"/>
                <w:color w:val="auto"/>
              </w:rPr>
            </w:pPr>
          </w:p>
        </w:tc>
      </w:tr>
      <w:tr>
        <w:trPr>
          <w:trHeight w:val="142"/>
        </w:trPr>
        <w:tc>
          <w:tcPr>
            <w:tcW w:w="6680" w:type="dxa"/>
            <w:vAlign w:val="bottom"/>
          </w:tcPr>
          <w:p>
            <w:pPr>
              <w:ind w:left="340"/>
              <w:spacing w:after="0"/>
              <w:rPr>
                <w:sz w:val="20"/>
                <w:szCs w:val="20"/>
                <w:color w:val="auto"/>
              </w:rPr>
            </w:pPr>
            <w:r>
              <w:rPr>
                <w:rFonts w:ascii="Arial" w:cs="Arial" w:eastAsia="Arial" w:hAnsi="Arial"/>
                <w:sz w:val="12"/>
                <w:szCs w:val="12"/>
                <w:color w:val="auto"/>
              </w:rPr>
              <w:t>Unvested, June 30, 2021</w:t>
            </w:r>
          </w:p>
        </w:tc>
        <w:tc>
          <w:tcPr>
            <w:tcW w:w="222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color w:val="auto"/>
                <w:w w:val="87"/>
              </w:rPr>
              <w:t>220,260</w:t>
            </w:r>
          </w:p>
        </w:tc>
        <w:tc>
          <w:tcPr>
            <w:tcW w:w="80" w:type="dxa"/>
            <w:vAlign w:val="bottom"/>
          </w:tcPr>
          <w:p>
            <w:pPr>
              <w:spacing w:after="0"/>
              <w:rPr>
                <w:sz w:val="12"/>
                <w:szCs w:val="12"/>
                <w:color w:val="auto"/>
              </w:rPr>
            </w:pPr>
          </w:p>
        </w:tc>
        <w:tc>
          <w:tcPr>
            <w:tcW w:w="222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color w:val="auto"/>
                <w:w w:val="92"/>
              </w:rPr>
              <w:t>$10.90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Unrecognized stock-based compensation related to the PBSAs issued through June 30, 2021 was $717 thousand and is expected to be recognized over 2.7 years.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Restricted Stock Units (“RSUs”) and Restricted Stock Awards (“RSAs”)</w:t>
      </w:r>
    </w:p>
    <w:p>
      <w:pPr>
        <w:spacing w:after="0" w:line="113"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The Company issues RSUs and RSAs to provide incentives to key officers, employees, and nonemployee directors. Awards are typically granted annually as determined by the Compensation Committee. The service-based RSUs typically vest in equal amounts over three years. The service-based RSAs typically cliff-vest after one year.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38"/>
        </w:trPr>
        <w:tc>
          <w:tcPr>
            <w:tcW w:w="860" w:type="dxa"/>
            <w:vAlign w:val="bottom"/>
            <w:tcBorders>
              <w:bottom w:val="single" w:sz="8" w:color="0000FF"/>
            </w:tcBorders>
            <w:gridSpan w:val="2"/>
          </w:tcPr>
          <w:p>
            <w:pPr>
              <w:spacing w:after="0"/>
              <w:rPr>
                <w:rFonts w:ascii="Arial" w:cs="Arial" w:eastAsia="Arial" w:hAnsi="Arial"/>
                <w:sz w:val="12"/>
                <w:szCs w:val="12"/>
                <w:color w:val="0000FF"/>
                <w:w w:val="88"/>
              </w:rPr>
            </w:pPr>
            <w:hyperlink w:anchor="page1">
              <w:r>
                <w:rPr>
                  <w:rFonts w:ascii="Arial" w:cs="Arial" w:eastAsia="Arial" w:hAnsi="Arial"/>
                  <w:sz w:val="12"/>
                  <w:szCs w:val="12"/>
                  <w:color w:val="0000FF"/>
                  <w:w w:val="88"/>
                </w:rPr>
                <w:t>Table of Contents</w:t>
              </w:r>
            </w:hyperlink>
          </w:p>
        </w:tc>
        <w:tc>
          <w:tcPr>
            <w:tcW w:w="2140" w:type="dxa"/>
            <w:vAlign w:val="bottom"/>
          </w:tcPr>
          <w:p>
            <w:pPr>
              <w:spacing w:after="0"/>
              <w:rPr>
                <w:sz w:val="12"/>
                <w:szCs w:val="12"/>
                <w:color w:val="auto"/>
              </w:rPr>
            </w:pPr>
          </w:p>
        </w:tc>
        <w:tc>
          <w:tcPr>
            <w:tcW w:w="6080" w:type="dxa"/>
            <w:vAlign w:val="bottom"/>
            <w:gridSpan w:val="3"/>
          </w:tcPr>
          <w:p>
            <w:pPr>
              <w:ind w:left="1300"/>
              <w:spacing w:after="0"/>
              <w:rPr>
                <w:sz w:val="20"/>
                <w:szCs w:val="20"/>
                <w:color w:val="auto"/>
              </w:rPr>
            </w:pPr>
            <w:r>
              <w:rPr>
                <w:rFonts w:ascii="Arial" w:cs="Arial" w:eastAsia="Arial" w:hAnsi="Arial"/>
                <w:sz w:val="12"/>
                <w:szCs w:val="12"/>
                <w:color w:val="auto"/>
              </w:rPr>
              <w:t>Notes to Consolidated Financial Statements (unaudited)</w:t>
            </w: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1"/>
        </w:trPr>
        <w:tc>
          <w:tcPr>
            <w:tcW w:w="100" w:type="dxa"/>
            <w:vAlign w:val="bottom"/>
          </w:tcPr>
          <w:p>
            <w:pPr>
              <w:spacing w:after="0"/>
              <w:rPr>
                <w:sz w:val="24"/>
                <w:szCs w:val="24"/>
                <w:color w:val="auto"/>
              </w:rPr>
            </w:pPr>
          </w:p>
        </w:tc>
        <w:tc>
          <w:tcPr>
            <w:tcW w:w="8980" w:type="dxa"/>
            <w:vAlign w:val="bottom"/>
            <w:gridSpan w:val="5"/>
          </w:tcPr>
          <w:p>
            <w:pPr>
              <w:ind w:left="320"/>
              <w:spacing w:after="0"/>
              <w:rPr>
                <w:sz w:val="20"/>
                <w:szCs w:val="20"/>
                <w:color w:val="auto"/>
              </w:rPr>
            </w:pPr>
            <w:r>
              <w:rPr>
                <w:rFonts w:ascii="Arial" w:cs="Arial" w:eastAsia="Arial" w:hAnsi="Arial"/>
                <w:sz w:val="12"/>
                <w:szCs w:val="12"/>
                <w:color w:val="auto"/>
              </w:rPr>
              <w:t>The following table summarizes the status of and changes in the RSUs and RSAs:</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520" w:type="dxa"/>
            <w:vAlign w:val="bottom"/>
            <w:tcBorders>
              <w:bottom w:val="single" w:sz="8" w:color="auto"/>
            </w:tcBorders>
            <w:gridSpan w:val="3"/>
          </w:tcPr>
          <w:p>
            <w:pPr>
              <w:ind w:left="1520"/>
              <w:spacing w:after="0"/>
              <w:rPr>
                <w:sz w:val="20"/>
                <w:szCs w:val="20"/>
                <w:color w:val="auto"/>
              </w:rPr>
            </w:pPr>
            <w:r>
              <w:rPr>
                <w:rFonts w:ascii="Arial" w:cs="Arial" w:eastAsia="Arial" w:hAnsi="Arial"/>
                <w:sz w:val="12"/>
                <w:szCs w:val="12"/>
                <w:b w:val="1"/>
                <w:bCs w:val="1"/>
                <w:color w:val="auto"/>
              </w:rPr>
              <w:t>Restricted Stock Units and Awards</w:t>
            </w: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20" w:type="dxa"/>
            <w:vAlign w:val="bottom"/>
            <w:vMerge w:val="restart"/>
          </w:tcPr>
          <w:p>
            <w:pPr>
              <w:ind w:left="800"/>
              <w:spacing w:after="0"/>
              <w:rPr>
                <w:sz w:val="20"/>
                <w:szCs w:val="20"/>
                <w:color w:val="auto"/>
              </w:rPr>
            </w:pPr>
            <w:r>
              <w:rPr>
                <w:rFonts w:ascii="Arial" w:cs="Arial" w:eastAsia="Arial" w:hAnsi="Arial"/>
                <w:sz w:val="12"/>
                <w:szCs w:val="12"/>
                <w:b w:val="1"/>
                <w:bCs w:val="1"/>
                <w:color w:val="auto"/>
              </w:rPr>
              <w:t>Number of Shares</w:t>
            </w:r>
          </w:p>
        </w:tc>
        <w:tc>
          <w:tcPr>
            <w:tcW w:w="80" w:type="dxa"/>
            <w:vAlign w:val="bottom"/>
            <w:vMerge w:val="restart"/>
          </w:tcPr>
          <w:p>
            <w:pPr>
              <w:spacing w:after="0"/>
              <w:rPr>
                <w:sz w:val="9"/>
                <w:szCs w:val="9"/>
                <w:color w:val="auto"/>
              </w:rPr>
            </w:pPr>
          </w:p>
        </w:tc>
        <w:tc>
          <w:tcPr>
            <w:tcW w:w="2220" w:type="dxa"/>
            <w:vAlign w:val="bottom"/>
          </w:tcPr>
          <w:p>
            <w:pPr>
              <w:ind w:left="360"/>
              <w:spacing w:after="0" w:line="106" w:lineRule="exact"/>
              <w:rPr>
                <w:sz w:val="20"/>
                <w:szCs w:val="20"/>
                <w:color w:val="auto"/>
              </w:rPr>
            </w:pPr>
            <w:r>
              <w:rPr>
                <w:rFonts w:ascii="Arial" w:cs="Arial" w:eastAsia="Arial" w:hAnsi="Arial"/>
                <w:sz w:val="12"/>
                <w:szCs w:val="12"/>
                <w:b w:val="1"/>
                <w:bCs w:val="1"/>
                <w:color w:val="auto"/>
                <w:w w:val="94"/>
              </w:rPr>
              <w:t>Weighted-Average Grant Date Fair</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3780" w:type="dxa"/>
            <w:vAlign w:val="bottom"/>
            <w:tcBorders>
              <w:bottom w:val="single" w:sz="8" w:color="CCEEFF"/>
            </w:tcBorders>
          </w:tcPr>
          <w:p>
            <w:pPr>
              <w:spacing w:after="0"/>
              <w:rPr>
                <w:sz w:val="13"/>
                <w:szCs w:val="13"/>
                <w:color w:val="auto"/>
              </w:rPr>
            </w:pPr>
          </w:p>
        </w:tc>
        <w:tc>
          <w:tcPr>
            <w:tcW w:w="22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22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9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Unvested, January 1, 2021</w:t>
            </w:r>
          </w:p>
        </w:tc>
        <w:tc>
          <w:tcPr>
            <w:tcW w:w="6000" w:type="dxa"/>
            <w:vAlign w:val="bottom"/>
            <w:gridSpan w:val="2"/>
            <w:shd w:val="clear" w:color="auto" w:fill="CCEEFF"/>
          </w:tcPr>
          <w:p>
            <w:pPr>
              <w:jc w:val="center"/>
              <w:ind w:left="4040"/>
              <w:spacing w:after="0"/>
              <w:rPr>
                <w:sz w:val="20"/>
                <w:szCs w:val="20"/>
                <w:color w:val="auto"/>
              </w:rPr>
            </w:pPr>
            <w:r>
              <w:rPr>
                <w:rFonts w:ascii="Arial" w:cs="Arial" w:eastAsia="Arial" w:hAnsi="Arial"/>
                <w:sz w:val="12"/>
                <w:szCs w:val="12"/>
                <w:color w:val="auto"/>
                <w:w w:val="87"/>
              </w:rPr>
              <w:t>369,217</w:t>
            </w:r>
          </w:p>
        </w:tc>
        <w:tc>
          <w:tcPr>
            <w:tcW w:w="80" w:type="dxa"/>
            <w:vAlign w:val="bottom"/>
            <w:shd w:val="clear" w:color="auto" w:fill="CCEEFF"/>
          </w:tcPr>
          <w:p>
            <w:pPr>
              <w:spacing w:after="0"/>
              <w:rPr>
                <w:sz w:val="12"/>
                <w:szCs w:val="12"/>
                <w:color w:val="auto"/>
              </w:rPr>
            </w:pPr>
          </w:p>
        </w:tc>
        <w:tc>
          <w:tcPr>
            <w:tcW w:w="2220" w:type="dxa"/>
            <w:vAlign w:val="bottom"/>
            <w:shd w:val="clear" w:color="auto" w:fill="CCEEFF"/>
          </w:tcPr>
          <w:p>
            <w:pPr>
              <w:jc w:val="center"/>
              <w:ind w:left="260"/>
              <w:spacing w:after="0"/>
              <w:rPr>
                <w:sz w:val="20"/>
                <w:szCs w:val="20"/>
                <w:color w:val="auto"/>
              </w:rPr>
            </w:pPr>
            <w:r>
              <w:rPr>
                <w:rFonts w:ascii="Arial" w:cs="Arial" w:eastAsia="Arial" w:hAnsi="Arial"/>
                <w:sz w:val="12"/>
                <w:szCs w:val="12"/>
                <w:color w:val="auto"/>
                <w:w w:val="92"/>
              </w:rPr>
              <w:t>$12.61</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900" w:type="dxa"/>
            <w:vAlign w:val="bottom"/>
            <w:gridSpan w:val="2"/>
          </w:tcPr>
          <w:p>
            <w:pPr>
              <w:ind w:left="400"/>
              <w:spacing w:after="0"/>
              <w:rPr>
                <w:sz w:val="20"/>
                <w:szCs w:val="20"/>
                <w:color w:val="auto"/>
              </w:rPr>
            </w:pPr>
            <w:r>
              <w:rPr>
                <w:rFonts w:ascii="Arial" w:cs="Arial" w:eastAsia="Arial" w:hAnsi="Arial"/>
                <w:sz w:val="12"/>
                <w:szCs w:val="12"/>
                <w:color w:val="auto"/>
              </w:rPr>
              <w:t>Granted</w:t>
            </w:r>
          </w:p>
        </w:tc>
        <w:tc>
          <w:tcPr>
            <w:tcW w:w="6000" w:type="dxa"/>
            <w:vAlign w:val="bottom"/>
            <w:gridSpan w:val="2"/>
          </w:tcPr>
          <w:p>
            <w:pPr>
              <w:jc w:val="center"/>
              <w:ind w:left="4040"/>
              <w:spacing w:after="0"/>
              <w:rPr>
                <w:sz w:val="20"/>
                <w:szCs w:val="20"/>
                <w:color w:val="auto"/>
              </w:rPr>
            </w:pPr>
            <w:r>
              <w:rPr>
                <w:rFonts w:ascii="Arial" w:cs="Arial" w:eastAsia="Arial" w:hAnsi="Arial"/>
                <w:sz w:val="12"/>
                <w:szCs w:val="12"/>
                <w:color w:val="auto"/>
                <w:w w:val="87"/>
              </w:rPr>
              <w:t>265,707</w:t>
            </w:r>
          </w:p>
        </w:tc>
        <w:tc>
          <w:tcPr>
            <w:tcW w:w="80" w:type="dxa"/>
            <w:vAlign w:val="bottom"/>
          </w:tcPr>
          <w:p>
            <w:pPr>
              <w:spacing w:after="0"/>
              <w:rPr>
                <w:sz w:val="13"/>
                <w:szCs w:val="13"/>
                <w:color w:val="auto"/>
              </w:rPr>
            </w:pPr>
          </w:p>
        </w:tc>
        <w:tc>
          <w:tcPr>
            <w:tcW w:w="2220" w:type="dxa"/>
            <w:vAlign w:val="bottom"/>
          </w:tcPr>
          <w:p>
            <w:pPr>
              <w:jc w:val="center"/>
              <w:ind w:left="260"/>
              <w:spacing w:after="0"/>
              <w:rPr>
                <w:sz w:val="20"/>
                <w:szCs w:val="20"/>
                <w:color w:val="auto"/>
              </w:rPr>
            </w:pPr>
            <w:r>
              <w:rPr>
                <w:rFonts w:ascii="Arial" w:cs="Arial" w:eastAsia="Arial" w:hAnsi="Arial"/>
                <w:sz w:val="12"/>
                <w:szCs w:val="12"/>
                <w:color w:val="auto"/>
                <w:w w:val="86"/>
              </w:rPr>
              <w:t>13.27</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Vested</w:t>
            </w:r>
          </w:p>
        </w:tc>
        <w:tc>
          <w:tcPr>
            <w:tcW w:w="6000" w:type="dxa"/>
            <w:vAlign w:val="bottom"/>
            <w:gridSpan w:val="2"/>
            <w:shd w:val="clear" w:color="auto" w:fill="CCEEFF"/>
          </w:tcPr>
          <w:p>
            <w:pPr>
              <w:jc w:val="center"/>
              <w:ind w:left="4040"/>
              <w:spacing w:after="0"/>
              <w:rPr>
                <w:sz w:val="20"/>
                <w:szCs w:val="20"/>
                <w:color w:val="auto"/>
              </w:rPr>
            </w:pPr>
            <w:r>
              <w:rPr>
                <w:rFonts w:ascii="Arial" w:cs="Arial" w:eastAsia="Arial" w:hAnsi="Arial"/>
                <w:sz w:val="12"/>
                <w:szCs w:val="12"/>
                <w:color w:val="auto"/>
                <w:w w:val="89"/>
              </w:rPr>
              <w:t>(230,833)</w:t>
            </w:r>
          </w:p>
        </w:tc>
        <w:tc>
          <w:tcPr>
            <w:tcW w:w="80" w:type="dxa"/>
            <w:vAlign w:val="bottom"/>
            <w:shd w:val="clear" w:color="auto" w:fill="CCEEFF"/>
          </w:tcPr>
          <w:p>
            <w:pPr>
              <w:spacing w:after="0"/>
              <w:rPr>
                <w:sz w:val="13"/>
                <w:szCs w:val="13"/>
                <w:color w:val="auto"/>
              </w:rPr>
            </w:pPr>
          </w:p>
        </w:tc>
        <w:tc>
          <w:tcPr>
            <w:tcW w:w="2220" w:type="dxa"/>
            <w:vAlign w:val="bottom"/>
            <w:shd w:val="clear" w:color="auto" w:fill="CCEEFF"/>
          </w:tcPr>
          <w:p>
            <w:pPr>
              <w:jc w:val="center"/>
              <w:ind w:left="260"/>
              <w:spacing w:after="0"/>
              <w:rPr>
                <w:sz w:val="20"/>
                <w:szCs w:val="20"/>
                <w:color w:val="auto"/>
              </w:rPr>
            </w:pPr>
            <w:r>
              <w:rPr>
                <w:rFonts w:ascii="Arial" w:cs="Arial" w:eastAsia="Arial" w:hAnsi="Arial"/>
                <w:sz w:val="12"/>
                <w:szCs w:val="12"/>
                <w:color w:val="auto"/>
                <w:w w:val="86"/>
              </w:rPr>
              <w:t>11.83</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900" w:type="dxa"/>
            <w:vAlign w:val="bottom"/>
            <w:tcBorders>
              <w:bottom w:val="single" w:sz="8" w:color="CCEEFF"/>
            </w:tcBorders>
            <w:gridSpan w:val="2"/>
          </w:tcPr>
          <w:p>
            <w:pPr>
              <w:ind w:left="400"/>
              <w:spacing w:after="0"/>
              <w:rPr>
                <w:sz w:val="20"/>
                <w:szCs w:val="20"/>
                <w:color w:val="auto"/>
              </w:rPr>
            </w:pPr>
            <w:r>
              <w:rPr>
                <w:rFonts w:ascii="Arial" w:cs="Arial" w:eastAsia="Arial" w:hAnsi="Arial"/>
                <w:sz w:val="12"/>
                <w:szCs w:val="12"/>
                <w:color w:val="auto"/>
              </w:rPr>
              <w:t>Forfeited</w:t>
            </w:r>
          </w:p>
        </w:tc>
        <w:tc>
          <w:tcPr>
            <w:tcW w:w="3780" w:type="dxa"/>
            <w:vAlign w:val="bottom"/>
            <w:tcBorders>
              <w:bottom w:val="single" w:sz="8" w:color="CCEEFF"/>
            </w:tcBorders>
          </w:tcPr>
          <w:p>
            <w:pPr>
              <w:spacing w:after="0"/>
              <w:rPr>
                <w:sz w:val="13"/>
                <w:szCs w:val="13"/>
                <w:color w:val="auto"/>
              </w:rPr>
            </w:pPr>
          </w:p>
        </w:tc>
        <w:tc>
          <w:tcPr>
            <w:tcW w:w="222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color w:val="auto"/>
                <w:w w:val="89"/>
              </w:rPr>
              <w:t>(9,150)</w:t>
            </w:r>
          </w:p>
        </w:tc>
        <w:tc>
          <w:tcPr>
            <w:tcW w:w="80" w:type="dxa"/>
            <w:vAlign w:val="bottom"/>
            <w:tcBorders>
              <w:bottom w:val="single" w:sz="8" w:color="CCEEFF"/>
            </w:tcBorders>
          </w:tcPr>
          <w:p>
            <w:pPr>
              <w:spacing w:after="0"/>
              <w:rPr>
                <w:sz w:val="13"/>
                <w:szCs w:val="13"/>
                <w:color w:val="auto"/>
              </w:rPr>
            </w:pPr>
          </w:p>
        </w:tc>
        <w:tc>
          <w:tcPr>
            <w:tcW w:w="222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color w:val="auto"/>
                <w:w w:val="86"/>
              </w:rPr>
              <w:t>13.48</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2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2"/>
                <w:szCs w:val="12"/>
                <w:color w:val="auto"/>
              </w:rPr>
              <w:t>Unvested, June 30, 2021</w:t>
            </w:r>
          </w:p>
        </w:tc>
        <w:tc>
          <w:tcPr>
            <w:tcW w:w="3780" w:type="dxa"/>
            <w:vAlign w:val="bottom"/>
            <w:tcBorders>
              <w:bottom w:val="single" w:sz="8" w:color="CCEEFF"/>
            </w:tcBorders>
            <w:shd w:val="clear" w:color="auto" w:fill="CCEEFF"/>
          </w:tcPr>
          <w:p>
            <w:pPr>
              <w:spacing w:after="0"/>
              <w:rPr>
                <w:sz w:val="13"/>
                <w:szCs w:val="13"/>
                <w:color w:val="auto"/>
              </w:rPr>
            </w:pPr>
          </w:p>
        </w:tc>
        <w:tc>
          <w:tcPr>
            <w:tcW w:w="2220" w:type="dxa"/>
            <w:vAlign w:val="bottom"/>
            <w:tcBorders>
              <w:bottom w:val="single" w:sz="8" w:color="auto"/>
            </w:tcBorders>
            <w:shd w:val="clear" w:color="auto" w:fill="CCEEFF"/>
          </w:tcPr>
          <w:p>
            <w:pPr>
              <w:jc w:val="center"/>
              <w:ind w:left="260"/>
              <w:spacing w:after="0"/>
              <w:rPr>
                <w:sz w:val="20"/>
                <w:szCs w:val="20"/>
                <w:color w:val="auto"/>
              </w:rPr>
            </w:pPr>
            <w:r>
              <w:rPr>
                <w:rFonts w:ascii="Arial" w:cs="Arial" w:eastAsia="Arial" w:hAnsi="Arial"/>
                <w:sz w:val="12"/>
                <w:szCs w:val="12"/>
                <w:color w:val="auto"/>
                <w:w w:val="87"/>
              </w:rPr>
              <w:t>394,941</w:t>
            </w:r>
          </w:p>
        </w:tc>
        <w:tc>
          <w:tcPr>
            <w:tcW w:w="80" w:type="dxa"/>
            <w:vAlign w:val="bottom"/>
            <w:tcBorders>
              <w:bottom w:val="single" w:sz="8" w:color="CCEEFF"/>
            </w:tcBorders>
            <w:shd w:val="clear" w:color="auto" w:fill="CCEEFF"/>
          </w:tcPr>
          <w:p>
            <w:pPr>
              <w:spacing w:after="0"/>
              <w:rPr>
                <w:sz w:val="13"/>
                <w:szCs w:val="13"/>
                <w:color w:val="auto"/>
              </w:rPr>
            </w:pPr>
          </w:p>
        </w:tc>
        <w:tc>
          <w:tcPr>
            <w:tcW w:w="2220" w:type="dxa"/>
            <w:vAlign w:val="bottom"/>
            <w:tcBorders>
              <w:bottom w:val="single" w:sz="8" w:color="auto"/>
            </w:tcBorders>
            <w:shd w:val="clear" w:color="auto" w:fill="CCEEFF"/>
          </w:tcPr>
          <w:p>
            <w:pPr>
              <w:jc w:val="center"/>
              <w:ind w:left="260"/>
              <w:spacing w:after="0"/>
              <w:rPr>
                <w:sz w:val="20"/>
                <w:szCs w:val="20"/>
                <w:color w:val="auto"/>
              </w:rPr>
            </w:pPr>
            <w:r>
              <w:rPr>
                <w:rFonts w:ascii="Arial" w:cs="Arial" w:eastAsia="Arial" w:hAnsi="Arial"/>
                <w:sz w:val="12"/>
                <w:szCs w:val="12"/>
                <w:color w:val="auto"/>
                <w:w w:val="92"/>
              </w:rPr>
              <w:t>$13.50</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Unrecognized stock-based compensation related to the RSUs and RSAs issued through June 30, 2021 was $5 million and is expected to be recognized over 2.0 years.</w:t>
      </w:r>
    </w:p>
    <w:p>
      <w:pPr>
        <w:spacing w:after="0" w:line="276"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10:</w:t>
      </w:r>
      <w:r>
        <w:rPr>
          <w:sz w:val="20"/>
          <w:szCs w:val="20"/>
          <w:color w:val="auto"/>
        </w:rPr>
        <w:tab/>
      </w:r>
      <w:r>
        <w:rPr>
          <w:rFonts w:ascii="Arial" w:cs="Arial" w:eastAsia="Arial" w:hAnsi="Arial"/>
          <w:sz w:val="13"/>
          <w:szCs w:val="13"/>
          <w:b w:val="1"/>
          <w:bCs w:val="1"/>
          <w:color w:val="auto"/>
        </w:rPr>
        <w:t>Income Tax</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 income tax expense (benefit) reconciliation at the statutory rate to the Company’s actual income tax expense (benefit) is shown below:</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w w:val="96"/>
              </w:rPr>
              <w:t>Three Months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Six Months Ended</w:t>
            </w:r>
          </w:p>
        </w:tc>
        <w:tc>
          <w:tcPr>
            <w:tcW w:w="780" w:type="dxa"/>
            <w:vAlign w:val="bottom"/>
          </w:tcPr>
          <w:p>
            <w:pPr>
              <w:spacing w:after="0"/>
              <w:rPr>
                <w:sz w:val="13"/>
                <w:szCs w:val="13"/>
                <w:color w:val="auto"/>
              </w:rPr>
            </w:pPr>
          </w:p>
        </w:tc>
      </w:tr>
      <w:tr>
        <w:trPr>
          <w:trHeight w:val="157"/>
        </w:trPr>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w w:val="87"/>
              </w:rPr>
              <w:t>June 30,</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2"/>
                <w:szCs w:val="12"/>
                <w:b w:val="1"/>
                <w:bCs w:val="1"/>
                <w:color w:val="auto"/>
                <w:w w:val="83"/>
              </w:rPr>
              <w:t>June 30,</w:t>
            </w:r>
          </w:p>
        </w:tc>
        <w:tc>
          <w:tcPr>
            <w:tcW w:w="780" w:type="dxa"/>
            <w:vAlign w:val="bottom"/>
            <w:tcBorders>
              <w:bottom w:val="single" w:sz="8" w:color="auto"/>
            </w:tcBorders>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p>
        </w:tc>
      </w:tr>
      <w:tr>
        <w:trPr>
          <w:trHeight w:val="131"/>
        </w:trPr>
        <w:tc>
          <w:tcPr>
            <w:tcW w:w="1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1"/>
                <w:szCs w:val="11"/>
                <w:i w:val="1"/>
                <w:iCs w:val="1"/>
                <w:color w:val="auto"/>
              </w:rPr>
              <w:t>(Dollars in thousands)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Computed at the statutory rate (21%)</w:t>
            </w:r>
          </w:p>
        </w:tc>
        <w:tc>
          <w:tcPr>
            <w:tcW w:w="106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3,957</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(1,727)</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7,095</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w:t>
            </w:r>
          </w:p>
        </w:tc>
      </w:tr>
      <w:tr>
        <w:trPr>
          <w:trHeight w:val="153"/>
        </w:trPr>
        <w:tc>
          <w:tcPr>
            <w:tcW w:w="100" w:type="dxa"/>
            <w:vAlign w:val="bottom"/>
          </w:tcPr>
          <w:p>
            <w:pPr>
              <w:spacing w:after="0"/>
              <w:rPr>
                <w:sz w:val="13"/>
                <w:szCs w:val="13"/>
                <w:color w:val="auto"/>
              </w:rPr>
            </w:pPr>
          </w:p>
        </w:tc>
        <w:tc>
          <w:tcPr>
            <w:tcW w:w="5080" w:type="dxa"/>
            <w:vAlign w:val="bottom"/>
          </w:tcPr>
          <w:p>
            <w:pPr>
              <w:ind w:left="340"/>
              <w:spacing w:after="0"/>
              <w:rPr>
                <w:sz w:val="20"/>
                <w:szCs w:val="20"/>
                <w:color w:val="auto"/>
              </w:rPr>
            </w:pPr>
            <w:r>
              <w:rPr>
                <w:rFonts w:ascii="Arial" w:cs="Arial" w:eastAsia="Arial" w:hAnsi="Arial"/>
                <w:sz w:val="12"/>
                <w:szCs w:val="12"/>
                <w:color w:val="auto"/>
              </w:rPr>
              <w:t>Increase (decrease) resulting from</w:t>
            </w: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Tax-exempt income</w:t>
            </w: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(1,212)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w:t>
            </w:r>
          </w:p>
        </w:tc>
      </w:tr>
      <w:tr>
        <w:trPr>
          <w:trHeight w:val="153"/>
        </w:trPr>
        <w:tc>
          <w:tcPr>
            <w:tcW w:w="100" w:type="dxa"/>
            <w:vAlign w:val="bottom"/>
          </w:tcPr>
          <w:p>
            <w:pPr>
              <w:spacing w:after="0"/>
              <w:rPr>
                <w:sz w:val="13"/>
                <w:szCs w:val="13"/>
                <w:color w:val="auto"/>
              </w:rPr>
            </w:pPr>
          </w:p>
        </w:tc>
        <w:tc>
          <w:tcPr>
            <w:tcW w:w="5080" w:type="dxa"/>
            <w:vAlign w:val="bottom"/>
          </w:tcPr>
          <w:p>
            <w:pPr>
              <w:ind w:left="420"/>
              <w:spacing w:after="0"/>
              <w:rPr>
                <w:sz w:val="20"/>
                <w:szCs w:val="20"/>
                <w:color w:val="auto"/>
              </w:rPr>
            </w:pPr>
            <w:r>
              <w:rPr>
                <w:rFonts w:ascii="Arial" w:cs="Arial" w:eastAsia="Arial" w:hAnsi="Arial"/>
                <w:sz w:val="12"/>
                <w:szCs w:val="12"/>
                <w:color w:val="auto"/>
              </w:rPr>
              <w:t>Nondeductible expenses</w:t>
            </w:r>
          </w:p>
        </w:tc>
        <w:tc>
          <w:tcPr>
            <w:tcW w:w="10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53"/>
        </w:trPr>
        <w:tc>
          <w:tcPr>
            <w:tcW w:w="100" w:type="dxa"/>
            <w:vAlign w:val="bottom"/>
          </w:tcPr>
          <w:p>
            <w:pPr>
              <w:spacing w:after="0"/>
              <w:rPr>
                <w:sz w:val="13"/>
                <w:szCs w:val="13"/>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State income taxes</w:t>
            </w: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r>
      <w:tr>
        <w:trPr>
          <w:trHeight w:val="153"/>
        </w:trPr>
        <w:tc>
          <w:tcPr>
            <w:tcW w:w="100" w:type="dxa"/>
            <w:vAlign w:val="bottom"/>
          </w:tcPr>
          <w:p>
            <w:pPr>
              <w:spacing w:after="0"/>
              <w:rPr>
                <w:sz w:val="13"/>
                <w:szCs w:val="13"/>
                <w:color w:val="auto"/>
              </w:rPr>
            </w:pPr>
          </w:p>
        </w:tc>
        <w:tc>
          <w:tcPr>
            <w:tcW w:w="5080" w:type="dxa"/>
            <w:vAlign w:val="bottom"/>
          </w:tcPr>
          <w:p>
            <w:pPr>
              <w:ind w:left="420"/>
              <w:spacing w:after="0"/>
              <w:rPr>
                <w:sz w:val="20"/>
                <w:szCs w:val="20"/>
                <w:color w:val="auto"/>
              </w:rPr>
            </w:pPr>
            <w:r>
              <w:rPr>
                <w:rFonts w:ascii="Arial" w:cs="Arial" w:eastAsia="Arial" w:hAnsi="Arial"/>
                <w:sz w:val="12"/>
                <w:szCs w:val="12"/>
                <w:color w:val="auto"/>
              </w:rPr>
              <w:t>Equity based compensation</w:t>
            </w:r>
          </w:p>
        </w:tc>
        <w:tc>
          <w:tcPr>
            <w:tcW w:w="10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53"/>
        </w:trPr>
        <w:tc>
          <w:tcPr>
            <w:tcW w:w="100" w:type="dxa"/>
            <w:vAlign w:val="bottom"/>
          </w:tcPr>
          <w:p>
            <w:pPr>
              <w:spacing w:after="0"/>
              <w:rPr>
                <w:sz w:val="13"/>
                <w:szCs w:val="13"/>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Goodwill impairment</w:t>
            </w:r>
          </w:p>
        </w:tc>
        <w:tc>
          <w:tcPr>
            <w:tcW w:w="10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w:t>
            </w:r>
          </w:p>
        </w:tc>
      </w:tr>
      <w:tr>
        <w:trPr>
          <w:trHeight w:val="153"/>
        </w:trPr>
        <w:tc>
          <w:tcPr>
            <w:tcW w:w="100" w:type="dxa"/>
            <w:vAlign w:val="bottom"/>
          </w:tcPr>
          <w:p>
            <w:pPr>
              <w:spacing w:after="0"/>
              <w:rPr>
                <w:sz w:val="13"/>
                <w:szCs w:val="13"/>
                <w:color w:val="auto"/>
              </w:rPr>
            </w:pPr>
          </w:p>
        </w:tc>
        <w:tc>
          <w:tcPr>
            <w:tcW w:w="508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Other adjustments</w:t>
            </w:r>
          </w:p>
        </w:tc>
        <w:tc>
          <w:tcPr>
            <w:tcW w:w="10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r>
      <w:tr>
        <w:trPr>
          <w:trHeight w:val="158"/>
        </w:trPr>
        <w:tc>
          <w:tcPr>
            <w:tcW w:w="100" w:type="dxa"/>
            <w:vAlign w:val="bottom"/>
          </w:tcPr>
          <w:p>
            <w:pPr>
              <w:spacing w:after="0"/>
              <w:rPr>
                <w:sz w:val="13"/>
                <w:szCs w:val="13"/>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Actual tax expense (benefit)</w:t>
            </w:r>
          </w:p>
        </w:tc>
        <w:tc>
          <w:tcPr>
            <w:tcW w:w="106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6,171</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r>
      <w:tr>
        <w:trPr>
          <w:trHeight w:val="684"/>
        </w:trPr>
        <w:tc>
          <w:tcPr>
            <w:tcW w:w="100" w:type="dxa"/>
            <w:vAlign w:val="bottom"/>
          </w:tcPr>
          <w:p>
            <w:pPr>
              <w:spacing w:after="0"/>
              <w:rPr>
                <w:sz w:val="24"/>
                <w:szCs w:val="24"/>
                <w:color w:val="auto"/>
              </w:rPr>
            </w:pPr>
          </w:p>
        </w:tc>
        <w:tc>
          <w:tcPr>
            <w:tcW w:w="50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jc w:val="right"/>
              <w:ind w:right="480"/>
              <w:spacing w:after="0"/>
              <w:rPr>
                <w:sz w:val="20"/>
                <w:szCs w:val="20"/>
                <w:color w:val="auto"/>
              </w:rPr>
            </w:pPr>
            <w:r>
              <w:rPr>
                <w:rFonts w:ascii="Arial" w:cs="Arial" w:eastAsia="Arial" w:hAnsi="Arial"/>
                <w:sz w:val="12"/>
                <w:szCs w:val="12"/>
                <w:color w:val="auto"/>
              </w:rPr>
              <w:t>30</w:t>
            </w: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50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5" w:right="299" w:bottom="1440" w:gutter="0" w:footer="0" w:header="0"/>
        </w:sectPr>
      </w:pPr>
    </w:p>
    <w:bookmarkStart w:id="30" w:name="page31"/>
    <w:bookmarkEnd w:id="30"/>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tax effects of temporary differences related to deferred taxes shown in other assets on the Consolidated Balance Sheets are presented below:</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5580" w:type="dxa"/>
            <w:vAlign w:val="bottom"/>
          </w:tcPr>
          <w:p>
            <w:pPr>
              <w:spacing w:after="0"/>
              <w:rPr>
                <w:sz w:val="13"/>
                <w:szCs w:val="13"/>
                <w:color w:val="auto"/>
              </w:rPr>
            </w:pPr>
          </w:p>
        </w:tc>
        <w:tc>
          <w:tcPr>
            <w:tcW w:w="21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June 30, 2021</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December 31, 2020</w:t>
            </w:r>
          </w:p>
        </w:tc>
      </w:tr>
      <w:tr>
        <w:trPr>
          <w:trHeight w:val="131"/>
        </w:trPr>
        <w:tc>
          <w:tcPr>
            <w:tcW w:w="5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1"/>
                <w:szCs w:val="11"/>
                <w:i w:val="1"/>
                <w:iCs w:val="1"/>
                <w:color w:val="auto"/>
              </w:rPr>
              <w:t>(Dollars in thousands)</w:t>
            </w:r>
          </w:p>
        </w:tc>
        <w:tc>
          <w:tcPr>
            <w:tcW w:w="1940" w:type="dxa"/>
            <w:vAlign w:val="bottom"/>
          </w:tcPr>
          <w:p>
            <w:pPr>
              <w:spacing w:after="0"/>
              <w:rPr>
                <w:sz w:val="11"/>
                <w:szCs w:val="11"/>
                <w:color w:val="auto"/>
              </w:rPr>
            </w:pPr>
          </w:p>
        </w:tc>
      </w:tr>
      <w:tr>
        <w:trPr>
          <w:trHeight w:val="155"/>
        </w:trPr>
        <w:tc>
          <w:tcPr>
            <w:tcW w:w="558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Deferred tax assets</w:t>
            </w:r>
          </w:p>
        </w:tc>
        <w:tc>
          <w:tcPr>
            <w:tcW w:w="2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r>
      <w:tr>
        <w:trPr>
          <w:trHeight w:val="153"/>
        </w:trPr>
        <w:tc>
          <w:tcPr>
            <w:tcW w:w="5580" w:type="dxa"/>
            <w:vAlign w:val="bottom"/>
          </w:tcPr>
          <w:p>
            <w:pPr>
              <w:ind w:left="480"/>
              <w:spacing w:after="0"/>
              <w:rPr>
                <w:sz w:val="20"/>
                <w:szCs w:val="20"/>
                <w:color w:val="auto"/>
              </w:rPr>
            </w:pPr>
            <w:r>
              <w:rPr>
                <w:rFonts w:ascii="Arial" w:cs="Arial" w:eastAsia="Arial" w:hAnsi="Arial"/>
                <w:sz w:val="12"/>
                <w:szCs w:val="12"/>
                <w:color w:val="auto"/>
              </w:rPr>
              <w:t>Allowance for loan losses</w:t>
            </w:r>
          </w:p>
        </w:tc>
        <w:tc>
          <w:tcPr>
            <w:tcW w:w="2120" w:type="dxa"/>
            <w:vAlign w:val="bottom"/>
          </w:tcPr>
          <w:p>
            <w:pPr>
              <w:jc w:val="right"/>
              <w:ind w:right="16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18,171</w:t>
            </w:r>
          </w:p>
        </w:tc>
        <w:tc>
          <w:tcPr>
            <w:tcW w:w="80" w:type="dxa"/>
            <w:vAlign w:val="bottom"/>
          </w:tcPr>
          <w:p>
            <w:pPr>
              <w:spacing w:after="0"/>
              <w:rPr>
                <w:sz w:val="13"/>
                <w:szCs w:val="13"/>
                <w:color w:val="auto"/>
              </w:rPr>
            </w:pPr>
          </w:p>
        </w:tc>
        <w:tc>
          <w:tcPr>
            <w:tcW w:w="84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1940" w:type="dxa"/>
            <w:vAlign w:val="bottom"/>
          </w:tcPr>
          <w:p>
            <w:pPr>
              <w:jc w:val="right"/>
              <w:spacing w:after="0"/>
              <w:rPr>
                <w:sz w:val="20"/>
                <w:szCs w:val="20"/>
                <w:color w:val="auto"/>
              </w:rPr>
            </w:pPr>
            <w:r>
              <w:rPr>
                <w:rFonts w:ascii="Arial" w:cs="Arial" w:eastAsia="Arial" w:hAnsi="Arial"/>
                <w:sz w:val="12"/>
                <w:szCs w:val="12"/>
                <w:color w:val="auto"/>
              </w:rPr>
              <w:t>18,124</w:t>
            </w:r>
          </w:p>
        </w:tc>
      </w:tr>
      <w:tr>
        <w:trPr>
          <w:trHeight w:val="153"/>
        </w:trPr>
        <w:tc>
          <w:tcPr>
            <w:tcW w:w="55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Lease incentive</w:t>
            </w:r>
          </w:p>
        </w:tc>
        <w:tc>
          <w:tcPr>
            <w:tcW w:w="2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564</w:t>
            </w:r>
          </w:p>
        </w:tc>
      </w:tr>
      <w:tr>
        <w:trPr>
          <w:trHeight w:val="153"/>
        </w:trPr>
        <w:tc>
          <w:tcPr>
            <w:tcW w:w="5580" w:type="dxa"/>
            <w:vAlign w:val="bottom"/>
          </w:tcPr>
          <w:p>
            <w:pPr>
              <w:ind w:left="480"/>
              <w:spacing w:after="0"/>
              <w:rPr>
                <w:sz w:val="20"/>
                <w:szCs w:val="20"/>
                <w:color w:val="auto"/>
              </w:rPr>
            </w:pPr>
            <w:r>
              <w:rPr>
                <w:rFonts w:ascii="Arial" w:cs="Arial" w:eastAsia="Arial" w:hAnsi="Arial"/>
                <w:sz w:val="12"/>
                <w:szCs w:val="12"/>
                <w:color w:val="auto"/>
              </w:rPr>
              <w:t>Loan fees</w:t>
            </w:r>
          </w:p>
        </w:tc>
        <w:tc>
          <w:tcPr>
            <w:tcW w:w="2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3,462</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3,178</w:t>
            </w:r>
          </w:p>
        </w:tc>
      </w:tr>
      <w:tr>
        <w:trPr>
          <w:trHeight w:val="153"/>
        </w:trPr>
        <w:tc>
          <w:tcPr>
            <w:tcW w:w="55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Accrued expenses</w:t>
            </w:r>
          </w:p>
        </w:tc>
        <w:tc>
          <w:tcPr>
            <w:tcW w:w="2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2,128</w:t>
            </w:r>
          </w:p>
        </w:tc>
      </w:tr>
      <w:tr>
        <w:trPr>
          <w:trHeight w:val="153"/>
        </w:trPr>
        <w:tc>
          <w:tcPr>
            <w:tcW w:w="5580" w:type="dxa"/>
            <w:vAlign w:val="bottom"/>
          </w:tcPr>
          <w:p>
            <w:pPr>
              <w:ind w:left="480"/>
              <w:spacing w:after="0"/>
              <w:rPr>
                <w:sz w:val="20"/>
                <w:szCs w:val="20"/>
                <w:color w:val="auto"/>
              </w:rPr>
            </w:pPr>
            <w:r>
              <w:rPr>
                <w:rFonts w:ascii="Arial" w:cs="Arial" w:eastAsia="Arial" w:hAnsi="Arial"/>
                <w:sz w:val="12"/>
                <w:szCs w:val="12"/>
                <w:color w:val="auto"/>
              </w:rPr>
              <w:t>Deferred compensation</w:t>
            </w:r>
          </w:p>
        </w:tc>
        <w:tc>
          <w:tcPr>
            <w:tcW w:w="2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2,101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2,474</w:t>
            </w:r>
          </w:p>
        </w:tc>
      </w:tr>
      <w:tr>
        <w:trPr>
          <w:trHeight w:val="153"/>
        </w:trPr>
        <w:tc>
          <w:tcPr>
            <w:tcW w:w="55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State tax credit</w:t>
            </w:r>
          </w:p>
        </w:tc>
        <w:tc>
          <w:tcPr>
            <w:tcW w:w="2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w:t>
            </w:r>
          </w:p>
        </w:tc>
      </w:tr>
      <w:tr>
        <w:trPr>
          <w:trHeight w:val="153"/>
        </w:trPr>
        <w:tc>
          <w:tcPr>
            <w:tcW w:w="5580" w:type="dxa"/>
            <w:vAlign w:val="bottom"/>
            <w:tcBorders>
              <w:bottom w:val="single" w:sz="8" w:color="CCEEFF"/>
            </w:tcBorders>
          </w:tcPr>
          <w:p>
            <w:pPr>
              <w:ind w:left="480"/>
              <w:spacing w:after="0"/>
              <w:rPr>
                <w:sz w:val="20"/>
                <w:szCs w:val="20"/>
                <w:color w:val="auto"/>
              </w:rPr>
            </w:pPr>
            <w:r>
              <w:rPr>
                <w:rFonts w:ascii="Arial" w:cs="Arial" w:eastAsia="Arial" w:hAnsi="Arial"/>
                <w:sz w:val="12"/>
                <w:szCs w:val="12"/>
                <w:color w:val="auto"/>
              </w:rPr>
              <w:t>Other</w:t>
            </w:r>
          </w:p>
        </w:tc>
        <w:tc>
          <w:tcPr>
            <w:tcW w:w="2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632</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w:t>
            </w:r>
          </w:p>
        </w:tc>
      </w:tr>
      <w:tr>
        <w:trPr>
          <w:trHeight w:val="142"/>
        </w:trPr>
        <w:tc>
          <w:tcPr>
            <w:tcW w:w="55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deferred tax asset</w:t>
            </w:r>
          </w:p>
        </w:tc>
        <w:tc>
          <w:tcPr>
            <w:tcW w:w="2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30,035</w:t>
            </w:r>
          </w:p>
        </w:tc>
      </w:tr>
      <w:tr>
        <w:trPr>
          <w:trHeight w:val="153"/>
        </w:trPr>
        <w:tc>
          <w:tcPr>
            <w:tcW w:w="5580" w:type="dxa"/>
            <w:vAlign w:val="bottom"/>
          </w:tcPr>
          <w:p>
            <w:pPr>
              <w:ind w:left="340"/>
              <w:spacing w:after="0"/>
              <w:rPr>
                <w:sz w:val="20"/>
                <w:szCs w:val="20"/>
                <w:color w:val="auto"/>
              </w:rPr>
            </w:pPr>
            <w:r>
              <w:rPr>
                <w:rFonts w:ascii="Arial" w:cs="Arial" w:eastAsia="Arial" w:hAnsi="Arial"/>
                <w:sz w:val="12"/>
                <w:szCs w:val="12"/>
                <w:b w:val="1"/>
                <w:bCs w:val="1"/>
                <w:color w:val="auto"/>
              </w:rPr>
              <w:t>Deferred tax liability</w:t>
            </w:r>
          </w:p>
        </w:tc>
        <w:tc>
          <w:tcPr>
            <w:tcW w:w="2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153"/>
        </w:trPr>
        <w:tc>
          <w:tcPr>
            <w:tcW w:w="55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unrealized gain on securities available-for-sale</w:t>
            </w:r>
          </w:p>
        </w:tc>
        <w:tc>
          <w:tcPr>
            <w:tcW w:w="2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(9,531)</w:t>
            </w:r>
          </w:p>
        </w:tc>
      </w:tr>
      <w:tr>
        <w:trPr>
          <w:trHeight w:val="153"/>
        </w:trPr>
        <w:tc>
          <w:tcPr>
            <w:tcW w:w="5580" w:type="dxa"/>
            <w:vAlign w:val="bottom"/>
          </w:tcPr>
          <w:p>
            <w:pPr>
              <w:ind w:left="480"/>
              <w:spacing w:after="0"/>
              <w:rPr>
                <w:sz w:val="20"/>
                <w:szCs w:val="20"/>
                <w:color w:val="auto"/>
              </w:rPr>
            </w:pPr>
            <w:r>
              <w:rPr>
                <w:rFonts w:ascii="Arial" w:cs="Arial" w:eastAsia="Arial" w:hAnsi="Arial"/>
                <w:sz w:val="12"/>
                <w:szCs w:val="12"/>
                <w:color w:val="auto"/>
              </w:rPr>
              <w:t>FHLB stock basis</w:t>
            </w:r>
          </w:p>
        </w:tc>
        <w:tc>
          <w:tcPr>
            <w:tcW w:w="2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(1,280)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2"/>
                <w:szCs w:val="12"/>
                <w:color w:val="auto"/>
              </w:rPr>
              <w:t>(1,209)</w:t>
            </w:r>
          </w:p>
        </w:tc>
      </w:tr>
      <w:tr>
        <w:trPr>
          <w:trHeight w:val="153"/>
        </w:trPr>
        <w:tc>
          <w:tcPr>
            <w:tcW w:w="55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Premises and equipment</w:t>
            </w:r>
          </w:p>
        </w:tc>
        <w:tc>
          <w:tcPr>
            <w:tcW w:w="2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(2,568)</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(2,881)</w:t>
            </w:r>
          </w:p>
        </w:tc>
      </w:tr>
      <w:tr>
        <w:trPr>
          <w:trHeight w:val="153"/>
        </w:trPr>
        <w:tc>
          <w:tcPr>
            <w:tcW w:w="5580" w:type="dxa"/>
            <w:vAlign w:val="bottom"/>
            <w:tcBorders>
              <w:bottom w:val="single" w:sz="8" w:color="CCEEFF"/>
            </w:tcBorders>
          </w:tcPr>
          <w:p>
            <w:pPr>
              <w:ind w:left="480"/>
              <w:spacing w:after="0"/>
              <w:rPr>
                <w:sz w:val="20"/>
                <w:szCs w:val="20"/>
                <w:color w:val="auto"/>
              </w:rPr>
            </w:pPr>
            <w:r>
              <w:rPr>
                <w:rFonts w:ascii="Arial" w:cs="Arial" w:eastAsia="Arial" w:hAnsi="Arial"/>
                <w:sz w:val="12"/>
                <w:szCs w:val="12"/>
                <w:color w:val="auto"/>
              </w:rPr>
              <w:t>Other</w:t>
            </w:r>
          </w:p>
        </w:tc>
        <w:tc>
          <w:tcPr>
            <w:tcW w:w="2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(1,332)</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(1,601)</w:t>
            </w:r>
          </w:p>
        </w:tc>
      </w:tr>
      <w:tr>
        <w:trPr>
          <w:trHeight w:val="142"/>
        </w:trPr>
        <w:tc>
          <w:tcPr>
            <w:tcW w:w="55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 deferred tax liability</w:t>
            </w:r>
          </w:p>
        </w:tc>
        <w:tc>
          <w:tcPr>
            <w:tcW w:w="2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(13,845)</w:t>
            </w:r>
          </w:p>
        </w:tc>
        <w:tc>
          <w:tcPr>
            <w:tcW w:w="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(15,222)</w:t>
            </w:r>
          </w:p>
        </w:tc>
      </w:tr>
      <w:tr>
        <w:trPr>
          <w:trHeight w:val="142"/>
        </w:trPr>
        <w:tc>
          <w:tcPr>
            <w:tcW w:w="5580" w:type="dxa"/>
            <w:vAlign w:val="bottom"/>
          </w:tcPr>
          <w:p>
            <w:pPr>
              <w:ind w:left="680"/>
              <w:spacing w:after="0"/>
              <w:rPr>
                <w:sz w:val="20"/>
                <w:szCs w:val="20"/>
                <w:color w:val="auto"/>
              </w:rPr>
            </w:pPr>
            <w:r>
              <w:rPr>
                <w:rFonts w:ascii="Arial" w:cs="Arial" w:eastAsia="Arial" w:hAnsi="Arial"/>
                <w:sz w:val="12"/>
                <w:szCs w:val="12"/>
                <w:color w:val="auto"/>
              </w:rPr>
              <w:t>Net deferred tax asset</w:t>
            </w:r>
          </w:p>
        </w:tc>
        <w:tc>
          <w:tcPr>
            <w:tcW w:w="2120" w:type="dxa"/>
            <w:vAlign w:val="bottom"/>
            <w:tcBorders>
              <w:bottom w:val="single" w:sz="8" w:color="auto"/>
            </w:tcBorders>
          </w:tcPr>
          <w:p>
            <w:pPr>
              <w:jc w:val="right"/>
              <w:ind w:right="168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14,445</w:t>
            </w: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14,813</w:t>
            </w:r>
          </w:p>
        </w:tc>
      </w:tr>
      <w:tr>
        <w:trPr>
          <w:trHeight w:val="20"/>
        </w:trPr>
        <w:tc>
          <w:tcPr>
            <w:tcW w:w="55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11:</w:t>
      </w:r>
      <w:r>
        <w:rPr>
          <w:sz w:val="20"/>
          <w:szCs w:val="20"/>
          <w:color w:val="auto"/>
        </w:rPr>
        <w:tab/>
      </w:r>
      <w:r>
        <w:rPr>
          <w:rFonts w:ascii="Arial" w:cs="Arial" w:eastAsia="Arial" w:hAnsi="Arial"/>
          <w:sz w:val="12"/>
          <w:szCs w:val="12"/>
          <w:b w:val="1"/>
          <w:bCs w:val="1"/>
          <w:color w:val="auto"/>
        </w:rPr>
        <w:t>Disclosures about Fair Value of Financial Instruments</w:t>
      </w:r>
    </w:p>
    <w:p>
      <w:pPr>
        <w:spacing w:after="0" w:line="118" w:lineRule="exact"/>
        <w:rPr>
          <w:sz w:val="20"/>
          <w:szCs w:val="20"/>
          <w:color w:val="auto"/>
        </w:rPr>
      </w:pPr>
    </w:p>
    <w:p>
      <w:pPr>
        <w:ind w:left="100" w:right="320" w:firstLine="324"/>
        <w:spacing w:after="0" w:line="276" w:lineRule="auto"/>
        <w:rPr>
          <w:sz w:val="20"/>
          <w:szCs w:val="20"/>
          <w:color w:val="auto"/>
        </w:rPr>
      </w:pPr>
      <w:r>
        <w:rPr>
          <w:rFonts w:ascii="Arial" w:cs="Arial" w:eastAsia="Arial" w:hAnsi="Arial"/>
          <w:sz w:val="12"/>
          <w:szCs w:val="12"/>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7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2"/>
          <w:szCs w:val="12"/>
          <w:b w:val="1"/>
          <w:bCs w:val="1"/>
          <w:color w:val="auto"/>
        </w:rPr>
        <w:t>Level 1</w:t>
      </w:r>
      <w:r>
        <w:rPr>
          <w:sz w:val="20"/>
          <w:szCs w:val="20"/>
          <w:color w:val="auto"/>
        </w:rPr>
        <w:tab/>
      </w:r>
      <w:r>
        <w:rPr>
          <w:rFonts w:ascii="Arial" w:cs="Arial" w:eastAsia="Arial" w:hAnsi="Arial"/>
          <w:sz w:val="10"/>
          <w:szCs w:val="10"/>
          <w:color w:val="auto"/>
        </w:rPr>
        <w:t>Quoted prices in active markets for identical assets or liabilities.</w:t>
      </w:r>
    </w:p>
    <w:p>
      <w:pPr>
        <w:spacing w:after="0" w:line="78" w:lineRule="exact"/>
        <w:rPr>
          <w:sz w:val="20"/>
          <w:szCs w:val="20"/>
          <w:color w:val="auto"/>
        </w:rPr>
      </w:pPr>
    </w:p>
    <w:p>
      <w:pPr>
        <w:ind w:left="860" w:right="120" w:hanging="431"/>
        <w:spacing w:after="0" w:line="276" w:lineRule="auto"/>
        <w:tabs>
          <w:tab w:leader="none" w:pos="840" w:val="left"/>
        </w:tabs>
        <w:rPr>
          <w:sz w:val="20"/>
          <w:szCs w:val="20"/>
          <w:color w:val="auto"/>
        </w:rPr>
      </w:pPr>
      <w:r>
        <w:rPr>
          <w:rFonts w:ascii="Arial" w:cs="Arial" w:eastAsia="Arial" w:hAnsi="Arial"/>
          <w:sz w:val="12"/>
          <w:szCs w:val="12"/>
          <w:b w:val="1"/>
          <w:bCs w:val="1"/>
          <w:color w:val="auto"/>
        </w:rPr>
        <w:t>Level 2</w:t>
      </w:r>
      <w:r>
        <w:rPr>
          <w:sz w:val="20"/>
          <w:szCs w:val="20"/>
          <w:color w:val="auto"/>
        </w:rPr>
        <w:tab/>
      </w:r>
      <w:r>
        <w:rPr>
          <w:rFonts w:ascii="Arial" w:cs="Arial" w:eastAsia="Arial" w:hAnsi="Arial"/>
          <w:sz w:val="12"/>
          <w:szCs w:val="12"/>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3"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2"/>
          <w:szCs w:val="12"/>
          <w:b w:val="1"/>
          <w:bCs w:val="1"/>
          <w:color w:val="auto"/>
        </w:rPr>
        <w:t>Level 3</w:t>
      </w:r>
      <w:r>
        <w:rPr>
          <w:sz w:val="20"/>
          <w:szCs w:val="20"/>
          <w:color w:val="auto"/>
        </w:rPr>
        <w:tab/>
      </w:r>
      <w:r>
        <w:rPr>
          <w:rFonts w:ascii="Arial" w:cs="Arial" w:eastAsia="Arial" w:hAnsi="Arial"/>
          <w:sz w:val="11"/>
          <w:szCs w:val="11"/>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1" w:name="page32"/>
    <w:bookmarkEnd w:id="31"/>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Recurring Measurements</w:t>
      </w:r>
    </w:p>
    <w:p>
      <w:pPr>
        <w:spacing w:after="0" w:line="113" w:lineRule="exact"/>
        <w:rPr>
          <w:sz w:val="20"/>
          <w:szCs w:val="20"/>
          <w:color w:val="auto"/>
        </w:rPr>
      </w:pPr>
    </w:p>
    <w:p>
      <w:pPr>
        <w:ind w:left="100" w:right="120" w:firstLine="324"/>
        <w:spacing w:after="0" w:line="270" w:lineRule="auto"/>
        <w:rPr>
          <w:sz w:val="20"/>
          <w:szCs w:val="20"/>
          <w:color w:val="auto"/>
        </w:rPr>
      </w:pPr>
      <w:r>
        <w:rPr>
          <w:rFonts w:ascii="Arial" w:cs="Arial" w:eastAsia="Arial" w:hAnsi="Arial"/>
          <w:sz w:val="12"/>
          <w:szCs w:val="12"/>
          <w:color w:val="auto"/>
        </w:rPr>
        <w:t>The following list presents the assets and liabilities recognized in the accompanying Consolidated Balance Sheets measured at fair value on a recurring basis and the level within the fair value hierarchy in which the fair value measurements fall at June 30, 2021 and December 31, 2020:</w:t>
      </w:r>
    </w:p>
    <w:p>
      <w:pPr>
        <w:sectPr>
          <w:pgSz w:w="11900" w:h="16838" w:orient="portrait"/>
          <w:cols w:equalWidth="0" w:num="1">
            <w:col w:w="11300"/>
          </w:cols>
          <w:pgMar w:left="300" w:top="167" w:right="299" w:bottom="1440" w:gutter="0" w:footer="0" w:header="0"/>
        </w:sectPr>
      </w:pPr>
    </w:p>
    <w:p>
      <w:pPr>
        <w:spacing w:after="0" w:line="275" w:lineRule="exact"/>
        <w:rPr>
          <w:sz w:val="20"/>
          <w:szCs w:val="20"/>
          <w:color w:val="auto"/>
        </w:rPr>
      </w:pPr>
    </w:p>
    <w:p>
      <w:pPr>
        <w:ind w:left="220" w:hanging="107"/>
        <w:spacing w:after="0" w:line="234" w:lineRule="auto"/>
        <w:rPr>
          <w:sz w:val="20"/>
          <w:szCs w:val="20"/>
          <w:color w:val="auto"/>
        </w:rPr>
      </w:pPr>
      <w:r>
        <w:rPr>
          <w:rFonts w:ascii="Arial" w:cs="Arial" w:eastAsia="Arial" w:hAnsi="Arial"/>
          <w:sz w:val="12"/>
          <w:szCs w:val="12"/>
          <w:color w:val="auto"/>
        </w:rPr>
        <w:t>Available-for-Sale Securities and equity security</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6340" w:type="dxa"/>
            <w:vAlign w:val="bottom"/>
            <w:vMerge w:val="restart"/>
          </w:tcPr>
          <w:p>
            <w:pPr>
              <w:ind w:left="2740"/>
              <w:spacing w:after="0"/>
              <w:rPr>
                <w:sz w:val="20"/>
                <w:szCs w:val="20"/>
                <w:color w:val="auto"/>
              </w:rPr>
            </w:pPr>
            <w:r>
              <w:rPr>
                <w:rFonts w:ascii="Arial" w:cs="Arial" w:eastAsia="Arial" w:hAnsi="Arial"/>
                <w:sz w:val="12"/>
                <w:szCs w:val="12"/>
                <w:b w:val="1"/>
                <w:bCs w:val="1"/>
                <w:color w:val="auto"/>
              </w:rPr>
              <w:t>Fair Value Description</w:t>
            </w:r>
          </w:p>
        </w:tc>
        <w:tc>
          <w:tcPr>
            <w:tcW w:w="80" w:type="dxa"/>
            <w:vAlign w:val="bottom"/>
            <w:vMerge w:val="restart"/>
          </w:tcPr>
          <w:p>
            <w:pPr>
              <w:spacing w:after="0"/>
              <w:rPr>
                <w:sz w:val="10"/>
                <w:szCs w:val="10"/>
                <w:color w:val="auto"/>
              </w:rPr>
            </w:pPr>
          </w:p>
        </w:tc>
        <w:tc>
          <w:tcPr>
            <w:tcW w:w="1320" w:type="dxa"/>
            <w:vAlign w:val="bottom"/>
            <w:gridSpan w:val="2"/>
          </w:tcPr>
          <w:p>
            <w:pPr>
              <w:jc w:val="center"/>
              <w:ind w:left="180"/>
              <w:spacing w:after="0" w:line="122" w:lineRule="exact"/>
              <w:rPr>
                <w:sz w:val="20"/>
                <w:szCs w:val="20"/>
                <w:color w:val="auto"/>
              </w:rPr>
            </w:pPr>
            <w:r>
              <w:rPr>
                <w:rFonts w:ascii="Arial" w:cs="Arial" w:eastAsia="Arial" w:hAnsi="Arial"/>
                <w:sz w:val="12"/>
                <w:szCs w:val="12"/>
                <w:b w:val="1"/>
                <w:bCs w:val="1"/>
                <w:color w:val="auto"/>
                <w:w w:val="88"/>
              </w:rPr>
              <w:t>Valuation</w:t>
            </w:r>
          </w:p>
        </w:tc>
        <w:tc>
          <w:tcPr>
            <w:tcW w:w="340" w:type="dxa"/>
            <w:vAlign w:val="bottom"/>
          </w:tcPr>
          <w:p>
            <w:pPr>
              <w:spacing w:after="0"/>
              <w:rPr>
                <w:sz w:val="10"/>
                <w:szCs w:val="10"/>
                <w:color w:val="auto"/>
              </w:rPr>
            </w:pPr>
          </w:p>
        </w:tc>
        <w:tc>
          <w:tcPr>
            <w:tcW w:w="1460" w:type="dxa"/>
            <w:vAlign w:val="bottom"/>
            <w:gridSpan w:val="4"/>
          </w:tcPr>
          <w:p>
            <w:pPr>
              <w:ind w:left="40"/>
              <w:spacing w:after="0" w:line="122" w:lineRule="exact"/>
              <w:rPr>
                <w:sz w:val="20"/>
                <w:szCs w:val="20"/>
                <w:color w:val="auto"/>
              </w:rPr>
            </w:pPr>
            <w:r>
              <w:rPr>
                <w:rFonts w:ascii="Arial" w:cs="Arial" w:eastAsia="Arial" w:hAnsi="Arial"/>
                <w:sz w:val="12"/>
                <w:szCs w:val="12"/>
                <w:b w:val="1"/>
                <w:bCs w:val="1"/>
                <w:color w:val="auto"/>
                <w:w w:val="95"/>
              </w:rPr>
              <w:t>Where Fair Value Balance</w:t>
            </w:r>
          </w:p>
        </w:tc>
        <w:tc>
          <w:tcPr>
            <w:tcW w:w="0" w:type="dxa"/>
            <w:vAlign w:val="bottom"/>
          </w:tcPr>
          <w:p>
            <w:pPr>
              <w:spacing w:after="0"/>
              <w:rPr>
                <w:sz w:val="1"/>
                <w:szCs w:val="1"/>
                <w:color w:val="auto"/>
              </w:rPr>
            </w:pPr>
          </w:p>
        </w:tc>
      </w:tr>
      <w:tr>
        <w:trPr>
          <w:trHeight w:val="153"/>
        </w:trPr>
        <w:tc>
          <w:tcPr>
            <w:tcW w:w="63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Hierarchy Level</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rPr>
              <w:t>Can Be Found</w:t>
            </w:r>
          </w:p>
        </w:tc>
        <w:tc>
          <w:tcPr>
            <w:tcW w:w="0" w:type="dxa"/>
            <w:vAlign w:val="bottom"/>
          </w:tcPr>
          <w:p>
            <w:pPr>
              <w:spacing w:after="0"/>
              <w:rPr>
                <w:sz w:val="1"/>
                <w:szCs w:val="1"/>
                <w:color w:val="auto"/>
              </w:rPr>
            </w:pPr>
          </w:p>
        </w:tc>
      </w:tr>
      <w:tr>
        <w:trPr>
          <w:trHeight w:val="115"/>
        </w:trPr>
        <w:tc>
          <w:tcPr>
            <w:tcW w:w="6420" w:type="dxa"/>
            <w:vAlign w:val="bottom"/>
            <w:gridSpan w:val="2"/>
          </w:tcPr>
          <w:p>
            <w:pPr>
              <w:ind w:left="340"/>
              <w:spacing w:after="0" w:line="115" w:lineRule="exact"/>
              <w:rPr>
                <w:sz w:val="20"/>
                <w:szCs w:val="20"/>
                <w:color w:val="auto"/>
              </w:rPr>
            </w:pPr>
            <w:r>
              <w:rPr>
                <w:rFonts w:ascii="Arial" w:cs="Arial" w:eastAsia="Arial" w:hAnsi="Arial"/>
                <w:sz w:val="12"/>
                <w:szCs w:val="12"/>
                <w:color w:val="auto"/>
                <w:w w:val="98"/>
              </w:rPr>
              <w:t>Where quoted market prices are available in an active market, securities are classified within Level 1 of the valuation</w:t>
            </w:r>
          </w:p>
        </w:tc>
        <w:tc>
          <w:tcPr>
            <w:tcW w:w="1320" w:type="dxa"/>
            <w:vAlign w:val="bottom"/>
            <w:gridSpan w:val="2"/>
          </w:tcPr>
          <w:p>
            <w:pPr>
              <w:jc w:val="center"/>
              <w:ind w:left="180"/>
              <w:spacing w:after="0" w:line="115" w:lineRule="exact"/>
              <w:rPr>
                <w:sz w:val="20"/>
                <w:szCs w:val="20"/>
                <w:color w:val="auto"/>
              </w:rPr>
            </w:pPr>
            <w:r>
              <w:rPr>
                <w:rFonts w:ascii="Arial" w:cs="Arial" w:eastAsia="Arial" w:hAnsi="Arial"/>
                <w:sz w:val="12"/>
                <w:szCs w:val="12"/>
                <w:color w:val="auto"/>
                <w:w w:val="92"/>
              </w:rPr>
              <w:t>Level 2</w:t>
            </w:r>
          </w:p>
        </w:tc>
        <w:tc>
          <w:tcPr>
            <w:tcW w:w="340" w:type="dxa"/>
            <w:vAlign w:val="bottom"/>
          </w:tcPr>
          <w:p>
            <w:pPr>
              <w:spacing w:after="0"/>
              <w:rPr>
                <w:sz w:val="10"/>
                <w:szCs w:val="10"/>
                <w:color w:val="auto"/>
              </w:rPr>
            </w:pPr>
          </w:p>
        </w:tc>
        <w:tc>
          <w:tcPr>
            <w:tcW w:w="1460" w:type="dxa"/>
            <w:vAlign w:val="bottom"/>
            <w:gridSpan w:val="4"/>
          </w:tcPr>
          <w:p>
            <w:pPr>
              <w:spacing w:after="0" w:line="115" w:lineRule="exact"/>
              <w:rPr>
                <w:rFonts w:ascii="Arial" w:cs="Arial" w:eastAsia="Arial" w:hAnsi="Arial"/>
                <w:sz w:val="12"/>
                <w:szCs w:val="12"/>
                <w:color w:val="0000FF"/>
              </w:rPr>
            </w:pPr>
            <w:hyperlink w:anchor="page12">
              <w:r>
                <w:rPr>
                  <w:rFonts w:ascii="Arial" w:cs="Arial" w:eastAsia="Arial" w:hAnsi="Arial"/>
                  <w:sz w:val="12"/>
                  <w:szCs w:val="12"/>
                  <w:color w:val="0000FF"/>
                </w:rPr>
                <w:t>Note 3: Securities</w:t>
              </w:r>
            </w:hyperlink>
          </w:p>
        </w:tc>
        <w:tc>
          <w:tcPr>
            <w:tcW w:w="0" w:type="dxa"/>
            <w:vAlign w:val="bottom"/>
          </w:tcPr>
          <w:p>
            <w:pPr>
              <w:spacing w:after="0"/>
              <w:rPr>
                <w:sz w:val="1"/>
                <w:szCs w:val="1"/>
                <w:color w:val="auto"/>
              </w:rPr>
            </w:pPr>
          </w:p>
        </w:tc>
      </w:tr>
      <w:tr>
        <w:trPr>
          <w:trHeight w:val="88"/>
        </w:trPr>
        <w:tc>
          <w:tcPr>
            <w:tcW w:w="6420" w:type="dxa"/>
            <w:vAlign w:val="bottom"/>
            <w:gridSpan w:val="2"/>
          </w:tcPr>
          <w:p>
            <w:pPr>
              <w:spacing w:after="0" w:line="88" w:lineRule="exact"/>
              <w:rPr>
                <w:sz w:val="20"/>
                <w:szCs w:val="20"/>
                <w:color w:val="auto"/>
              </w:rPr>
            </w:pPr>
            <w:r>
              <w:rPr>
                <w:rFonts w:ascii="Arial" w:cs="Arial" w:eastAsia="Arial" w:hAnsi="Arial"/>
                <w:sz w:val="10"/>
                <w:szCs w:val="10"/>
                <w:color w:val="auto"/>
              </w:rPr>
              <w:t>hierarchy. If quoted market prices are not available, then fair values are estimated by using quoted prices of securities with similar</w:t>
            </w: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780" w:type="dxa"/>
            <w:vAlign w:val="bottom"/>
            <w:tcBorders>
              <w:top w:val="single" w:sz="8" w:color="0000FF"/>
            </w:tcBorders>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420" w:type="dxa"/>
            <w:vAlign w:val="bottom"/>
            <w:gridSpan w:val="2"/>
          </w:tcPr>
          <w:p>
            <w:pPr>
              <w:spacing w:after="0" w:line="117" w:lineRule="exact"/>
              <w:rPr>
                <w:sz w:val="20"/>
                <w:szCs w:val="20"/>
                <w:color w:val="auto"/>
              </w:rPr>
            </w:pPr>
            <w:r>
              <w:rPr>
                <w:rFonts w:ascii="Arial" w:cs="Arial" w:eastAsia="Arial" w:hAnsi="Arial"/>
                <w:sz w:val="12"/>
                <w:szCs w:val="12"/>
                <w:color w:val="auto"/>
                <w:w w:val="94"/>
              </w:rPr>
              <w:t>characteristics or independent asset pricing services and pricing models, the inputs of which are market-based or independently</w:t>
            </w: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20" w:type="dxa"/>
            <w:vAlign w:val="bottom"/>
            <w:gridSpan w:val="2"/>
          </w:tcPr>
          <w:p>
            <w:pPr>
              <w:spacing w:after="0" w:line="117" w:lineRule="exact"/>
              <w:rPr>
                <w:sz w:val="20"/>
                <w:szCs w:val="20"/>
                <w:color w:val="auto"/>
              </w:rPr>
            </w:pPr>
            <w:r>
              <w:rPr>
                <w:rFonts w:ascii="Arial" w:cs="Arial" w:eastAsia="Arial" w:hAnsi="Arial"/>
                <w:sz w:val="12"/>
                <w:szCs w:val="12"/>
                <w:color w:val="auto"/>
                <w:w w:val="92"/>
              </w:rPr>
              <w:t>sourced market parameters, including, but not limited to, yield curves, interest rates, volatilities, prepayments, defaults, cumulative</w:t>
            </w: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420" w:type="dxa"/>
            <w:vAlign w:val="bottom"/>
            <w:gridSpan w:val="2"/>
          </w:tcPr>
          <w:p>
            <w:pPr>
              <w:spacing w:after="0"/>
              <w:rPr>
                <w:sz w:val="20"/>
                <w:szCs w:val="20"/>
                <w:color w:val="auto"/>
              </w:rPr>
            </w:pPr>
            <w:r>
              <w:rPr>
                <w:rFonts w:ascii="Arial" w:cs="Arial" w:eastAsia="Arial" w:hAnsi="Arial"/>
                <w:sz w:val="12"/>
                <w:szCs w:val="12"/>
                <w:color w:val="auto"/>
              </w:rPr>
              <w:t>loss projections and cash flows.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420" w:type="dxa"/>
            <w:vAlign w:val="bottom"/>
            <w:gridSpan w:val="2"/>
          </w:tcPr>
          <w:p>
            <w:pPr>
              <w:ind w:left="340"/>
              <w:spacing w:after="0" w:line="126" w:lineRule="exact"/>
              <w:rPr>
                <w:sz w:val="20"/>
                <w:szCs w:val="20"/>
                <w:color w:val="auto"/>
              </w:rPr>
            </w:pPr>
            <w:r>
              <w:rPr>
                <w:rFonts w:ascii="Arial" w:cs="Arial" w:eastAsia="Arial" w:hAnsi="Arial"/>
                <w:sz w:val="12"/>
                <w:szCs w:val="12"/>
                <w:color w:val="auto"/>
                <w:w w:val="92"/>
              </w:rPr>
              <w:t>Fair value of the interest rate swaps is obtained from independent pricing services based on quoted market prices for similar</w:t>
            </w:r>
          </w:p>
        </w:tc>
        <w:tc>
          <w:tcPr>
            <w:tcW w:w="1320" w:type="dxa"/>
            <w:vAlign w:val="bottom"/>
            <w:gridSpan w:val="2"/>
          </w:tcPr>
          <w:p>
            <w:pPr>
              <w:jc w:val="center"/>
              <w:ind w:left="180"/>
              <w:spacing w:after="0" w:line="126" w:lineRule="exact"/>
              <w:rPr>
                <w:sz w:val="20"/>
                <w:szCs w:val="20"/>
                <w:color w:val="auto"/>
              </w:rPr>
            </w:pPr>
            <w:r>
              <w:rPr>
                <w:rFonts w:ascii="Arial" w:cs="Arial" w:eastAsia="Arial" w:hAnsi="Arial"/>
                <w:sz w:val="12"/>
                <w:szCs w:val="12"/>
                <w:color w:val="auto"/>
                <w:w w:val="92"/>
              </w:rPr>
              <w:t>Level 2</w:t>
            </w:r>
          </w:p>
        </w:tc>
        <w:tc>
          <w:tcPr>
            <w:tcW w:w="340" w:type="dxa"/>
            <w:vAlign w:val="bottom"/>
          </w:tcPr>
          <w:p>
            <w:pPr>
              <w:spacing w:after="0"/>
              <w:rPr>
                <w:sz w:val="10"/>
                <w:szCs w:val="10"/>
                <w:color w:val="auto"/>
              </w:rPr>
            </w:pPr>
          </w:p>
        </w:tc>
        <w:tc>
          <w:tcPr>
            <w:tcW w:w="1460" w:type="dxa"/>
            <w:vAlign w:val="bottom"/>
            <w:gridSpan w:val="4"/>
          </w:tcPr>
          <w:p>
            <w:pPr>
              <w:spacing w:after="0" w:line="126" w:lineRule="exact"/>
              <w:rPr>
                <w:rFonts w:ascii="Arial" w:cs="Arial" w:eastAsia="Arial" w:hAnsi="Arial"/>
                <w:sz w:val="12"/>
                <w:szCs w:val="12"/>
                <w:color w:val="0000FF"/>
              </w:rPr>
            </w:pPr>
            <w:hyperlink w:anchor="page26">
              <w:r>
                <w:rPr>
                  <w:rFonts w:ascii="Arial" w:cs="Arial" w:eastAsia="Arial" w:hAnsi="Arial"/>
                  <w:sz w:val="12"/>
                  <w:szCs w:val="12"/>
                  <w:color w:val="0000FF"/>
                </w:rPr>
                <w:t>Note 5: Derivatives and</w:t>
              </w:r>
            </w:hyperlink>
          </w:p>
        </w:tc>
        <w:tc>
          <w:tcPr>
            <w:tcW w:w="0" w:type="dxa"/>
            <w:vAlign w:val="bottom"/>
          </w:tcPr>
          <w:p>
            <w:pPr>
              <w:spacing w:after="0"/>
              <w:rPr>
                <w:sz w:val="1"/>
                <w:szCs w:val="1"/>
                <w:color w:val="auto"/>
              </w:rPr>
            </w:pPr>
          </w:p>
        </w:tc>
      </w:tr>
      <w:tr>
        <w:trPr>
          <w:trHeight w:val="97"/>
        </w:trPr>
        <w:tc>
          <w:tcPr>
            <w:tcW w:w="6420" w:type="dxa"/>
            <w:vAlign w:val="bottom"/>
            <w:gridSpan w:val="2"/>
          </w:tcPr>
          <w:p>
            <w:pPr>
              <w:spacing w:after="0" w:line="97" w:lineRule="exact"/>
              <w:rPr>
                <w:sz w:val="20"/>
                <w:szCs w:val="20"/>
                <w:color w:val="auto"/>
              </w:rPr>
            </w:pPr>
            <w:r>
              <w:rPr>
                <w:rFonts w:ascii="Arial" w:cs="Arial" w:eastAsia="Arial" w:hAnsi="Arial"/>
                <w:sz w:val="11"/>
                <w:szCs w:val="11"/>
                <w:color w:val="auto"/>
              </w:rPr>
              <w:t>derivative contracts.</w:t>
            </w: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0000FF"/>
            </w:tcBorders>
          </w:tcPr>
          <w:p>
            <w:pPr>
              <w:spacing w:after="0" w:line="97" w:lineRule="exact"/>
              <w:rPr>
                <w:rFonts w:ascii="Arial" w:cs="Arial" w:eastAsia="Arial" w:hAnsi="Arial"/>
                <w:sz w:val="11"/>
                <w:szCs w:val="11"/>
                <w:color w:val="0000FF"/>
                <w:w w:val="77"/>
              </w:rPr>
            </w:pPr>
            <w:hyperlink w:anchor="page26">
              <w:r>
                <w:rPr>
                  <w:rFonts w:ascii="Arial" w:cs="Arial" w:eastAsia="Arial" w:hAnsi="Arial"/>
                  <w:sz w:val="11"/>
                  <w:szCs w:val="11"/>
                  <w:color w:val="0000FF"/>
                  <w:w w:val="77"/>
                </w:rPr>
                <w:t>Hedging</w:t>
              </w:r>
            </w:hyperlink>
          </w:p>
        </w:tc>
        <w:tc>
          <w:tcPr>
            <w:tcW w:w="80" w:type="dxa"/>
            <w:vAlign w:val="bottom"/>
            <w:tcBorders>
              <w:top w:val="single" w:sz="8" w:color="0000FF"/>
              <w:bottom w:val="single" w:sz="8" w:color="0000FF"/>
            </w:tcBorders>
          </w:tcPr>
          <w:p>
            <w:pPr>
              <w:spacing w:after="0"/>
              <w:rPr>
                <w:sz w:val="8"/>
                <w:szCs w:val="8"/>
                <w:color w:val="auto"/>
              </w:rPr>
            </w:pPr>
          </w:p>
        </w:tc>
        <w:tc>
          <w:tcPr>
            <w:tcW w:w="1060" w:type="dxa"/>
            <w:vAlign w:val="bottom"/>
            <w:tcBorders>
              <w:top w:val="single" w:sz="8" w:color="0000FF"/>
            </w:tcBorders>
            <w:gridSpan w:val="2"/>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-559435</wp:posOffset>
            </wp:positionV>
            <wp:extent cx="7109460" cy="400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9460" cy="40005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1700" w:space="60"/>
            <w:col w:w="9540"/>
          </w:cols>
          <w:pgMar w:left="300" w:top="167" w:right="299" w:bottom="1440" w:gutter="0" w:footer="0" w:header="0"/>
          <w:type w:val="continuous"/>
        </w:sectPr>
      </w:pPr>
    </w:p>
    <w:p>
      <w:pPr>
        <w:spacing w:after="0"/>
        <w:rPr>
          <w:sz w:val="20"/>
          <w:szCs w:val="20"/>
          <w:color w:val="auto"/>
        </w:rPr>
      </w:pPr>
      <w:r>
        <w:rPr>
          <w:rFonts w:ascii="Arial" w:cs="Arial" w:eastAsia="Arial" w:hAnsi="Arial"/>
          <w:sz w:val="13"/>
          <w:szCs w:val="13"/>
          <w:u w:val="single" w:color="auto"/>
          <w:color w:val="auto"/>
        </w:rPr>
        <w:t>Nonrecurring Measurements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tables present assets measured at fair value on a nonrecurring basis and the level within the fair value hierarchy in which the fair value measurements fall at June 30, 2021 and December 31, 2020:</w:t>
      </w:r>
    </w:p>
    <w:p>
      <w:pPr>
        <w:spacing w:after="0" w:line="4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jc w:val="center"/>
              <w:ind w:right="140"/>
              <w:spacing w:after="0"/>
              <w:rPr>
                <w:sz w:val="20"/>
                <w:szCs w:val="20"/>
                <w:color w:val="auto"/>
              </w:rPr>
            </w:pPr>
            <w:r>
              <w:rPr>
                <w:rFonts w:ascii="Arial" w:cs="Arial" w:eastAsia="Arial" w:hAnsi="Arial"/>
                <w:sz w:val="12"/>
                <w:szCs w:val="12"/>
                <w:b w:val="1"/>
                <w:bCs w:val="1"/>
                <w:color w:val="auto"/>
                <w:w w:val="89"/>
              </w:rPr>
              <w:t>June 30, 2021</w:t>
            </w: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90"/>
              </w:rPr>
              <w:t>Fair Value Measurements Using</w:t>
            </w:r>
          </w:p>
        </w:tc>
        <w:tc>
          <w:tcPr>
            <w:tcW w:w="3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Pr>
          <w:p>
            <w:pPr>
              <w:ind w:left="120"/>
              <w:spacing w:after="0" w:line="106" w:lineRule="exact"/>
              <w:rPr>
                <w:sz w:val="20"/>
                <w:szCs w:val="20"/>
                <w:color w:val="auto"/>
              </w:rPr>
            </w:pPr>
            <w:r>
              <w:rPr>
                <w:rFonts w:ascii="Arial" w:cs="Arial" w:eastAsia="Arial" w:hAnsi="Arial"/>
                <w:sz w:val="12"/>
                <w:szCs w:val="12"/>
                <w:b w:val="1"/>
                <w:bCs w:val="1"/>
                <w:color w:val="auto"/>
              </w:rPr>
              <w:t>Quoted Prices in Active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line="106" w:lineRule="exact"/>
              <w:rPr>
                <w:sz w:val="20"/>
                <w:szCs w:val="20"/>
                <w:color w:val="auto"/>
              </w:rPr>
            </w:pPr>
            <w:r>
              <w:rPr>
                <w:rFonts w:ascii="Arial" w:cs="Arial" w:eastAsia="Arial" w:hAnsi="Arial"/>
                <w:sz w:val="12"/>
                <w:szCs w:val="12"/>
                <w:b w:val="1"/>
                <w:bCs w:val="1"/>
                <w:color w:val="auto"/>
              </w:rPr>
              <w:t>Significant Other Observable</w:t>
            </w:r>
          </w:p>
        </w:tc>
        <w:tc>
          <w:tcPr>
            <w:tcW w:w="360" w:type="dxa"/>
            <w:vAlign w:val="bottom"/>
          </w:tcPr>
          <w:p>
            <w:pPr>
              <w:spacing w:after="0"/>
              <w:rPr>
                <w:sz w:val="9"/>
                <w:szCs w:val="9"/>
                <w:color w:val="auto"/>
              </w:rPr>
            </w:pPr>
          </w:p>
        </w:tc>
        <w:tc>
          <w:tcPr>
            <w:tcW w:w="1560" w:type="dxa"/>
            <w:vAlign w:val="bottom"/>
            <w:vMerge w:val="restart"/>
          </w:tcPr>
          <w:p>
            <w:pPr>
              <w:jc w:val="right"/>
              <w:ind w:right="420"/>
              <w:spacing w:after="0"/>
              <w:rPr>
                <w:sz w:val="20"/>
                <w:szCs w:val="20"/>
                <w:color w:val="auto"/>
              </w:rPr>
            </w:pPr>
            <w:r>
              <w:rPr>
                <w:rFonts w:ascii="Arial" w:cs="Arial" w:eastAsia="Arial" w:hAnsi="Arial"/>
                <w:sz w:val="12"/>
                <w:szCs w:val="12"/>
                <w:b w:val="1"/>
                <w:bCs w:val="1"/>
                <w:color w:val="auto"/>
                <w:w w:val="89"/>
              </w:rPr>
              <w:t>Unobservable Inputs</w:t>
            </w: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80" w:type="dxa"/>
            <w:vAlign w:val="bottom"/>
            <w:vMerge w:val="restart"/>
          </w:tcPr>
          <w:p>
            <w:pPr>
              <w:jc w:val="right"/>
              <w:ind w:right="46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gridSpan w:val="3"/>
          </w:tcPr>
          <w:p>
            <w:pPr>
              <w:ind w:left="20"/>
              <w:spacing w:after="0" w:line="117" w:lineRule="exact"/>
              <w:rPr>
                <w:sz w:val="20"/>
                <w:szCs w:val="20"/>
                <w:color w:val="auto"/>
              </w:rPr>
            </w:pPr>
            <w:r>
              <w:rPr>
                <w:rFonts w:ascii="Arial" w:cs="Arial" w:eastAsia="Arial" w:hAnsi="Arial"/>
                <w:sz w:val="12"/>
                <w:szCs w:val="12"/>
                <w:b w:val="1"/>
                <w:bCs w:val="1"/>
                <w:color w:val="auto"/>
              </w:rPr>
              <w:t>Markets for Identical Assets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tcPr>
          <w:p>
            <w:pPr>
              <w:ind w:left="400"/>
              <w:spacing w:after="0" w:line="117" w:lineRule="exact"/>
              <w:rPr>
                <w:sz w:val="20"/>
                <w:szCs w:val="20"/>
                <w:color w:val="auto"/>
              </w:rPr>
            </w:pPr>
            <w:r>
              <w:rPr>
                <w:rFonts w:ascii="Arial" w:cs="Arial" w:eastAsia="Arial" w:hAnsi="Arial"/>
                <w:sz w:val="12"/>
                <w:szCs w:val="12"/>
                <w:b w:val="1"/>
                <w:bCs w:val="1"/>
                <w:color w:val="auto"/>
              </w:rPr>
              <w:t>Inputs</w:t>
            </w:r>
          </w:p>
        </w:tc>
        <w:tc>
          <w:tcPr>
            <w:tcW w:w="3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4"/>
          </w:tcPr>
          <w:p>
            <w:pPr>
              <w:ind w:left="1280"/>
              <w:spacing w:after="0"/>
              <w:rPr>
                <w:sz w:val="20"/>
                <w:szCs w:val="20"/>
                <w:color w:val="auto"/>
              </w:rPr>
            </w:pPr>
            <w:r>
              <w:rPr>
                <w:rFonts w:ascii="Arial" w:cs="Arial" w:eastAsia="Arial" w:hAnsi="Arial"/>
                <w:sz w:val="11"/>
                <w:szCs w:val="11"/>
                <w:i w:val="1"/>
                <w:iCs w:val="1"/>
                <w:color w:val="auto"/>
              </w:rPr>
              <w:t>(Dollars in thousands)</w:t>
            </w: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Collateral-dependent impaired loans</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55,419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ind w:left="14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55,419</w:t>
            </w:r>
          </w:p>
        </w:tc>
        <w:tc>
          <w:tcPr>
            <w:tcW w:w="0" w:type="dxa"/>
            <w:vAlign w:val="bottom"/>
          </w:tcPr>
          <w:p>
            <w:pPr>
              <w:spacing w:after="0"/>
              <w:rPr>
                <w:sz w:val="1"/>
                <w:szCs w:val="1"/>
                <w:color w:val="auto"/>
              </w:rPr>
            </w:pPr>
          </w:p>
        </w:tc>
      </w:tr>
      <w:tr>
        <w:trPr>
          <w:trHeight w:val="153"/>
        </w:trPr>
        <w:tc>
          <w:tcPr>
            <w:tcW w:w="3060" w:type="dxa"/>
            <w:vAlign w:val="bottom"/>
          </w:tcPr>
          <w:p>
            <w:pPr>
              <w:ind w:left="340"/>
              <w:spacing w:after="0"/>
              <w:rPr>
                <w:sz w:val="20"/>
                <w:szCs w:val="20"/>
                <w:color w:val="auto"/>
              </w:rPr>
            </w:pPr>
            <w:r>
              <w:rPr>
                <w:rFonts w:ascii="Arial" w:cs="Arial" w:eastAsia="Arial" w:hAnsi="Arial"/>
                <w:sz w:val="12"/>
                <w:szCs w:val="12"/>
                <w:color w:val="auto"/>
              </w:rPr>
              <w:t>Foreclosed assets held-for-sale</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1,718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820" w:type="dxa"/>
            <w:vAlign w:val="bottom"/>
          </w:tcPr>
          <w:p>
            <w:pPr>
              <w:ind w:left="1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tcPr>
          <w:p>
            <w:pPr>
              <w:ind w:left="142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1,718</w:t>
            </w:r>
          </w:p>
        </w:tc>
        <w:tc>
          <w:tcPr>
            <w:tcW w:w="0" w:type="dxa"/>
            <w:vAlign w:val="bottom"/>
          </w:tcPr>
          <w:p>
            <w:pPr>
              <w:spacing w:after="0"/>
              <w:rPr>
                <w:sz w:val="1"/>
                <w:szCs w:val="1"/>
                <w:color w:val="auto"/>
              </w:rPr>
            </w:pPr>
          </w:p>
        </w:tc>
      </w:tr>
      <w:tr>
        <w:trPr>
          <w:trHeight w:val="342"/>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jc w:val="center"/>
              <w:ind w:right="120"/>
              <w:spacing w:after="0"/>
              <w:rPr>
                <w:sz w:val="20"/>
                <w:szCs w:val="20"/>
                <w:color w:val="auto"/>
              </w:rPr>
            </w:pPr>
            <w:r>
              <w:rPr>
                <w:rFonts w:ascii="Arial" w:cs="Arial" w:eastAsia="Arial" w:hAnsi="Arial"/>
                <w:sz w:val="12"/>
                <w:szCs w:val="12"/>
                <w:b w:val="1"/>
                <w:bCs w:val="1"/>
                <w:color w:val="auto"/>
                <w:w w:val="88"/>
              </w:rPr>
              <w:t>December 31, 2020</w:t>
            </w: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b w:val="1"/>
                <w:bCs w:val="1"/>
                <w:color w:val="auto"/>
                <w:w w:val="90"/>
              </w:rPr>
              <w:t>Fair Value Measurements Using</w:t>
            </w: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ind w:right="41"/>
              <w:spacing w:after="0"/>
              <w:rPr>
                <w:sz w:val="20"/>
                <w:szCs w:val="20"/>
                <w:color w:val="auto"/>
              </w:rPr>
            </w:pPr>
            <w:r>
              <w:rPr>
                <w:rFonts w:ascii="Arial" w:cs="Arial" w:eastAsia="Arial" w:hAnsi="Arial"/>
                <w:sz w:val="12"/>
                <w:szCs w:val="12"/>
                <w:b w:val="1"/>
                <w:bCs w:val="1"/>
                <w:color w:val="auto"/>
                <w:w w:val="91"/>
              </w:rPr>
              <w:t>Quoted Prices in Active Markets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jc w:val="center"/>
              <w:ind w:right="120"/>
              <w:spacing w:after="0"/>
              <w:rPr>
                <w:sz w:val="20"/>
                <w:szCs w:val="20"/>
                <w:color w:val="auto"/>
              </w:rPr>
            </w:pPr>
            <w:r>
              <w:rPr>
                <w:rFonts w:ascii="Arial" w:cs="Arial" w:eastAsia="Arial" w:hAnsi="Arial"/>
                <w:sz w:val="12"/>
                <w:szCs w:val="12"/>
                <w:b w:val="1"/>
                <w:bCs w:val="1"/>
                <w:color w:val="auto"/>
                <w:w w:val="91"/>
              </w:rPr>
              <w:t>Significant Other Observable</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ind w:right="81"/>
              <w:spacing w:after="0"/>
              <w:rPr>
                <w:sz w:val="20"/>
                <w:szCs w:val="20"/>
                <w:color w:val="auto"/>
              </w:rPr>
            </w:pPr>
            <w:r>
              <w:rPr>
                <w:rFonts w:ascii="Arial" w:cs="Arial" w:eastAsia="Arial" w:hAnsi="Arial"/>
                <w:sz w:val="12"/>
                <w:szCs w:val="12"/>
                <w:b w:val="1"/>
                <w:bCs w:val="1"/>
                <w:color w:val="auto"/>
                <w:w w:val="90"/>
              </w:rPr>
              <w:t>for Identical Assets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jc w:val="center"/>
              <w:ind w:right="140"/>
              <w:spacing w:after="0"/>
              <w:rPr>
                <w:sz w:val="20"/>
                <w:szCs w:val="20"/>
                <w:color w:val="auto"/>
              </w:rPr>
            </w:pPr>
            <w:r>
              <w:rPr>
                <w:rFonts w:ascii="Arial" w:cs="Arial" w:eastAsia="Arial" w:hAnsi="Arial"/>
                <w:sz w:val="12"/>
                <w:szCs w:val="12"/>
                <w:b w:val="1"/>
                <w:bCs w:val="1"/>
                <w:color w:val="auto"/>
                <w:w w:val="94"/>
              </w:rPr>
              <w:t>Inputs</w:t>
            </w:r>
          </w:p>
        </w:tc>
        <w:tc>
          <w:tcPr>
            <w:tcW w:w="360" w:type="dxa"/>
            <w:vAlign w:val="bottom"/>
          </w:tcPr>
          <w:p>
            <w:pPr>
              <w:spacing w:after="0"/>
              <w:rPr>
                <w:sz w:val="12"/>
                <w:szCs w:val="12"/>
                <w:color w:val="auto"/>
              </w:rPr>
            </w:pPr>
          </w:p>
        </w:tc>
        <w:tc>
          <w:tcPr>
            <w:tcW w:w="1560" w:type="dxa"/>
            <w:vAlign w:val="bottom"/>
          </w:tcPr>
          <w:p>
            <w:pPr>
              <w:jc w:val="right"/>
              <w:ind w:right="360"/>
              <w:spacing w:after="0"/>
              <w:rPr>
                <w:sz w:val="20"/>
                <w:szCs w:val="20"/>
                <w:color w:val="auto"/>
              </w:rPr>
            </w:pPr>
            <w:r>
              <w:rPr>
                <w:rFonts w:ascii="Arial" w:cs="Arial" w:eastAsia="Arial" w:hAnsi="Arial"/>
                <w:sz w:val="12"/>
                <w:szCs w:val="12"/>
                <w:b w:val="1"/>
                <w:bCs w:val="1"/>
                <w:color w:val="auto"/>
                <w:w w:val="94"/>
              </w:rPr>
              <w:t>Unobservable Inputs</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w w:val="90"/>
              </w:rPr>
              <w:t>(Level 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0"/>
              </w:rPr>
              <w:t>(Level 2)</w:t>
            </w: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4"/>
          </w:tcPr>
          <w:p>
            <w:pPr>
              <w:ind w:left="1280"/>
              <w:spacing w:after="0"/>
              <w:rPr>
                <w:sz w:val="20"/>
                <w:szCs w:val="20"/>
                <w:color w:val="auto"/>
              </w:rPr>
            </w:pPr>
            <w:r>
              <w:rPr>
                <w:rFonts w:ascii="Arial" w:cs="Arial" w:eastAsia="Arial" w:hAnsi="Arial"/>
                <w:sz w:val="12"/>
                <w:szCs w:val="12"/>
                <w:i w:val="1"/>
                <w:iCs w:val="1"/>
                <w:color w:val="auto"/>
              </w:rPr>
              <w:t>(Dollars in thousands)</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Collateral-dependent impaired loans</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340"/>
              <w:spacing w:after="0"/>
              <w:rPr>
                <w:sz w:val="20"/>
                <w:szCs w:val="20"/>
                <w:color w:val="auto"/>
              </w:rPr>
            </w:pPr>
            <w:r>
              <w:rPr>
                <w:rFonts w:ascii="Arial" w:cs="Arial" w:eastAsia="Arial" w:hAnsi="Arial"/>
                <w:sz w:val="12"/>
                <w:szCs w:val="12"/>
                <w:color w:val="auto"/>
                <w:w w:val="8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7"/>
              </w:rPr>
              <w:t>55,454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20" w:type="dxa"/>
            <w:vAlign w:val="bottom"/>
            <w:shd w:val="clear" w:color="auto" w:fill="CCEEFF"/>
          </w:tcPr>
          <w:p>
            <w:pPr>
              <w:ind w:left="16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740" w:type="dxa"/>
            <w:vAlign w:val="bottom"/>
            <w:shd w:val="clear" w:color="auto" w:fill="CCEEFF"/>
          </w:tcPr>
          <w:p>
            <w:pPr>
              <w:ind w:left="15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55,454</w:t>
            </w: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rPr>
                <w:sz w:val="20"/>
                <w:szCs w:val="20"/>
                <w:color w:val="auto"/>
              </w:rPr>
            </w:pPr>
            <w:r>
              <w:rPr>
                <w:rFonts w:ascii="Arial" w:cs="Arial" w:eastAsia="Arial" w:hAnsi="Arial"/>
                <w:sz w:val="12"/>
                <w:szCs w:val="12"/>
                <w:color w:val="auto"/>
              </w:rPr>
              <w:t>Foreclosed assets held-for-sale</w:t>
            </w:r>
          </w:p>
        </w:tc>
        <w:tc>
          <w:tcPr>
            <w:tcW w:w="440" w:type="dxa"/>
            <w:vAlign w:val="bottom"/>
          </w:tcPr>
          <w:p>
            <w:pPr>
              <w:spacing w:after="0"/>
              <w:rPr>
                <w:sz w:val="14"/>
                <w:szCs w:val="14"/>
                <w:color w:val="auto"/>
              </w:rPr>
            </w:pPr>
          </w:p>
        </w:tc>
        <w:tc>
          <w:tcPr>
            <w:tcW w:w="1480" w:type="dxa"/>
            <w:vAlign w:val="bottom"/>
          </w:tcPr>
          <w:p>
            <w:pPr>
              <w:jc w:val="right"/>
              <w:ind w:right="1340"/>
              <w:spacing w:after="0"/>
              <w:rPr>
                <w:sz w:val="20"/>
                <w:szCs w:val="20"/>
                <w:color w:val="auto"/>
              </w:rPr>
            </w:pPr>
            <w:r>
              <w:rPr>
                <w:rFonts w:ascii="Arial" w:cs="Arial" w:eastAsia="Arial" w:hAnsi="Arial"/>
                <w:sz w:val="12"/>
                <w:szCs w:val="12"/>
                <w:color w:val="auto"/>
                <w:w w:val="89"/>
              </w:rPr>
              <w:t>$</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2,347</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20" w:type="dxa"/>
            <w:vAlign w:val="bottom"/>
          </w:tcPr>
          <w:p>
            <w:pPr>
              <w:ind w:left="162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740" w:type="dxa"/>
            <w:vAlign w:val="bottom"/>
          </w:tcPr>
          <w:p>
            <w:pPr>
              <w:ind w:left="15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560" w:type="dxa"/>
            <w:vAlign w:val="bottom"/>
          </w:tcPr>
          <w:p>
            <w:pPr>
              <w:jc w:val="right"/>
              <w:spacing w:after="0"/>
              <w:rPr>
                <w:sz w:val="20"/>
                <w:szCs w:val="20"/>
                <w:color w:val="auto"/>
              </w:rPr>
            </w:pPr>
            <w:r>
              <w:rPr>
                <w:rFonts w:ascii="Arial" w:cs="Arial" w:eastAsia="Arial" w:hAnsi="Arial"/>
                <w:sz w:val="12"/>
                <w:szCs w:val="12"/>
                <w:color w:val="auto"/>
              </w:rPr>
              <w:t>2,347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360" w:firstLine="432"/>
        <w:spacing w:after="0" w:line="438" w:lineRule="auto"/>
        <w:rPr>
          <w:sz w:val="20"/>
          <w:szCs w:val="20"/>
          <w:color w:val="auto"/>
        </w:rPr>
      </w:pPr>
      <w:r>
        <w:rPr>
          <w:rFonts w:ascii="Arial" w:cs="Arial" w:eastAsia="Arial" w:hAnsi="Arial"/>
          <w:sz w:val="12"/>
          <w:szCs w:val="12"/>
          <w:color w:val="auto"/>
        </w:rPr>
        <w:t xml:space="preserve">Following is a description of the valuation methodologies and inputs used for assets measured at fair value on a nonrecurring basis and recognized in the accompanying Consolidated Balance Sheets. </w:t>
      </w:r>
      <w:r>
        <w:rPr>
          <w:rFonts w:ascii="Arial" w:cs="Arial" w:eastAsia="Arial" w:hAnsi="Arial"/>
          <w:sz w:val="12"/>
          <w:szCs w:val="12"/>
          <w:i w:val="1"/>
          <w:iCs w:val="1"/>
          <w:u w:val="single" w:color="auto"/>
          <w:color w:val="auto"/>
        </w:rPr>
        <w:t>Collateral-dependent Impaired Loans, Net of ALLL</w:t>
      </w:r>
    </w:p>
    <w:p>
      <w:pPr>
        <w:ind w:left="100" w:right="80" w:firstLine="324"/>
        <w:spacing w:after="0" w:line="276" w:lineRule="auto"/>
        <w:rPr>
          <w:sz w:val="20"/>
          <w:szCs w:val="20"/>
          <w:color w:val="auto"/>
        </w:rPr>
      </w:pPr>
      <w:r>
        <w:rPr>
          <w:rFonts w:ascii="Arial" w:cs="Arial" w:eastAsia="Arial" w:hAnsi="Arial"/>
          <w:sz w:val="12"/>
          <w:szCs w:val="12"/>
          <w:color w:val="auto"/>
        </w:rPr>
        <w:t>The estimated fair value of collateral-dependent impaired loans is based on the appraised fair value of the collateral, less estimated cost to sell. Collateral-dependent impaired loans are classified within Level 3 of the fair value hierarchy.</w:t>
      </w:r>
    </w:p>
    <w:p>
      <w:pPr>
        <w:spacing w:after="0" w:line="79" w:lineRule="exact"/>
        <w:rPr>
          <w:sz w:val="20"/>
          <w:szCs w:val="20"/>
          <w:color w:val="auto"/>
        </w:rPr>
      </w:pPr>
    </w:p>
    <w:p>
      <w:pPr>
        <w:ind w:left="100" w:right="380" w:firstLine="324"/>
        <w:spacing w:after="0" w:line="323" w:lineRule="auto"/>
        <w:rPr>
          <w:sz w:val="20"/>
          <w:szCs w:val="20"/>
          <w:color w:val="auto"/>
        </w:rPr>
      </w:pPr>
      <w:r>
        <w:rPr>
          <w:rFonts w:ascii="Arial" w:cs="Arial" w:eastAsia="Arial" w:hAnsi="Arial"/>
          <w:sz w:val="11"/>
          <w:szCs w:val="11"/>
          <w:color w:val="auto"/>
        </w:rPr>
        <w:t>The Company considers the appraisal or evaluation as the starting point for determining fair value and then considers other factors and events in the environment that may affect the fair value. Appraisals of the collateral underlying collateral-dependent loans are obtained when the loan is determined to be collateral-dependent and subsequently as deemed necessary by the Office of the Chief Credit Officer.</w:t>
      </w:r>
    </w:p>
    <w:p>
      <w:pPr>
        <w:spacing w:after="0" w:line="56" w:lineRule="exact"/>
        <w:rPr>
          <w:sz w:val="20"/>
          <w:szCs w:val="20"/>
          <w:color w:val="auto"/>
        </w:rPr>
      </w:pPr>
    </w:p>
    <w:p>
      <w:pPr>
        <w:ind w:left="100" w:right="260" w:firstLine="324"/>
        <w:spacing w:after="0" w:line="276" w:lineRule="auto"/>
        <w:rPr>
          <w:sz w:val="20"/>
          <w:szCs w:val="20"/>
          <w:color w:val="auto"/>
        </w:rPr>
      </w:pPr>
      <w:r>
        <w:rPr>
          <w:rFonts w:ascii="Arial" w:cs="Arial" w:eastAsia="Arial" w:hAnsi="Arial"/>
          <w:sz w:val="12"/>
          <w:szCs w:val="12"/>
          <w:color w:val="auto"/>
        </w:rPr>
        <w:t>Appraisals are reviewed for accuracy and consistency by the Office of the Chief Credit Officer. Appraisers are selected from the list of approved appraisers maintained by management. The appraised values are reduced by discounts to consider lack of marketability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type w:val="continuous"/>
        </w:sectPr>
      </w:pPr>
    </w:p>
    <w:bookmarkStart w:id="32" w:name="page33"/>
    <w:bookmarkEnd w:id="32"/>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ind w:right="260" w:firstLine="108"/>
        <w:spacing w:after="0" w:line="438" w:lineRule="auto"/>
        <w:rPr>
          <w:sz w:val="20"/>
          <w:szCs w:val="20"/>
          <w:color w:val="auto"/>
        </w:rPr>
      </w:pPr>
      <w:r>
        <w:rPr>
          <w:rFonts w:ascii="Arial" w:cs="Arial" w:eastAsia="Arial" w:hAnsi="Arial"/>
          <w:sz w:val="12"/>
          <w:szCs w:val="12"/>
          <w:color w:val="auto"/>
        </w:rPr>
        <w:t xml:space="preserve">and estimated cost to sell if repayment or satisfaction of the loan is dependent on the sale of the collateral. These discounts and estimates are developed by the Office of the Chief Credit Officer by comparison to historical results. </w:t>
      </w:r>
      <w:r>
        <w:rPr>
          <w:rFonts w:ascii="Arial" w:cs="Arial" w:eastAsia="Arial" w:hAnsi="Arial"/>
          <w:sz w:val="12"/>
          <w:szCs w:val="12"/>
          <w:i w:val="1"/>
          <w:iCs w:val="1"/>
          <w:u w:val="single" w:color="auto"/>
          <w:color w:val="auto"/>
        </w:rPr>
        <w:t>Foreclosed Assets Held-for-Sale</w:t>
      </w:r>
    </w:p>
    <w:p>
      <w:pPr>
        <w:ind w:left="420"/>
        <w:spacing w:after="0"/>
        <w:rPr>
          <w:sz w:val="20"/>
          <w:szCs w:val="20"/>
          <w:color w:val="auto"/>
        </w:rPr>
      </w:pPr>
      <w:r>
        <w:rPr>
          <w:rFonts w:ascii="Arial" w:cs="Arial" w:eastAsia="Arial" w:hAnsi="Arial"/>
          <w:sz w:val="12"/>
          <w:szCs w:val="12"/>
          <w:color w:val="auto"/>
        </w:rPr>
        <w:t>The fair value of foreclosed assets-held-for-sale is based on the appraised fair value of the collateral, less estimated cost to sell.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Unobservable (Level 3) Inputs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quantitative information about unobservable inputs used in nonrecurring Level 3 fair value measurements at June 30, 2021 and December 31, 2020:</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center"/>
              <w:ind w:right="1460"/>
              <w:spacing w:after="0"/>
              <w:rPr>
                <w:sz w:val="20"/>
                <w:szCs w:val="20"/>
                <w:color w:val="auto"/>
              </w:rPr>
            </w:pPr>
            <w:r>
              <w:rPr>
                <w:rFonts w:ascii="Arial" w:cs="Arial" w:eastAsia="Arial" w:hAnsi="Arial"/>
                <w:sz w:val="12"/>
                <w:szCs w:val="12"/>
                <w:b w:val="1"/>
                <w:bCs w:val="1"/>
                <w:color w:val="auto"/>
                <w:w w:val="89"/>
              </w:rPr>
              <w:t>June 30, 2021</w:t>
            </w:r>
          </w:p>
        </w:tc>
        <w:tc>
          <w:tcPr>
            <w:tcW w:w="1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vMerge w:val="restart"/>
          </w:tcPr>
          <w:p>
            <w:pPr>
              <w:jc w:val="right"/>
              <w:ind w:right="640"/>
              <w:spacing w:after="0"/>
              <w:rPr>
                <w:sz w:val="20"/>
                <w:szCs w:val="20"/>
                <w:color w:val="auto"/>
              </w:rPr>
            </w:pPr>
            <w:r>
              <w:rPr>
                <w:rFonts w:ascii="Arial" w:cs="Arial" w:eastAsia="Arial" w:hAnsi="Arial"/>
                <w:sz w:val="12"/>
                <w:szCs w:val="12"/>
                <w:b w:val="1"/>
                <w:bCs w:val="1"/>
                <w:color w:val="auto"/>
              </w:rPr>
              <w:t>Fair Value</w:t>
            </w:r>
          </w:p>
        </w:tc>
        <w:tc>
          <w:tcPr>
            <w:tcW w:w="1740" w:type="dxa"/>
            <w:vAlign w:val="bottom"/>
            <w:vMerge w:val="restart"/>
          </w:tcPr>
          <w:p>
            <w:pPr>
              <w:jc w:val="center"/>
              <w:ind w:left="262"/>
              <w:spacing w:after="0"/>
              <w:rPr>
                <w:sz w:val="20"/>
                <w:szCs w:val="20"/>
                <w:color w:val="auto"/>
              </w:rPr>
            </w:pPr>
            <w:r>
              <w:rPr>
                <w:rFonts w:ascii="Arial" w:cs="Arial" w:eastAsia="Arial" w:hAnsi="Arial"/>
                <w:sz w:val="12"/>
                <w:szCs w:val="12"/>
                <w:b w:val="1"/>
                <w:bCs w:val="1"/>
                <w:color w:val="auto"/>
                <w:w w:val="88"/>
              </w:rPr>
              <w:t>Valuation Techniques</w:t>
            </w:r>
          </w:p>
        </w:tc>
        <w:tc>
          <w:tcPr>
            <w:tcW w:w="2220" w:type="dxa"/>
            <w:vAlign w:val="bottom"/>
            <w:vMerge w:val="restart"/>
          </w:tcPr>
          <w:p>
            <w:pPr>
              <w:ind w:left="740"/>
              <w:spacing w:after="0"/>
              <w:rPr>
                <w:sz w:val="20"/>
                <w:szCs w:val="20"/>
                <w:color w:val="auto"/>
              </w:rPr>
            </w:pPr>
            <w:r>
              <w:rPr>
                <w:rFonts w:ascii="Arial" w:cs="Arial" w:eastAsia="Arial" w:hAnsi="Arial"/>
                <w:sz w:val="12"/>
                <w:szCs w:val="12"/>
                <w:b w:val="1"/>
                <w:bCs w:val="1"/>
                <w:color w:val="auto"/>
              </w:rPr>
              <w:t>Unobservable Inputs</w:t>
            </w:r>
          </w:p>
        </w:tc>
        <w:tc>
          <w:tcPr>
            <w:tcW w:w="1920" w:type="dxa"/>
            <w:vAlign w:val="bottom"/>
          </w:tcPr>
          <w:p>
            <w:pPr>
              <w:ind w:left="880"/>
              <w:spacing w:after="0" w:line="106" w:lineRule="exact"/>
              <w:rPr>
                <w:sz w:val="20"/>
                <w:szCs w:val="20"/>
                <w:color w:val="auto"/>
              </w:rPr>
            </w:pPr>
            <w:r>
              <w:rPr>
                <w:rFonts w:ascii="Arial" w:cs="Arial" w:eastAsia="Arial" w:hAnsi="Arial"/>
                <w:sz w:val="12"/>
                <w:szCs w:val="12"/>
                <w:b w:val="1"/>
                <w:bCs w:val="1"/>
                <w:color w:val="auto"/>
              </w:rPr>
              <w:t>Range</w:t>
            </w: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740" w:type="dxa"/>
            <w:vAlign w:val="bottom"/>
            <w:tcBorders>
              <w:bottom w:val="single" w:sz="8" w:color="auto"/>
            </w:tcBorders>
            <w:vMerge w:val="continue"/>
          </w:tcPr>
          <w:p>
            <w:pPr>
              <w:spacing w:after="0"/>
              <w:rPr>
                <w:sz w:val="13"/>
                <w:szCs w:val="13"/>
                <w:color w:val="auto"/>
              </w:rPr>
            </w:pPr>
          </w:p>
        </w:tc>
        <w:tc>
          <w:tcPr>
            <w:tcW w:w="2220" w:type="dxa"/>
            <w:vAlign w:val="bottom"/>
            <w:tcBorders>
              <w:bottom w:val="single" w:sz="8" w:color="auto"/>
            </w:tcBorders>
            <w:vMerge w:val="continue"/>
          </w:tcPr>
          <w:p>
            <w:pPr>
              <w:spacing w:after="0"/>
              <w:rPr>
                <w:sz w:val="13"/>
                <w:szCs w:val="13"/>
                <w:color w:val="auto"/>
              </w:rPr>
            </w:pPr>
          </w:p>
        </w:tc>
        <w:tc>
          <w:tcPr>
            <w:tcW w:w="1920" w:type="dxa"/>
            <w:vAlign w:val="bottom"/>
            <w:tcBorders>
              <w:bottom w:val="single" w:sz="8" w:color="auto"/>
            </w:tcBorders>
          </w:tcPr>
          <w:p>
            <w:pPr>
              <w:ind w:left="380"/>
              <w:spacing w:after="0"/>
              <w:rPr>
                <w:sz w:val="20"/>
                <w:szCs w:val="20"/>
                <w:color w:val="auto"/>
              </w:rPr>
            </w:pPr>
            <w:r>
              <w:rPr>
                <w:rFonts w:ascii="Arial" w:cs="Arial" w:eastAsia="Arial" w:hAnsi="Arial"/>
                <w:sz w:val="12"/>
                <w:szCs w:val="12"/>
                <w:b w:val="1"/>
                <w:bCs w:val="1"/>
                <w:color w:val="auto"/>
              </w:rPr>
              <w:t>(Weighted Average)</w:t>
            </w: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960" w:type="dxa"/>
            <w:vAlign w:val="bottom"/>
            <w:gridSpan w:val="2"/>
          </w:tcPr>
          <w:p>
            <w:pPr>
              <w:jc w:val="center"/>
              <w:ind w:left="162"/>
              <w:spacing w:after="0"/>
              <w:rPr>
                <w:sz w:val="20"/>
                <w:szCs w:val="20"/>
                <w:color w:val="auto"/>
              </w:rPr>
            </w:pPr>
            <w:r>
              <w:rPr>
                <w:rFonts w:ascii="Arial" w:cs="Arial" w:eastAsia="Arial" w:hAnsi="Arial"/>
                <w:sz w:val="11"/>
                <w:szCs w:val="11"/>
                <w:i w:val="1"/>
                <w:iCs w:val="1"/>
                <w:color w:val="auto"/>
                <w:w w:val="91"/>
              </w:rPr>
              <w:t>(Dollars in thousands)</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20" w:type="dxa"/>
            <w:vAlign w:val="bottom"/>
            <w:vMerge w:val="restart"/>
            <w:shd w:val="clear" w:color="auto" w:fill="CCEEFF"/>
          </w:tcPr>
          <w:p>
            <w:pPr>
              <w:ind w:left="340"/>
              <w:spacing w:after="0"/>
              <w:rPr>
                <w:sz w:val="20"/>
                <w:szCs w:val="20"/>
                <w:color w:val="auto"/>
              </w:rPr>
            </w:pPr>
            <w:r>
              <w:rPr>
                <w:rFonts w:ascii="Arial" w:cs="Arial" w:eastAsia="Arial" w:hAnsi="Arial"/>
                <w:sz w:val="12"/>
                <w:szCs w:val="12"/>
                <w:color w:val="auto"/>
              </w:rPr>
              <w:t>Collateral-dependent impaired loans</w:t>
            </w:r>
          </w:p>
        </w:tc>
        <w:tc>
          <w:tcPr>
            <w:tcW w:w="58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2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55,419</w:t>
            </w:r>
          </w:p>
        </w:tc>
        <w:tc>
          <w:tcPr>
            <w:tcW w:w="1740" w:type="dxa"/>
            <w:vAlign w:val="bottom"/>
            <w:vMerge w:val="restart"/>
            <w:shd w:val="clear" w:color="auto" w:fill="CCEEFF"/>
          </w:tcPr>
          <w:p>
            <w:pPr>
              <w:jc w:val="center"/>
              <w:ind w:left="242"/>
              <w:spacing w:after="0"/>
              <w:rPr>
                <w:sz w:val="20"/>
                <w:szCs w:val="20"/>
                <w:color w:val="auto"/>
              </w:rPr>
            </w:pPr>
            <w:r>
              <w:rPr>
                <w:rFonts w:ascii="Arial" w:cs="Arial" w:eastAsia="Arial" w:hAnsi="Arial"/>
                <w:sz w:val="12"/>
                <w:szCs w:val="12"/>
                <w:color w:val="auto"/>
                <w:w w:val="90"/>
              </w:rPr>
              <w:t>Market comparable properties</w:t>
            </w:r>
          </w:p>
        </w:tc>
        <w:tc>
          <w:tcPr>
            <w:tcW w:w="2220" w:type="dxa"/>
            <w:vAlign w:val="bottom"/>
            <w:vMerge w:val="restart"/>
            <w:shd w:val="clear" w:color="auto" w:fill="CCEEFF"/>
          </w:tcPr>
          <w:p>
            <w:pPr>
              <w:ind w:left="740"/>
              <w:spacing w:after="0"/>
              <w:rPr>
                <w:sz w:val="20"/>
                <w:szCs w:val="20"/>
                <w:color w:val="auto"/>
              </w:rPr>
            </w:pPr>
            <w:r>
              <w:rPr>
                <w:rFonts w:ascii="Arial" w:cs="Arial" w:eastAsia="Arial" w:hAnsi="Arial"/>
                <w:sz w:val="12"/>
                <w:szCs w:val="12"/>
                <w:color w:val="auto"/>
              </w:rPr>
              <w:t>Marketability discount</w:t>
            </w:r>
          </w:p>
        </w:tc>
        <w:tc>
          <w:tcPr>
            <w:tcW w:w="1920" w:type="dxa"/>
            <w:vAlign w:val="bottom"/>
            <w:shd w:val="clear" w:color="auto" w:fill="CCEEFF"/>
          </w:tcPr>
          <w:p>
            <w:pPr>
              <w:jc w:val="center"/>
              <w:ind w:left="120"/>
              <w:spacing w:after="0" w:line="120" w:lineRule="exact"/>
              <w:rPr>
                <w:sz w:val="20"/>
                <w:szCs w:val="20"/>
                <w:color w:val="auto"/>
              </w:rPr>
            </w:pPr>
            <w:r>
              <w:rPr>
                <w:rFonts w:ascii="Arial" w:cs="Arial" w:eastAsia="Arial" w:hAnsi="Arial"/>
                <w:sz w:val="12"/>
                <w:szCs w:val="12"/>
                <w:color w:val="auto"/>
                <w:w w:val="91"/>
              </w:rPr>
              <w:t>7% - 100%</w:t>
            </w:r>
          </w:p>
        </w:tc>
        <w:tc>
          <w:tcPr>
            <w:tcW w:w="0" w:type="dxa"/>
            <w:vAlign w:val="bottom"/>
          </w:tcPr>
          <w:p>
            <w:pPr>
              <w:spacing w:after="0"/>
              <w:rPr>
                <w:sz w:val="1"/>
                <w:szCs w:val="1"/>
                <w:color w:val="auto"/>
              </w:rPr>
            </w:pPr>
          </w:p>
        </w:tc>
      </w:tr>
      <w:tr>
        <w:trPr>
          <w:trHeight w:val="153"/>
        </w:trPr>
        <w:tc>
          <w:tcPr>
            <w:tcW w:w="332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1740" w:type="dxa"/>
            <w:vAlign w:val="bottom"/>
            <w:vMerge w:val="continue"/>
            <w:shd w:val="clear" w:color="auto" w:fill="CCEEFF"/>
          </w:tcPr>
          <w:p>
            <w:pPr>
              <w:spacing w:after="0"/>
              <w:rPr>
                <w:sz w:val="13"/>
                <w:szCs w:val="13"/>
                <w:color w:val="auto"/>
              </w:rPr>
            </w:pPr>
          </w:p>
        </w:tc>
        <w:tc>
          <w:tcPr>
            <w:tcW w:w="2220" w:type="dxa"/>
            <w:vAlign w:val="bottom"/>
            <w:vMerge w:val="continue"/>
            <w:shd w:val="clear" w:color="auto" w:fill="CCEEFF"/>
          </w:tcPr>
          <w:p>
            <w:pPr>
              <w:spacing w:after="0"/>
              <w:rPr>
                <w:sz w:val="13"/>
                <w:szCs w:val="13"/>
                <w:color w:val="auto"/>
              </w:rPr>
            </w:pPr>
          </w:p>
        </w:tc>
        <w:tc>
          <w:tcPr>
            <w:tcW w:w="1920" w:type="dxa"/>
            <w:vAlign w:val="bottom"/>
            <w:shd w:val="clear" w:color="auto" w:fill="CCEEFF"/>
          </w:tcPr>
          <w:p>
            <w:pPr>
              <w:jc w:val="center"/>
              <w:ind w:left="120"/>
              <w:spacing w:after="0"/>
              <w:rPr>
                <w:sz w:val="20"/>
                <w:szCs w:val="20"/>
                <w:color w:val="auto"/>
              </w:rPr>
            </w:pPr>
            <w:r>
              <w:rPr>
                <w:rFonts w:ascii="Arial" w:cs="Arial" w:eastAsia="Arial" w:hAnsi="Arial"/>
                <w:sz w:val="12"/>
                <w:szCs w:val="12"/>
                <w:color w:val="auto"/>
                <w:w w:val="93"/>
              </w:rPr>
              <w:t>(30%)</w:t>
            </w:r>
          </w:p>
        </w:tc>
        <w:tc>
          <w:tcPr>
            <w:tcW w:w="0" w:type="dxa"/>
            <w:vAlign w:val="bottom"/>
          </w:tcPr>
          <w:p>
            <w:pPr>
              <w:spacing w:after="0"/>
              <w:rPr>
                <w:sz w:val="1"/>
                <w:szCs w:val="1"/>
                <w:color w:val="auto"/>
              </w:rPr>
            </w:pPr>
          </w:p>
        </w:tc>
      </w:tr>
      <w:tr>
        <w:trPr>
          <w:trHeight w:val="117"/>
        </w:trPr>
        <w:tc>
          <w:tcPr>
            <w:tcW w:w="3320" w:type="dxa"/>
            <w:vAlign w:val="bottom"/>
            <w:vMerge w:val="restart"/>
          </w:tcPr>
          <w:p>
            <w:pPr>
              <w:ind w:left="340"/>
              <w:spacing w:after="0"/>
              <w:rPr>
                <w:sz w:val="20"/>
                <w:szCs w:val="20"/>
                <w:color w:val="auto"/>
              </w:rPr>
            </w:pPr>
            <w:r>
              <w:rPr>
                <w:rFonts w:ascii="Arial" w:cs="Arial" w:eastAsia="Arial" w:hAnsi="Arial"/>
                <w:sz w:val="12"/>
                <w:szCs w:val="12"/>
                <w:color w:val="auto"/>
              </w:rPr>
              <w:t>Foreclosed assets held-for-sale</w:t>
            </w:r>
          </w:p>
        </w:tc>
        <w:tc>
          <w:tcPr>
            <w:tcW w:w="58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420" w:type="dxa"/>
            <w:vAlign w:val="bottom"/>
            <w:vMerge w:val="restart"/>
          </w:tcPr>
          <w:p>
            <w:pPr>
              <w:jc w:val="right"/>
              <w:ind w:right="240"/>
              <w:spacing w:after="0"/>
              <w:rPr>
                <w:sz w:val="20"/>
                <w:szCs w:val="20"/>
                <w:color w:val="auto"/>
              </w:rPr>
            </w:pPr>
            <w:r>
              <w:rPr>
                <w:rFonts w:ascii="Arial" w:cs="Arial" w:eastAsia="Arial" w:hAnsi="Arial"/>
                <w:sz w:val="12"/>
                <w:szCs w:val="12"/>
                <w:color w:val="auto"/>
              </w:rPr>
              <w:t>1,718</w:t>
            </w:r>
          </w:p>
        </w:tc>
        <w:tc>
          <w:tcPr>
            <w:tcW w:w="1740" w:type="dxa"/>
            <w:vAlign w:val="bottom"/>
            <w:vMerge w:val="restart"/>
          </w:tcPr>
          <w:p>
            <w:pPr>
              <w:jc w:val="center"/>
              <w:ind w:left="242"/>
              <w:spacing w:after="0"/>
              <w:rPr>
                <w:sz w:val="20"/>
                <w:szCs w:val="20"/>
                <w:color w:val="auto"/>
              </w:rPr>
            </w:pPr>
            <w:r>
              <w:rPr>
                <w:rFonts w:ascii="Arial" w:cs="Arial" w:eastAsia="Arial" w:hAnsi="Arial"/>
                <w:sz w:val="12"/>
                <w:szCs w:val="12"/>
                <w:color w:val="auto"/>
                <w:w w:val="90"/>
              </w:rPr>
              <w:t>Market comparable properties</w:t>
            </w:r>
          </w:p>
        </w:tc>
        <w:tc>
          <w:tcPr>
            <w:tcW w:w="2220" w:type="dxa"/>
            <w:vAlign w:val="bottom"/>
            <w:vMerge w:val="restart"/>
          </w:tcPr>
          <w:p>
            <w:pPr>
              <w:ind w:left="740"/>
              <w:spacing w:after="0"/>
              <w:rPr>
                <w:sz w:val="20"/>
                <w:szCs w:val="20"/>
                <w:color w:val="auto"/>
              </w:rPr>
            </w:pPr>
            <w:r>
              <w:rPr>
                <w:rFonts w:ascii="Arial" w:cs="Arial" w:eastAsia="Arial" w:hAnsi="Arial"/>
                <w:sz w:val="12"/>
                <w:szCs w:val="12"/>
                <w:color w:val="auto"/>
              </w:rPr>
              <w:t>Marketability discount</w:t>
            </w:r>
          </w:p>
        </w:tc>
        <w:tc>
          <w:tcPr>
            <w:tcW w:w="1920" w:type="dxa"/>
            <w:vAlign w:val="bottom"/>
          </w:tcPr>
          <w:p>
            <w:pPr>
              <w:jc w:val="center"/>
              <w:ind w:left="140"/>
              <w:spacing w:after="0" w:line="117" w:lineRule="exact"/>
              <w:rPr>
                <w:sz w:val="20"/>
                <w:szCs w:val="20"/>
                <w:color w:val="auto"/>
              </w:rPr>
            </w:pPr>
            <w:r>
              <w:rPr>
                <w:rFonts w:ascii="Arial" w:cs="Arial" w:eastAsia="Arial" w:hAnsi="Arial"/>
                <w:sz w:val="12"/>
                <w:szCs w:val="12"/>
                <w:color w:val="auto"/>
                <w:w w:val="92"/>
              </w:rPr>
              <w:t>0% - 10%</w:t>
            </w:r>
          </w:p>
        </w:tc>
        <w:tc>
          <w:tcPr>
            <w:tcW w:w="0" w:type="dxa"/>
            <w:vAlign w:val="bottom"/>
          </w:tcPr>
          <w:p>
            <w:pPr>
              <w:spacing w:after="0"/>
              <w:rPr>
                <w:sz w:val="1"/>
                <w:szCs w:val="1"/>
                <w:color w:val="auto"/>
              </w:rPr>
            </w:pPr>
          </w:p>
        </w:tc>
      </w:tr>
      <w:tr>
        <w:trPr>
          <w:trHeight w:val="153"/>
        </w:trPr>
        <w:tc>
          <w:tcPr>
            <w:tcW w:w="33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1920" w:type="dxa"/>
            <w:vAlign w:val="bottom"/>
          </w:tcPr>
          <w:p>
            <w:pPr>
              <w:jc w:val="center"/>
              <w:ind w:left="140"/>
              <w:spacing w:after="0"/>
              <w:rPr>
                <w:sz w:val="20"/>
                <w:szCs w:val="20"/>
                <w:color w:val="auto"/>
              </w:rPr>
            </w:pPr>
            <w:r>
              <w:rPr>
                <w:rFonts w:ascii="Arial" w:cs="Arial" w:eastAsia="Arial" w:hAnsi="Arial"/>
                <w:sz w:val="12"/>
                <w:szCs w:val="12"/>
                <w:color w:val="auto"/>
                <w:w w:val="94"/>
              </w:rPr>
              <w:t>(8%)</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center"/>
              <w:ind w:right="1280"/>
              <w:spacing w:after="0"/>
              <w:rPr>
                <w:sz w:val="20"/>
                <w:szCs w:val="20"/>
                <w:color w:val="auto"/>
              </w:rPr>
            </w:pPr>
            <w:r>
              <w:rPr>
                <w:rFonts w:ascii="Arial" w:cs="Arial" w:eastAsia="Arial" w:hAnsi="Arial"/>
                <w:sz w:val="12"/>
                <w:szCs w:val="12"/>
                <w:b w:val="1"/>
                <w:bCs w:val="1"/>
                <w:color w:val="auto"/>
                <w:w w:val="90"/>
              </w:rPr>
              <w:t>December 31, 2020</w:t>
            </w:r>
          </w:p>
        </w:tc>
        <w:tc>
          <w:tcPr>
            <w:tcW w:w="2060" w:type="dxa"/>
            <w:vAlign w:val="bottom"/>
            <w:tcBorders>
              <w:bottom w:val="single" w:sz="8" w:color="auto"/>
            </w:tcBorders>
          </w:tcPr>
          <w:p>
            <w:pPr>
              <w:spacing w:after="0"/>
              <w:rPr>
                <w:sz w:val="14"/>
                <w:szCs w:val="14"/>
                <w:color w:val="auto"/>
              </w:rPr>
            </w:pPr>
          </w:p>
        </w:tc>
      </w:tr>
      <w:tr>
        <w:trPr>
          <w:trHeight w:val="147"/>
        </w:trPr>
        <w:tc>
          <w:tcPr>
            <w:tcW w:w="1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87"/>
              </w:rPr>
              <w:t>Range</w:t>
            </w:r>
          </w:p>
        </w:tc>
      </w:tr>
      <w:tr>
        <w:trPr>
          <w:trHeight w:val="166"/>
        </w:trPr>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Fair Value</w:t>
            </w:r>
          </w:p>
        </w:tc>
        <w:tc>
          <w:tcPr>
            <w:tcW w:w="170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8"/>
              </w:rPr>
              <w:t>Valuation Techniques</w:t>
            </w:r>
          </w:p>
        </w:tc>
        <w:tc>
          <w:tcPr>
            <w:tcW w:w="2320" w:type="dxa"/>
            <w:vAlign w:val="bottom"/>
            <w:tcBorders>
              <w:bottom w:val="single" w:sz="8" w:color="auto"/>
            </w:tcBorders>
          </w:tcPr>
          <w:p>
            <w:pPr>
              <w:ind w:left="760"/>
              <w:spacing w:after="0"/>
              <w:rPr>
                <w:sz w:val="20"/>
                <w:szCs w:val="20"/>
                <w:color w:val="auto"/>
              </w:rPr>
            </w:pPr>
            <w:r>
              <w:rPr>
                <w:rFonts w:ascii="Arial" w:cs="Arial" w:eastAsia="Arial" w:hAnsi="Arial"/>
                <w:sz w:val="12"/>
                <w:szCs w:val="12"/>
                <w:b w:val="1"/>
                <w:bCs w:val="1"/>
                <w:color w:val="auto"/>
              </w:rPr>
              <w:t>Unobservable Inputs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(Weighted Average)</w:t>
            </w:r>
          </w:p>
        </w:tc>
      </w:tr>
      <w:tr>
        <w:trPr>
          <w:trHeight w:val="169"/>
        </w:trPr>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20" w:type="dxa"/>
            <w:vAlign w:val="bottom"/>
            <w:gridSpan w:val="2"/>
          </w:tcPr>
          <w:p>
            <w:pPr>
              <w:jc w:val="center"/>
              <w:ind w:left="300"/>
              <w:spacing w:after="0"/>
              <w:rPr>
                <w:sz w:val="20"/>
                <w:szCs w:val="20"/>
                <w:color w:val="auto"/>
              </w:rPr>
            </w:pPr>
            <w:r>
              <w:rPr>
                <w:rFonts w:ascii="Arial" w:cs="Arial" w:eastAsia="Arial" w:hAnsi="Arial"/>
                <w:sz w:val="12"/>
                <w:szCs w:val="12"/>
                <w:i w:val="1"/>
                <w:iCs w:val="1"/>
                <w:color w:val="auto"/>
                <w:w w:val="94"/>
              </w:rPr>
              <w:t>(Dollars in thousands)</w:t>
            </w:r>
          </w:p>
        </w:tc>
        <w:tc>
          <w:tcPr>
            <w:tcW w:w="20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 - 98%</w:t>
            </w:r>
          </w:p>
        </w:tc>
      </w:tr>
      <w:tr>
        <w:trPr>
          <w:trHeight w:val="171"/>
        </w:trPr>
        <w:tc>
          <w:tcPr>
            <w:tcW w:w="100" w:type="dxa"/>
            <w:vAlign w:val="bottom"/>
          </w:tcPr>
          <w:p>
            <w:pPr>
              <w:spacing w:after="0"/>
              <w:rPr>
                <w:sz w:val="14"/>
                <w:szCs w:val="14"/>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Collateral-dependent impaired loans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55,454</w:t>
            </w:r>
          </w:p>
        </w:tc>
        <w:tc>
          <w:tcPr>
            <w:tcW w:w="1700" w:type="dxa"/>
            <w:vAlign w:val="bottom"/>
            <w:shd w:val="clear" w:color="auto" w:fill="CCEEFF"/>
          </w:tcPr>
          <w:p>
            <w:pPr>
              <w:jc w:val="center"/>
              <w:ind w:left="160"/>
              <w:spacing w:after="0"/>
              <w:rPr>
                <w:sz w:val="20"/>
                <w:szCs w:val="20"/>
                <w:color w:val="auto"/>
              </w:rPr>
            </w:pPr>
            <w:r>
              <w:rPr>
                <w:rFonts w:ascii="Arial" w:cs="Arial" w:eastAsia="Arial" w:hAnsi="Arial"/>
                <w:sz w:val="12"/>
                <w:szCs w:val="12"/>
                <w:color w:val="auto"/>
                <w:w w:val="90"/>
              </w:rPr>
              <w:t>Market comparable properties</w:t>
            </w:r>
          </w:p>
        </w:tc>
        <w:tc>
          <w:tcPr>
            <w:tcW w:w="2320" w:type="dxa"/>
            <w:vAlign w:val="bottom"/>
            <w:shd w:val="clear" w:color="auto" w:fill="CCEEFF"/>
          </w:tcPr>
          <w:p>
            <w:pPr>
              <w:ind w:left="740"/>
              <w:spacing w:after="0"/>
              <w:rPr>
                <w:sz w:val="20"/>
                <w:szCs w:val="20"/>
                <w:color w:val="auto"/>
              </w:rPr>
            </w:pPr>
            <w:r>
              <w:rPr>
                <w:rFonts w:ascii="Arial" w:cs="Arial" w:eastAsia="Arial" w:hAnsi="Arial"/>
                <w:sz w:val="12"/>
                <w:szCs w:val="12"/>
                <w:color w:val="auto"/>
              </w:rPr>
              <w:t>Marketability discount</w:t>
            </w:r>
          </w:p>
        </w:tc>
        <w:tc>
          <w:tcPr>
            <w:tcW w:w="2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(24%)</w:t>
            </w:r>
          </w:p>
        </w:tc>
      </w:tr>
      <w:tr>
        <w:trPr>
          <w:trHeight w:val="153"/>
        </w:trPr>
        <w:tc>
          <w:tcPr>
            <w:tcW w:w="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color w:val="auto"/>
                <w:w w:val="92"/>
              </w:rPr>
              <w:t>7% - 10%</w:t>
            </w:r>
          </w:p>
        </w:tc>
      </w:tr>
      <w:tr>
        <w:trPr>
          <w:trHeight w:val="153"/>
        </w:trPr>
        <w:tc>
          <w:tcPr>
            <w:tcW w:w="100" w:type="dxa"/>
            <w:vAlign w:val="bottom"/>
          </w:tcPr>
          <w:p>
            <w:pPr>
              <w:spacing w:after="0"/>
              <w:rPr>
                <w:sz w:val="13"/>
                <w:szCs w:val="13"/>
                <w:color w:val="auto"/>
              </w:rPr>
            </w:pPr>
          </w:p>
        </w:tc>
        <w:tc>
          <w:tcPr>
            <w:tcW w:w="3420" w:type="dxa"/>
            <w:vAlign w:val="bottom"/>
          </w:tcPr>
          <w:p>
            <w:pPr>
              <w:ind w:left="20"/>
              <w:spacing w:after="0"/>
              <w:rPr>
                <w:sz w:val="20"/>
                <w:szCs w:val="20"/>
                <w:color w:val="auto"/>
              </w:rPr>
            </w:pPr>
            <w:r>
              <w:rPr>
                <w:rFonts w:ascii="Arial" w:cs="Arial" w:eastAsia="Arial" w:hAnsi="Arial"/>
                <w:sz w:val="12"/>
                <w:szCs w:val="12"/>
                <w:color w:val="auto"/>
              </w:rPr>
              <w:t>Foreclosed assets held-for-sale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180"/>
              <w:spacing w:after="0"/>
              <w:rPr>
                <w:sz w:val="20"/>
                <w:szCs w:val="20"/>
                <w:color w:val="auto"/>
              </w:rPr>
            </w:pPr>
            <w:r>
              <w:rPr>
                <w:rFonts w:ascii="Arial" w:cs="Arial" w:eastAsia="Arial" w:hAnsi="Arial"/>
                <w:sz w:val="12"/>
                <w:szCs w:val="12"/>
                <w:color w:val="auto"/>
              </w:rPr>
              <w:t>2,347</w:t>
            </w:r>
          </w:p>
        </w:tc>
        <w:tc>
          <w:tcPr>
            <w:tcW w:w="1700" w:type="dxa"/>
            <w:vAlign w:val="bottom"/>
          </w:tcPr>
          <w:p>
            <w:pPr>
              <w:jc w:val="center"/>
              <w:ind w:left="160"/>
              <w:spacing w:after="0"/>
              <w:rPr>
                <w:sz w:val="20"/>
                <w:szCs w:val="20"/>
                <w:color w:val="auto"/>
              </w:rPr>
            </w:pPr>
            <w:r>
              <w:rPr>
                <w:rFonts w:ascii="Arial" w:cs="Arial" w:eastAsia="Arial" w:hAnsi="Arial"/>
                <w:sz w:val="12"/>
                <w:szCs w:val="12"/>
                <w:color w:val="auto"/>
                <w:w w:val="90"/>
              </w:rPr>
              <w:t>Market comparable properties</w:t>
            </w:r>
          </w:p>
        </w:tc>
        <w:tc>
          <w:tcPr>
            <w:tcW w:w="2320" w:type="dxa"/>
            <w:vAlign w:val="bottom"/>
          </w:tcPr>
          <w:p>
            <w:pPr>
              <w:ind w:left="740"/>
              <w:spacing w:after="0"/>
              <w:rPr>
                <w:sz w:val="20"/>
                <w:szCs w:val="20"/>
                <w:color w:val="auto"/>
              </w:rPr>
            </w:pPr>
            <w:r>
              <w:rPr>
                <w:rFonts w:ascii="Arial" w:cs="Arial" w:eastAsia="Arial" w:hAnsi="Arial"/>
                <w:sz w:val="12"/>
                <w:szCs w:val="12"/>
                <w:color w:val="auto"/>
              </w:rPr>
              <w:t>Marketability discount</w:t>
            </w:r>
          </w:p>
        </w:tc>
        <w:tc>
          <w:tcPr>
            <w:tcW w:w="2060" w:type="dxa"/>
            <w:vAlign w:val="bottom"/>
          </w:tcPr>
          <w:p>
            <w:pPr>
              <w:jc w:val="center"/>
              <w:spacing w:after="0"/>
              <w:rPr>
                <w:sz w:val="20"/>
                <w:szCs w:val="20"/>
                <w:color w:val="auto"/>
              </w:rPr>
            </w:pPr>
            <w:r>
              <w:rPr>
                <w:rFonts w:ascii="Arial" w:cs="Arial" w:eastAsia="Arial" w:hAnsi="Arial"/>
                <w:sz w:val="12"/>
                <w:szCs w:val="12"/>
                <w:color w:val="auto"/>
                <w:w w:val="94"/>
              </w:rPr>
              <w:t>(9%)</w:t>
            </w:r>
          </w:p>
        </w:tc>
      </w:tr>
      <w:tr>
        <w:trPr>
          <w:trHeight w:val="612"/>
        </w:trPr>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jc w:val="right"/>
              <w:ind w:right="1160"/>
              <w:spacing w:after="0"/>
              <w:rPr>
                <w:sz w:val="20"/>
                <w:szCs w:val="20"/>
                <w:color w:val="auto"/>
              </w:rPr>
            </w:pPr>
            <w:r>
              <w:rPr>
                <w:rFonts w:ascii="Arial" w:cs="Arial" w:eastAsia="Arial" w:hAnsi="Arial"/>
                <w:sz w:val="12"/>
                <w:szCs w:val="12"/>
                <w:color w:val="auto"/>
              </w:rPr>
              <w:t>33</w:t>
            </w: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34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3" w:name="page34"/>
    <w:bookmarkEnd w:id="33"/>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estimated fair values of the Company’s financial instruments at June 30, 2021 and December 31, 2020:</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89"/>
              </w:rPr>
              <w:t>June 30, 2021</w:t>
            </w: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42"/>
        </w:trPr>
        <w:tc>
          <w:tcPr>
            <w:tcW w:w="3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Carrying</w:t>
            </w: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5"/>
          </w:tcPr>
          <w:p>
            <w:pPr>
              <w:ind w:left="660"/>
              <w:spacing w:after="0"/>
              <w:rPr>
                <w:sz w:val="20"/>
                <w:szCs w:val="20"/>
                <w:color w:val="auto"/>
              </w:rPr>
            </w:pPr>
            <w:r>
              <w:rPr>
                <w:rFonts w:ascii="Arial" w:cs="Arial" w:eastAsia="Arial" w:hAnsi="Arial"/>
                <w:sz w:val="12"/>
                <w:szCs w:val="12"/>
                <w:b w:val="1"/>
                <w:bCs w:val="1"/>
                <w:color w:val="auto"/>
              </w:rPr>
              <w:t>Fair Value Measurements</w:t>
            </w: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42"/>
        </w:trPr>
        <w:tc>
          <w:tcPr>
            <w:tcW w:w="3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2"/>
              </w:rPr>
              <w:t>Amount</w:t>
            </w: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Level 1</w:t>
            </w: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8"/>
              </w:rPr>
              <w:t>Level 2</w:t>
            </w: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Level 3</w:t>
            </w: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Total</w:t>
            </w:r>
          </w:p>
        </w:tc>
      </w:tr>
      <w:tr>
        <w:trPr>
          <w:trHeight w:val="131"/>
        </w:trPr>
        <w:tc>
          <w:tcPr>
            <w:tcW w:w="3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1"/>
                <w:szCs w:val="11"/>
                <w:i w:val="1"/>
                <w:iCs w:val="1"/>
                <w:color w:val="auto"/>
                <w:w w:val="91"/>
              </w:rPr>
              <w:t>(Dollars in thousands)</w:t>
            </w: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55"/>
        </w:trPr>
        <w:tc>
          <w:tcPr>
            <w:tcW w:w="328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Financial Assets</w:t>
            </w: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53"/>
        </w:trPr>
        <w:tc>
          <w:tcPr>
            <w:tcW w:w="3280" w:type="dxa"/>
            <w:vAlign w:val="bottom"/>
          </w:tcPr>
          <w:p>
            <w:pPr>
              <w:ind w:left="420"/>
              <w:spacing w:after="0"/>
              <w:rPr>
                <w:sz w:val="20"/>
                <w:szCs w:val="20"/>
                <w:color w:val="auto"/>
              </w:rPr>
            </w:pPr>
            <w:r>
              <w:rPr>
                <w:rFonts w:ascii="Arial" w:cs="Arial" w:eastAsia="Arial" w:hAnsi="Arial"/>
                <w:sz w:val="12"/>
                <w:szCs w:val="12"/>
                <w:color w:val="auto"/>
              </w:rPr>
              <w:t>Cash and cash equivalents</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220,814</w:t>
            </w:r>
          </w:p>
        </w:tc>
        <w:tc>
          <w:tcPr>
            <w:tcW w:w="80" w:type="dxa"/>
            <w:vAlign w:val="bottom"/>
          </w:tcPr>
          <w:p>
            <w:pPr>
              <w:spacing w:after="0"/>
              <w:rPr>
                <w:sz w:val="13"/>
                <w:szCs w:val="13"/>
                <w:color w:val="auto"/>
              </w:rPr>
            </w:pP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220,814</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220,814</w:t>
            </w:r>
          </w:p>
        </w:tc>
      </w:tr>
      <w:tr>
        <w:trPr>
          <w:trHeight w:val="153"/>
        </w:trPr>
        <w:tc>
          <w:tcPr>
            <w:tcW w:w="32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Available-for-sale securities</w:t>
            </w: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712,217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712,217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712,217</w:t>
            </w:r>
          </w:p>
        </w:tc>
      </w:tr>
      <w:tr>
        <w:trPr>
          <w:trHeight w:val="153"/>
        </w:trPr>
        <w:tc>
          <w:tcPr>
            <w:tcW w:w="3280" w:type="dxa"/>
            <w:vAlign w:val="bottom"/>
          </w:tcPr>
          <w:p>
            <w:pPr>
              <w:ind w:left="420"/>
              <w:spacing w:after="0"/>
              <w:rPr>
                <w:sz w:val="20"/>
                <w:szCs w:val="20"/>
                <w:color w:val="auto"/>
              </w:rPr>
            </w:pPr>
            <w:r>
              <w:rPr>
                <w:rFonts w:ascii="Arial" w:cs="Arial" w:eastAsia="Arial" w:hAnsi="Arial"/>
                <w:sz w:val="12"/>
                <w:szCs w:val="12"/>
                <w:color w:val="auto"/>
              </w:rPr>
              <w:t>Loans, net of allowance for loan losses</w:t>
            </w:r>
          </w:p>
        </w:tc>
        <w:tc>
          <w:tcPr>
            <w:tcW w:w="5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4,162,451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4,154,981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4,154,981</w:t>
            </w:r>
          </w:p>
        </w:tc>
      </w:tr>
      <w:tr>
        <w:trPr>
          <w:trHeight w:val="153"/>
        </w:trPr>
        <w:tc>
          <w:tcPr>
            <w:tcW w:w="32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Restricted equity securities</w:t>
            </w: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13,329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13,329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13,329</w:t>
            </w:r>
          </w:p>
        </w:tc>
      </w:tr>
      <w:tr>
        <w:trPr>
          <w:trHeight w:val="153"/>
        </w:trPr>
        <w:tc>
          <w:tcPr>
            <w:tcW w:w="3280" w:type="dxa"/>
            <w:vAlign w:val="bottom"/>
          </w:tcPr>
          <w:p>
            <w:pPr>
              <w:ind w:left="420"/>
              <w:spacing w:after="0"/>
              <w:rPr>
                <w:sz w:val="20"/>
                <w:szCs w:val="20"/>
                <w:color w:val="auto"/>
              </w:rPr>
            </w:pPr>
            <w:r>
              <w:rPr>
                <w:rFonts w:ascii="Arial" w:cs="Arial" w:eastAsia="Arial" w:hAnsi="Arial"/>
                <w:sz w:val="12"/>
                <w:szCs w:val="12"/>
                <w:color w:val="auto"/>
              </w:rPr>
              <w:t>Interest receivable</w:t>
            </w:r>
          </w:p>
        </w:tc>
        <w:tc>
          <w:tcPr>
            <w:tcW w:w="5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15,816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15,816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15,816</w:t>
            </w:r>
          </w:p>
        </w:tc>
      </w:tr>
      <w:tr>
        <w:trPr>
          <w:trHeight w:val="153"/>
        </w:trPr>
        <w:tc>
          <w:tcPr>
            <w:tcW w:w="32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Equity securities</w:t>
            </w: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13,517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11,289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13,517</w:t>
            </w:r>
          </w:p>
        </w:tc>
      </w:tr>
      <w:tr>
        <w:trPr>
          <w:trHeight w:val="153"/>
        </w:trPr>
        <w:tc>
          <w:tcPr>
            <w:tcW w:w="3280" w:type="dxa"/>
            <w:vAlign w:val="bottom"/>
          </w:tcPr>
          <w:p>
            <w:pPr>
              <w:ind w:left="420"/>
              <w:spacing w:after="0"/>
              <w:rPr>
                <w:sz w:val="20"/>
                <w:szCs w:val="20"/>
                <w:color w:val="auto"/>
              </w:rPr>
            </w:pPr>
            <w:r>
              <w:rPr>
                <w:rFonts w:ascii="Arial" w:cs="Arial" w:eastAsia="Arial" w:hAnsi="Arial"/>
                <w:sz w:val="12"/>
                <w:szCs w:val="12"/>
                <w:color w:val="auto"/>
              </w:rPr>
              <w:t>Derivative assets</w:t>
            </w:r>
          </w:p>
        </w:tc>
        <w:tc>
          <w:tcPr>
            <w:tcW w:w="5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17,137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17,137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17,137</w:t>
            </w:r>
          </w:p>
        </w:tc>
      </w:tr>
      <w:tr>
        <w:trPr>
          <w:trHeight w:val="162"/>
        </w:trPr>
        <w:tc>
          <w:tcPr>
            <w:tcW w:w="328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5,155,281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220,814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747,398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4,179,599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5,147,811</w:t>
            </w:r>
          </w:p>
        </w:tc>
      </w:tr>
      <w:tr>
        <w:trPr>
          <w:trHeight w:val="131"/>
        </w:trPr>
        <w:tc>
          <w:tcPr>
            <w:tcW w:w="3280" w:type="dxa"/>
            <w:vAlign w:val="bottom"/>
          </w:tcPr>
          <w:p>
            <w:pPr>
              <w:ind w:left="340"/>
              <w:spacing w:after="0" w:line="131" w:lineRule="exact"/>
              <w:rPr>
                <w:sz w:val="20"/>
                <w:szCs w:val="20"/>
                <w:color w:val="auto"/>
              </w:rPr>
            </w:pPr>
            <w:r>
              <w:rPr>
                <w:rFonts w:ascii="Arial" w:cs="Arial" w:eastAsia="Arial" w:hAnsi="Arial"/>
                <w:sz w:val="12"/>
                <w:szCs w:val="12"/>
                <w:b w:val="1"/>
                <w:bCs w:val="1"/>
                <w:color w:val="auto"/>
              </w:rPr>
              <w:t>Financial Liabilities</w:t>
            </w: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53"/>
        </w:trPr>
        <w:tc>
          <w:tcPr>
            <w:tcW w:w="32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Deposits</w:t>
            </w: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4,356,627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818,887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3,558,660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4,377,547</w:t>
            </w:r>
          </w:p>
        </w:tc>
      </w:tr>
      <w:tr>
        <w:trPr>
          <w:trHeight w:val="153"/>
        </w:trPr>
        <w:tc>
          <w:tcPr>
            <w:tcW w:w="3280" w:type="dxa"/>
            <w:vAlign w:val="bottom"/>
          </w:tcPr>
          <w:p>
            <w:pPr>
              <w:ind w:left="100"/>
              <w:spacing w:after="0"/>
              <w:rPr>
                <w:sz w:val="20"/>
                <w:szCs w:val="20"/>
                <w:color w:val="auto"/>
              </w:rPr>
            </w:pPr>
            <w:r>
              <w:rPr>
                <w:rFonts w:ascii="Arial" w:cs="Arial" w:eastAsia="Arial" w:hAnsi="Arial"/>
                <w:sz w:val="12"/>
                <w:szCs w:val="12"/>
                <w:color w:val="auto"/>
              </w:rPr>
              <w:t>Federal funds purchased and repurchase agreements</w:t>
            </w:r>
          </w:p>
        </w:tc>
        <w:tc>
          <w:tcPr>
            <w:tcW w:w="54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32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Federal Home Loan Bank advances</w:t>
            </w: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283,100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293,517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293,517</w:t>
            </w:r>
          </w:p>
        </w:tc>
      </w:tr>
      <w:tr>
        <w:trPr>
          <w:trHeight w:val="153"/>
        </w:trPr>
        <w:tc>
          <w:tcPr>
            <w:tcW w:w="3280" w:type="dxa"/>
            <w:vAlign w:val="bottom"/>
          </w:tcPr>
          <w:p>
            <w:pPr>
              <w:ind w:left="420"/>
              <w:spacing w:after="0"/>
              <w:rPr>
                <w:sz w:val="20"/>
                <w:szCs w:val="20"/>
                <w:color w:val="auto"/>
              </w:rPr>
            </w:pPr>
            <w:r>
              <w:rPr>
                <w:rFonts w:ascii="Arial" w:cs="Arial" w:eastAsia="Arial" w:hAnsi="Arial"/>
                <w:sz w:val="12"/>
                <w:szCs w:val="12"/>
                <w:color w:val="auto"/>
              </w:rPr>
              <w:t>Other borrowings</w:t>
            </w:r>
          </w:p>
        </w:tc>
        <w:tc>
          <w:tcPr>
            <w:tcW w:w="5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986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2,359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2,359</w:t>
            </w:r>
          </w:p>
        </w:tc>
      </w:tr>
      <w:tr>
        <w:trPr>
          <w:trHeight w:val="153"/>
        </w:trPr>
        <w:tc>
          <w:tcPr>
            <w:tcW w:w="32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Interest payable</w:t>
            </w: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1,668</w:t>
            </w:r>
          </w:p>
        </w:tc>
      </w:tr>
      <w:tr>
        <w:trPr>
          <w:trHeight w:val="153"/>
        </w:trPr>
        <w:tc>
          <w:tcPr>
            <w:tcW w:w="3280" w:type="dxa"/>
            <w:vAlign w:val="bottom"/>
          </w:tcPr>
          <w:p>
            <w:pPr>
              <w:ind w:left="420"/>
              <w:spacing w:after="0"/>
              <w:rPr>
                <w:sz w:val="20"/>
                <w:szCs w:val="20"/>
                <w:color w:val="auto"/>
              </w:rPr>
            </w:pPr>
            <w:r>
              <w:rPr>
                <w:rFonts w:ascii="Arial" w:cs="Arial" w:eastAsia="Arial" w:hAnsi="Arial"/>
                <w:sz w:val="12"/>
                <w:szCs w:val="12"/>
                <w:color w:val="auto"/>
              </w:rPr>
              <w:t>Derivative liabilities</w:t>
            </w:r>
          </w:p>
        </w:tc>
        <w:tc>
          <w:tcPr>
            <w:tcW w:w="5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17,372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17,372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17,372</w:t>
            </w:r>
          </w:p>
        </w:tc>
      </w:tr>
      <w:tr>
        <w:trPr>
          <w:trHeight w:val="158"/>
        </w:trPr>
        <w:tc>
          <w:tcPr>
            <w:tcW w:w="328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4,659,753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818,887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314,916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3,558,660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4,692,463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December 31, 2020</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40"/>
              <w:spacing w:after="0"/>
              <w:rPr>
                <w:sz w:val="20"/>
                <w:szCs w:val="20"/>
                <w:color w:val="auto"/>
              </w:rPr>
            </w:pPr>
            <w:r>
              <w:rPr>
                <w:rFonts w:ascii="Arial" w:cs="Arial" w:eastAsia="Arial" w:hAnsi="Arial"/>
                <w:sz w:val="12"/>
                <w:szCs w:val="12"/>
                <w:b w:val="1"/>
                <w:bCs w:val="1"/>
                <w:color w:val="auto"/>
              </w:rPr>
              <w:t>Carrying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Fair Value Measurements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Amount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b w:val="1"/>
                <w:bCs w:val="1"/>
                <w:color w:val="auto"/>
              </w:rPr>
              <w:t>Level 1</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8"/>
              </w:rPr>
              <w:t>Level 2</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Level 3</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Total</w:t>
            </w:r>
          </w:p>
        </w:tc>
      </w:tr>
      <w:tr>
        <w:trPr>
          <w:trHeight w:val="169"/>
        </w:trPr>
        <w:tc>
          <w:tcPr>
            <w:tcW w:w="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2"/>
                <w:szCs w:val="12"/>
                <w:i w:val="1"/>
                <w:iCs w:val="1"/>
                <w:color w:val="auto"/>
                <w:w w:val="92"/>
              </w:rPr>
              <w:t>(Dollars in thousands)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Financial Assets</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53"/>
        </w:trPr>
        <w:tc>
          <w:tcPr>
            <w:tcW w:w="100" w:type="dxa"/>
            <w:vAlign w:val="bottom"/>
          </w:tcPr>
          <w:p>
            <w:pPr>
              <w:spacing w:after="0"/>
              <w:rPr>
                <w:sz w:val="13"/>
                <w:szCs w:val="13"/>
                <w:color w:val="auto"/>
              </w:rPr>
            </w:pPr>
          </w:p>
        </w:tc>
        <w:tc>
          <w:tcPr>
            <w:tcW w:w="4160" w:type="dxa"/>
            <w:vAlign w:val="bottom"/>
          </w:tcPr>
          <w:p>
            <w:pPr>
              <w:ind w:left="10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408,810</w:t>
            </w:r>
          </w:p>
        </w:tc>
        <w:tc>
          <w:tcPr>
            <w:tcW w:w="3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408,810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408,810</w:t>
            </w:r>
          </w:p>
        </w:tc>
      </w:tr>
      <w:tr>
        <w:trPr>
          <w:trHeight w:val="153"/>
        </w:trPr>
        <w:tc>
          <w:tcPr>
            <w:tcW w:w="100" w:type="dxa"/>
            <w:vAlign w:val="bottom"/>
          </w:tcPr>
          <w:p>
            <w:pPr>
              <w:spacing w:after="0"/>
              <w:rPr>
                <w:sz w:val="13"/>
                <w:szCs w:val="13"/>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Available-for-sale securities</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654,588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654,588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654,588</w:t>
            </w:r>
          </w:p>
        </w:tc>
      </w:tr>
      <w:tr>
        <w:trPr>
          <w:trHeight w:val="153"/>
        </w:trPr>
        <w:tc>
          <w:tcPr>
            <w:tcW w:w="100" w:type="dxa"/>
            <w:vAlign w:val="bottom"/>
          </w:tcPr>
          <w:p>
            <w:pPr>
              <w:spacing w:after="0"/>
              <w:rPr>
                <w:sz w:val="13"/>
                <w:szCs w:val="13"/>
                <w:color w:val="auto"/>
              </w:rPr>
            </w:pPr>
          </w:p>
        </w:tc>
        <w:tc>
          <w:tcPr>
            <w:tcW w:w="4160" w:type="dxa"/>
            <w:vAlign w:val="bottom"/>
          </w:tcPr>
          <w:p>
            <w:pPr>
              <w:ind w:left="100"/>
              <w:spacing w:after="0"/>
              <w:rPr>
                <w:sz w:val="20"/>
                <w:szCs w:val="20"/>
                <w:color w:val="auto"/>
              </w:rPr>
            </w:pPr>
            <w:r>
              <w:rPr>
                <w:rFonts w:ascii="Arial" w:cs="Arial" w:eastAsia="Arial" w:hAnsi="Arial"/>
                <w:sz w:val="12"/>
                <w:szCs w:val="12"/>
                <w:color w:val="auto"/>
              </w:rPr>
              <w:t>Loans, net of allowance for loan losses</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4,366,602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4,351,970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4,351,970</w:t>
            </w:r>
          </w:p>
        </w:tc>
      </w:tr>
      <w:tr>
        <w:trPr>
          <w:trHeight w:val="153"/>
        </w:trPr>
        <w:tc>
          <w:tcPr>
            <w:tcW w:w="100" w:type="dxa"/>
            <w:vAlign w:val="bottom"/>
          </w:tcPr>
          <w:p>
            <w:pPr>
              <w:spacing w:after="0"/>
              <w:rPr>
                <w:sz w:val="13"/>
                <w:szCs w:val="13"/>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Restricted equity securities</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15,543</w:t>
            </w:r>
          </w:p>
        </w:tc>
      </w:tr>
      <w:tr>
        <w:trPr>
          <w:trHeight w:val="153"/>
        </w:trPr>
        <w:tc>
          <w:tcPr>
            <w:tcW w:w="100" w:type="dxa"/>
            <w:vAlign w:val="bottom"/>
          </w:tcPr>
          <w:p>
            <w:pPr>
              <w:spacing w:after="0"/>
              <w:rPr>
                <w:sz w:val="13"/>
                <w:szCs w:val="13"/>
                <w:color w:val="auto"/>
              </w:rPr>
            </w:pPr>
          </w:p>
        </w:tc>
        <w:tc>
          <w:tcPr>
            <w:tcW w:w="4160" w:type="dxa"/>
            <w:vAlign w:val="bottom"/>
          </w:tcPr>
          <w:p>
            <w:pPr>
              <w:ind w:left="100"/>
              <w:spacing w:after="0"/>
              <w:rPr>
                <w:sz w:val="20"/>
                <w:szCs w:val="20"/>
                <w:color w:val="auto"/>
              </w:rPr>
            </w:pPr>
            <w:r>
              <w:rPr>
                <w:rFonts w:ascii="Arial" w:cs="Arial" w:eastAsia="Arial" w:hAnsi="Arial"/>
                <w:sz w:val="12"/>
                <w:szCs w:val="12"/>
                <w:color w:val="auto"/>
              </w:rPr>
              <w:t>Interest receivable</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17,236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17,236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17,236</w:t>
            </w:r>
          </w:p>
        </w:tc>
      </w:tr>
      <w:tr>
        <w:trPr>
          <w:trHeight w:val="153"/>
        </w:trPr>
        <w:tc>
          <w:tcPr>
            <w:tcW w:w="100" w:type="dxa"/>
            <w:vAlign w:val="bottom"/>
          </w:tcPr>
          <w:p>
            <w:pPr>
              <w:spacing w:after="0"/>
              <w:rPr>
                <w:sz w:val="13"/>
                <w:szCs w:val="13"/>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Equity securities</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13,436</w:t>
            </w:r>
          </w:p>
        </w:tc>
      </w:tr>
      <w:tr>
        <w:trPr>
          <w:trHeight w:val="153"/>
        </w:trPr>
        <w:tc>
          <w:tcPr>
            <w:tcW w:w="100" w:type="dxa"/>
            <w:vAlign w:val="bottom"/>
          </w:tcPr>
          <w:p>
            <w:pPr>
              <w:spacing w:after="0"/>
              <w:rPr>
                <w:sz w:val="13"/>
                <w:szCs w:val="13"/>
                <w:color w:val="auto"/>
              </w:rPr>
            </w:pPr>
          </w:p>
        </w:tc>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Derivative assets</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24,094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24,094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24,094</w:t>
            </w:r>
          </w:p>
        </w:tc>
      </w:tr>
      <w:tr>
        <w:trPr>
          <w:trHeight w:val="162"/>
        </w:trPr>
        <w:tc>
          <w:tcPr>
            <w:tcW w:w="100" w:type="dxa"/>
            <w:vAlign w:val="bottom"/>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5,500,309</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408,810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698,165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4,378,702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5,485,677</w:t>
            </w:r>
          </w:p>
        </w:tc>
      </w:tr>
      <w:tr>
        <w:trPr>
          <w:trHeight w:val="131"/>
        </w:trPr>
        <w:tc>
          <w:tcPr>
            <w:tcW w:w="100" w:type="dxa"/>
            <w:vAlign w:val="bottom"/>
          </w:tcPr>
          <w:p>
            <w:pPr>
              <w:spacing w:after="0"/>
              <w:rPr>
                <w:sz w:val="11"/>
                <w:szCs w:val="11"/>
                <w:color w:val="auto"/>
              </w:rPr>
            </w:pPr>
          </w:p>
        </w:tc>
        <w:tc>
          <w:tcPr>
            <w:tcW w:w="4160" w:type="dxa"/>
            <w:vAlign w:val="bottom"/>
            <w:tcBorders>
              <w:top w:val="single" w:sz="8" w:color="CCEEFF"/>
            </w:tcBorders>
          </w:tcPr>
          <w:p>
            <w:pPr>
              <w:ind w:left="20"/>
              <w:spacing w:after="0" w:line="131" w:lineRule="exact"/>
              <w:rPr>
                <w:sz w:val="20"/>
                <w:szCs w:val="20"/>
                <w:color w:val="auto"/>
              </w:rPr>
            </w:pPr>
            <w:r>
              <w:rPr>
                <w:rFonts w:ascii="Arial" w:cs="Arial" w:eastAsia="Arial" w:hAnsi="Arial"/>
                <w:sz w:val="12"/>
                <w:szCs w:val="12"/>
                <w:b w:val="1"/>
                <w:bCs w:val="1"/>
                <w:color w:val="auto"/>
              </w:rPr>
              <w:t>Financial Liabilities</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153"/>
        </w:trPr>
        <w:tc>
          <w:tcPr>
            <w:tcW w:w="100" w:type="dxa"/>
            <w:vAlign w:val="bottom"/>
          </w:tcPr>
          <w:p>
            <w:pPr>
              <w:spacing w:after="0"/>
              <w:rPr>
                <w:sz w:val="13"/>
                <w:szCs w:val="13"/>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Deposits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4,694,740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718,459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4,015,792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4,734,251</w:t>
            </w:r>
          </w:p>
        </w:tc>
      </w:tr>
      <w:tr>
        <w:trPr>
          <w:trHeight w:val="153"/>
        </w:trPr>
        <w:tc>
          <w:tcPr>
            <w:tcW w:w="100" w:type="dxa"/>
            <w:vAlign w:val="bottom"/>
          </w:tcPr>
          <w:p>
            <w:pPr>
              <w:spacing w:after="0"/>
              <w:rPr>
                <w:sz w:val="13"/>
                <w:szCs w:val="13"/>
                <w:color w:val="auto"/>
              </w:rPr>
            </w:pPr>
          </w:p>
        </w:tc>
        <w:tc>
          <w:tcPr>
            <w:tcW w:w="4160" w:type="dxa"/>
            <w:vAlign w:val="bottom"/>
          </w:tcPr>
          <w:p>
            <w:pPr>
              <w:ind w:left="100"/>
              <w:spacing w:after="0"/>
              <w:rPr>
                <w:sz w:val="20"/>
                <w:szCs w:val="20"/>
                <w:color w:val="auto"/>
              </w:rPr>
            </w:pPr>
            <w:r>
              <w:rPr>
                <w:rFonts w:ascii="Arial" w:cs="Arial" w:eastAsia="Arial" w:hAnsi="Arial"/>
                <w:sz w:val="12"/>
                <w:szCs w:val="12"/>
                <w:color w:val="auto"/>
              </w:rPr>
              <w:t>Federal funds purchased and repurchase agreements</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2,306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2,306</w:t>
            </w:r>
          </w:p>
        </w:tc>
      </w:tr>
      <w:tr>
        <w:trPr>
          <w:trHeight w:val="153"/>
        </w:trPr>
        <w:tc>
          <w:tcPr>
            <w:tcW w:w="100" w:type="dxa"/>
            <w:vAlign w:val="bottom"/>
          </w:tcPr>
          <w:p>
            <w:pPr>
              <w:spacing w:after="0"/>
              <w:rPr>
                <w:sz w:val="13"/>
                <w:szCs w:val="13"/>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 Home Loan Bank advances</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293,100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309,020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309,020</w:t>
            </w:r>
          </w:p>
        </w:tc>
      </w:tr>
      <w:tr>
        <w:trPr>
          <w:trHeight w:val="153"/>
        </w:trPr>
        <w:tc>
          <w:tcPr>
            <w:tcW w:w="100" w:type="dxa"/>
            <w:vAlign w:val="bottom"/>
          </w:tcPr>
          <w:p>
            <w:pPr>
              <w:spacing w:after="0"/>
              <w:rPr>
                <w:sz w:val="13"/>
                <w:szCs w:val="13"/>
                <w:color w:val="auto"/>
              </w:rPr>
            </w:pPr>
          </w:p>
        </w:tc>
        <w:tc>
          <w:tcPr>
            <w:tcW w:w="4160" w:type="dxa"/>
            <w:vAlign w:val="bottom"/>
          </w:tcPr>
          <w:p>
            <w:pPr>
              <w:ind w:left="100"/>
              <w:spacing w:after="0"/>
              <w:rPr>
                <w:sz w:val="20"/>
                <w:szCs w:val="20"/>
                <w:color w:val="auto"/>
              </w:rPr>
            </w:pPr>
            <w:r>
              <w:rPr>
                <w:rFonts w:ascii="Arial" w:cs="Arial" w:eastAsia="Arial" w:hAnsi="Arial"/>
                <w:sz w:val="12"/>
                <w:szCs w:val="12"/>
                <w:color w:val="auto"/>
              </w:rPr>
              <w:t>Other borrowings</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2,024</w:t>
            </w:r>
          </w:p>
        </w:tc>
      </w:tr>
      <w:tr>
        <w:trPr>
          <w:trHeight w:val="153"/>
        </w:trPr>
        <w:tc>
          <w:tcPr>
            <w:tcW w:w="100" w:type="dxa"/>
            <w:vAlign w:val="bottom"/>
          </w:tcPr>
          <w:p>
            <w:pPr>
              <w:spacing w:after="0"/>
              <w:rPr>
                <w:sz w:val="13"/>
                <w:szCs w:val="13"/>
                <w:color w:val="auto"/>
              </w:rPr>
            </w:pP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payable</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2,163</w:t>
            </w:r>
          </w:p>
        </w:tc>
      </w:tr>
      <w:tr>
        <w:trPr>
          <w:trHeight w:val="153"/>
        </w:trPr>
        <w:tc>
          <w:tcPr>
            <w:tcW w:w="100" w:type="dxa"/>
            <w:vAlign w:val="bottom"/>
          </w:tcPr>
          <w:p>
            <w:pPr>
              <w:spacing w:after="0"/>
              <w:rPr>
                <w:sz w:val="13"/>
                <w:szCs w:val="13"/>
                <w:color w:val="auto"/>
              </w:rPr>
            </w:pPr>
          </w:p>
        </w:tc>
        <w:tc>
          <w:tcPr>
            <w:tcW w:w="41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Derivative liabilities</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24,454</w:t>
            </w:r>
          </w:p>
        </w:tc>
      </w:tr>
      <w:tr>
        <w:trPr>
          <w:trHeight w:val="158"/>
        </w:trPr>
        <w:tc>
          <w:tcPr>
            <w:tcW w:w="100" w:type="dxa"/>
            <w:vAlign w:val="bottom"/>
          </w:tcPr>
          <w:p>
            <w:pPr>
              <w:spacing w:after="0"/>
              <w:rPr>
                <w:sz w:val="13"/>
                <w:szCs w:val="13"/>
                <w:color w:val="auto"/>
              </w:rPr>
            </w:pPr>
          </w:p>
        </w:tc>
        <w:tc>
          <w:tcPr>
            <w:tcW w:w="4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5,017,726</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718,459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339,967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4,015,792</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5,074,218</w:t>
            </w:r>
          </w:p>
        </w:tc>
      </w:tr>
      <w:tr>
        <w:trPr>
          <w:trHeight w:val="864"/>
        </w:trPr>
        <w:tc>
          <w:tcPr>
            <w:tcW w:w="1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2"/>
                <w:szCs w:val="12"/>
                <w:color w:val="auto"/>
                <w:w w:val="74"/>
              </w:rPr>
              <w:t>34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4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4" w:name="page35"/>
    <w:bookmarkEnd w:id="34"/>
    <w:p>
      <w:pPr>
        <w:spacing w:after="0"/>
        <w:tabs>
          <w:tab w:leader="none" w:pos="4280" w:val="left"/>
        </w:tabs>
        <w:rPr>
          <w:rFonts w:ascii="Arial" w:cs="Arial" w:eastAsia="Arial" w:hAnsi="Arial"/>
          <w:sz w:val="12"/>
          <w:szCs w:val="12"/>
          <w:color w:val="0000FF"/>
        </w:rPr>
      </w:pPr>
      <w:hyperlink w:anchor="page1">
        <w:r>
          <w:rPr>
            <w:rFonts w:ascii="Arial" w:cs="Arial" w:eastAsia="Arial" w:hAnsi="Arial"/>
            <w:sz w:val="12"/>
            <w:szCs w:val="12"/>
            <w:u w:val="single" w:color="auto"/>
            <w:color w:val="0000FF"/>
          </w:rPr>
          <w:t>Table of Contents</w:t>
        </w:r>
      </w:hyperlink>
      <w:r>
        <w:rPr>
          <w:rFonts w:ascii="Arial" w:cs="Arial" w:eastAsia="Arial" w:hAnsi="Arial"/>
          <w:sz w:val="12"/>
          <w:szCs w:val="12"/>
          <w:color w:val="0000FF"/>
        </w:rPr>
        <w:tab/>
      </w:r>
      <w:r>
        <w:rPr>
          <w:rFonts w:ascii="Arial" w:cs="Arial" w:eastAsia="Arial" w:hAnsi="Arial"/>
          <w:sz w:val="10"/>
          <w:szCs w:val="10"/>
          <w:color w:val="0000FF"/>
        </w:rPr>
        <w:t>Notes to Consolidated Financial Statements (unaudited)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Note 12:</w:t>
            </w:r>
          </w:p>
        </w:tc>
        <w:tc>
          <w:tcPr>
            <w:tcW w:w="5100" w:type="dxa"/>
            <w:vAlign w:val="bottom"/>
          </w:tcPr>
          <w:p>
            <w:pPr>
              <w:ind w:left="40"/>
              <w:spacing w:after="0"/>
              <w:rPr>
                <w:sz w:val="20"/>
                <w:szCs w:val="20"/>
                <w:color w:val="auto"/>
              </w:rPr>
            </w:pPr>
            <w:r>
              <w:rPr>
                <w:rFonts w:ascii="Arial" w:cs="Arial" w:eastAsia="Arial" w:hAnsi="Arial"/>
                <w:sz w:val="14"/>
                <w:szCs w:val="14"/>
                <w:b w:val="1"/>
                <w:bCs w:val="1"/>
                <w:color w:val="auto"/>
              </w:rPr>
              <w:t>Commitments and Credit Risk</w:t>
            </w:r>
          </w:p>
        </w:tc>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8"/>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89"/>
              </w:rPr>
              <w:t>Commitments</w:t>
            </w:r>
          </w:p>
        </w:tc>
        <w:tc>
          <w:tcPr>
            <w:tcW w:w="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9"/>
        </w:trPr>
        <w:tc>
          <w:tcPr>
            <w:tcW w:w="100" w:type="dxa"/>
            <w:vAlign w:val="bottom"/>
          </w:tcPr>
          <w:p>
            <w:pPr>
              <w:spacing w:after="0"/>
              <w:rPr>
                <w:sz w:val="22"/>
                <w:szCs w:val="22"/>
                <w:color w:val="auto"/>
              </w:rPr>
            </w:pPr>
          </w:p>
        </w:tc>
        <w:tc>
          <w:tcPr>
            <w:tcW w:w="5800" w:type="dxa"/>
            <w:vAlign w:val="bottom"/>
            <w:gridSpan w:val="3"/>
          </w:tcPr>
          <w:p>
            <w:pPr>
              <w:ind w:left="320"/>
              <w:spacing w:after="0"/>
              <w:rPr>
                <w:sz w:val="20"/>
                <w:szCs w:val="20"/>
                <w:color w:val="auto"/>
              </w:rPr>
            </w:pPr>
            <w:r>
              <w:rPr>
                <w:rFonts w:ascii="Arial" w:cs="Arial" w:eastAsia="Arial" w:hAnsi="Arial"/>
                <w:sz w:val="12"/>
                <w:szCs w:val="12"/>
                <w:color w:val="auto"/>
              </w:rPr>
              <w:t>The Company had the following commitments at June 30, 2021 and December 31, 2020:</w:t>
            </w:r>
          </w:p>
        </w:tc>
        <w:tc>
          <w:tcPr>
            <w:tcW w:w="1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171"/>
        </w:trPr>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June 30, 2021</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December 31, 2020</w:t>
            </w:r>
          </w:p>
        </w:tc>
      </w:tr>
      <w:tr>
        <w:trPr>
          <w:trHeight w:val="131"/>
        </w:trPr>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1"/>
                <w:szCs w:val="11"/>
                <w:i w:val="1"/>
                <w:iCs w:val="1"/>
                <w:color w:val="auto"/>
              </w:rPr>
              <w:t>(Dollars in thousands)</w:t>
            </w:r>
          </w:p>
        </w:tc>
        <w:tc>
          <w:tcPr>
            <w:tcW w:w="1860" w:type="dxa"/>
            <w:vAlign w:val="bottom"/>
          </w:tcPr>
          <w:p>
            <w:pPr>
              <w:spacing w:after="0"/>
              <w:rPr>
                <w:sz w:val="11"/>
                <w:szCs w:val="11"/>
                <w:color w:val="auto"/>
              </w:rPr>
            </w:pPr>
          </w:p>
        </w:tc>
      </w:tr>
      <w:tr>
        <w:trPr>
          <w:trHeight w:val="155"/>
        </w:trPr>
        <w:tc>
          <w:tcPr>
            <w:tcW w:w="100" w:type="dxa"/>
            <w:vAlign w:val="bottom"/>
          </w:tcPr>
          <w:p>
            <w:pPr>
              <w:spacing w:after="0"/>
              <w:rPr>
                <w:sz w:val="13"/>
                <w:szCs w:val="13"/>
                <w:color w:val="auto"/>
              </w:rPr>
            </w:pPr>
          </w:p>
        </w:tc>
        <w:tc>
          <w:tcPr>
            <w:tcW w:w="5800" w:type="dxa"/>
            <w:vAlign w:val="bottom"/>
            <w:gridSpan w:val="3"/>
            <w:shd w:val="clear" w:color="auto" w:fill="CCEEFF"/>
          </w:tcPr>
          <w:p>
            <w:pPr>
              <w:ind w:left="340"/>
              <w:spacing w:after="0"/>
              <w:rPr>
                <w:sz w:val="20"/>
                <w:szCs w:val="20"/>
                <w:color w:val="auto"/>
              </w:rPr>
            </w:pPr>
            <w:r>
              <w:rPr>
                <w:rFonts w:ascii="Arial" w:cs="Arial" w:eastAsia="Arial" w:hAnsi="Arial"/>
                <w:sz w:val="12"/>
                <w:szCs w:val="12"/>
                <w:color w:val="auto"/>
              </w:rPr>
              <w:t>Commitments to originate loans</w:t>
            </w:r>
          </w:p>
        </w:tc>
        <w:tc>
          <w:tcPr>
            <w:tcW w:w="1980" w:type="dxa"/>
            <w:vAlign w:val="bottom"/>
            <w:shd w:val="clear" w:color="auto" w:fill="CCEEFF"/>
          </w:tcPr>
          <w:p>
            <w:pPr>
              <w:jc w:val="right"/>
              <w:ind w:right="15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149,895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99,596</w:t>
            </w:r>
          </w:p>
        </w:tc>
      </w:tr>
      <w:tr>
        <w:trPr>
          <w:trHeight w:val="153"/>
        </w:trPr>
        <w:tc>
          <w:tcPr>
            <w:tcW w:w="100" w:type="dxa"/>
            <w:vAlign w:val="bottom"/>
          </w:tcPr>
          <w:p>
            <w:pPr>
              <w:spacing w:after="0"/>
              <w:rPr>
                <w:sz w:val="13"/>
                <w:szCs w:val="13"/>
                <w:color w:val="auto"/>
              </w:rPr>
            </w:pPr>
          </w:p>
        </w:tc>
        <w:tc>
          <w:tcPr>
            <w:tcW w:w="5800" w:type="dxa"/>
            <w:vAlign w:val="bottom"/>
            <w:gridSpan w:val="3"/>
          </w:tcPr>
          <w:p>
            <w:pPr>
              <w:ind w:left="340"/>
              <w:spacing w:after="0"/>
              <w:rPr>
                <w:sz w:val="20"/>
                <w:szCs w:val="20"/>
                <w:color w:val="auto"/>
              </w:rPr>
            </w:pPr>
            <w:r>
              <w:rPr>
                <w:rFonts w:ascii="Arial" w:cs="Arial" w:eastAsia="Arial" w:hAnsi="Arial"/>
                <w:sz w:val="12"/>
                <w:szCs w:val="12"/>
                <w:color w:val="auto"/>
              </w:rPr>
              <w:t>Standby letters of credit</w:t>
            </w:r>
          </w:p>
        </w:tc>
        <w:tc>
          <w:tcPr>
            <w:tcW w:w="1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47,966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48,607</w:t>
            </w:r>
          </w:p>
        </w:tc>
      </w:tr>
      <w:tr>
        <w:trPr>
          <w:trHeight w:val="153"/>
        </w:trPr>
        <w:tc>
          <w:tcPr>
            <w:tcW w:w="100" w:type="dxa"/>
            <w:vAlign w:val="bottom"/>
          </w:tcPr>
          <w:p>
            <w:pPr>
              <w:spacing w:after="0"/>
              <w:rPr>
                <w:sz w:val="13"/>
                <w:szCs w:val="13"/>
                <w:color w:val="auto"/>
              </w:rPr>
            </w:pPr>
          </w:p>
        </w:tc>
        <w:tc>
          <w:tcPr>
            <w:tcW w:w="5800" w:type="dxa"/>
            <w:vAlign w:val="bottom"/>
            <w:gridSpan w:val="3"/>
            <w:shd w:val="clear" w:color="auto" w:fill="CCEEFF"/>
          </w:tcPr>
          <w:p>
            <w:pPr>
              <w:ind w:left="340"/>
              <w:spacing w:after="0"/>
              <w:rPr>
                <w:sz w:val="20"/>
                <w:szCs w:val="20"/>
                <w:color w:val="auto"/>
              </w:rPr>
            </w:pPr>
            <w:r>
              <w:rPr>
                <w:rFonts w:ascii="Arial" w:cs="Arial" w:eastAsia="Arial" w:hAnsi="Arial"/>
                <w:sz w:val="12"/>
                <w:szCs w:val="12"/>
                <w:color w:val="auto"/>
              </w:rPr>
              <w:t>Lines of credit</w:t>
            </w:r>
          </w:p>
        </w:tc>
        <w:tc>
          <w:tcPr>
            <w:tcW w:w="1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1,490,829</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1,423,038</w:t>
            </w:r>
          </w:p>
        </w:tc>
      </w:tr>
      <w:tr>
        <w:trPr>
          <w:trHeight w:val="142"/>
        </w:trPr>
        <w:tc>
          <w:tcPr>
            <w:tcW w:w="100" w:type="dxa"/>
            <w:vAlign w:val="bottom"/>
          </w:tcPr>
          <w:p>
            <w:pPr>
              <w:spacing w:after="0"/>
              <w:rPr>
                <w:sz w:val="12"/>
                <w:szCs w:val="12"/>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w w:val="97"/>
              </w:rPr>
              <w:t>Total</w:t>
            </w:r>
          </w:p>
        </w:tc>
        <w:tc>
          <w:tcPr>
            <w:tcW w:w="5100" w:type="dxa"/>
            <w:vAlign w:val="bottom"/>
          </w:tcPr>
          <w:p>
            <w:pPr>
              <w:spacing w:after="0"/>
              <w:rPr>
                <w:sz w:val="12"/>
                <w:szCs w:val="12"/>
                <w:color w:val="auto"/>
              </w:rPr>
            </w:pPr>
          </w:p>
        </w:tc>
        <w:tc>
          <w:tcPr>
            <w:tcW w:w="1980" w:type="dxa"/>
            <w:vAlign w:val="bottom"/>
            <w:tcBorders>
              <w:bottom w:val="single" w:sz="8" w:color="auto"/>
            </w:tcBorders>
          </w:tcPr>
          <w:p>
            <w:pPr>
              <w:jc w:val="right"/>
              <w:ind w:right="152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1,688,690</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1,571,241</w:t>
            </w:r>
          </w:p>
        </w:tc>
      </w:tr>
      <w:tr>
        <w:trPr>
          <w:trHeight w:val="20"/>
        </w:trPr>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13:</w:t>
      </w:r>
      <w:r>
        <w:rPr>
          <w:sz w:val="20"/>
          <w:szCs w:val="20"/>
          <w:color w:val="auto"/>
        </w:rPr>
        <w:tab/>
      </w:r>
      <w:r>
        <w:rPr>
          <w:rFonts w:ascii="Arial" w:cs="Arial" w:eastAsia="Arial" w:hAnsi="Arial"/>
          <w:sz w:val="12"/>
          <w:szCs w:val="12"/>
          <w:b w:val="1"/>
          <w:bCs w:val="1"/>
          <w:color w:val="auto"/>
        </w:rPr>
        <w:t>Legal and Regulatory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 Litigation</w:t>
      </w:r>
    </w:p>
    <w:p>
      <w:pPr>
        <w:spacing w:after="0" w:line="113"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results of operations and cash flows of the Company.</w:t>
      </w: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auto"/>
        </w:rPr>
        <w:t>Note 14:</w:t>
      </w:r>
      <w:r>
        <w:rPr>
          <w:sz w:val="20"/>
          <w:szCs w:val="20"/>
          <w:color w:val="auto"/>
        </w:rPr>
        <w:tab/>
      </w:r>
      <w:r>
        <w:rPr>
          <w:rFonts w:ascii="Arial" w:cs="Arial" w:eastAsia="Arial" w:hAnsi="Arial"/>
          <w:sz w:val="12"/>
          <w:szCs w:val="12"/>
          <w:b w:val="1"/>
          <w:bCs w:val="1"/>
          <w:color w:val="auto"/>
        </w:rPr>
        <w:t>Subsequent Events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Subsequent to the quarter ended June 30, 2021, the Company received regulatory approval for a full-service branch location in Phoenix, Arizona.</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7"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p>
      <w:pPr>
        <w:spacing w:after="0" w:line="114" w:lineRule="exact"/>
        <w:rPr>
          <w:sz w:val="20"/>
          <w:szCs w:val="20"/>
          <w:color w:val="auto"/>
        </w:rPr>
      </w:pPr>
    </w:p>
    <w:p>
      <w:pPr>
        <w:ind w:left="100" w:right="20" w:firstLine="324"/>
        <w:spacing w:after="0" w:line="285" w:lineRule="auto"/>
        <w:rPr>
          <w:sz w:val="20"/>
          <w:szCs w:val="20"/>
          <w:color w:val="auto"/>
        </w:rPr>
      </w:pPr>
      <w:r>
        <w:rPr>
          <w:rFonts w:ascii="Arial" w:cs="Arial" w:eastAsia="Arial" w:hAnsi="Arial"/>
          <w:sz w:val="11"/>
          <w:szCs w:val="11"/>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2020 filed with the Securities and Exchange Commission (“SEC”) on February 26, 2021 (the “2020 Form 10-K”). Results of operations for the three-and six-month periods ended June 30, 2021 are not necessarily indicative of results to be attained for any other period. Certain statements in this report contain forward-looking statements regarding our future plans, objectives, beliefs, expectations, representations and projections. See "Forward-Looking Information" which is incorporated herein by reference. Actual results could differ materially from the anticipated results and other expectations expressed in our forward-looking statements as a result of a number of factors, including but not limited to those discussed in Item 1A – "Risk Factors" in the 2020 Form 10-K.</w:t>
      </w:r>
    </w:p>
    <w:p>
      <w:pPr>
        <w:spacing w:after="0" w:line="77" w:lineRule="exact"/>
        <w:rPr>
          <w:sz w:val="20"/>
          <w:szCs w:val="20"/>
          <w:color w:val="auto"/>
        </w:rPr>
      </w:pPr>
    </w:p>
    <w:p>
      <w:pPr>
        <w:ind w:left="100" w:right="300" w:firstLine="324"/>
        <w:spacing w:after="0" w:line="276" w:lineRule="auto"/>
        <w:rPr>
          <w:sz w:val="20"/>
          <w:szCs w:val="20"/>
          <w:color w:val="auto"/>
        </w:rPr>
      </w:pPr>
      <w:r>
        <w:rPr>
          <w:rFonts w:ascii="Arial" w:cs="Arial" w:eastAsia="Arial" w:hAnsi="Arial"/>
          <w:sz w:val="12"/>
          <w:szCs w:val="12"/>
          <w:color w:val="auto"/>
        </w:rPr>
        <w:t>Unless we state otherwise or the context otherwise requires, references in the below section to “we,” “our,” “us,” “ourselves,” “our company,” and the “Company” refer to CrossFirst Bankshares, Inc., and its consolidated subsidiaries. References to “CrossFirst Bank” and the “Bank” refer to CrossFirst Bank, our wholly-owned consolidated bank subsidiary.</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Second Quarter 2021 Highlights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second quarter ended June 30, 2021, we accomplished the following:</w:t>
      </w:r>
    </w:p>
    <w:p>
      <w:pPr>
        <w:spacing w:after="0" w:line="114" w:lineRule="exact"/>
        <w:rPr>
          <w:sz w:val="20"/>
          <w:szCs w:val="20"/>
          <w:color w:val="auto"/>
        </w:rPr>
      </w:pPr>
    </w:p>
    <w:p>
      <w:pPr>
        <w:ind w:left="860" w:hanging="436"/>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Net income of $15.6 million, representing a return on average assets of 1.10% and a return on average equity of 9.86%;</w:t>
      </w:r>
    </w:p>
    <w:p>
      <w:pPr>
        <w:spacing w:after="0" w:line="114" w:lineRule="exact"/>
        <w:rPr>
          <w:rFonts w:ascii="Arial" w:cs="Arial" w:eastAsia="Arial" w:hAnsi="Arial"/>
          <w:sz w:val="12"/>
          <w:szCs w:val="12"/>
          <w:color w:val="auto"/>
        </w:rPr>
      </w:pPr>
    </w:p>
    <w:p>
      <w:pPr>
        <w:ind w:left="860" w:hanging="436"/>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Efficiency ratio of 53.6% for the second quarter of 2021;</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Completed the $20 million share repurchase program at a weighted average price of $12.68 per share;</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Book value per share of $12.50 at June 30, 2021 compared to $11.66 at June 30, 2020;</w:t>
      </w:r>
    </w:p>
    <w:p>
      <w:pPr>
        <w:spacing w:after="0" w:line="114" w:lineRule="exact"/>
        <w:rPr>
          <w:rFonts w:ascii="Arial" w:cs="Arial" w:eastAsia="Arial" w:hAnsi="Arial"/>
          <w:sz w:val="12"/>
          <w:szCs w:val="12"/>
          <w:color w:val="auto"/>
        </w:rPr>
      </w:pPr>
    </w:p>
    <w:p>
      <w:pPr>
        <w:ind w:left="860" w:hanging="436"/>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Expanded to Phoenix, Arizona; and</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8"/>
        </w:numPr>
        <w:rPr>
          <w:rFonts w:ascii="Arial" w:cs="Arial" w:eastAsia="Arial" w:hAnsi="Arial"/>
          <w:sz w:val="11"/>
          <w:szCs w:val="11"/>
          <w:color w:val="auto"/>
        </w:rPr>
      </w:pPr>
      <w:r>
        <w:rPr>
          <w:rFonts w:ascii="Arial" w:cs="Arial" w:eastAsia="Arial" w:hAnsi="Arial"/>
          <w:sz w:val="11"/>
          <w:szCs w:val="11"/>
          <w:color w:val="auto"/>
        </w:rPr>
        <w:t>Hired Ben Clouse as our Chief Financial Officer. Mr. Clouse previously served as Chief Financial Officer of Waddell &amp; Reed Financial, Inc., a financial services firm, from 2018 until its acquisition in 2021.</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Update on the COVID-19 Global Pandemic (“COVID-19”) Impact</w:t>
      </w:r>
    </w:p>
    <w:p>
      <w:pPr>
        <w:spacing w:after="0" w:line="118" w:lineRule="exact"/>
        <w:rPr>
          <w:sz w:val="20"/>
          <w:szCs w:val="20"/>
          <w:color w:val="auto"/>
        </w:rPr>
      </w:pPr>
    </w:p>
    <w:p>
      <w:pPr>
        <w:ind w:left="100" w:right="300" w:firstLine="324"/>
        <w:spacing w:after="0" w:line="276" w:lineRule="auto"/>
        <w:rPr>
          <w:sz w:val="20"/>
          <w:szCs w:val="20"/>
          <w:color w:val="auto"/>
        </w:rPr>
      </w:pPr>
      <w:r>
        <w:rPr>
          <w:rFonts w:ascii="Arial" w:cs="Arial" w:eastAsia="Arial" w:hAnsi="Arial"/>
          <w:sz w:val="12"/>
          <w:szCs w:val="12"/>
          <w:color w:val="auto"/>
        </w:rPr>
        <w:t>The COVID-19 pandemic has caused, and may continue to cause, economic uncertainty and a disruption to the financial markets, the duration and extent of which is not currently known. A discussion of the impact of the COVID-19 pandemic on the Company and its operations and measures undertaken by the Company in response thereto is provided below.</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Bank Operations</w:t>
      </w:r>
    </w:p>
    <w:p>
      <w:pPr>
        <w:spacing w:after="0" w:line="113" w:lineRule="exact"/>
        <w:rPr>
          <w:sz w:val="20"/>
          <w:szCs w:val="20"/>
          <w:color w:val="auto"/>
        </w:rPr>
      </w:pPr>
    </w:p>
    <w:p>
      <w:pPr>
        <w:jc w:val="both"/>
        <w:ind w:left="100" w:firstLine="324"/>
        <w:spacing w:after="0" w:line="263" w:lineRule="auto"/>
        <w:rPr>
          <w:sz w:val="20"/>
          <w:szCs w:val="20"/>
          <w:color w:val="auto"/>
        </w:rPr>
      </w:pPr>
      <w:r>
        <w:rPr>
          <w:rFonts w:ascii="Arial" w:cs="Arial" w:eastAsia="Arial" w:hAnsi="Arial"/>
          <w:sz w:val="12"/>
          <w:szCs w:val="12"/>
          <w:color w:val="auto"/>
        </w:rPr>
        <w:t>The Company implemented certain business continuity procedures in March 2020 as a result of the COVID-19 pandemic. In April 2021, substantially all employees returned to on-premise work and the Company is evaluating hybrid working opportunities. In addition, the bank lobbies were re-opened to the public. The Company remains ready to appropriately respond to changes, including federal, state and local requirements in the event of the COVID-19 pandemic's resurgence. No material interruptions to our business operations have occurred to date.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Paycheck Protection Program (“PPP”) Lending Facility and Loans</w:t>
      </w:r>
    </w:p>
    <w:p>
      <w:pPr>
        <w:spacing w:after="0" w:line="113" w:lineRule="exact"/>
        <w:rPr>
          <w:sz w:val="20"/>
          <w:szCs w:val="20"/>
          <w:color w:val="auto"/>
        </w:rPr>
      </w:pPr>
    </w:p>
    <w:p>
      <w:pPr>
        <w:ind w:left="100" w:right="60" w:firstLine="324"/>
        <w:spacing w:after="0" w:line="263" w:lineRule="auto"/>
        <w:rPr>
          <w:sz w:val="20"/>
          <w:szCs w:val="20"/>
          <w:color w:val="auto"/>
        </w:rPr>
      </w:pPr>
      <w:r>
        <w:rPr>
          <w:rFonts w:ascii="Arial" w:cs="Arial" w:eastAsia="Arial" w:hAnsi="Arial"/>
          <w:sz w:val="12"/>
          <w:szCs w:val="12"/>
          <w:color w:val="auto"/>
        </w:rPr>
        <w:t>The PPP was established by the Coronavirus Aid, Relief, and Economic Security Act (“CARES Act”) in March 2020 and authorized forgivable loans to small businesses. The Bank provided PPP loans to support current customers and foster relationships with new customers. The loans earn interest at 1%, include fees between 1% and 5% and typically mature in two years. PPP loans received a 0% risk weight under the regulatory capital rules which resulted in increased Common Equity Tier 1, Tier 1, and Tier 2 capital ratios, but the PPP loans are included in the calculation of our Leverage ratio.</w:t>
      </w:r>
    </w:p>
    <w:p>
      <w:pPr>
        <w:spacing w:after="0" w:line="86" w:lineRule="exact"/>
        <w:rPr>
          <w:sz w:val="20"/>
          <w:szCs w:val="20"/>
          <w:color w:val="auto"/>
        </w:rPr>
      </w:pPr>
    </w:p>
    <w:p>
      <w:pPr>
        <w:ind w:left="100" w:right="60" w:firstLine="324"/>
        <w:spacing w:after="0" w:line="323" w:lineRule="auto"/>
        <w:rPr>
          <w:sz w:val="20"/>
          <w:szCs w:val="20"/>
          <w:color w:val="auto"/>
        </w:rPr>
      </w:pPr>
      <w:r>
        <w:rPr>
          <w:rFonts w:ascii="Arial" w:cs="Arial" w:eastAsia="Arial" w:hAnsi="Arial"/>
          <w:sz w:val="11"/>
          <w:szCs w:val="11"/>
          <w:color w:val="auto"/>
        </w:rPr>
        <w:t>The Consolidated Appropriations Act of 2021 allocated additional PPP loan funding. The Small Business Administration (“SBA”) reopened PPP funds in January 2021. The second round of PPP loans had similar terms to the first round of PPP loans mentioned above, but typically mature in five years. The PPP loans were available through May 5, 2021. The SBA will continue to fund outstanding, approved PPP applications.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impact of the PPP loans on our financials:</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3200" w:type="dxa"/>
            <w:vAlign w:val="bottom"/>
          </w:tcPr>
          <w:p>
            <w:pPr>
              <w:spacing w:after="0"/>
              <w:rPr>
                <w:sz w:val="13"/>
                <w:szCs w:val="13"/>
                <w:color w:val="auto"/>
              </w:rPr>
            </w:pPr>
          </w:p>
        </w:tc>
        <w:tc>
          <w:tcPr>
            <w:tcW w:w="3400" w:type="dxa"/>
            <w:vAlign w:val="bottom"/>
            <w:gridSpan w:val="5"/>
          </w:tcPr>
          <w:p>
            <w:pPr>
              <w:jc w:val="right"/>
              <w:ind w:right="300"/>
              <w:spacing w:after="0"/>
              <w:rPr>
                <w:sz w:val="20"/>
                <w:szCs w:val="20"/>
                <w:color w:val="auto"/>
              </w:rPr>
            </w:pPr>
            <w:r>
              <w:rPr>
                <w:rFonts w:ascii="Arial" w:cs="Arial" w:eastAsia="Arial" w:hAnsi="Arial"/>
                <w:sz w:val="12"/>
                <w:szCs w:val="12"/>
                <w:b w:val="1"/>
                <w:bCs w:val="1"/>
                <w:color w:val="auto"/>
              </w:rPr>
              <w:t>As of or for the Three Months Ended</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0" w:type="dxa"/>
            <w:vAlign w:val="bottom"/>
            <w:gridSpan w:val="4"/>
          </w:tcPr>
          <w:p>
            <w:pPr>
              <w:jc w:val="right"/>
              <w:spacing w:after="0"/>
              <w:rPr>
                <w:sz w:val="20"/>
                <w:szCs w:val="20"/>
                <w:color w:val="auto"/>
              </w:rPr>
            </w:pPr>
            <w:r>
              <w:rPr>
                <w:rFonts w:ascii="Arial" w:cs="Arial" w:eastAsia="Arial" w:hAnsi="Arial"/>
                <w:sz w:val="12"/>
                <w:szCs w:val="12"/>
                <w:b w:val="1"/>
                <w:bCs w:val="1"/>
                <w:color w:val="auto"/>
              </w:rPr>
              <w:t>As of or for the Six Months Ended</w:t>
            </w:r>
          </w:p>
        </w:tc>
        <w:tc>
          <w:tcPr>
            <w:tcW w:w="940" w:type="dxa"/>
            <w:vAlign w:val="bottom"/>
          </w:tcPr>
          <w:p>
            <w:pPr>
              <w:spacing w:after="0"/>
              <w:rPr>
                <w:sz w:val="13"/>
                <w:szCs w:val="13"/>
                <w:color w:val="auto"/>
              </w:rPr>
            </w:pPr>
          </w:p>
        </w:tc>
      </w:tr>
      <w:tr>
        <w:trPr>
          <w:trHeight w:val="157"/>
        </w:trPr>
        <w:tc>
          <w:tcPr>
            <w:tcW w:w="32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040"/>
              <w:spacing w:after="0"/>
              <w:rPr>
                <w:sz w:val="20"/>
                <w:szCs w:val="20"/>
                <w:color w:val="auto"/>
              </w:rPr>
            </w:pPr>
            <w:r>
              <w:rPr>
                <w:rFonts w:ascii="Arial" w:cs="Arial" w:eastAsia="Arial" w:hAnsi="Arial"/>
                <w:sz w:val="12"/>
                <w:szCs w:val="12"/>
                <w:b w:val="1"/>
                <w:bCs w:val="1"/>
                <w:color w:val="auto"/>
                <w:w w:val="91"/>
              </w:rPr>
              <w:t>June 30,</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2"/>
                <w:szCs w:val="12"/>
                <w:b w:val="1"/>
                <w:bCs w:val="1"/>
                <w:color w:val="auto"/>
                <w:w w:val="91"/>
              </w:rPr>
              <w:t>June 30,</w:t>
            </w:r>
          </w:p>
        </w:tc>
        <w:tc>
          <w:tcPr>
            <w:tcW w:w="940" w:type="dxa"/>
            <w:vAlign w:val="bottom"/>
            <w:tcBorders>
              <w:bottom w:val="single" w:sz="8" w:color="auto"/>
            </w:tcBorders>
          </w:tcPr>
          <w:p>
            <w:pPr>
              <w:spacing w:after="0"/>
              <w:rPr>
                <w:sz w:val="13"/>
                <w:szCs w:val="13"/>
                <w:color w:val="auto"/>
              </w:rPr>
            </w:pPr>
          </w:p>
        </w:tc>
      </w:tr>
      <w:tr>
        <w:trPr>
          <w:trHeight w:val="142"/>
        </w:trPr>
        <w:tc>
          <w:tcPr>
            <w:tcW w:w="3200" w:type="dxa"/>
            <w:vAlign w:val="bottom"/>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2020</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w w:val="89"/>
              </w:rPr>
              <w:t>2020</w:t>
            </w:r>
          </w:p>
        </w:tc>
      </w:tr>
      <w:tr>
        <w:trPr>
          <w:trHeight w:val="131"/>
        </w:trPr>
        <w:tc>
          <w:tcPr>
            <w:tcW w:w="3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1"/>
                <w:szCs w:val="11"/>
                <w:i w:val="1"/>
                <w:iCs w:val="1"/>
                <w:color w:val="auto"/>
              </w:rPr>
              <w:t>(Dollars in thousands)</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PPP Loan Activity</w:t>
            </w: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3200" w:type="dxa"/>
            <w:vAlign w:val="bottom"/>
          </w:tcPr>
          <w:p>
            <w:pPr>
              <w:ind w:left="400"/>
              <w:spacing w:after="0"/>
              <w:rPr>
                <w:sz w:val="20"/>
                <w:szCs w:val="20"/>
                <w:color w:val="auto"/>
              </w:rPr>
            </w:pPr>
            <w:r>
              <w:rPr>
                <w:rFonts w:ascii="Arial" w:cs="Arial" w:eastAsia="Arial" w:hAnsi="Arial"/>
                <w:sz w:val="12"/>
                <w:szCs w:val="12"/>
                <w:color w:val="auto"/>
              </w:rPr>
              <w:t>Outstanding loan balance, beginning</w:t>
            </w:r>
          </w:p>
        </w:tc>
        <w:tc>
          <w:tcPr>
            <w:tcW w:w="1320" w:type="dxa"/>
            <w:vAlign w:val="bottom"/>
          </w:tcPr>
          <w:p>
            <w:pPr>
              <w:jc w:val="right"/>
              <w:ind w:right="8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336,355</w:t>
            </w:r>
          </w:p>
        </w:tc>
        <w:tc>
          <w:tcPr>
            <w:tcW w:w="1500" w:type="dxa"/>
            <w:vAlign w:val="bottom"/>
            <w:gridSpan w:val="3"/>
          </w:tcPr>
          <w:p>
            <w:pPr>
              <w:jc w:val="right"/>
              <w:ind w:right="9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292,230</w:t>
            </w:r>
          </w:p>
        </w:tc>
        <w:tc>
          <w:tcPr>
            <w:tcW w:w="1120" w:type="dxa"/>
            <w:vAlign w:val="bottom"/>
            <w:gridSpan w:val="3"/>
          </w:tcPr>
          <w:p>
            <w:pPr>
              <w:jc w:val="right"/>
              <w:ind w:right="60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32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Loan originations and funding</w:t>
            </w: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369,022</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133,778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369,022</w:t>
            </w:r>
          </w:p>
        </w:tc>
      </w:tr>
      <w:tr>
        <w:trPr>
          <w:trHeight w:val="180"/>
        </w:trPr>
        <w:tc>
          <w:tcPr>
            <w:tcW w:w="3200" w:type="dxa"/>
            <w:vAlign w:val="bottom"/>
            <w:tcBorders>
              <w:bottom w:val="single" w:sz="8" w:color="CCEEFF"/>
            </w:tcBorders>
          </w:tcPr>
          <w:p>
            <w:pPr>
              <w:ind w:left="480"/>
              <w:spacing w:after="0"/>
              <w:rPr>
                <w:sz w:val="20"/>
                <w:szCs w:val="20"/>
                <w:color w:val="auto"/>
              </w:rPr>
            </w:pPr>
            <w:r>
              <w:rPr>
                <w:rFonts w:ascii="Arial" w:cs="Arial" w:eastAsia="Arial" w:hAnsi="Arial"/>
                <w:sz w:val="12"/>
                <w:szCs w:val="12"/>
                <w:color w:val="auto"/>
              </w:rPr>
              <w:t>Loan payoffs</w:t>
            </w:r>
          </w:p>
        </w:tc>
        <w:tc>
          <w:tcPr>
            <w:tcW w:w="1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(162,087)</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(228,924)</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32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Outstanding loan balance, end</w:t>
            </w:r>
          </w:p>
        </w:tc>
        <w:tc>
          <w:tcPr>
            <w:tcW w:w="132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197,084</w:t>
            </w:r>
          </w:p>
        </w:tc>
        <w:tc>
          <w:tcPr>
            <w:tcW w:w="1500" w:type="dxa"/>
            <w:vAlign w:val="bottom"/>
            <w:gridSpan w:val="3"/>
            <w:shd w:val="clear" w:color="auto" w:fill="CCEEFF"/>
          </w:tcPr>
          <w:p>
            <w:pPr>
              <w:jc w:val="right"/>
              <w:ind w:right="9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369,022</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197,084</w:t>
            </w: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369,022</w:t>
            </w:r>
          </w:p>
        </w:tc>
      </w:tr>
      <w:tr>
        <w:trPr>
          <w:trHeight w:val="149"/>
        </w:trPr>
        <w:tc>
          <w:tcPr>
            <w:tcW w:w="3200" w:type="dxa"/>
            <w:vAlign w:val="bottom"/>
            <w:tcBorders>
              <w:top w:val="single" w:sz="8" w:color="CCEEFF"/>
            </w:tcBorders>
          </w:tcPr>
          <w:p>
            <w:pPr>
              <w:ind w:left="340"/>
              <w:spacing w:after="0"/>
              <w:rPr>
                <w:sz w:val="20"/>
                <w:szCs w:val="20"/>
                <w:color w:val="auto"/>
              </w:rPr>
            </w:pPr>
            <w:r>
              <w:rPr>
                <w:rFonts w:ascii="Arial" w:cs="Arial" w:eastAsia="Arial" w:hAnsi="Arial"/>
                <w:sz w:val="12"/>
                <w:szCs w:val="12"/>
                <w:b w:val="1"/>
                <w:bCs w:val="1"/>
                <w:color w:val="auto"/>
              </w:rPr>
              <w:t>PPP Loan Fee Activity</w:t>
            </w:r>
          </w:p>
        </w:tc>
        <w:tc>
          <w:tcPr>
            <w:tcW w:w="1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189"/>
        </w:trPr>
        <w:tc>
          <w:tcPr>
            <w:tcW w:w="32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Unearned fee balance, beginning</w:t>
            </w:r>
          </w:p>
        </w:tc>
        <w:tc>
          <w:tcPr>
            <w:tcW w:w="132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5,879</w:t>
            </w:r>
          </w:p>
        </w:tc>
        <w:tc>
          <w:tcPr>
            <w:tcW w:w="1500" w:type="dxa"/>
            <w:vAlign w:val="bottom"/>
            <w:gridSpan w:val="3"/>
            <w:shd w:val="clear" w:color="auto" w:fill="CCEEFF"/>
          </w:tcPr>
          <w:p>
            <w:pPr>
              <w:jc w:val="right"/>
              <w:ind w:right="9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4,189</w:t>
            </w: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3200" w:type="dxa"/>
            <w:vAlign w:val="bottom"/>
          </w:tcPr>
          <w:p>
            <w:pPr>
              <w:ind w:left="480"/>
              <w:spacing w:after="0"/>
              <w:rPr>
                <w:sz w:val="20"/>
                <w:szCs w:val="20"/>
                <w:color w:val="auto"/>
              </w:rPr>
            </w:pPr>
            <w:r>
              <w:rPr>
                <w:rFonts w:ascii="Arial" w:cs="Arial" w:eastAsia="Arial" w:hAnsi="Arial"/>
                <w:sz w:val="12"/>
                <w:szCs w:val="12"/>
                <w:color w:val="auto"/>
              </w:rPr>
              <w:t>Unearned fees added</w:t>
            </w:r>
          </w:p>
        </w:tc>
        <w:tc>
          <w:tcPr>
            <w:tcW w:w="1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jc w:val="right"/>
              <w:ind w:right="41"/>
              <w:spacing w:after="0"/>
              <w:rPr>
                <w:sz w:val="20"/>
                <w:szCs w:val="20"/>
                <w:color w:val="auto"/>
              </w:rPr>
            </w:pPr>
            <w:r>
              <w:rPr>
                <w:rFonts w:ascii="Arial" w:cs="Arial" w:eastAsia="Arial" w:hAnsi="Arial"/>
                <w:sz w:val="12"/>
                <w:szCs w:val="12"/>
                <w:color w:val="auto"/>
              </w:rPr>
              <w:t>9,930</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5,062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9,930</w:t>
            </w:r>
          </w:p>
        </w:tc>
      </w:tr>
      <w:tr>
        <w:trPr>
          <w:trHeight w:val="180"/>
        </w:trPr>
        <w:tc>
          <w:tcPr>
            <w:tcW w:w="32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Earned fees recognized</w:t>
            </w:r>
          </w:p>
        </w:tc>
        <w:tc>
          <w:tcPr>
            <w:tcW w:w="13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(2,128)</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(2,045)</w:t>
            </w:r>
          </w:p>
        </w:tc>
        <w:tc>
          <w:tcPr>
            <w:tcW w:w="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(4,543)</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(2,045)</w:t>
            </w:r>
          </w:p>
        </w:tc>
      </w:tr>
      <w:tr>
        <w:trPr>
          <w:trHeight w:val="142"/>
        </w:trPr>
        <w:tc>
          <w:tcPr>
            <w:tcW w:w="3200" w:type="dxa"/>
            <w:vAlign w:val="bottom"/>
          </w:tcPr>
          <w:p>
            <w:pPr>
              <w:ind w:left="400"/>
              <w:spacing w:after="0"/>
              <w:rPr>
                <w:sz w:val="20"/>
                <w:szCs w:val="20"/>
                <w:color w:val="auto"/>
              </w:rPr>
            </w:pPr>
            <w:r>
              <w:rPr>
                <w:rFonts w:ascii="Arial" w:cs="Arial" w:eastAsia="Arial" w:hAnsi="Arial"/>
                <w:sz w:val="12"/>
                <w:szCs w:val="12"/>
                <w:color w:val="auto"/>
              </w:rPr>
              <w:t>Unearned fee balance, end</w:t>
            </w:r>
          </w:p>
        </w:tc>
        <w:tc>
          <w:tcPr>
            <w:tcW w:w="1320" w:type="dxa"/>
            <w:vAlign w:val="bottom"/>
          </w:tcPr>
          <w:p>
            <w:pPr>
              <w:jc w:val="right"/>
              <w:ind w:right="86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4,708</w:t>
            </w:r>
          </w:p>
        </w:tc>
        <w:tc>
          <w:tcPr>
            <w:tcW w:w="1500" w:type="dxa"/>
            <w:vAlign w:val="bottom"/>
            <w:gridSpan w:val="3"/>
          </w:tcPr>
          <w:p>
            <w:pPr>
              <w:jc w:val="right"/>
              <w:ind w:right="98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1"/>
              <w:spacing w:after="0"/>
              <w:rPr>
                <w:sz w:val="20"/>
                <w:szCs w:val="20"/>
                <w:color w:val="auto"/>
              </w:rPr>
            </w:pPr>
            <w:r>
              <w:rPr>
                <w:rFonts w:ascii="Arial" w:cs="Arial" w:eastAsia="Arial" w:hAnsi="Arial"/>
                <w:sz w:val="12"/>
                <w:szCs w:val="12"/>
                <w:color w:val="auto"/>
              </w:rPr>
              <w:t>7,885</w:t>
            </w:r>
          </w:p>
        </w:tc>
        <w:tc>
          <w:tcPr>
            <w:tcW w:w="60" w:type="dxa"/>
            <w:vAlign w:val="bottom"/>
          </w:tcPr>
          <w:p>
            <w:pPr>
              <w:spacing w:after="0"/>
              <w:rPr>
                <w:sz w:val="12"/>
                <w:szCs w:val="12"/>
                <w:color w:val="auto"/>
              </w:rPr>
            </w:pPr>
          </w:p>
        </w:tc>
        <w:tc>
          <w:tcPr>
            <w:tcW w:w="82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4,708</w:t>
            </w:r>
          </w:p>
        </w:tc>
        <w:tc>
          <w:tcPr>
            <w:tcW w:w="1120" w:type="dxa"/>
            <w:vAlign w:val="bottom"/>
            <w:gridSpan w:val="3"/>
          </w:tcPr>
          <w:p>
            <w:pPr>
              <w:jc w:val="right"/>
              <w:ind w:right="60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7,885</w:t>
            </w:r>
          </w:p>
        </w:tc>
      </w:tr>
      <w:tr>
        <w:trPr>
          <w:trHeight w:val="20"/>
        </w:trPr>
        <w:tc>
          <w:tcPr>
            <w:tcW w:w="3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Credit Quality</w:t>
      </w:r>
    </w:p>
    <w:p>
      <w:pPr>
        <w:spacing w:after="0" w:line="113"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Credit quality metrics generally improved during the second quarter of 2021 as classified assets declined by $99 million and the ratio of nonperforming assets to total assets decreased to 1.09% from 1.15% in the previous quarter. The improvements in credit metrics were primarily driven by upgrades in COVID-19 impacted segments and the energy portfolio.</w:t>
      </w:r>
    </w:p>
    <w:p>
      <w:pPr>
        <w:spacing w:after="0" w:line="79" w:lineRule="exact"/>
        <w:rPr>
          <w:sz w:val="20"/>
          <w:szCs w:val="20"/>
          <w:color w:val="auto"/>
        </w:rPr>
      </w:pPr>
    </w:p>
    <w:p>
      <w:pPr>
        <w:ind w:left="100" w:right="240" w:firstLine="324"/>
        <w:spacing w:after="0" w:line="276" w:lineRule="auto"/>
        <w:rPr>
          <w:sz w:val="20"/>
          <w:szCs w:val="20"/>
          <w:color w:val="auto"/>
        </w:rPr>
      </w:pPr>
      <w:r>
        <w:rPr>
          <w:rFonts w:ascii="Arial" w:cs="Arial" w:eastAsia="Arial" w:hAnsi="Arial"/>
          <w:sz w:val="12"/>
          <w:szCs w:val="12"/>
          <w:color w:val="auto"/>
        </w:rPr>
        <w:t>The COVID-19 pandemic impacted and may continue to impact our borrowers that may result in additional charge-offs. However, the Company’s key credit metrics generally improved during the first half of 2021 and are expected to continue to improve should the overall economy continue its current trajectory.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Measures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3"/>
              </w:rPr>
              <w:t>As of or For the Quarter Ended</w:t>
            </w: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2"/>
                <w:szCs w:val="12"/>
                <w:b w:val="1"/>
                <w:bCs w:val="1"/>
                <w:color w:val="auto"/>
                <w:w w:val="97"/>
              </w:rPr>
              <w:t>As of or For the Period Ended</w:t>
            </w:r>
          </w:p>
        </w:tc>
      </w:tr>
      <w:tr>
        <w:trPr>
          <w:trHeight w:val="147"/>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2"/>
                <w:szCs w:val="12"/>
                <w:color w:val="auto"/>
              </w:rPr>
            </w:pPr>
          </w:p>
        </w:tc>
        <w:tc>
          <w:tcPr>
            <w:tcW w:w="920" w:type="dxa"/>
            <w:vAlign w:val="bottom"/>
          </w:tcPr>
          <w:p>
            <w:pPr>
              <w:jc w:val="right"/>
              <w:ind w:right="220"/>
              <w:spacing w:after="0"/>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w:t>
            </w:r>
          </w:p>
        </w:tc>
        <w:tc>
          <w:tcPr>
            <w:tcW w:w="26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2"/>
                <w:szCs w:val="12"/>
                <w:color w:val="auto"/>
              </w:rPr>
            </w:pPr>
          </w:p>
        </w:tc>
        <w:tc>
          <w:tcPr>
            <w:tcW w:w="860" w:type="dxa"/>
            <w:vAlign w:val="bottom"/>
          </w:tcPr>
          <w:p>
            <w:pPr>
              <w:jc w:val="right"/>
              <w:ind w:right="260"/>
              <w:spacing w:after="0"/>
              <w:rPr>
                <w:sz w:val="20"/>
                <w:szCs w:val="20"/>
                <w:color w:val="auto"/>
              </w:rPr>
            </w:pPr>
            <w:r>
              <w:rPr>
                <w:rFonts w:ascii="Arial" w:cs="Arial" w:eastAsia="Arial" w:hAnsi="Arial"/>
                <w:sz w:val="12"/>
                <w:szCs w:val="12"/>
                <w:b w:val="1"/>
                <w:bCs w:val="1"/>
                <w:color w:val="auto"/>
              </w:rPr>
              <w:t>June 30,</w:t>
            </w:r>
          </w:p>
        </w:tc>
      </w:tr>
      <w:tr>
        <w:trPr>
          <w:trHeight w:val="166"/>
        </w:trPr>
        <w:tc>
          <w:tcPr>
            <w:tcW w:w="2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2020</w:t>
            </w:r>
          </w:p>
        </w:tc>
      </w:tr>
      <w:tr>
        <w:trPr>
          <w:trHeight w:val="169"/>
        </w:trPr>
        <w:tc>
          <w:tcPr>
            <w:tcW w:w="2560" w:type="dxa"/>
            <w:vAlign w:val="bottom"/>
            <w:shd w:val="clear" w:color="auto" w:fill="CCEEFF"/>
          </w:tcPr>
          <w:p>
            <w:pPr>
              <w:spacing w:after="0" w:line="169" w:lineRule="exact"/>
              <w:rPr>
                <w:sz w:val="20"/>
                <w:szCs w:val="20"/>
                <w:color w:val="auto"/>
              </w:rPr>
            </w:pPr>
            <w:r>
              <w:rPr>
                <w:rFonts w:ascii="Arial" w:cs="Arial" w:eastAsia="Arial" w:hAnsi="Arial"/>
                <w:sz w:val="12"/>
                <w:szCs w:val="12"/>
                <w:color w:val="auto"/>
              </w:rPr>
              <w:t>Return on average assets</w:t>
            </w:r>
            <w:r>
              <w:rPr>
                <w:rFonts w:ascii="Arial" w:cs="Arial" w:eastAsia="Arial" w:hAnsi="Arial"/>
                <w:sz w:val="15"/>
                <w:szCs w:val="15"/>
                <w:color w:val="auto"/>
                <w:vertAlign w:val="superscript"/>
              </w:rPr>
              <w:t>(1)</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0.84 %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0.58 %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0.58 %</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2"/>
                <w:szCs w:val="12"/>
                <w:color w:val="auto"/>
                <w:w w:val="90"/>
              </w:rPr>
              <w:t>(0.54)%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0.97 %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2"/>
                <w:szCs w:val="12"/>
                <w:color w:val="auto"/>
                <w:w w:val="90"/>
              </w:rPr>
              <w:t>(0.14)%</w:t>
            </w:r>
          </w:p>
        </w:tc>
      </w:tr>
      <w:tr>
        <w:trPr>
          <w:trHeight w:val="180"/>
        </w:trPr>
        <w:tc>
          <w:tcPr>
            <w:tcW w:w="2560" w:type="dxa"/>
            <w:vAlign w:val="bottom"/>
          </w:tcPr>
          <w:p>
            <w:pPr>
              <w:spacing w:after="0"/>
              <w:rPr>
                <w:sz w:val="20"/>
                <w:szCs w:val="20"/>
                <w:color w:val="auto"/>
              </w:rPr>
            </w:pPr>
            <w:r>
              <w:rPr>
                <w:rFonts w:ascii="Arial" w:cs="Arial" w:eastAsia="Arial" w:hAnsi="Arial"/>
                <w:sz w:val="12"/>
                <w:szCs w:val="12"/>
                <w:color w:val="auto"/>
              </w:rPr>
              <w:t>Return on average equity</w:t>
            </w:r>
            <w:r>
              <w:rPr>
                <w:rFonts w:ascii="Arial" w:cs="Arial" w:eastAsia="Arial" w:hAnsi="Arial"/>
                <w:sz w:val="15"/>
                <w:szCs w:val="15"/>
                <w:color w:val="auto"/>
                <w:vertAlign w:val="superscript"/>
              </w:rPr>
              <w:t>(1)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9.86 %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7.80 %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5.19 %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5.19 %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460"/>
              <w:spacing w:after="0"/>
              <w:rPr>
                <w:sz w:val="20"/>
                <w:szCs w:val="20"/>
                <w:color w:val="auto"/>
              </w:rPr>
            </w:pPr>
            <w:r>
              <w:rPr>
                <w:rFonts w:ascii="Arial" w:cs="Arial" w:eastAsia="Arial" w:hAnsi="Arial"/>
                <w:sz w:val="12"/>
                <w:szCs w:val="12"/>
                <w:color w:val="auto"/>
                <w:w w:val="90"/>
              </w:rPr>
              <w:t>(4.84)%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8.84 %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460"/>
              <w:spacing w:after="0"/>
              <w:rPr>
                <w:sz w:val="20"/>
                <w:szCs w:val="20"/>
                <w:color w:val="auto"/>
              </w:rPr>
            </w:pPr>
            <w:r>
              <w:rPr>
                <w:rFonts w:ascii="Arial" w:cs="Arial" w:eastAsia="Arial" w:hAnsi="Arial"/>
                <w:sz w:val="12"/>
                <w:szCs w:val="12"/>
                <w:color w:val="auto"/>
                <w:w w:val="90"/>
              </w:rPr>
              <w:t>(1.15)%</w:t>
            </w:r>
          </w:p>
        </w:tc>
      </w:tr>
      <w:tr>
        <w:trPr>
          <w:trHeight w:val="180"/>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share</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(0.14)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(0.07)</w:t>
            </w:r>
          </w:p>
        </w:tc>
      </w:tr>
      <w:tr>
        <w:trPr>
          <w:trHeight w:val="180"/>
        </w:trPr>
        <w:tc>
          <w:tcPr>
            <w:tcW w:w="2560" w:type="dxa"/>
            <w:vAlign w:val="bottom"/>
          </w:tcPr>
          <w:p>
            <w:pPr>
              <w:spacing w:after="0"/>
              <w:rPr>
                <w:sz w:val="20"/>
                <w:szCs w:val="20"/>
                <w:color w:val="auto"/>
              </w:rPr>
            </w:pPr>
            <w:r>
              <w:rPr>
                <w:rFonts w:ascii="Arial" w:cs="Arial" w:eastAsia="Arial" w:hAnsi="Arial"/>
                <w:sz w:val="12"/>
                <w:szCs w:val="12"/>
                <w:color w:val="auto"/>
              </w:rPr>
              <w:t>Diluted earnings (loss) per share</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0.30</w:t>
            </w:r>
          </w:p>
        </w:tc>
        <w:tc>
          <w:tcPr>
            <w:tcW w:w="8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0.23</w:t>
            </w: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0.15</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0.15</w:t>
            </w:r>
          </w:p>
        </w:tc>
        <w:tc>
          <w:tcPr>
            <w:tcW w:w="6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60" w:type="dxa"/>
            <w:vAlign w:val="bottom"/>
          </w:tcPr>
          <w:p>
            <w:pPr>
              <w:ind w:left="460"/>
              <w:spacing w:after="0"/>
              <w:rPr>
                <w:sz w:val="20"/>
                <w:szCs w:val="20"/>
                <w:color w:val="auto"/>
              </w:rPr>
            </w:pPr>
            <w:r>
              <w:rPr>
                <w:rFonts w:ascii="Arial" w:cs="Arial" w:eastAsia="Arial" w:hAnsi="Arial"/>
                <w:sz w:val="12"/>
                <w:szCs w:val="12"/>
                <w:color w:val="auto"/>
              </w:rPr>
              <w:t>(0.14)</w:t>
            </w:r>
          </w:p>
        </w:tc>
        <w:tc>
          <w:tcPr>
            <w:tcW w:w="8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0.53</w:t>
            </w:r>
          </w:p>
        </w:tc>
        <w:tc>
          <w:tcPr>
            <w:tcW w:w="8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60" w:type="dxa"/>
            <w:vAlign w:val="bottom"/>
          </w:tcPr>
          <w:p>
            <w:pPr>
              <w:ind w:left="460"/>
              <w:spacing w:after="0"/>
              <w:rPr>
                <w:sz w:val="20"/>
                <w:szCs w:val="20"/>
                <w:color w:val="auto"/>
              </w:rPr>
            </w:pPr>
            <w:r>
              <w:rPr>
                <w:rFonts w:ascii="Arial" w:cs="Arial" w:eastAsia="Arial" w:hAnsi="Arial"/>
                <w:sz w:val="12"/>
                <w:szCs w:val="12"/>
                <w:color w:val="auto"/>
              </w:rPr>
              <w:t>(0.07)</w:t>
            </w:r>
          </w:p>
        </w:tc>
      </w:tr>
      <w:tr>
        <w:trPr>
          <w:trHeight w:val="180"/>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Efficiency ratio</w:t>
            </w:r>
            <w:r>
              <w:rPr>
                <w:rFonts w:ascii="Arial" w:cs="Arial" w:eastAsia="Arial" w:hAnsi="Arial"/>
                <w:sz w:val="15"/>
                <w:szCs w:val="15"/>
                <w:color w:val="auto"/>
                <w:vertAlign w:val="superscript"/>
              </w:rPr>
              <w:t>(2)</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53.35 %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53.03 %</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0"/>
              </w:rPr>
              <w:t>70.81 %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52.06 %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ind w:left="440"/>
              <w:spacing w:after="0"/>
              <w:rPr>
                <w:sz w:val="20"/>
                <w:szCs w:val="20"/>
                <w:color w:val="auto"/>
              </w:rPr>
            </w:pPr>
            <w:r>
              <w:rPr>
                <w:rFonts w:ascii="Arial" w:cs="Arial" w:eastAsia="Arial" w:hAnsi="Arial"/>
                <w:sz w:val="12"/>
                <w:szCs w:val="12"/>
                <w:color w:val="auto"/>
                <w:w w:val="90"/>
              </w:rPr>
              <w:t>63.29 %</w:t>
            </w:r>
          </w:p>
        </w:tc>
      </w:tr>
      <w:tr>
        <w:trPr>
          <w:trHeight w:val="180"/>
        </w:trPr>
        <w:tc>
          <w:tcPr>
            <w:tcW w:w="2560" w:type="dxa"/>
            <w:vAlign w:val="bottom"/>
          </w:tcPr>
          <w:p>
            <w:pPr>
              <w:spacing w:after="0"/>
              <w:rPr>
                <w:sz w:val="20"/>
                <w:szCs w:val="20"/>
                <w:color w:val="auto"/>
              </w:rPr>
            </w:pPr>
            <w:r>
              <w:rPr>
                <w:rFonts w:ascii="Arial" w:cs="Arial" w:eastAsia="Arial" w:hAnsi="Arial"/>
                <w:sz w:val="12"/>
                <w:szCs w:val="12"/>
                <w:color w:val="auto"/>
              </w:rPr>
              <w:t>Ratio of equity to assets</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12.00 %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10.48 %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11.03 %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11.22 %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460"/>
              <w:spacing w:after="0"/>
              <w:rPr>
                <w:sz w:val="20"/>
                <w:szCs w:val="20"/>
                <w:color w:val="auto"/>
              </w:rPr>
            </w:pPr>
            <w:r>
              <w:rPr>
                <w:rFonts w:ascii="Arial" w:cs="Arial" w:eastAsia="Arial" w:hAnsi="Arial"/>
                <w:sz w:val="12"/>
                <w:szCs w:val="12"/>
                <w:color w:val="auto"/>
                <w:w w:val="86"/>
              </w:rPr>
              <w:t>11.13 %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2"/>
                <w:szCs w:val="12"/>
                <w:color w:val="auto"/>
                <w:w w:val="90"/>
              </w:rPr>
              <w:t>11.13 %</w:t>
            </w:r>
          </w:p>
        </w:tc>
      </w:tr>
    </w:tbl>
    <w:p>
      <w:pPr>
        <w:ind w:left="120" w:hanging="116"/>
        <w:spacing w:after="0" w:line="222" w:lineRule="auto"/>
        <w:tabs>
          <w:tab w:leader="none" w:pos="1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Interim periods annualized</w:t>
      </w:r>
    </w:p>
    <w:p>
      <w:pPr>
        <w:spacing w:after="0" w:line="33" w:lineRule="exact"/>
        <w:rPr>
          <w:rFonts w:ascii="Arial" w:cs="Arial" w:eastAsia="Arial" w:hAnsi="Arial"/>
          <w:sz w:val="14"/>
          <w:szCs w:val="14"/>
          <w:color w:val="auto"/>
          <w:vertAlign w:val="superscript"/>
        </w:rPr>
      </w:pPr>
    </w:p>
    <w:p>
      <w:pPr>
        <w:ind w:left="120" w:hanging="116"/>
        <w:spacing w:after="0" w:line="191" w:lineRule="auto"/>
        <w:tabs>
          <w:tab w:leader="none" w:pos="1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We calculate efficiency ratio as noninterest expense divided by the sum of net interest income and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Net Interest Income</w:t>
      </w:r>
    </w:p>
    <w:p>
      <w:pPr>
        <w:spacing w:after="0" w:line="275" w:lineRule="exact"/>
        <w:rPr>
          <w:sz w:val="20"/>
          <w:szCs w:val="20"/>
          <w:color w:val="auto"/>
        </w:rPr>
      </w:pPr>
    </w:p>
    <w:p>
      <w:pPr>
        <w:ind w:left="100" w:right="160" w:firstLine="324"/>
        <w:spacing w:after="0" w:line="333" w:lineRule="auto"/>
        <w:rPr>
          <w:sz w:val="20"/>
          <w:szCs w:val="20"/>
          <w:color w:val="auto"/>
        </w:rPr>
      </w:pPr>
      <w:r>
        <w:rPr>
          <w:rFonts w:ascii="Arial" w:cs="Arial" w:eastAsia="Arial" w:hAnsi="Arial"/>
          <w:sz w:val="10"/>
          <w:szCs w:val="10"/>
          <w:color w:val="auto"/>
        </w:rPr>
        <w:t>Net interest income, including net interest margin, is presented on a tax-equivalent basis below. A tax-equivalent basis presents all income taxable as if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66"/>
        </w:trPr>
        <w:tc>
          <w:tcPr>
            <w:tcW w:w="17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00"/>
              <w:spacing w:after="0"/>
              <w:rPr>
                <w:sz w:val="20"/>
                <w:szCs w:val="20"/>
                <w:color w:val="auto"/>
              </w:rPr>
            </w:pPr>
            <w:r>
              <w:rPr>
                <w:rFonts w:ascii="Arial" w:cs="Arial" w:eastAsia="Arial" w:hAnsi="Arial"/>
                <w:sz w:val="12"/>
                <w:szCs w:val="12"/>
                <w:b w:val="1"/>
                <w:bCs w:val="1"/>
                <w:color w:val="auto"/>
              </w:rPr>
              <w:t>For the Quarter Ended</w:t>
            </w: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rPr>
              <w:t>For the Six Months Ended</w:t>
            </w:r>
          </w:p>
        </w:tc>
        <w:tc>
          <w:tcPr>
            <w:tcW w:w="180" w:type="dxa"/>
            <w:vAlign w:val="bottom"/>
            <w:tcBorders>
              <w:bottom w:val="single" w:sz="8" w:color="auto"/>
            </w:tcBorders>
          </w:tcPr>
          <w:p>
            <w:pPr>
              <w:spacing w:after="0"/>
              <w:rPr>
                <w:sz w:val="14"/>
                <w:szCs w:val="14"/>
                <w:color w:val="auto"/>
              </w:rPr>
            </w:pPr>
          </w:p>
        </w:tc>
      </w:tr>
      <w:tr>
        <w:trPr>
          <w:trHeight w:val="147"/>
        </w:trPr>
        <w:tc>
          <w:tcPr>
            <w:tcW w:w="1700" w:type="dxa"/>
            <w:vAlign w:val="bottom"/>
          </w:tcPr>
          <w:p>
            <w:pPr>
              <w:spacing w:after="0"/>
              <w:rPr>
                <w:sz w:val="12"/>
                <w:szCs w:val="12"/>
                <w:color w:val="auto"/>
              </w:rPr>
            </w:pPr>
          </w:p>
        </w:tc>
        <w:tc>
          <w:tcPr>
            <w:tcW w:w="1060" w:type="dxa"/>
            <w:vAlign w:val="bottom"/>
          </w:tcPr>
          <w:p>
            <w:pPr>
              <w:ind w:left="580"/>
              <w:spacing w:after="0"/>
              <w:rPr>
                <w:sz w:val="20"/>
                <w:szCs w:val="20"/>
                <w:color w:val="auto"/>
              </w:rPr>
            </w:pPr>
            <w:r>
              <w:rPr>
                <w:rFonts w:ascii="Arial" w:cs="Arial" w:eastAsia="Arial" w:hAnsi="Arial"/>
                <w:sz w:val="12"/>
                <w:szCs w:val="12"/>
                <w:b w:val="1"/>
                <w:bCs w:val="1"/>
                <w:color w:val="auto"/>
                <w:w w:val="95"/>
              </w:rPr>
              <w:t>June 30,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b w:val="1"/>
                <w:bCs w:val="1"/>
                <w:color w:val="auto"/>
              </w:rPr>
              <w:t>June 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2"/>
                <w:szCs w:val="12"/>
                <w:color w:val="auto"/>
              </w:rPr>
            </w:pPr>
          </w:p>
        </w:tc>
      </w:tr>
      <w:tr>
        <w:trPr>
          <w:trHeight w:val="166"/>
        </w:trPr>
        <w:tc>
          <w:tcPr>
            <w:tcW w:w="17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4"/>
                <w:szCs w:val="14"/>
                <w:color w:val="auto"/>
              </w:rPr>
            </w:pPr>
          </w:p>
        </w:tc>
      </w:tr>
      <w:tr>
        <w:trPr>
          <w:trHeight w:val="139"/>
        </w:trPr>
        <w:tc>
          <w:tcPr>
            <w:tcW w:w="1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Yield on securities - tax-</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4"/>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equivalent</w:t>
            </w:r>
            <w:r>
              <w:rPr>
                <w:rFonts w:ascii="Arial" w:cs="Arial" w:eastAsia="Arial" w:hAnsi="Arial"/>
                <w:sz w:val="15"/>
                <w:szCs w:val="15"/>
                <w:color w:val="auto"/>
                <w:vertAlign w:val="superscript"/>
              </w:rPr>
              <w:t>(1)</w:t>
            </w:r>
          </w:p>
        </w:tc>
        <w:tc>
          <w:tcPr>
            <w:tcW w:w="1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2.93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2.89</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2.96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2.93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3.07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2.91</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3.15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1700" w:type="dxa"/>
            <w:vAlign w:val="bottom"/>
          </w:tcPr>
          <w:p>
            <w:pPr>
              <w:ind w:left="20"/>
              <w:spacing w:after="0"/>
              <w:rPr>
                <w:sz w:val="20"/>
                <w:szCs w:val="20"/>
                <w:color w:val="auto"/>
              </w:rPr>
            </w:pPr>
            <w:r>
              <w:rPr>
                <w:rFonts w:ascii="Arial" w:cs="Arial" w:eastAsia="Arial" w:hAnsi="Arial"/>
                <w:sz w:val="12"/>
                <w:szCs w:val="12"/>
                <w:color w:val="auto"/>
              </w:rPr>
              <w:t>Yield on loans</w:t>
            </w:r>
          </w:p>
        </w:tc>
        <w:tc>
          <w:tcPr>
            <w:tcW w:w="1060" w:type="dxa"/>
            <w:vAlign w:val="bottom"/>
          </w:tcPr>
          <w:p>
            <w:pPr>
              <w:ind w:left="560"/>
              <w:spacing w:after="0"/>
              <w:rPr>
                <w:sz w:val="20"/>
                <w:szCs w:val="20"/>
                <w:color w:val="auto"/>
              </w:rPr>
            </w:pPr>
            <w:r>
              <w:rPr>
                <w:rFonts w:ascii="Arial" w:cs="Arial" w:eastAsia="Arial" w:hAnsi="Arial"/>
                <w:sz w:val="12"/>
                <w:szCs w:val="12"/>
                <w:color w:val="auto"/>
              </w:rPr>
              <w:t>3.99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ind w:right="260"/>
              <w:spacing w:after="0"/>
              <w:rPr>
                <w:sz w:val="20"/>
                <w:szCs w:val="20"/>
                <w:color w:val="auto"/>
              </w:rPr>
            </w:pPr>
            <w:r>
              <w:rPr>
                <w:rFonts w:ascii="Arial" w:cs="Arial" w:eastAsia="Arial" w:hAnsi="Arial"/>
                <w:sz w:val="12"/>
                <w:szCs w:val="12"/>
                <w:color w:val="auto"/>
              </w:rPr>
              <w:t>3.94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ind w:right="280"/>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2"/>
                <w:szCs w:val="12"/>
                <w:color w:val="auto"/>
              </w:rPr>
              <w:t>3.90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4.28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3.96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right"/>
              <w:ind w:right="240"/>
              <w:spacing w:after="0"/>
              <w:rPr>
                <w:sz w:val="20"/>
                <w:szCs w:val="20"/>
                <w:color w:val="auto"/>
              </w:rPr>
            </w:pPr>
            <w:r>
              <w:rPr>
                <w:rFonts w:ascii="Arial" w:cs="Arial" w:eastAsia="Arial" w:hAnsi="Arial"/>
                <w:sz w:val="12"/>
                <w:szCs w:val="12"/>
                <w:color w:val="auto"/>
              </w:rPr>
              <w:t>4.61</w:t>
            </w:r>
          </w:p>
        </w:tc>
        <w:tc>
          <w:tcPr>
            <w:tcW w:w="180" w:type="dxa"/>
            <w:vAlign w:val="bottom"/>
          </w:tcPr>
          <w:p>
            <w:pPr>
              <w:spacing w:after="0"/>
              <w:rPr>
                <w:sz w:val="14"/>
                <w:szCs w:val="14"/>
                <w:color w:val="auto"/>
              </w:rPr>
            </w:pPr>
          </w:p>
        </w:tc>
      </w:tr>
      <w:tr>
        <w:trPr>
          <w:trHeight w:val="159"/>
        </w:trPr>
        <w:tc>
          <w:tcPr>
            <w:tcW w:w="1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Yield on earning assets - tax-</w:t>
            </w: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74"/>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equivalent</w:t>
            </w:r>
            <w:r>
              <w:rPr>
                <w:rFonts w:ascii="Arial" w:cs="Arial" w:eastAsia="Arial" w:hAnsi="Arial"/>
                <w:sz w:val="15"/>
                <w:szCs w:val="15"/>
                <w:color w:val="auto"/>
                <w:vertAlign w:val="superscript"/>
              </w:rPr>
              <w:t>(1)</w:t>
            </w:r>
          </w:p>
        </w:tc>
        <w:tc>
          <w:tcPr>
            <w:tcW w:w="1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3.57</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3.50</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3.71</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3.66</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3.96</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3.53</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4.25</w:t>
            </w:r>
          </w:p>
        </w:tc>
        <w:tc>
          <w:tcPr>
            <w:tcW w:w="180" w:type="dxa"/>
            <w:vAlign w:val="bottom"/>
            <w:shd w:val="clear" w:color="auto" w:fill="CCEEFF"/>
          </w:tcPr>
          <w:p>
            <w:pPr>
              <w:spacing w:after="0"/>
              <w:rPr>
                <w:sz w:val="15"/>
                <w:szCs w:val="15"/>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2"/>
                <w:szCs w:val="12"/>
                <w:color w:val="auto"/>
                <w:w w:val="96"/>
              </w:rPr>
              <w:t>Cost of interest-bearing deposits</w:t>
            </w:r>
          </w:p>
        </w:tc>
        <w:tc>
          <w:tcPr>
            <w:tcW w:w="1060" w:type="dxa"/>
            <w:vAlign w:val="bottom"/>
          </w:tcPr>
          <w:p>
            <w:pPr>
              <w:ind w:left="560"/>
              <w:spacing w:after="0"/>
              <w:rPr>
                <w:sz w:val="20"/>
                <w:szCs w:val="20"/>
                <w:color w:val="auto"/>
              </w:rPr>
            </w:pPr>
            <w:r>
              <w:rPr>
                <w:rFonts w:ascii="Arial" w:cs="Arial" w:eastAsia="Arial" w:hAnsi="Arial"/>
                <w:sz w:val="12"/>
                <w:szCs w:val="12"/>
                <w:color w:val="auto"/>
              </w:rPr>
              <w:t>0.50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ind w:right="260"/>
              <w:spacing w:after="0"/>
              <w:rPr>
                <w:sz w:val="20"/>
                <w:szCs w:val="20"/>
                <w:color w:val="auto"/>
              </w:rPr>
            </w:pPr>
            <w:r>
              <w:rPr>
                <w:rFonts w:ascii="Arial" w:cs="Arial" w:eastAsia="Arial" w:hAnsi="Arial"/>
                <w:sz w:val="12"/>
                <w:szCs w:val="12"/>
                <w:color w:val="auto"/>
              </w:rPr>
              <w:t>0.57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ind w:right="280"/>
              <w:spacing w:after="0"/>
              <w:rPr>
                <w:sz w:val="20"/>
                <w:szCs w:val="20"/>
                <w:color w:val="auto"/>
              </w:rPr>
            </w:pPr>
            <w:r>
              <w:rPr>
                <w:rFonts w:ascii="Arial" w:cs="Arial" w:eastAsia="Arial" w:hAnsi="Arial"/>
                <w:sz w:val="12"/>
                <w:szCs w:val="12"/>
                <w:color w:val="auto"/>
              </w:rPr>
              <w:t>0.69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2"/>
                <w:szCs w:val="12"/>
                <w:color w:val="auto"/>
              </w:rPr>
              <w:t>0.80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0.95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0.53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right"/>
              <w:ind w:right="240"/>
              <w:spacing w:after="0"/>
              <w:rPr>
                <w:sz w:val="20"/>
                <w:szCs w:val="20"/>
                <w:color w:val="auto"/>
              </w:rPr>
            </w:pPr>
            <w:r>
              <w:rPr>
                <w:rFonts w:ascii="Arial" w:cs="Arial" w:eastAsia="Arial" w:hAnsi="Arial"/>
                <w:sz w:val="12"/>
                <w:szCs w:val="12"/>
                <w:color w:val="auto"/>
              </w:rPr>
              <w:t>1.31</w:t>
            </w:r>
          </w:p>
        </w:tc>
        <w:tc>
          <w:tcPr>
            <w:tcW w:w="180" w:type="dxa"/>
            <w:vAlign w:val="bottom"/>
          </w:tcPr>
          <w:p>
            <w:pPr>
              <w:spacing w:after="0"/>
              <w:rPr>
                <w:sz w:val="14"/>
                <w:szCs w:val="14"/>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total deposits</w:t>
            </w:r>
          </w:p>
        </w:tc>
        <w:tc>
          <w:tcPr>
            <w:tcW w:w="1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0.41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0.48</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0.58</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0.67</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0.79</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0.45</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1.11</w:t>
            </w:r>
          </w:p>
        </w:tc>
        <w:tc>
          <w:tcPr>
            <w:tcW w:w="180" w:type="dxa"/>
            <w:vAlign w:val="bottom"/>
            <w:shd w:val="clear" w:color="auto" w:fill="CCEEFF"/>
          </w:tcPr>
          <w:p>
            <w:pPr>
              <w:spacing w:after="0"/>
              <w:rPr>
                <w:sz w:val="16"/>
                <w:szCs w:val="16"/>
                <w:color w:val="auto"/>
              </w:rPr>
            </w:pPr>
          </w:p>
        </w:tc>
      </w:tr>
      <w:tr>
        <w:trPr>
          <w:trHeight w:val="153"/>
        </w:trPr>
        <w:tc>
          <w:tcPr>
            <w:tcW w:w="1700" w:type="dxa"/>
            <w:vAlign w:val="bottom"/>
          </w:tcPr>
          <w:p>
            <w:pPr>
              <w:ind w:left="20"/>
              <w:spacing w:after="0"/>
              <w:rPr>
                <w:sz w:val="20"/>
                <w:szCs w:val="20"/>
                <w:color w:val="auto"/>
              </w:rPr>
            </w:pPr>
            <w:r>
              <w:rPr>
                <w:rFonts w:ascii="Arial" w:cs="Arial" w:eastAsia="Arial" w:hAnsi="Arial"/>
                <w:sz w:val="12"/>
                <w:szCs w:val="12"/>
                <w:color w:val="auto"/>
              </w:rPr>
              <w:t>Cost of FHLB and short-term</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1700" w:type="dxa"/>
            <w:vAlign w:val="bottom"/>
          </w:tcPr>
          <w:p>
            <w:pPr>
              <w:ind w:left="120"/>
              <w:spacing w:after="0"/>
              <w:rPr>
                <w:sz w:val="20"/>
                <w:szCs w:val="20"/>
                <w:color w:val="auto"/>
              </w:rPr>
            </w:pPr>
            <w:r>
              <w:rPr>
                <w:rFonts w:ascii="Arial" w:cs="Arial" w:eastAsia="Arial" w:hAnsi="Arial"/>
                <w:sz w:val="12"/>
                <w:szCs w:val="12"/>
                <w:color w:val="auto"/>
              </w:rPr>
              <w:t>borrowings</w:t>
            </w:r>
          </w:p>
        </w:tc>
        <w:tc>
          <w:tcPr>
            <w:tcW w:w="1060" w:type="dxa"/>
            <w:vAlign w:val="bottom"/>
          </w:tcPr>
          <w:p>
            <w:pPr>
              <w:ind w:left="560"/>
              <w:spacing w:after="0"/>
              <w:rPr>
                <w:sz w:val="20"/>
                <w:szCs w:val="20"/>
                <w:color w:val="auto"/>
              </w:rPr>
            </w:pPr>
            <w:r>
              <w:rPr>
                <w:rFonts w:ascii="Arial" w:cs="Arial" w:eastAsia="Arial" w:hAnsi="Arial"/>
                <w:sz w:val="12"/>
                <w:szCs w:val="12"/>
                <w:color w:val="auto"/>
              </w:rPr>
              <w:t>1.79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ind w:right="260"/>
              <w:spacing w:after="0"/>
              <w:rPr>
                <w:sz w:val="20"/>
                <w:szCs w:val="20"/>
                <w:color w:val="auto"/>
              </w:rPr>
            </w:pPr>
            <w:r>
              <w:rPr>
                <w:rFonts w:ascii="Arial" w:cs="Arial" w:eastAsia="Arial" w:hAnsi="Arial"/>
                <w:sz w:val="12"/>
                <w:szCs w:val="12"/>
                <w:color w:val="auto"/>
              </w:rPr>
              <w:t>1.79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ind w:right="280"/>
              <w:spacing w:after="0"/>
              <w:rPr>
                <w:sz w:val="20"/>
                <w:szCs w:val="20"/>
                <w:color w:val="auto"/>
              </w:rPr>
            </w:pPr>
            <w:r>
              <w:rPr>
                <w:rFonts w:ascii="Arial" w:cs="Arial" w:eastAsia="Arial" w:hAnsi="Arial"/>
                <w:sz w:val="12"/>
                <w:szCs w:val="12"/>
                <w:color w:val="auto"/>
              </w:rPr>
              <w:t>1.78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2"/>
                <w:szCs w:val="12"/>
                <w:color w:val="auto"/>
              </w:rPr>
              <w:t>1.50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1.35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1.79</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right"/>
              <w:ind w:right="240"/>
              <w:spacing w:after="0"/>
              <w:rPr>
                <w:sz w:val="20"/>
                <w:szCs w:val="20"/>
                <w:color w:val="auto"/>
              </w:rPr>
            </w:pPr>
            <w:r>
              <w:rPr>
                <w:rFonts w:ascii="Arial" w:cs="Arial" w:eastAsia="Arial" w:hAnsi="Arial"/>
                <w:sz w:val="12"/>
                <w:szCs w:val="12"/>
                <w:color w:val="auto"/>
              </w:rPr>
              <w:t>1.51</w:t>
            </w:r>
          </w:p>
        </w:tc>
        <w:tc>
          <w:tcPr>
            <w:tcW w:w="180" w:type="dxa"/>
            <w:vAlign w:val="bottom"/>
          </w:tcPr>
          <w:p>
            <w:pPr>
              <w:spacing w:after="0"/>
              <w:rPr>
                <w:sz w:val="14"/>
                <w:szCs w:val="14"/>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funds</w:t>
            </w:r>
          </w:p>
        </w:tc>
        <w:tc>
          <w:tcPr>
            <w:tcW w:w="1060" w:type="dxa"/>
            <w:vAlign w:val="bottom"/>
            <w:shd w:val="clear" w:color="auto" w:fill="CCEEFF"/>
          </w:tcPr>
          <w:p>
            <w:pPr>
              <w:ind w:left="560"/>
              <w:spacing w:after="0"/>
              <w:rPr>
                <w:sz w:val="20"/>
                <w:szCs w:val="20"/>
                <w:color w:val="auto"/>
              </w:rPr>
            </w:pPr>
            <w:r>
              <w:rPr>
                <w:rFonts w:ascii="Arial" w:cs="Arial" w:eastAsia="Arial" w:hAnsi="Arial"/>
                <w:sz w:val="12"/>
                <w:szCs w:val="12"/>
                <w:color w:val="auto"/>
              </w:rPr>
              <w:t>0.49</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0.56</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0.65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0.75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0.85</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0.52</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1.15</w:t>
            </w:r>
          </w:p>
        </w:tc>
        <w:tc>
          <w:tcPr>
            <w:tcW w:w="180" w:type="dxa"/>
            <w:vAlign w:val="bottom"/>
            <w:shd w:val="clear" w:color="auto" w:fill="CCEEFF"/>
          </w:tcPr>
          <w:p>
            <w:pPr>
              <w:spacing w:after="0"/>
              <w:rPr>
                <w:sz w:val="16"/>
                <w:szCs w:val="16"/>
                <w:color w:val="auto"/>
              </w:rPr>
            </w:pPr>
          </w:p>
        </w:tc>
      </w:tr>
      <w:tr>
        <w:trPr>
          <w:trHeight w:val="150"/>
        </w:trPr>
        <w:tc>
          <w:tcPr>
            <w:tcW w:w="1700" w:type="dxa"/>
            <w:vAlign w:val="bottom"/>
          </w:tcPr>
          <w:p>
            <w:pPr>
              <w:ind w:left="20"/>
              <w:spacing w:after="0"/>
              <w:rPr>
                <w:sz w:val="20"/>
                <w:szCs w:val="20"/>
                <w:color w:val="auto"/>
              </w:rPr>
            </w:pPr>
            <w:r>
              <w:rPr>
                <w:rFonts w:ascii="Arial" w:cs="Arial" w:eastAsia="Arial" w:hAnsi="Arial"/>
                <w:sz w:val="12"/>
                <w:szCs w:val="12"/>
                <w:color w:val="auto"/>
              </w:rPr>
              <w:t>Net interest margin - tax-</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3"/>
        </w:trPr>
        <w:tc>
          <w:tcPr>
            <w:tcW w:w="1700" w:type="dxa"/>
            <w:vAlign w:val="bottom"/>
          </w:tcPr>
          <w:p>
            <w:pPr>
              <w:ind w:left="120"/>
              <w:spacing w:after="0"/>
              <w:rPr>
                <w:sz w:val="20"/>
                <w:szCs w:val="20"/>
                <w:color w:val="auto"/>
              </w:rPr>
            </w:pPr>
            <w:r>
              <w:rPr>
                <w:rFonts w:ascii="Arial" w:cs="Arial" w:eastAsia="Arial" w:hAnsi="Arial"/>
                <w:sz w:val="12"/>
                <w:szCs w:val="12"/>
                <w:color w:val="auto"/>
              </w:rPr>
              <w:t>equivalent</w:t>
            </w:r>
            <w:r>
              <w:rPr>
                <w:rFonts w:ascii="Arial" w:cs="Arial" w:eastAsia="Arial" w:hAnsi="Arial"/>
                <w:sz w:val="15"/>
                <w:szCs w:val="15"/>
                <w:color w:val="auto"/>
                <w:vertAlign w:val="superscript"/>
              </w:rPr>
              <w:t>(1)</w:t>
            </w:r>
          </w:p>
        </w:tc>
        <w:tc>
          <w:tcPr>
            <w:tcW w:w="1060" w:type="dxa"/>
            <w:vAlign w:val="bottom"/>
          </w:tcPr>
          <w:p>
            <w:pPr>
              <w:ind w:left="560"/>
              <w:spacing w:after="0"/>
              <w:rPr>
                <w:sz w:val="20"/>
                <w:szCs w:val="20"/>
                <w:color w:val="auto"/>
              </w:rPr>
            </w:pPr>
            <w:r>
              <w:rPr>
                <w:rFonts w:ascii="Arial" w:cs="Arial" w:eastAsia="Arial" w:hAnsi="Arial"/>
                <w:sz w:val="12"/>
                <w:szCs w:val="12"/>
                <w:color w:val="auto"/>
              </w:rPr>
              <w:t>3.12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080" w:type="dxa"/>
            <w:vAlign w:val="bottom"/>
          </w:tcPr>
          <w:p>
            <w:pPr>
              <w:jc w:val="right"/>
              <w:ind w:right="260"/>
              <w:spacing w:after="0"/>
              <w:rPr>
                <w:sz w:val="20"/>
                <w:szCs w:val="20"/>
                <w:color w:val="auto"/>
              </w:rPr>
            </w:pPr>
            <w:r>
              <w:rPr>
                <w:rFonts w:ascii="Arial" w:cs="Arial" w:eastAsia="Arial" w:hAnsi="Arial"/>
                <w:sz w:val="12"/>
                <w:szCs w:val="12"/>
                <w:color w:val="auto"/>
              </w:rPr>
              <w:t>3.00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200" w:type="dxa"/>
            <w:vAlign w:val="bottom"/>
          </w:tcPr>
          <w:p>
            <w:pPr>
              <w:jc w:val="right"/>
              <w:ind w:right="280"/>
              <w:spacing w:after="0"/>
              <w:rPr>
                <w:sz w:val="20"/>
                <w:szCs w:val="20"/>
                <w:color w:val="auto"/>
              </w:rPr>
            </w:pPr>
            <w:r>
              <w:rPr>
                <w:rFonts w:ascii="Arial" w:cs="Arial" w:eastAsia="Arial" w:hAnsi="Arial"/>
                <w:sz w:val="12"/>
                <w:szCs w:val="12"/>
                <w:color w:val="auto"/>
              </w:rPr>
              <w:t>3.12</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280"/>
              <w:spacing w:after="0"/>
              <w:rPr>
                <w:sz w:val="20"/>
                <w:szCs w:val="20"/>
                <w:color w:val="auto"/>
              </w:rPr>
            </w:pPr>
            <w:r>
              <w:rPr>
                <w:rFonts w:ascii="Arial" w:cs="Arial" w:eastAsia="Arial" w:hAnsi="Arial"/>
                <w:sz w:val="12"/>
                <w:szCs w:val="12"/>
                <w:color w:val="auto"/>
              </w:rPr>
              <w:t>2.98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Pr>
          <w:p>
            <w:pPr>
              <w:spacing w:after="0"/>
              <w:rPr>
                <w:sz w:val="16"/>
                <w:szCs w:val="16"/>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3.19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060" w:type="dxa"/>
            <w:vAlign w:val="bottom"/>
          </w:tcPr>
          <w:p>
            <w:pPr>
              <w:jc w:val="right"/>
              <w:ind w:right="240"/>
              <w:spacing w:after="0"/>
              <w:rPr>
                <w:sz w:val="20"/>
                <w:szCs w:val="20"/>
                <w:color w:val="auto"/>
              </w:rPr>
            </w:pPr>
            <w:r>
              <w:rPr>
                <w:rFonts w:ascii="Arial" w:cs="Arial" w:eastAsia="Arial" w:hAnsi="Arial"/>
                <w:sz w:val="12"/>
                <w:szCs w:val="12"/>
                <w:color w:val="auto"/>
              </w:rPr>
              <w:t>3.06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6"/>
                <w:szCs w:val="16"/>
                <w:color w:val="auto"/>
              </w:rPr>
            </w:pPr>
          </w:p>
        </w:tc>
        <w:tc>
          <w:tcPr>
            <w:tcW w:w="1040" w:type="dxa"/>
            <w:vAlign w:val="bottom"/>
          </w:tcPr>
          <w:p>
            <w:pPr>
              <w:jc w:val="right"/>
              <w:ind w:right="240"/>
              <w:spacing w:after="0"/>
              <w:rPr>
                <w:sz w:val="20"/>
                <w:szCs w:val="20"/>
                <w:color w:val="auto"/>
              </w:rPr>
            </w:pPr>
            <w:r>
              <w:rPr>
                <w:rFonts w:ascii="Arial" w:cs="Arial" w:eastAsia="Arial" w:hAnsi="Arial"/>
                <w:sz w:val="12"/>
                <w:szCs w:val="12"/>
                <w:color w:val="auto"/>
              </w:rPr>
              <w:t>3.22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r>
    </w:tbl>
    <w:p>
      <w:pPr>
        <w:ind w:left="540" w:hanging="104"/>
        <w:spacing w:after="0" w:line="227" w:lineRule="auto"/>
        <w:tabs>
          <w:tab w:leader="none" w:pos="540" w:val="left"/>
        </w:tabs>
        <w:numPr>
          <w:ilvl w:val="0"/>
          <w:numId w:val="10"/>
        </w:numPr>
        <w:rPr>
          <w:rFonts w:ascii="Arial" w:cs="Arial" w:eastAsia="Arial" w:hAnsi="Arial"/>
          <w:sz w:val="12"/>
          <w:szCs w:val="12"/>
          <w:color w:val="auto"/>
          <w:vertAlign w:val="superscript"/>
        </w:rPr>
      </w:pPr>
      <w:r>
        <w:rPr>
          <w:rFonts w:ascii="Arial" w:cs="Arial" w:eastAsia="Arial" w:hAnsi="Arial"/>
          <w:sz w:val="9"/>
          <w:szCs w:val="9"/>
          <w:color w:val="auto"/>
        </w:rPr>
        <w:t>Tax-exempt income is calculated on a tax-equivalent basis. Tax-free municipal securities are exempt from Federal income taxes. The incremental tax rate used is 21%.</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for the periods indicated, average balance sheet information, interest income, interest expense and the corresponding average yield and rates paid:</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2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0" w:type="dxa"/>
            <w:vAlign w:val="bottom"/>
            <w:gridSpan w:val="5"/>
          </w:tcPr>
          <w:p>
            <w:pPr>
              <w:jc w:val="center"/>
              <w:ind w:right="800"/>
              <w:spacing w:after="0"/>
              <w:rPr>
                <w:sz w:val="20"/>
                <w:szCs w:val="20"/>
                <w:color w:val="auto"/>
              </w:rPr>
            </w:pPr>
            <w:r>
              <w:rPr>
                <w:rFonts w:ascii="Arial" w:cs="Arial" w:eastAsia="Arial" w:hAnsi="Arial"/>
                <w:sz w:val="12"/>
                <w:szCs w:val="12"/>
                <w:b w:val="1"/>
                <w:bCs w:val="1"/>
                <w:color w:val="auto"/>
                <w:w w:val="90"/>
              </w:rPr>
              <w:t>Three Months Ended</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7"/>
              </w:rPr>
              <w:t>June 30,</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Average Balance</w:t>
            </w:r>
          </w:p>
        </w:tc>
        <w:tc>
          <w:tcPr>
            <w:tcW w:w="1280" w:type="dxa"/>
            <w:vAlign w:val="bottom"/>
            <w:gridSpan w:val="3"/>
          </w:tcPr>
          <w:p>
            <w:pPr>
              <w:ind w:left="320"/>
              <w:spacing w:after="0" w:line="106" w:lineRule="exact"/>
              <w:rPr>
                <w:sz w:val="20"/>
                <w:szCs w:val="20"/>
                <w:color w:val="auto"/>
              </w:rPr>
            </w:pPr>
            <w:r>
              <w:rPr>
                <w:rFonts w:ascii="Arial" w:cs="Arial" w:eastAsia="Arial" w:hAnsi="Arial"/>
                <w:sz w:val="12"/>
                <w:szCs w:val="12"/>
                <w:b w:val="1"/>
                <w:bCs w:val="1"/>
                <w:color w:val="auto"/>
                <w:w w:val="98"/>
              </w:rPr>
              <w:t>Interest Income /</w:t>
            </w:r>
          </w:p>
        </w:tc>
        <w:tc>
          <w:tcPr>
            <w:tcW w:w="1240" w:type="dxa"/>
            <w:vAlign w:val="bottom"/>
            <w:gridSpan w:val="2"/>
          </w:tcPr>
          <w:p>
            <w:pPr>
              <w:jc w:val="right"/>
              <w:ind w:right="1"/>
              <w:spacing w:after="0" w:line="106" w:lineRule="exact"/>
              <w:rPr>
                <w:sz w:val="20"/>
                <w:szCs w:val="20"/>
                <w:color w:val="auto"/>
              </w:rPr>
            </w:pPr>
            <w:r>
              <w:rPr>
                <w:rFonts w:ascii="Arial" w:cs="Arial" w:eastAsia="Arial" w:hAnsi="Arial"/>
                <w:sz w:val="12"/>
                <w:szCs w:val="12"/>
                <w:b w:val="1"/>
                <w:bCs w:val="1"/>
                <w:color w:val="auto"/>
              </w:rPr>
              <w:t>Average Yield /</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Average Balance</w:t>
            </w:r>
          </w:p>
        </w:tc>
        <w:tc>
          <w:tcPr>
            <w:tcW w:w="1300" w:type="dxa"/>
            <w:vAlign w:val="bottom"/>
            <w:gridSpan w:val="3"/>
          </w:tcPr>
          <w:p>
            <w:pPr>
              <w:ind w:left="340"/>
              <w:spacing w:after="0" w:line="106" w:lineRule="exact"/>
              <w:rPr>
                <w:sz w:val="20"/>
                <w:szCs w:val="20"/>
                <w:color w:val="auto"/>
              </w:rPr>
            </w:pPr>
            <w:r>
              <w:rPr>
                <w:rFonts w:ascii="Arial" w:cs="Arial" w:eastAsia="Arial" w:hAnsi="Arial"/>
                <w:sz w:val="12"/>
                <w:szCs w:val="12"/>
                <w:b w:val="1"/>
                <w:bCs w:val="1"/>
                <w:color w:val="auto"/>
                <w:w w:val="98"/>
              </w:rPr>
              <w:t>Interest Income /</w:t>
            </w:r>
          </w:p>
        </w:tc>
        <w:tc>
          <w:tcPr>
            <w:tcW w:w="1260" w:type="dxa"/>
            <w:vAlign w:val="bottom"/>
            <w:gridSpan w:val="2"/>
          </w:tcPr>
          <w:p>
            <w:pPr>
              <w:jc w:val="right"/>
              <w:ind w:right="20"/>
              <w:spacing w:after="0" w:line="106" w:lineRule="exact"/>
              <w:rPr>
                <w:sz w:val="20"/>
                <w:szCs w:val="20"/>
                <w:color w:val="auto"/>
              </w:rPr>
            </w:pPr>
            <w:r>
              <w:rPr>
                <w:rFonts w:ascii="Arial" w:cs="Arial" w:eastAsia="Arial" w:hAnsi="Arial"/>
                <w:sz w:val="12"/>
                <w:szCs w:val="12"/>
                <w:b w:val="1"/>
                <w:bCs w:val="1"/>
                <w:color w:val="auto"/>
              </w:rPr>
              <w:t>Average Yield /</w:t>
            </w: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Expense</w:t>
            </w: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5"/>
                <w:szCs w:val="15"/>
                <w:b w:val="1"/>
                <w:bCs w:val="1"/>
                <w:color w:val="auto"/>
                <w:vertAlign w:val="superscript"/>
              </w:rPr>
              <w:t>(4)</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Expense</w:t>
            </w:r>
          </w:p>
        </w:tc>
        <w:tc>
          <w:tcPr>
            <w:tcW w:w="960" w:type="dxa"/>
            <w:vAlign w:val="bottom"/>
            <w:tcBorders>
              <w:bottom w:val="single" w:sz="8" w:color="auto"/>
            </w:tcBorders>
          </w:tcPr>
          <w:p>
            <w:pPr>
              <w:jc w:val="right"/>
              <w:ind w:right="100"/>
              <w:spacing w:after="0" w:line="153"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5"/>
                <w:szCs w:val="15"/>
                <w:b w:val="1"/>
                <w:bCs w:val="1"/>
                <w:color w:val="auto"/>
                <w:vertAlign w:val="superscript"/>
              </w:rPr>
              <w:t>(4)</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0" w:type="dxa"/>
            <w:vAlign w:val="bottom"/>
            <w:gridSpan w:val="5"/>
          </w:tcPr>
          <w:p>
            <w:pPr>
              <w:jc w:val="center"/>
              <w:ind w:right="820"/>
              <w:spacing w:after="0"/>
              <w:rPr>
                <w:sz w:val="20"/>
                <w:szCs w:val="20"/>
                <w:color w:val="auto"/>
              </w:rPr>
            </w:pPr>
            <w:r>
              <w:rPr>
                <w:rFonts w:ascii="Arial" w:cs="Arial" w:eastAsia="Arial" w:hAnsi="Arial"/>
                <w:sz w:val="11"/>
                <w:szCs w:val="11"/>
                <w:i w:val="1"/>
                <w:iCs w:val="1"/>
                <w:color w:val="auto"/>
                <w:w w:val="91"/>
              </w:rPr>
              <w:t>(Dollars in thousands)</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Interest-earning assets:</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120"/>
              <w:spacing w:after="0"/>
              <w:rPr>
                <w:sz w:val="20"/>
                <w:szCs w:val="20"/>
                <w:color w:val="auto"/>
              </w:rPr>
            </w:pPr>
            <w:r>
              <w:rPr>
                <w:rFonts w:ascii="Arial" w:cs="Arial" w:eastAsia="Arial" w:hAnsi="Arial"/>
                <w:sz w:val="12"/>
                <w:szCs w:val="12"/>
                <w:color w:val="auto"/>
              </w:rPr>
              <w:t>Securities - taxable</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211,158</w:t>
            </w:r>
          </w:p>
        </w:tc>
        <w:tc>
          <w:tcPr>
            <w:tcW w:w="80" w:type="dxa"/>
            <w:vAlign w:val="bottom"/>
          </w:tcPr>
          <w:p>
            <w:pPr>
              <w:spacing w:after="0"/>
              <w:rPr>
                <w:sz w:val="13"/>
                <w:szCs w:val="13"/>
                <w:color w:val="auto"/>
              </w:rPr>
            </w:pPr>
          </w:p>
        </w:tc>
        <w:tc>
          <w:tcPr>
            <w:tcW w:w="380" w:type="dxa"/>
            <w:vAlign w:val="bottom"/>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1,031</w:t>
            </w:r>
          </w:p>
        </w:tc>
        <w:tc>
          <w:tcPr>
            <w:tcW w:w="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1.96</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290,342</w:t>
            </w:r>
          </w:p>
        </w:tc>
        <w:tc>
          <w:tcPr>
            <w:tcW w:w="80" w:type="dxa"/>
            <w:vAlign w:val="bottom"/>
          </w:tcPr>
          <w:p>
            <w:pPr>
              <w:spacing w:after="0"/>
              <w:rPr>
                <w:sz w:val="13"/>
                <w:szCs w:val="13"/>
                <w:color w:val="auto"/>
              </w:rPr>
            </w:pP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1,626</w:t>
            </w:r>
          </w:p>
        </w:tc>
        <w:tc>
          <w:tcPr>
            <w:tcW w:w="80" w:type="dxa"/>
            <w:vAlign w:val="bottom"/>
          </w:tcPr>
          <w:p>
            <w:pPr>
              <w:spacing w:after="0"/>
              <w:rPr>
                <w:sz w:val="13"/>
                <w:szCs w:val="13"/>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2.25</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line="153" w:lineRule="exact"/>
              <w:rPr>
                <w:sz w:val="20"/>
                <w:szCs w:val="20"/>
                <w:color w:val="auto"/>
              </w:rPr>
            </w:pPr>
            <w:r>
              <w:rPr>
                <w:rFonts w:ascii="Arial" w:cs="Arial" w:eastAsia="Arial" w:hAnsi="Arial"/>
                <w:sz w:val="12"/>
                <w:szCs w:val="12"/>
                <w:color w:val="auto"/>
              </w:rPr>
              <w:t>Securities - tax-exempt</w:t>
            </w:r>
            <w:r>
              <w:rPr>
                <w:rFonts w:ascii="Arial" w:cs="Arial" w:eastAsia="Arial" w:hAnsi="Arial"/>
                <w:sz w:val="15"/>
                <w:szCs w:val="15"/>
                <w:color w:val="auto"/>
                <w:vertAlign w:val="superscript"/>
              </w:rPr>
              <w:t>(1)</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508,483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4,231</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3.34</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438,525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3,945</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3.62</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120"/>
              <w:spacing w:after="0"/>
              <w:rPr>
                <w:sz w:val="20"/>
                <w:szCs w:val="20"/>
                <w:color w:val="auto"/>
              </w:rPr>
            </w:pPr>
            <w:r>
              <w:rPr>
                <w:rFonts w:ascii="Arial" w:cs="Arial" w:eastAsia="Arial" w:hAnsi="Arial"/>
                <w:sz w:val="12"/>
                <w:szCs w:val="12"/>
                <w:color w:val="auto"/>
              </w:rPr>
              <w:t>Interest-bearing deposits in other banks</w:t>
            </w:r>
          </w:p>
        </w:tc>
        <w:tc>
          <w:tcPr>
            <w:tcW w:w="4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407,801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110</w:t>
            </w:r>
          </w:p>
        </w:tc>
        <w:tc>
          <w:tcPr>
            <w:tcW w:w="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0.11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186,388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0.10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line="153" w:lineRule="exact"/>
              <w:rPr>
                <w:sz w:val="20"/>
                <w:szCs w:val="20"/>
                <w:color w:val="auto"/>
              </w:rPr>
            </w:pPr>
            <w:r>
              <w:rPr>
                <w:rFonts w:ascii="Arial" w:cs="Arial" w:eastAsia="Arial" w:hAnsi="Arial"/>
                <w:sz w:val="12"/>
                <w:szCs w:val="12"/>
                <w:color w:val="auto"/>
              </w:rPr>
              <w:t>Gross loans, net of unearned income</w:t>
            </w:r>
            <w:r>
              <w:rPr>
                <w:rFonts w:ascii="Arial" w:cs="Arial" w:eastAsia="Arial" w:hAnsi="Arial"/>
                <w:sz w:val="15"/>
                <w:szCs w:val="15"/>
                <w:color w:val="auto"/>
                <w:vertAlign w:val="superscript"/>
              </w:rPr>
              <w:t>(2)(3)</w:t>
            </w:r>
          </w:p>
        </w:tc>
        <w:tc>
          <w:tcPr>
            <w:tcW w:w="4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4,409,280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43,846</w:t>
            </w:r>
          </w:p>
        </w:tc>
        <w:tc>
          <w:tcPr>
            <w:tcW w:w="6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3.99</w:t>
            </w: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4,357,055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46,323</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4.28</w:t>
            </w: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tcPr>
          <w:p>
            <w:pPr>
              <w:ind w:left="120"/>
              <w:spacing w:after="0" w:line="142"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5"/>
                <w:szCs w:val="15"/>
                <w:color w:val="auto"/>
                <w:vertAlign w:val="superscript"/>
              </w:rPr>
              <w:t>(1)</w:t>
            </w:r>
          </w:p>
        </w:tc>
        <w:tc>
          <w:tcPr>
            <w:tcW w:w="4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5,536,722</w:t>
            </w:r>
          </w:p>
        </w:tc>
        <w:tc>
          <w:tcPr>
            <w:tcW w:w="80" w:type="dxa"/>
            <w:vAlign w:val="bottom"/>
          </w:tcPr>
          <w:p>
            <w:pPr>
              <w:spacing w:after="0"/>
              <w:rPr>
                <w:sz w:val="12"/>
                <w:szCs w:val="12"/>
                <w:color w:val="auto"/>
              </w:rPr>
            </w:pPr>
          </w:p>
        </w:tc>
        <w:tc>
          <w:tcPr>
            <w:tcW w:w="380" w:type="dxa"/>
            <w:vAlign w:val="bottom"/>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49,218</w:t>
            </w:r>
          </w:p>
        </w:tc>
        <w:tc>
          <w:tcPr>
            <w:tcW w:w="60" w:type="dxa"/>
            <w:vAlign w:val="bottom"/>
          </w:tcPr>
          <w:p>
            <w:pPr>
              <w:spacing w:after="0"/>
              <w:rPr>
                <w:sz w:val="12"/>
                <w:szCs w:val="12"/>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3.57</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5,272,310</w:t>
            </w:r>
          </w:p>
        </w:tc>
        <w:tc>
          <w:tcPr>
            <w:tcW w:w="80" w:type="dxa"/>
            <w:vAlign w:val="bottom"/>
          </w:tcPr>
          <w:p>
            <w:pPr>
              <w:spacing w:after="0"/>
              <w:rPr>
                <w:sz w:val="12"/>
                <w:szCs w:val="12"/>
                <w:color w:val="auto"/>
              </w:rPr>
            </w:pPr>
          </w:p>
        </w:tc>
        <w:tc>
          <w:tcPr>
            <w:tcW w:w="400" w:type="dxa"/>
            <w:vAlign w:val="bottom"/>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51,939</w:t>
            </w:r>
          </w:p>
        </w:tc>
        <w:tc>
          <w:tcPr>
            <w:tcW w:w="80" w:type="dxa"/>
            <w:vAlign w:val="bottom"/>
          </w:tcPr>
          <w:p>
            <w:pPr>
              <w:spacing w:after="0"/>
              <w:rPr>
                <w:sz w:val="12"/>
                <w:szCs w:val="12"/>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3.96</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Allowance for loan losses</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(76,741)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(60,889)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 non-interest-earning assets</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213,657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230,092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5,673,638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5,441,513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60" w:type="dxa"/>
            <w:vAlign w:val="bottom"/>
            <w:tcBorders>
              <w:top w:val="single" w:sz="8" w:color="CCEEFF"/>
            </w:tcBorders>
          </w:tcPr>
          <w:p>
            <w:pPr>
              <w:ind w:left="340"/>
              <w:spacing w:after="0" w:line="131" w:lineRule="exact"/>
              <w:rPr>
                <w:sz w:val="20"/>
                <w:szCs w:val="20"/>
                <w:color w:val="auto"/>
              </w:rPr>
            </w:pPr>
            <w:r>
              <w:rPr>
                <w:rFonts w:ascii="Arial" w:cs="Arial" w:eastAsia="Arial" w:hAnsi="Arial"/>
                <w:sz w:val="12"/>
                <w:szCs w:val="12"/>
                <w:b w:val="1"/>
                <w:bCs w:val="1"/>
                <w:color w:val="auto"/>
              </w:rPr>
              <w:t>Interest-bearing liabilities</w:t>
            </w:r>
          </w:p>
        </w:tc>
        <w:tc>
          <w:tcPr>
            <w:tcW w:w="4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spacing w:after="0"/>
              <w:rPr>
                <w:sz w:val="11"/>
                <w:szCs w:val="11"/>
                <w:color w:val="auto"/>
              </w:rPr>
            </w:pPr>
          </w:p>
        </w:tc>
        <w:tc>
          <w:tcPr>
            <w:tcW w:w="3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Transaction deposits</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664,552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0.19</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413,870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0.26</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tcPr>
          <w:p>
            <w:pPr>
              <w:ind w:left="120"/>
              <w:spacing w:after="0"/>
              <w:rPr>
                <w:sz w:val="20"/>
                <w:szCs w:val="20"/>
                <w:color w:val="auto"/>
              </w:rPr>
            </w:pPr>
            <w:r>
              <w:rPr>
                <w:rFonts w:ascii="Arial" w:cs="Arial" w:eastAsia="Arial" w:hAnsi="Arial"/>
                <w:sz w:val="12"/>
                <w:szCs w:val="12"/>
                <w:color w:val="auto"/>
              </w:rPr>
              <w:t>Savings and money market deposits</w:t>
            </w:r>
          </w:p>
        </w:tc>
        <w:tc>
          <w:tcPr>
            <w:tcW w:w="4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2,385,074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2,107</w:t>
            </w:r>
          </w:p>
        </w:tc>
        <w:tc>
          <w:tcPr>
            <w:tcW w:w="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0.35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1,932,723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2,653</w:t>
            </w:r>
          </w:p>
        </w:tc>
        <w:tc>
          <w:tcPr>
            <w:tcW w:w="80" w:type="dxa"/>
            <w:vAlign w:val="bottom"/>
          </w:tcPr>
          <w:p>
            <w:pPr>
              <w:spacing w:after="0"/>
              <w:rPr>
                <w:sz w:val="13"/>
                <w:szCs w:val="13"/>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0.55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Time deposits</w:t>
            </w:r>
          </w:p>
        </w:tc>
        <w:tc>
          <w:tcPr>
            <w:tcW w:w="4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869,176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2,430</w:t>
            </w:r>
          </w:p>
        </w:tc>
        <w:tc>
          <w:tcPr>
            <w:tcW w:w="6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1.12</w:t>
            </w: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1,195,445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5,486</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1.85</w:t>
            </w: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tcPr>
          <w:p>
            <w:pPr>
              <w:ind w:left="120"/>
              <w:spacing w:after="0"/>
              <w:rPr>
                <w:sz w:val="20"/>
                <w:szCs w:val="20"/>
                <w:color w:val="auto"/>
              </w:rPr>
            </w:pPr>
            <w:r>
              <w:rPr>
                <w:rFonts w:ascii="Arial" w:cs="Arial" w:eastAsia="Arial" w:hAnsi="Arial"/>
                <w:sz w:val="12"/>
                <w:szCs w:val="12"/>
                <w:color w:val="auto"/>
              </w:rPr>
              <w:t>Total interest-bearing deposits</w:t>
            </w:r>
          </w:p>
        </w:tc>
        <w:tc>
          <w:tcPr>
            <w:tcW w:w="4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3,918,802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4,850</w:t>
            </w:r>
          </w:p>
        </w:tc>
        <w:tc>
          <w:tcPr>
            <w:tcW w:w="60" w:type="dxa"/>
            <w:vAlign w:val="bottom"/>
          </w:tcPr>
          <w:p>
            <w:pPr>
              <w:spacing w:after="0"/>
              <w:rPr>
                <w:sz w:val="12"/>
                <w:szCs w:val="12"/>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0.50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3,542,038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8,405</w:t>
            </w:r>
          </w:p>
        </w:tc>
        <w:tc>
          <w:tcPr>
            <w:tcW w:w="80" w:type="dxa"/>
            <w:vAlign w:val="bottom"/>
          </w:tcPr>
          <w:p>
            <w:pPr>
              <w:spacing w:after="0"/>
              <w:rPr>
                <w:sz w:val="12"/>
                <w:szCs w:val="12"/>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0.95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FHLB and short-term borrowings</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287,904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496,556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1,668</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1.35</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120"/>
              <w:spacing w:after="0"/>
              <w:rPr>
                <w:sz w:val="20"/>
                <w:szCs w:val="20"/>
                <w:color w:val="auto"/>
              </w:rPr>
            </w:pPr>
            <w:r>
              <w:rPr>
                <w:rFonts w:ascii="Arial" w:cs="Arial" w:eastAsia="Arial" w:hAnsi="Arial"/>
                <w:sz w:val="12"/>
                <w:szCs w:val="12"/>
                <w:color w:val="auto"/>
                <w:w w:val="97"/>
              </w:rPr>
              <w:t>Trust preferred securities, net of fair value adjustments</w:t>
            </w:r>
          </w:p>
        </w:tc>
        <w:tc>
          <w:tcPr>
            <w:tcW w:w="4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976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9.82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933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10.61</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Non-interest-bearing deposits</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801,591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745,864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tcPr>
          <w:p>
            <w:pPr>
              <w:ind w:left="120"/>
              <w:spacing w:after="0"/>
              <w:rPr>
                <w:sz w:val="20"/>
                <w:szCs w:val="20"/>
                <w:color w:val="auto"/>
              </w:rPr>
            </w:pPr>
            <w:r>
              <w:rPr>
                <w:rFonts w:ascii="Arial" w:cs="Arial" w:eastAsia="Arial" w:hAnsi="Arial"/>
                <w:sz w:val="12"/>
                <w:szCs w:val="12"/>
                <w:color w:val="auto"/>
              </w:rPr>
              <w:t>Cost of funds</w:t>
            </w: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5,009,273</w:t>
            </w:r>
          </w:p>
        </w:tc>
        <w:tc>
          <w:tcPr>
            <w:tcW w:w="80" w:type="dxa"/>
            <w:vAlign w:val="bottom"/>
          </w:tcPr>
          <w:p>
            <w:pPr>
              <w:spacing w:after="0"/>
              <w:rPr>
                <w:sz w:val="12"/>
                <w:szCs w:val="12"/>
                <w:color w:val="auto"/>
              </w:rPr>
            </w:pPr>
          </w:p>
        </w:tc>
        <w:tc>
          <w:tcPr>
            <w:tcW w:w="380" w:type="dxa"/>
            <w:vAlign w:val="bottom"/>
            <w:tcBorders>
              <w:top w:val="single" w:sz="8" w:color="auto"/>
            </w:tcBorders>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6,156</w:t>
            </w:r>
          </w:p>
        </w:tc>
        <w:tc>
          <w:tcPr>
            <w:tcW w:w="60" w:type="dxa"/>
            <w:vAlign w:val="bottom"/>
          </w:tcPr>
          <w:p>
            <w:pPr>
              <w:spacing w:after="0"/>
              <w:rPr>
                <w:sz w:val="12"/>
                <w:szCs w:val="12"/>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0.49</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4,785,391</w:t>
            </w:r>
          </w:p>
        </w:tc>
        <w:tc>
          <w:tcPr>
            <w:tcW w:w="80" w:type="dxa"/>
            <w:vAlign w:val="bottom"/>
          </w:tcPr>
          <w:p>
            <w:pPr>
              <w:spacing w:after="0"/>
              <w:rPr>
                <w:sz w:val="12"/>
                <w:szCs w:val="12"/>
                <w:color w:val="auto"/>
              </w:rPr>
            </w:pPr>
          </w:p>
        </w:tc>
        <w:tc>
          <w:tcPr>
            <w:tcW w:w="400" w:type="dxa"/>
            <w:vAlign w:val="bottom"/>
            <w:tcBorders>
              <w:top w:val="single" w:sz="8" w:color="auto"/>
            </w:tcBorders>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10,097</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rPr>
              <w:t>0.85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liabilities</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30,948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44,656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Stockholders’ equity</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633,417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611,466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liabilities and stockholders’ equity</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5,673,638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5,441,513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960" w:type="dxa"/>
            <w:vAlign w:val="bottom"/>
            <w:tcBorders>
              <w:top w:val="single" w:sz="8" w:color="CCEEFF"/>
              <w:bottom w:val="single" w:sz="8" w:color="CCEEFF"/>
            </w:tcBorders>
          </w:tcPr>
          <w:p>
            <w:pPr>
              <w:ind w:left="340"/>
              <w:spacing w:after="0" w:line="133" w:lineRule="exact"/>
              <w:rPr>
                <w:sz w:val="20"/>
                <w:szCs w:val="20"/>
                <w:color w:val="auto"/>
              </w:rPr>
            </w:pPr>
            <w:r>
              <w:rPr>
                <w:rFonts w:ascii="Arial" w:cs="Arial" w:eastAsia="Arial" w:hAnsi="Arial"/>
                <w:sz w:val="12"/>
                <w:szCs w:val="12"/>
                <w:color w:val="auto"/>
              </w:rPr>
              <w:t>Net interest income - tax-equivalent</w:t>
            </w:r>
            <w:r>
              <w:rPr>
                <w:rFonts w:ascii="Arial" w:cs="Arial" w:eastAsia="Arial" w:hAnsi="Arial"/>
                <w:sz w:val="15"/>
                <w:szCs w:val="15"/>
                <w:color w:val="auto"/>
                <w:vertAlign w:val="superscript"/>
              </w:rPr>
              <w:t>(1)</w:t>
            </w:r>
          </w:p>
        </w:tc>
        <w:tc>
          <w:tcPr>
            <w:tcW w:w="42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43,062</w:t>
            </w:r>
          </w:p>
        </w:tc>
        <w:tc>
          <w:tcPr>
            <w:tcW w:w="60" w:type="dxa"/>
            <w:vAlign w:val="bottom"/>
            <w:tcBorders>
              <w:top w:val="single" w:sz="8" w:color="CCEEFF"/>
              <w:bottom w:val="single" w:sz="8" w:color="CCEEFF"/>
            </w:tcBorders>
          </w:tcPr>
          <w:p>
            <w:pPr>
              <w:spacing w:after="0"/>
              <w:rPr>
                <w:sz w:val="13"/>
                <w:szCs w:val="13"/>
                <w:color w:val="auto"/>
              </w:rPr>
            </w:pPr>
          </w:p>
        </w:tc>
        <w:tc>
          <w:tcPr>
            <w:tcW w:w="860" w:type="dxa"/>
            <w:vAlign w:val="bottom"/>
            <w:tcBorders>
              <w:top w:val="single" w:sz="8" w:color="CCEEFF"/>
              <w:bottom w:val="single" w:sz="8" w:color="auto"/>
            </w:tcBorders>
          </w:tcPr>
          <w:p>
            <w:pPr>
              <w:spacing w:after="0"/>
              <w:rPr>
                <w:sz w:val="13"/>
                <w:szCs w:val="13"/>
                <w:color w:val="auto"/>
              </w:rPr>
            </w:pPr>
          </w:p>
        </w:tc>
        <w:tc>
          <w:tcPr>
            <w:tcW w:w="38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10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CCEEFF"/>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41,842</w:t>
            </w:r>
          </w:p>
        </w:tc>
        <w:tc>
          <w:tcPr>
            <w:tcW w:w="80" w:type="dxa"/>
            <w:vAlign w:val="bottom"/>
            <w:tcBorders>
              <w:top w:val="single" w:sz="8" w:color="CCEEFF"/>
              <w:bottom w:val="single" w:sz="8" w:color="CCEEFF"/>
            </w:tcBorders>
          </w:tcPr>
          <w:p>
            <w:pPr>
              <w:spacing w:after="0"/>
              <w:rPr>
                <w:sz w:val="13"/>
                <w:szCs w:val="13"/>
                <w:color w:val="auto"/>
              </w:rPr>
            </w:pPr>
          </w:p>
        </w:tc>
        <w:tc>
          <w:tcPr>
            <w:tcW w:w="960" w:type="dxa"/>
            <w:vAlign w:val="bottom"/>
            <w:tcBorders>
              <w:top w:val="single" w:sz="8" w:color="CCEEFF"/>
              <w:bottom w:val="single" w:sz="8" w:color="auto"/>
            </w:tcBorders>
          </w:tcPr>
          <w:p>
            <w:pPr>
              <w:spacing w:after="0"/>
              <w:rPr>
                <w:sz w:val="13"/>
                <w:szCs w:val="13"/>
                <w:color w:val="auto"/>
              </w:rPr>
            </w:pPr>
          </w:p>
        </w:tc>
        <w:tc>
          <w:tcPr>
            <w:tcW w:w="30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Borders>
              <w:top w:val="single" w:sz="8" w:color="CCEEFF"/>
              <w:bottom w:val="single" w:sz="8" w:color="CCEEFF"/>
            </w:tcBorders>
            <w:shd w:val="clear" w:color="auto" w:fill="CCEEFF"/>
          </w:tcPr>
          <w:p>
            <w:pPr>
              <w:ind w:left="340"/>
              <w:spacing w:after="0" w:line="133" w:lineRule="exact"/>
              <w:rPr>
                <w:sz w:val="20"/>
                <w:szCs w:val="20"/>
                <w:color w:val="auto"/>
              </w:rPr>
            </w:pPr>
            <w:r>
              <w:rPr>
                <w:rFonts w:ascii="Arial" w:cs="Arial" w:eastAsia="Arial" w:hAnsi="Arial"/>
                <w:sz w:val="12"/>
                <w:szCs w:val="12"/>
                <w:color w:val="auto"/>
              </w:rPr>
              <w:t>Net interest spread - tax-equivalent</w:t>
            </w:r>
            <w:r>
              <w:rPr>
                <w:rFonts w:ascii="Arial" w:cs="Arial" w:eastAsia="Arial" w:hAnsi="Arial"/>
                <w:sz w:val="15"/>
                <w:szCs w:val="15"/>
                <w:color w:val="auto"/>
                <w:vertAlign w:val="superscript"/>
              </w:rPr>
              <w:t>(1)</w:t>
            </w: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3.08</w:t>
            </w:r>
          </w:p>
        </w:tc>
        <w:tc>
          <w:tcPr>
            <w:tcW w:w="38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auto"/>
            </w:tcBorders>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3.11</w:t>
            </w:r>
          </w:p>
        </w:tc>
        <w:tc>
          <w:tcPr>
            <w:tcW w:w="300" w:type="dxa"/>
            <w:vAlign w:val="bottom"/>
            <w:tcBorders>
              <w:top w:val="single" w:sz="8" w:color="CCEEFF"/>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tcPr>
          <w:p>
            <w:pPr>
              <w:ind w:left="340"/>
              <w:spacing w:after="0" w:line="153" w:lineRule="exact"/>
              <w:rPr>
                <w:sz w:val="20"/>
                <w:szCs w:val="20"/>
                <w:color w:val="auto"/>
              </w:rPr>
            </w:pPr>
            <w:r>
              <w:rPr>
                <w:rFonts w:ascii="Arial" w:cs="Arial" w:eastAsia="Arial" w:hAnsi="Arial"/>
                <w:sz w:val="12"/>
                <w:szCs w:val="12"/>
                <w:color w:val="auto"/>
              </w:rPr>
              <w:t>Net interest margin - tax-equivalent</w:t>
            </w:r>
            <w:r>
              <w:rPr>
                <w:rFonts w:ascii="Arial" w:cs="Arial" w:eastAsia="Arial" w:hAnsi="Arial"/>
                <w:sz w:val="15"/>
                <w:szCs w:val="15"/>
                <w:color w:val="auto"/>
                <w:vertAlign w:val="superscript"/>
              </w:rPr>
              <w:t>(1)</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3.19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ind w:left="260" w:hanging="112"/>
        <w:spacing w:after="0"/>
        <w:tabs>
          <w:tab w:leader="none" w:pos="260" w:val="left"/>
        </w:tabs>
        <w:numPr>
          <w:ilvl w:val="0"/>
          <w:numId w:val="11"/>
        </w:numPr>
        <w:rPr>
          <w:rFonts w:ascii="Arial" w:cs="Arial" w:eastAsia="Arial" w:hAnsi="Arial"/>
          <w:sz w:val="13"/>
          <w:szCs w:val="13"/>
          <w:color w:val="auto"/>
          <w:vertAlign w:val="superscript"/>
        </w:rPr>
      </w:pPr>
      <w:r>
        <w:rPr>
          <w:rFonts w:ascii="Arial" w:cs="Arial" w:eastAsia="Arial" w:hAnsi="Arial"/>
          <w:sz w:val="10"/>
          <w:szCs w:val="10"/>
          <w:color w:val="auto"/>
        </w:rPr>
        <w:t>Tax exempt income is calculated on a tax equivalent basis. Tax-free municipal securities are exempt from Federal income taxes. The incremental tax rate used is 21.0%.</w:t>
      </w:r>
    </w:p>
    <w:p>
      <w:pPr>
        <w:spacing w:after="0" w:line="15" w:lineRule="exact"/>
        <w:rPr>
          <w:rFonts w:ascii="Arial" w:cs="Arial" w:eastAsia="Arial" w:hAnsi="Arial"/>
          <w:sz w:val="13"/>
          <w:szCs w:val="13"/>
          <w:color w:val="auto"/>
          <w:vertAlign w:val="superscript"/>
        </w:rPr>
      </w:pPr>
    </w:p>
    <w:p>
      <w:pPr>
        <w:ind w:left="580" w:hanging="108"/>
        <w:spacing w:after="0" w:line="205" w:lineRule="auto"/>
        <w:tabs>
          <w:tab w:leader="none" w:pos="580" w:val="left"/>
        </w:tabs>
        <w:numPr>
          <w:ilvl w:val="1"/>
          <w:numId w:val="11"/>
        </w:numPr>
        <w:rPr>
          <w:rFonts w:ascii="Arial" w:cs="Arial" w:eastAsia="Arial" w:hAnsi="Arial"/>
          <w:sz w:val="13"/>
          <w:szCs w:val="13"/>
          <w:color w:val="auto"/>
          <w:vertAlign w:val="superscript"/>
        </w:rPr>
      </w:pPr>
      <w:r>
        <w:rPr>
          <w:rFonts w:ascii="Arial" w:cs="Arial" w:eastAsia="Arial" w:hAnsi="Arial"/>
          <w:sz w:val="10"/>
          <w:szCs w:val="10"/>
          <w:color w:val="auto"/>
        </w:rPr>
        <w:t>Loans, net of unearned income includes non-accrual loans of $55 million and $38 million as of June 30, 2021 and 2020, respectively.</w:t>
      </w:r>
    </w:p>
    <w:p>
      <w:pPr>
        <w:spacing w:after="0" w:line="16" w:lineRule="exact"/>
        <w:rPr>
          <w:rFonts w:ascii="Arial" w:cs="Arial" w:eastAsia="Arial" w:hAnsi="Arial"/>
          <w:sz w:val="13"/>
          <w:szCs w:val="13"/>
          <w:color w:val="auto"/>
          <w:vertAlign w:val="superscript"/>
        </w:rPr>
      </w:pPr>
    </w:p>
    <w:p>
      <w:pPr>
        <w:ind w:left="580" w:hanging="108"/>
        <w:spacing w:after="0" w:line="205" w:lineRule="auto"/>
        <w:tabs>
          <w:tab w:leader="none" w:pos="580" w:val="left"/>
        </w:tabs>
        <w:numPr>
          <w:ilvl w:val="1"/>
          <w:numId w:val="11"/>
        </w:numPr>
        <w:rPr>
          <w:rFonts w:ascii="Arial" w:cs="Arial" w:eastAsia="Arial" w:hAnsi="Arial"/>
          <w:sz w:val="13"/>
          <w:szCs w:val="13"/>
          <w:color w:val="auto"/>
          <w:vertAlign w:val="superscript"/>
        </w:rPr>
      </w:pPr>
      <w:r>
        <w:rPr>
          <w:rFonts w:ascii="Arial" w:cs="Arial" w:eastAsia="Arial" w:hAnsi="Arial"/>
          <w:sz w:val="10"/>
          <w:szCs w:val="10"/>
          <w:color w:val="auto"/>
        </w:rPr>
        <w:t>Loan interest income includes loan fees of $5 million and $4 million for the three months ended June 30,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6372860</wp:posOffset>
            </wp:positionH>
            <wp:positionV relativeFrom="paragraph">
              <wp:posOffset>-264795</wp:posOffset>
            </wp:positionV>
            <wp:extent cx="8001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00100" cy="571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-264795</wp:posOffset>
            </wp:positionV>
            <wp:extent cx="78867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88670" cy="5715"/>
                    </a:xfrm>
                    <a:prstGeom prst="rect">
                      <a:avLst/>
                    </a:prstGeom>
                    <a:noFill/>
                  </pic:spPr>
                </pic:pic>
              </a:graphicData>
            </a:graphic>
          </wp:anchor>
        </w:drawing>
      </w:r>
    </w:p>
    <w:p>
      <w:pPr>
        <w:ind w:left="240" w:hanging="92"/>
        <w:spacing w:after="0"/>
        <w:tabs>
          <w:tab w:leader="none" w:pos="240" w:val="left"/>
        </w:tabs>
        <w:numPr>
          <w:ilvl w:val="0"/>
          <w:numId w:val="12"/>
        </w:numPr>
        <w:rPr>
          <w:rFonts w:ascii="Arial" w:cs="Arial" w:eastAsia="Arial" w:hAnsi="Arial"/>
          <w:sz w:val="11"/>
          <w:szCs w:val="11"/>
          <w:color w:val="auto"/>
          <w:vertAlign w:val="superscript"/>
        </w:rPr>
      </w:pPr>
      <w:r>
        <w:rPr>
          <w:rFonts w:ascii="Arial" w:cs="Arial" w:eastAsia="Arial" w:hAnsi="Arial"/>
          <w:sz w:val="9"/>
          <w:szCs w:val="9"/>
          <w:color w:val="auto"/>
        </w:rPr>
        <w:t>Actual unrounded values are used to calculate the reported yield or rate disclosed. Accordingly, recalculations using the amounts in thousands as disclosed in this report may not produce the same amounts.</w:t>
      </w:r>
    </w:p>
    <w:p>
      <w:pPr>
        <w:spacing w:after="0" w:line="200" w:lineRule="exact"/>
        <w:rPr>
          <w:rFonts w:ascii="Arial" w:cs="Arial" w:eastAsia="Arial" w:hAnsi="Arial"/>
          <w:sz w:val="11"/>
          <w:szCs w:val="11"/>
          <w:color w:val="auto"/>
          <w:vertAlign w:val="superscript"/>
        </w:rPr>
      </w:pPr>
    </w:p>
    <w:p>
      <w:pPr>
        <w:spacing w:after="0" w:line="200" w:lineRule="exact"/>
        <w:rPr>
          <w:rFonts w:ascii="Arial" w:cs="Arial" w:eastAsia="Arial" w:hAnsi="Arial"/>
          <w:sz w:val="11"/>
          <w:szCs w:val="11"/>
          <w:color w:val="auto"/>
          <w:vertAlign w:val="superscript"/>
        </w:rPr>
      </w:pPr>
    </w:p>
    <w:p>
      <w:pPr>
        <w:spacing w:after="0" w:line="200" w:lineRule="exact"/>
        <w:rPr>
          <w:rFonts w:ascii="Arial" w:cs="Arial" w:eastAsia="Arial" w:hAnsi="Arial"/>
          <w:sz w:val="11"/>
          <w:szCs w:val="11"/>
          <w:color w:val="auto"/>
          <w:vertAlign w:val="superscript"/>
        </w:rPr>
      </w:pPr>
    </w:p>
    <w:p>
      <w:pPr>
        <w:spacing w:after="0" w:line="232" w:lineRule="exact"/>
        <w:rPr>
          <w:rFonts w:ascii="Arial" w:cs="Arial" w:eastAsia="Arial" w:hAnsi="Arial"/>
          <w:sz w:val="11"/>
          <w:szCs w:val="11"/>
          <w:color w:val="auto"/>
          <w:vertAlign w:val="superscript"/>
        </w:rPr>
      </w:pPr>
    </w:p>
    <w:p>
      <w:pPr>
        <w:ind w:left="5580"/>
        <w:spacing w:after="0"/>
        <w:rPr>
          <w:rFonts w:ascii="Arial" w:cs="Arial" w:eastAsia="Arial" w:hAnsi="Arial"/>
          <w:sz w:val="11"/>
          <w:szCs w:val="11"/>
          <w:color w:val="auto"/>
          <w:vertAlign w:val="superscript"/>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3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38"/>
        </w:trPr>
        <w:tc>
          <w:tcPr>
            <w:tcW w:w="4060" w:type="dxa"/>
            <w:vAlign w:val="bottom"/>
            <w:gridSpan w:val="3"/>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0"/>
        </w:trPr>
        <w:tc>
          <w:tcPr>
            <w:tcW w:w="1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2"/>
                <w:szCs w:val="12"/>
                <w:b w:val="1"/>
                <w:bCs w:val="1"/>
                <w:color w:val="auto"/>
                <w:w w:val="90"/>
              </w:rPr>
              <w:t>Six Months Ended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2"/>
                <w:szCs w:val="12"/>
                <w:b w:val="1"/>
                <w:bCs w:val="1"/>
                <w:color w:val="auto"/>
                <w:w w:val="87"/>
              </w:rPr>
              <w:t>June 30,</w:t>
            </w: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Average Balance</w:t>
            </w:r>
          </w:p>
        </w:tc>
        <w:tc>
          <w:tcPr>
            <w:tcW w:w="1060" w:type="dxa"/>
            <w:vAlign w:val="bottom"/>
            <w:gridSpan w:val="3"/>
          </w:tcPr>
          <w:p>
            <w:pPr>
              <w:jc w:val="center"/>
              <w:ind w:right="80"/>
              <w:spacing w:after="0" w:line="106" w:lineRule="exact"/>
              <w:rPr>
                <w:sz w:val="20"/>
                <w:szCs w:val="20"/>
                <w:color w:val="auto"/>
              </w:rPr>
            </w:pPr>
            <w:r>
              <w:rPr>
                <w:rFonts w:ascii="Arial" w:cs="Arial" w:eastAsia="Arial" w:hAnsi="Arial"/>
                <w:sz w:val="12"/>
                <w:szCs w:val="12"/>
                <w:b w:val="1"/>
                <w:bCs w:val="1"/>
                <w:color w:val="auto"/>
                <w:w w:val="90"/>
              </w:rPr>
              <w:t>Interest Income /</w:t>
            </w:r>
          </w:p>
        </w:tc>
        <w:tc>
          <w:tcPr>
            <w:tcW w:w="1040" w:type="dxa"/>
            <w:vAlign w:val="bottom"/>
          </w:tcPr>
          <w:p>
            <w:pPr>
              <w:jc w:val="right"/>
              <w:ind w:right="60"/>
              <w:spacing w:after="0" w:line="106" w:lineRule="exact"/>
              <w:rPr>
                <w:sz w:val="20"/>
                <w:szCs w:val="20"/>
                <w:color w:val="auto"/>
              </w:rPr>
            </w:pPr>
            <w:r>
              <w:rPr>
                <w:rFonts w:ascii="Arial" w:cs="Arial" w:eastAsia="Arial" w:hAnsi="Arial"/>
                <w:sz w:val="12"/>
                <w:szCs w:val="12"/>
                <w:b w:val="1"/>
                <w:bCs w:val="1"/>
                <w:color w:val="auto"/>
              </w:rPr>
              <w:t>Average Yield /</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Average Balance</w:t>
            </w:r>
          </w:p>
        </w:tc>
        <w:tc>
          <w:tcPr>
            <w:tcW w:w="1080" w:type="dxa"/>
            <w:vAlign w:val="bottom"/>
            <w:gridSpan w:val="3"/>
          </w:tcPr>
          <w:p>
            <w:pPr>
              <w:jc w:val="center"/>
              <w:ind w:right="100"/>
              <w:spacing w:after="0" w:line="106" w:lineRule="exact"/>
              <w:rPr>
                <w:sz w:val="20"/>
                <w:szCs w:val="20"/>
                <w:color w:val="auto"/>
              </w:rPr>
            </w:pPr>
            <w:r>
              <w:rPr>
                <w:rFonts w:ascii="Arial" w:cs="Arial" w:eastAsia="Arial" w:hAnsi="Arial"/>
                <w:sz w:val="12"/>
                <w:szCs w:val="12"/>
                <w:b w:val="1"/>
                <w:bCs w:val="1"/>
                <w:color w:val="auto"/>
                <w:w w:val="90"/>
              </w:rPr>
              <w:t>Interest Income /</w:t>
            </w:r>
          </w:p>
        </w:tc>
        <w:tc>
          <w:tcPr>
            <w:tcW w:w="1020" w:type="dxa"/>
            <w:vAlign w:val="bottom"/>
          </w:tcPr>
          <w:p>
            <w:pPr>
              <w:jc w:val="right"/>
              <w:ind w:right="60"/>
              <w:spacing w:after="0" w:line="106" w:lineRule="exact"/>
              <w:rPr>
                <w:sz w:val="20"/>
                <w:szCs w:val="20"/>
                <w:color w:val="auto"/>
              </w:rPr>
            </w:pPr>
            <w:r>
              <w:rPr>
                <w:rFonts w:ascii="Arial" w:cs="Arial" w:eastAsia="Arial" w:hAnsi="Arial"/>
                <w:sz w:val="12"/>
                <w:szCs w:val="12"/>
                <w:b w:val="1"/>
                <w:bCs w:val="1"/>
                <w:color w:val="auto"/>
              </w:rPr>
              <w:t>Average Yield /</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4"/>
              </w:rPr>
              <w:t>Expense</w:t>
            </w:r>
          </w:p>
        </w:tc>
        <w:tc>
          <w:tcPr>
            <w:tcW w:w="1040" w:type="dxa"/>
            <w:vAlign w:val="bottom"/>
            <w:tcBorders>
              <w:bottom w:val="single" w:sz="8" w:color="auto"/>
            </w:tcBorders>
          </w:tcPr>
          <w:p>
            <w:pPr>
              <w:jc w:val="right"/>
              <w:ind w:right="280"/>
              <w:spacing w:after="0" w:line="153"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5"/>
                <w:szCs w:val="15"/>
                <w:b w:val="1"/>
                <w:bCs w:val="1"/>
                <w:color w:val="auto"/>
                <w:vertAlign w:val="superscript"/>
              </w:rPr>
              <w:t>(4)</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4"/>
              </w:rPr>
              <w:t>Expense</w:t>
            </w:r>
          </w:p>
        </w:tc>
        <w:tc>
          <w:tcPr>
            <w:tcW w:w="1020" w:type="dxa"/>
            <w:vAlign w:val="bottom"/>
            <w:tcBorders>
              <w:bottom w:val="single" w:sz="8" w:color="auto"/>
            </w:tcBorders>
          </w:tcPr>
          <w:p>
            <w:pPr>
              <w:jc w:val="right"/>
              <w:ind w:right="280"/>
              <w:spacing w:after="0" w:line="153"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1"/>
                <w:szCs w:val="11"/>
                <w:i w:val="1"/>
                <w:iCs w:val="1"/>
                <w:color w:val="auto"/>
                <w:w w:val="91"/>
              </w:rPr>
              <w:t>(Dollars in thousands)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Interest-earning assets: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Securities - taxable</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214,178</w:t>
            </w:r>
          </w:p>
        </w:tc>
        <w:tc>
          <w:tcPr>
            <w:tcW w:w="8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1,947</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1.83 %</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299,456</w:t>
            </w:r>
          </w:p>
        </w:tc>
        <w:tc>
          <w:tcPr>
            <w:tcW w:w="8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3,692</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2.48 %</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2"/>
                <w:szCs w:val="12"/>
                <w:color w:val="auto"/>
              </w:rPr>
              <w:t>Securities - tax-exempt</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494,297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8,286</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444,948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7,952</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3.59</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Federal funds sold</w:t>
            </w:r>
          </w:p>
        </w:tc>
        <w:tc>
          <w:tcPr>
            <w:tcW w:w="1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1.74</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Interest-bearing deposits in other banks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429,930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172,294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tcBorders>
              <w:bottom w:val="single" w:sz="8" w:color="CCEEFF"/>
            </w:tcBorders>
            <w:gridSpan w:val="2"/>
          </w:tcPr>
          <w:p>
            <w:pPr>
              <w:ind w:left="220"/>
              <w:spacing w:after="0" w:line="153" w:lineRule="exact"/>
              <w:rPr>
                <w:sz w:val="20"/>
                <w:szCs w:val="20"/>
                <w:color w:val="auto"/>
              </w:rPr>
            </w:pPr>
            <w:r>
              <w:rPr>
                <w:rFonts w:ascii="Arial" w:cs="Arial" w:eastAsia="Arial" w:hAnsi="Arial"/>
                <w:sz w:val="12"/>
                <w:szCs w:val="12"/>
                <w:color w:val="auto"/>
              </w:rPr>
              <w:t>Gross loans, net of unearned income</w:t>
            </w:r>
            <w:r>
              <w:rPr>
                <w:rFonts w:ascii="Arial" w:cs="Arial" w:eastAsia="Arial" w:hAnsi="Arial"/>
                <w:sz w:val="15"/>
                <w:szCs w:val="15"/>
                <w:color w:val="auto"/>
                <w:vertAlign w:val="superscript"/>
              </w:rPr>
              <w:t>(2)(3)</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4,457,792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87,604</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3.96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4,132,279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94,662</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4.61</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9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2"/>
                <w:szCs w:val="12"/>
                <w:color w:val="auto"/>
              </w:rPr>
              <w:t>Total interest-earning assets</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5,596,197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98,075</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3.53 %</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5,051,034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106,842</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4.25 %</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Allowance for loan losses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(77,552)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(59,267)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Other non-interest-earning assets</w:t>
            </w: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216,913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218,043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3960" w:type="dxa"/>
            <w:vAlign w:val="bottom"/>
            <w:gridSpan w:val="2"/>
          </w:tcPr>
          <w:p>
            <w:pPr>
              <w:ind w:left="20"/>
              <w:spacing w:after="0"/>
              <w:rPr>
                <w:sz w:val="20"/>
                <w:szCs w:val="20"/>
                <w:color w:val="auto"/>
              </w:rPr>
            </w:pPr>
            <w:r>
              <w:rPr>
                <w:rFonts w:ascii="Arial" w:cs="Arial" w:eastAsia="Arial" w:hAnsi="Arial"/>
                <w:sz w:val="12"/>
                <w:szCs w:val="12"/>
                <w:color w:val="auto"/>
              </w:rPr>
              <w:t>Total assets</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5,735,558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5,209,810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960" w:type="dxa"/>
            <w:vAlign w:val="bottom"/>
            <w:tcBorders>
              <w:top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Interest-bearing liabilities</w:t>
            </w:r>
          </w:p>
        </w:tc>
        <w:tc>
          <w:tcPr>
            <w:tcW w:w="1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Transaction deposits</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690,514</w:t>
            </w:r>
          </w:p>
        </w:tc>
        <w:tc>
          <w:tcPr>
            <w:tcW w:w="8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677</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0.20 %</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377,883</w:t>
            </w:r>
          </w:p>
        </w:tc>
        <w:tc>
          <w:tcPr>
            <w:tcW w:w="8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1,131</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0.60 %</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Savings and money market deposits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2,403,318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4,495</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1,909,881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9,388</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0.99</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Time deposits</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920,307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5,406</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1,180,704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12,158</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Total interest-bearing deposits</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4,014,139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10,578</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3,468,468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22,677</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FHLB and short-term borrowings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289,039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2,566</w:t>
            </w:r>
          </w:p>
        </w:tc>
        <w:tc>
          <w:tcPr>
            <w:tcW w:w="80" w:type="dxa"/>
            <w:vAlign w:val="bottom"/>
          </w:tcPr>
          <w:p>
            <w:pPr>
              <w:spacing w:after="0"/>
              <w:rPr>
                <w:sz w:val="13"/>
                <w:szCs w:val="13"/>
                <w:color w:val="auto"/>
              </w:rPr>
            </w:pP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1.79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444,141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3,342</w:t>
            </w:r>
          </w:p>
        </w:tc>
        <w:tc>
          <w:tcPr>
            <w:tcW w:w="8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Trust preferred securities, net of fair value adjustments</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9.89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12.64</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Non-interest-bearing deposits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766,725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643,659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9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Cost of funds</w:t>
            </w: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5,070,874</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13,192</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0.52 %</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4,557,196</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26,077</w:t>
            </w: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1.15 %</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Other liabilities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35,017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40,406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Stockholders’ equity</w:t>
            </w: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629,667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612,208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960" w:type="dxa"/>
            <w:vAlign w:val="bottom"/>
            <w:gridSpan w:val="2"/>
          </w:tcPr>
          <w:p>
            <w:pPr>
              <w:ind w:left="20"/>
              <w:spacing w:after="0"/>
              <w:rPr>
                <w:sz w:val="20"/>
                <w:szCs w:val="20"/>
                <w:color w:val="auto"/>
              </w:rPr>
            </w:pPr>
            <w:r>
              <w:rPr>
                <w:rFonts w:ascii="Arial" w:cs="Arial" w:eastAsia="Arial" w:hAnsi="Arial"/>
                <w:sz w:val="12"/>
                <w:szCs w:val="12"/>
                <w:color w:val="auto"/>
              </w:rPr>
              <w:t>Total liabilities and stockholders’ equity</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5,735,558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5,209,810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960" w:type="dxa"/>
            <w:vAlign w:val="bottom"/>
            <w:tcBorders>
              <w:top w:val="single" w:sz="8" w:color="CCEEFF"/>
              <w:bottom w:val="single" w:sz="8" w:color="CCEEFF"/>
            </w:tcBorders>
            <w:gridSpan w:val="2"/>
            <w:shd w:val="clear" w:color="auto" w:fill="CCEEFF"/>
          </w:tcPr>
          <w:p>
            <w:pPr>
              <w:ind w:left="20"/>
              <w:spacing w:after="0" w:line="133" w:lineRule="exact"/>
              <w:rPr>
                <w:sz w:val="20"/>
                <w:szCs w:val="20"/>
                <w:color w:val="auto"/>
              </w:rPr>
            </w:pPr>
            <w:r>
              <w:rPr>
                <w:rFonts w:ascii="Arial" w:cs="Arial" w:eastAsia="Arial" w:hAnsi="Arial"/>
                <w:sz w:val="12"/>
                <w:szCs w:val="12"/>
                <w:color w:val="auto"/>
              </w:rPr>
              <w:t>Net interest income - tax-equivalent</w:t>
            </w:r>
            <w:r>
              <w:rPr>
                <w:rFonts w:ascii="Arial" w:cs="Arial" w:eastAsia="Arial" w:hAnsi="Arial"/>
                <w:sz w:val="15"/>
                <w:szCs w:val="15"/>
                <w:color w:val="auto"/>
                <w:vertAlign w:val="superscript"/>
              </w:rPr>
              <w:t>(1)</w:t>
            </w: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84,883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80,765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960" w:type="dxa"/>
            <w:vAlign w:val="bottom"/>
            <w:tcBorders>
              <w:bottom w:val="single" w:sz="8" w:color="CCEEFF"/>
            </w:tcBorders>
            <w:gridSpan w:val="2"/>
          </w:tcPr>
          <w:p>
            <w:pPr>
              <w:ind w:left="20"/>
              <w:spacing w:after="0" w:line="133" w:lineRule="exact"/>
              <w:rPr>
                <w:sz w:val="20"/>
                <w:szCs w:val="20"/>
                <w:color w:val="auto"/>
              </w:rPr>
            </w:pPr>
            <w:r>
              <w:rPr>
                <w:rFonts w:ascii="Arial" w:cs="Arial" w:eastAsia="Arial" w:hAnsi="Arial"/>
                <w:sz w:val="12"/>
                <w:szCs w:val="12"/>
                <w:color w:val="auto"/>
              </w:rPr>
              <w:t>Net interest spread - tax-equivalent</w:t>
            </w:r>
            <w:r>
              <w:rPr>
                <w:rFonts w:ascii="Arial" w:cs="Arial" w:eastAsia="Arial" w:hAnsi="Arial"/>
                <w:sz w:val="15"/>
                <w:szCs w:val="15"/>
                <w:color w:val="auto"/>
                <w:vertAlign w:val="superscript"/>
              </w:rPr>
              <w:t>(1)</w:t>
            </w:r>
          </w:p>
        </w:tc>
        <w:tc>
          <w:tcPr>
            <w:tcW w:w="1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3.01 %</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3.10 %</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3960" w:type="dxa"/>
            <w:vAlign w:val="bottom"/>
            <w:tcBorders>
              <w:bottom w:val="single" w:sz="8" w:color="CCEEFF"/>
            </w:tcBorders>
            <w:gridSpan w:val="2"/>
            <w:shd w:val="clear" w:color="auto" w:fill="CCEEFF"/>
          </w:tcPr>
          <w:p>
            <w:pPr>
              <w:ind w:left="20"/>
              <w:spacing w:after="0" w:line="153" w:lineRule="exact"/>
              <w:rPr>
                <w:sz w:val="20"/>
                <w:szCs w:val="20"/>
                <w:color w:val="auto"/>
              </w:rPr>
            </w:pPr>
            <w:r>
              <w:rPr>
                <w:rFonts w:ascii="Arial" w:cs="Arial" w:eastAsia="Arial" w:hAnsi="Arial"/>
                <w:sz w:val="12"/>
                <w:szCs w:val="12"/>
                <w:color w:val="auto"/>
              </w:rPr>
              <w:t>Net interest margin - tax-equivalent</w:t>
            </w:r>
            <w:r>
              <w:rPr>
                <w:rFonts w:ascii="Arial" w:cs="Arial" w:eastAsia="Arial" w:hAnsi="Arial"/>
                <w:sz w:val="15"/>
                <w:szCs w:val="15"/>
                <w:color w:val="auto"/>
                <w:vertAlign w:val="superscript"/>
              </w:rPr>
              <w:t>(1)</w:t>
            </w:r>
          </w:p>
        </w:tc>
        <w:tc>
          <w:tcPr>
            <w:tcW w:w="1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3.06 %</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40" w:hanging="92"/>
        <w:spacing w:after="0"/>
        <w:tabs>
          <w:tab w:leader="none" w:pos="240" w:val="left"/>
        </w:tabs>
        <w:numPr>
          <w:ilvl w:val="0"/>
          <w:numId w:val="13"/>
        </w:numPr>
        <w:rPr>
          <w:rFonts w:ascii="Arial" w:cs="Arial" w:eastAsia="Arial" w:hAnsi="Arial"/>
          <w:sz w:val="11"/>
          <w:szCs w:val="11"/>
          <w:color w:val="auto"/>
          <w:vertAlign w:val="superscript"/>
        </w:rPr>
      </w:pPr>
      <w:r>
        <w:rPr>
          <w:rFonts w:ascii="Arial" w:cs="Arial" w:eastAsia="Arial" w:hAnsi="Arial"/>
          <w:sz w:val="9"/>
          <w:szCs w:val="9"/>
          <w:color w:val="auto"/>
        </w:rPr>
        <w:t>Tax exempt income is calculated on a tax-equivalent basis. Tax-free municipal securities are exempt from Federal income taxes. The incremental tax rate used is 21.0%.</w:t>
      </w:r>
    </w:p>
    <w:p>
      <w:pPr>
        <w:spacing w:after="0" w:line="25" w:lineRule="exact"/>
        <w:rPr>
          <w:rFonts w:ascii="Arial" w:cs="Arial" w:eastAsia="Arial" w:hAnsi="Arial"/>
          <w:sz w:val="11"/>
          <w:szCs w:val="11"/>
          <w:color w:val="auto"/>
          <w:vertAlign w:val="superscript"/>
        </w:rPr>
      </w:pPr>
    </w:p>
    <w:p>
      <w:pPr>
        <w:ind w:left="260" w:hanging="112"/>
        <w:spacing w:after="0" w:line="205" w:lineRule="auto"/>
        <w:tabs>
          <w:tab w:leader="none" w:pos="26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Loans, net of unearned income includes non-accrual loans of $55 million and $38 million as of June 30, 2021 and 2020, respectively.</w:t>
      </w:r>
    </w:p>
    <w:p>
      <w:pPr>
        <w:spacing w:after="0" w:line="16" w:lineRule="exact"/>
        <w:rPr>
          <w:rFonts w:ascii="Arial" w:cs="Arial" w:eastAsia="Arial" w:hAnsi="Arial"/>
          <w:sz w:val="13"/>
          <w:szCs w:val="13"/>
          <w:color w:val="auto"/>
          <w:vertAlign w:val="superscript"/>
        </w:rPr>
      </w:pPr>
    </w:p>
    <w:p>
      <w:pPr>
        <w:ind w:left="260" w:hanging="112"/>
        <w:spacing w:after="0" w:line="205" w:lineRule="auto"/>
        <w:tabs>
          <w:tab w:leader="none" w:pos="26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Loan interest income includes loan fees of $9 million and $6 million for the six months ended June 30, 2021 and 2020, respectively.</w:t>
      </w:r>
    </w:p>
    <w:p>
      <w:pPr>
        <w:spacing w:after="0" w:line="16" w:lineRule="exact"/>
        <w:rPr>
          <w:rFonts w:ascii="Arial" w:cs="Arial" w:eastAsia="Arial" w:hAnsi="Arial"/>
          <w:sz w:val="13"/>
          <w:szCs w:val="13"/>
          <w:color w:val="auto"/>
          <w:vertAlign w:val="superscript"/>
        </w:rPr>
      </w:pPr>
    </w:p>
    <w:p>
      <w:pPr>
        <w:ind w:left="260" w:hanging="112"/>
        <w:spacing w:after="0" w:line="205" w:lineRule="auto"/>
        <w:tabs>
          <w:tab w:leader="none" w:pos="260" w:val="left"/>
        </w:tabs>
        <w:numPr>
          <w:ilvl w:val="0"/>
          <w:numId w:val="13"/>
        </w:numPr>
        <w:rPr>
          <w:rFonts w:ascii="Arial" w:cs="Arial" w:eastAsia="Arial" w:hAnsi="Arial"/>
          <w:sz w:val="13"/>
          <w:szCs w:val="13"/>
          <w:color w:val="auto"/>
          <w:vertAlign w:val="superscript"/>
        </w:rPr>
      </w:pPr>
      <w:r>
        <w:rPr>
          <w:rFonts w:ascii="Arial" w:cs="Arial" w:eastAsia="Arial" w:hAnsi="Arial"/>
          <w:sz w:val="10"/>
          <w:szCs w:val="10"/>
          <w:color w:val="auto"/>
        </w:rPr>
        <w:t>Actual unrounded values are used to calculate the reported yield or rate disclosed. Accordingly, recalculations using the amounts in thousands as disclosed in this report may not produce the same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6395720</wp:posOffset>
            </wp:positionH>
            <wp:positionV relativeFrom="paragraph">
              <wp:posOffset>-356235</wp:posOffset>
            </wp:positionV>
            <wp:extent cx="6572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7225" cy="571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-356235</wp:posOffset>
            </wp:positionV>
            <wp:extent cx="6572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72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300" w:top="119" w:right="49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ind w:left="100" w:right="160" w:firstLine="324"/>
        <w:spacing w:after="0" w:line="263" w:lineRule="auto"/>
        <w:rPr>
          <w:sz w:val="20"/>
          <w:szCs w:val="20"/>
          <w:color w:val="auto"/>
        </w:rPr>
      </w:pPr>
      <w:r>
        <w:rPr>
          <w:rFonts w:ascii="Arial" w:cs="Arial" w:eastAsia="Arial" w:hAnsi="Arial"/>
          <w:sz w:val="12"/>
          <w:szCs w:val="12"/>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periods shown. Information is provided with respect to: (i) changes in volume (change in volume times old rate); (ii) changes in rates (change in rate times old volume); and (iii) changes in rate/volume (change in rate times the change in volume).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2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center"/>
              <w:ind w:left="20"/>
              <w:spacing w:after="0"/>
              <w:rPr>
                <w:sz w:val="20"/>
                <w:szCs w:val="20"/>
                <w:color w:val="auto"/>
              </w:rPr>
            </w:pPr>
            <w:r>
              <w:rPr>
                <w:rFonts w:ascii="Arial" w:cs="Arial" w:eastAsia="Arial" w:hAnsi="Arial"/>
                <w:sz w:val="12"/>
                <w:szCs w:val="12"/>
                <w:b w:val="1"/>
                <w:bCs w:val="1"/>
                <w:color w:val="auto"/>
                <w:w w:val="92"/>
              </w:rPr>
              <w:t>Three Months Ended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center"/>
              <w:ind w:left="20"/>
              <w:spacing w:after="0"/>
              <w:rPr>
                <w:sz w:val="20"/>
                <w:szCs w:val="20"/>
                <w:color w:val="auto"/>
              </w:rPr>
            </w:pPr>
            <w:r>
              <w:rPr>
                <w:rFonts w:ascii="Arial" w:cs="Arial" w:eastAsia="Arial" w:hAnsi="Arial"/>
                <w:sz w:val="12"/>
                <w:szCs w:val="12"/>
                <w:b w:val="1"/>
                <w:bCs w:val="1"/>
                <w:color w:val="auto"/>
                <w:w w:val="90"/>
              </w:rPr>
              <w:t>Six Months Ended</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27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ind w:left="20"/>
              <w:spacing w:after="0"/>
              <w:rPr>
                <w:sz w:val="20"/>
                <w:szCs w:val="20"/>
                <w:color w:val="auto"/>
              </w:rPr>
            </w:pPr>
            <w:r>
              <w:rPr>
                <w:rFonts w:ascii="Arial" w:cs="Arial" w:eastAsia="Arial" w:hAnsi="Arial"/>
                <w:sz w:val="12"/>
                <w:szCs w:val="12"/>
                <w:b w:val="1"/>
                <w:bCs w:val="1"/>
                <w:color w:val="auto"/>
                <w:w w:val="89"/>
              </w:rPr>
              <w:t>June 30, 2021 over 2020</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center"/>
              <w:ind w:left="20"/>
              <w:spacing w:after="0"/>
              <w:rPr>
                <w:sz w:val="20"/>
                <w:szCs w:val="20"/>
                <w:color w:val="auto"/>
              </w:rPr>
            </w:pPr>
            <w:r>
              <w:rPr>
                <w:rFonts w:ascii="Arial" w:cs="Arial" w:eastAsia="Arial" w:hAnsi="Arial"/>
                <w:sz w:val="12"/>
                <w:szCs w:val="12"/>
                <w:b w:val="1"/>
                <w:bCs w:val="1"/>
                <w:color w:val="auto"/>
                <w:w w:val="89"/>
              </w:rPr>
              <w:t>June 30, 2021 over 2020</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42"/>
        </w:trPr>
        <w:tc>
          <w:tcPr>
            <w:tcW w:w="27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Average Volume</w:t>
            </w: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2"/>
                <w:szCs w:val="12"/>
                <w:b w:val="1"/>
                <w:bCs w:val="1"/>
                <w:color w:val="auto"/>
                <w:w w:val="92"/>
              </w:rPr>
              <w:t>Yield/Rate</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2"/>
                <w:szCs w:val="12"/>
                <w:b w:val="1"/>
                <w:bCs w:val="1"/>
                <w:color w:val="auto"/>
                <w:w w:val="91"/>
              </w:rPr>
              <w:t>Net Change</w:t>
            </w:r>
            <w:r>
              <w:rPr>
                <w:rFonts w:ascii="Arial" w:cs="Arial" w:eastAsia="Arial" w:hAnsi="Arial"/>
                <w:sz w:val="15"/>
                <w:szCs w:val="15"/>
                <w:b w:val="1"/>
                <w:bCs w:val="1"/>
                <w:color w:val="auto"/>
                <w:w w:val="91"/>
                <w:vertAlign w:val="superscript"/>
              </w:rPr>
              <w:t>(2)</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Average Volume</w:t>
            </w: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2"/>
                <w:szCs w:val="12"/>
                <w:b w:val="1"/>
                <w:bCs w:val="1"/>
                <w:color w:val="auto"/>
                <w:w w:val="92"/>
              </w:rPr>
              <w:t>Yield/Rate</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2"/>
                <w:szCs w:val="12"/>
                <w:b w:val="1"/>
                <w:bCs w:val="1"/>
                <w:color w:val="auto"/>
                <w:w w:val="93"/>
              </w:rPr>
              <w:t>Net Change</w:t>
            </w:r>
            <w:r>
              <w:rPr>
                <w:rFonts w:ascii="Arial" w:cs="Arial" w:eastAsia="Arial" w:hAnsi="Arial"/>
                <w:sz w:val="15"/>
                <w:szCs w:val="15"/>
                <w:b w:val="1"/>
                <w:bCs w:val="1"/>
                <w:color w:val="auto"/>
                <w:w w:val="93"/>
                <w:vertAlign w:val="superscript"/>
              </w:rPr>
              <w:t>(2)</w:t>
            </w:r>
          </w:p>
        </w:tc>
      </w:tr>
      <w:tr>
        <w:trPr>
          <w:trHeight w:val="131"/>
        </w:trPr>
        <w:tc>
          <w:tcPr>
            <w:tcW w:w="2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5"/>
          </w:tcPr>
          <w:p>
            <w:pPr>
              <w:ind w:left="640"/>
              <w:spacing w:after="0"/>
              <w:rPr>
                <w:sz w:val="20"/>
                <w:szCs w:val="20"/>
                <w:color w:val="auto"/>
              </w:rPr>
            </w:pPr>
            <w:r>
              <w:rPr>
                <w:rFonts w:ascii="Arial" w:cs="Arial" w:eastAsia="Arial" w:hAnsi="Arial"/>
                <w:sz w:val="11"/>
                <w:szCs w:val="11"/>
                <w:i w:val="1"/>
                <w:iCs w:val="1"/>
                <w:color w:val="auto"/>
              </w:rPr>
              <w:t>(Dollars in thousands)</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5"/>
        </w:trPr>
        <w:tc>
          <w:tcPr>
            <w:tcW w:w="274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Interest Income</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2740" w:type="dxa"/>
            <w:vAlign w:val="bottom"/>
          </w:tcPr>
          <w:p>
            <w:pPr>
              <w:ind w:left="420"/>
              <w:spacing w:after="0"/>
              <w:rPr>
                <w:sz w:val="20"/>
                <w:szCs w:val="20"/>
                <w:color w:val="auto"/>
              </w:rPr>
            </w:pPr>
            <w:r>
              <w:rPr>
                <w:rFonts w:ascii="Arial" w:cs="Arial" w:eastAsia="Arial" w:hAnsi="Arial"/>
                <w:sz w:val="12"/>
                <w:szCs w:val="12"/>
                <w:color w:val="auto"/>
              </w:rPr>
              <w:t>Securities - taxable</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(404)</w:t>
            </w:r>
          </w:p>
        </w:tc>
        <w:tc>
          <w:tcPr>
            <w:tcW w:w="6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(595)</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(909)</w:t>
            </w:r>
          </w:p>
        </w:tc>
        <w:tc>
          <w:tcPr>
            <w:tcW w:w="60" w:type="dxa"/>
            <w:vAlign w:val="bottom"/>
          </w:tcPr>
          <w:p>
            <w:pPr>
              <w:spacing w:after="0"/>
              <w:rPr>
                <w:sz w:val="13"/>
                <w:szCs w:val="13"/>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(836)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(1,745)</w:t>
            </w:r>
          </w:p>
        </w:tc>
      </w:tr>
      <w:tr>
        <w:trPr>
          <w:trHeight w:val="153"/>
        </w:trPr>
        <w:tc>
          <w:tcPr>
            <w:tcW w:w="2740" w:type="dxa"/>
            <w:vAlign w:val="bottom"/>
            <w:shd w:val="clear" w:color="auto" w:fill="CCEEFF"/>
          </w:tcPr>
          <w:p>
            <w:pPr>
              <w:ind w:left="420"/>
              <w:spacing w:after="0" w:line="153" w:lineRule="exact"/>
              <w:rPr>
                <w:sz w:val="20"/>
                <w:szCs w:val="20"/>
                <w:color w:val="auto"/>
              </w:rPr>
            </w:pPr>
            <w:r>
              <w:rPr>
                <w:rFonts w:ascii="Arial" w:cs="Arial" w:eastAsia="Arial" w:hAnsi="Arial"/>
                <w:sz w:val="12"/>
                <w:szCs w:val="12"/>
                <w:color w:val="auto"/>
              </w:rPr>
              <w:t>Securities - tax-exempt</w:t>
            </w:r>
            <w:r>
              <w:rPr>
                <w:rFonts w:ascii="Arial" w:cs="Arial" w:eastAsia="Arial" w:hAnsi="Arial"/>
                <w:sz w:val="15"/>
                <w:szCs w:val="15"/>
                <w:color w:val="auto"/>
                <w:vertAlign w:val="superscript"/>
              </w:rPr>
              <w:t>(1)</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w:t>
            </w:r>
          </w:p>
        </w:tc>
      </w:tr>
      <w:tr>
        <w:trPr>
          <w:trHeight w:val="153"/>
        </w:trPr>
        <w:tc>
          <w:tcPr>
            <w:tcW w:w="2740" w:type="dxa"/>
            <w:vAlign w:val="bottom"/>
          </w:tcPr>
          <w:p>
            <w:pPr>
              <w:ind w:left="420"/>
              <w:spacing w:after="0"/>
              <w:rPr>
                <w:sz w:val="20"/>
                <w:szCs w:val="20"/>
                <w:color w:val="auto"/>
              </w:rPr>
            </w:pPr>
            <w:r>
              <w:rPr>
                <w:rFonts w:ascii="Arial" w:cs="Arial" w:eastAsia="Arial" w:hAnsi="Arial"/>
                <w:sz w:val="12"/>
                <w:szCs w:val="12"/>
                <w:color w:val="auto"/>
              </w:rPr>
              <w:t>Federal funds sold</w:t>
            </w:r>
          </w:p>
        </w:tc>
        <w:tc>
          <w:tcPr>
            <w:tcW w:w="4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Interest-bearing deposits in other banks</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r>
      <w:tr>
        <w:trPr>
          <w:trHeight w:val="153"/>
        </w:trPr>
        <w:tc>
          <w:tcPr>
            <w:tcW w:w="274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Gross loans, net of unearned income</w:t>
            </w: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(2,477)</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7,019</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(14,077)</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(7,058)</w:t>
            </w:r>
          </w:p>
        </w:tc>
      </w:tr>
      <w:tr>
        <w:trPr>
          <w:trHeight w:val="142"/>
        </w:trPr>
        <w:tc>
          <w:tcPr>
            <w:tcW w:w="2740" w:type="dxa"/>
            <w:vAlign w:val="bottom"/>
            <w:shd w:val="clear" w:color="auto" w:fill="CCEEFF"/>
          </w:tcPr>
          <w:p>
            <w:pPr>
              <w:ind w:left="480"/>
              <w:spacing w:after="0" w:line="142" w:lineRule="exact"/>
              <w:rPr>
                <w:sz w:val="20"/>
                <w:szCs w:val="20"/>
                <w:color w:val="auto"/>
              </w:rPr>
            </w:pPr>
            <w:r>
              <w:rPr>
                <w:rFonts w:ascii="Arial" w:cs="Arial" w:eastAsia="Arial" w:hAnsi="Arial"/>
                <w:sz w:val="12"/>
                <w:szCs w:val="12"/>
                <w:color w:val="auto"/>
              </w:rPr>
              <w:t>Total interest income</w:t>
            </w:r>
            <w:r>
              <w:rPr>
                <w:rFonts w:ascii="Arial" w:cs="Arial" w:eastAsia="Arial" w:hAnsi="Arial"/>
                <w:sz w:val="15"/>
                <w:szCs w:val="15"/>
                <w:color w:val="auto"/>
                <w:vertAlign w:val="superscript"/>
              </w:rPr>
              <w:t>(1)</w:t>
            </w: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(2,721)</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(16,045)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(8,767)</w:t>
            </w:r>
          </w:p>
        </w:tc>
      </w:tr>
      <w:tr>
        <w:trPr>
          <w:trHeight w:val="153"/>
        </w:trPr>
        <w:tc>
          <w:tcPr>
            <w:tcW w:w="2740" w:type="dxa"/>
            <w:vAlign w:val="bottom"/>
          </w:tcPr>
          <w:p>
            <w:pPr>
              <w:ind w:left="340"/>
              <w:spacing w:after="0"/>
              <w:rPr>
                <w:sz w:val="20"/>
                <w:szCs w:val="20"/>
                <w:color w:val="auto"/>
              </w:rPr>
            </w:pPr>
            <w:r>
              <w:rPr>
                <w:rFonts w:ascii="Arial" w:cs="Arial" w:eastAsia="Arial" w:hAnsi="Arial"/>
                <w:sz w:val="12"/>
                <w:szCs w:val="12"/>
                <w:b w:val="1"/>
                <w:bCs w:val="1"/>
                <w:color w:val="auto"/>
              </w:rPr>
              <w:t>Interest Expense</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Transaction deposits</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w:t>
            </w:r>
          </w:p>
        </w:tc>
      </w:tr>
      <w:tr>
        <w:trPr>
          <w:trHeight w:val="153"/>
        </w:trPr>
        <w:tc>
          <w:tcPr>
            <w:tcW w:w="2740" w:type="dxa"/>
            <w:vAlign w:val="bottom"/>
          </w:tcPr>
          <w:p>
            <w:pPr>
              <w:ind w:left="420"/>
              <w:spacing w:after="0"/>
              <w:rPr>
                <w:sz w:val="20"/>
                <w:szCs w:val="20"/>
                <w:color w:val="auto"/>
              </w:rPr>
            </w:pPr>
            <w:r>
              <w:rPr>
                <w:rFonts w:ascii="Arial" w:cs="Arial" w:eastAsia="Arial" w:hAnsi="Arial"/>
                <w:sz w:val="12"/>
                <w:szCs w:val="12"/>
                <w:color w:val="auto"/>
              </w:rPr>
              <w:t>Savings and money market deposits</w:t>
            </w:r>
          </w:p>
        </w:tc>
        <w:tc>
          <w:tcPr>
            <w:tcW w:w="4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541</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1,968</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(6,861)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(4,893)</w:t>
            </w:r>
          </w:p>
        </w:tc>
      </w:tr>
      <w:tr>
        <w:trPr>
          <w:trHeight w:val="153"/>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Time deposits</w:t>
            </w:r>
          </w:p>
        </w:tc>
        <w:tc>
          <w:tcPr>
            <w:tcW w:w="4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(1,249)</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(3,056)</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(4,463)</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(6,752)</w:t>
            </w:r>
          </w:p>
        </w:tc>
      </w:tr>
      <w:tr>
        <w:trPr>
          <w:trHeight w:val="142"/>
        </w:trPr>
        <w:tc>
          <w:tcPr>
            <w:tcW w:w="2740" w:type="dxa"/>
            <w:vAlign w:val="bottom"/>
          </w:tcPr>
          <w:p>
            <w:pPr>
              <w:ind w:left="420"/>
              <w:spacing w:after="0"/>
              <w:rPr>
                <w:sz w:val="20"/>
                <w:szCs w:val="20"/>
                <w:color w:val="auto"/>
              </w:rPr>
            </w:pPr>
            <w:r>
              <w:rPr>
                <w:rFonts w:ascii="Arial" w:cs="Arial" w:eastAsia="Arial" w:hAnsi="Arial"/>
                <w:sz w:val="12"/>
                <w:szCs w:val="12"/>
                <w:color w:val="auto"/>
              </w:rPr>
              <w:t>Total interest-bearing deposits</w:t>
            </w: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(575)</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(2,980)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(3,555)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258</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(12,357)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(12,099)</w:t>
            </w:r>
          </w:p>
        </w:tc>
      </w:tr>
      <w:tr>
        <w:trPr>
          <w:trHeight w:val="153"/>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FHLB and short-term borrowings</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(776)</w:t>
            </w:r>
          </w:p>
        </w:tc>
      </w:tr>
      <w:tr>
        <w:trPr>
          <w:trHeight w:val="153"/>
        </w:trPr>
        <w:tc>
          <w:tcPr>
            <w:tcW w:w="2740" w:type="dxa"/>
            <w:vAlign w:val="bottom"/>
          </w:tcPr>
          <w:p>
            <w:pPr>
              <w:ind w:left="100"/>
              <w:spacing w:after="0"/>
              <w:rPr>
                <w:sz w:val="20"/>
                <w:szCs w:val="20"/>
                <w:color w:val="auto"/>
              </w:rPr>
            </w:pPr>
            <w:r>
              <w:rPr>
                <w:rFonts w:ascii="Arial" w:cs="Arial" w:eastAsia="Arial" w:hAnsi="Arial"/>
                <w:sz w:val="12"/>
                <w:szCs w:val="12"/>
                <w:color w:val="auto"/>
                <w:w w:val="90"/>
              </w:rPr>
              <w:t>Trust preferred securities, net of fair value adjustments</w:t>
            </w:r>
          </w:p>
        </w:tc>
        <w:tc>
          <w:tcPr>
            <w:tcW w:w="4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2"/>
        </w:trPr>
        <w:tc>
          <w:tcPr>
            <w:tcW w:w="27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Total interest expense</w:t>
            </w: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(1,405)</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(3,941)</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(11,834)</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(12,885)</w:t>
            </w:r>
          </w:p>
        </w:tc>
      </w:tr>
      <w:tr>
        <w:trPr>
          <w:trHeight w:val="142"/>
        </w:trPr>
        <w:tc>
          <w:tcPr>
            <w:tcW w:w="2740" w:type="dxa"/>
            <w:vAlign w:val="bottom"/>
          </w:tcPr>
          <w:p>
            <w:pPr>
              <w:ind w:left="560"/>
              <w:spacing w:after="0" w:line="142" w:lineRule="exact"/>
              <w:rPr>
                <w:sz w:val="20"/>
                <w:szCs w:val="20"/>
                <w:color w:val="auto"/>
              </w:rPr>
            </w:pPr>
            <w:r>
              <w:rPr>
                <w:rFonts w:ascii="Arial" w:cs="Arial" w:eastAsia="Arial" w:hAnsi="Arial"/>
                <w:sz w:val="12"/>
                <w:szCs w:val="12"/>
                <w:color w:val="auto"/>
              </w:rPr>
              <w:t>Net interest income</w:t>
            </w:r>
            <w:r>
              <w:rPr>
                <w:rFonts w:ascii="Arial" w:cs="Arial" w:eastAsia="Arial" w:hAnsi="Arial"/>
                <w:sz w:val="15"/>
                <w:szCs w:val="15"/>
                <w:color w:val="auto"/>
                <w:vertAlign w:val="superscript"/>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2,239</w:t>
            </w:r>
          </w:p>
        </w:tc>
        <w:tc>
          <w:tcPr>
            <w:tcW w:w="60" w:type="dxa"/>
            <w:vAlign w:val="bottom"/>
          </w:tcPr>
          <w:p>
            <w:pPr>
              <w:spacing w:after="0"/>
              <w:rPr>
                <w:sz w:val="12"/>
                <w:szCs w:val="12"/>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(1,019)</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1,220</w:t>
            </w: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8,329</w:t>
            </w: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(4,211)</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4,118</w:t>
            </w:r>
          </w:p>
        </w:tc>
      </w:tr>
      <w:tr>
        <w:trPr>
          <w:trHeight w:val="20"/>
        </w:trPr>
        <w:tc>
          <w:tcPr>
            <w:tcW w:w="2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220" w:hanging="108"/>
        <w:spacing w:after="0"/>
        <w:tabs>
          <w:tab w:leader="none" w:pos="220"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Tax exempt income is calculated on a tax-equivalent basis. Tax-free municipal securities are exempt from Federal income taxes. The incremental tax rate used is 21.0%.</w:t>
      </w:r>
    </w:p>
    <w:p>
      <w:pPr>
        <w:spacing w:after="0" w:line="15" w:lineRule="exact"/>
        <w:rPr>
          <w:rFonts w:ascii="Arial" w:cs="Arial" w:eastAsia="Arial" w:hAnsi="Arial"/>
          <w:sz w:val="13"/>
          <w:szCs w:val="13"/>
          <w:color w:val="auto"/>
          <w:vertAlign w:val="superscript"/>
        </w:rPr>
      </w:pPr>
    </w:p>
    <w:p>
      <w:pPr>
        <w:ind w:left="220" w:hanging="108"/>
        <w:spacing w:after="0" w:line="205" w:lineRule="auto"/>
        <w:tabs>
          <w:tab w:leader="none" w:pos="220" w:val="left"/>
        </w:tabs>
        <w:numPr>
          <w:ilvl w:val="0"/>
          <w:numId w:val="14"/>
        </w:numPr>
        <w:rPr>
          <w:rFonts w:ascii="Arial" w:cs="Arial" w:eastAsia="Arial" w:hAnsi="Arial"/>
          <w:sz w:val="13"/>
          <w:szCs w:val="13"/>
          <w:color w:val="auto"/>
          <w:vertAlign w:val="superscript"/>
        </w:rPr>
      </w:pPr>
      <w:r>
        <w:rPr>
          <w:rFonts w:ascii="Arial" w:cs="Arial" w:eastAsia="Arial" w:hAnsi="Arial"/>
          <w:sz w:val="10"/>
          <w:szCs w:val="10"/>
          <w:color w:val="auto"/>
        </w:rPr>
        <w:t>The change in interest not due solely to volume or rate has been allocated in proportion to the respective absolute dollar amounts of the change in volume or rate.</w:t>
      </w:r>
    </w:p>
    <w:p>
      <w:pPr>
        <w:spacing w:after="0" w:line="163" w:lineRule="exact"/>
        <w:rPr>
          <w:sz w:val="20"/>
          <w:szCs w:val="20"/>
          <w:color w:val="auto"/>
        </w:rPr>
      </w:pPr>
    </w:p>
    <w:p>
      <w:pPr>
        <w:ind w:left="100" w:right="20"/>
        <w:spacing w:after="0" w:line="261" w:lineRule="auto"/>
        <w:rPr>
          <w:sz w:val="20"/>
          <w:szCs w:val="20"/>
          <w:color w:val="auto"/>
        </w:rPr>
      </w:pPr>
      <w:r>
        <w:rPr>
          <w:rFonts w:ascii="Arial" w:cs="Arial" w:eastAsia="Arial" w:hAnsi="Arial"/>
          <w:sz w:val="12"/>
          <w:szCs w:val="12"/>
          <w:b w:val="1"/>
          <w:bCs w:val="1"/>
          <w:u w:val="single" w:color="auto"/>
          <w:color w:val="auto"/>
        </w:rPr>
        <w:t>Interest income</w:t>
      </w:r>
      <w:r>
        <w:rPr>
          <w:rFonts w:ascii="Arial" w:cs="Arial" w:eastAsia="Arial" w:hAnsi="Arial"/>
          <w:sz w:val="12"/>
          <w:szCs w:val="12"/>
          <w:b w:val="1"/>
          <w:bCs w:val="1"/>
          <w:color w:val="auto"/>
        </w:rPr>
        <w:t xml:space="preserve"> - </w:t>
      </w:r>
      <w:r>
        <w:rPr>
          <w:rFonts w:ascii="Arial" w:cs="Arial" w:eastAsia="Arial" w:hAnsi="Arial"/>
          <w:sz w:val="12"/>
          <w:szCs w:val="12"/>
          <w:color w:val="auto"/>
        </w:rPr>
        <w:t>Interest income declined for the three- and six-month periods ended June 30, 2021 compared to the same periods in 2020. For the three-month period ended June 30, 2021 compared to the same period in 2020,</w:t>
      </w:r>
      <w:r>
        <w:rPr>
          <w:rFonts w:ascii="Arial" w:cs="Arial" w:eastAsia="Arial" w:hAnsi="Arial"/>
          <w:sz w:val="12"/>
          <w:szCs w:val="12"/>
          <w:b w:val="1"/>
          <w:bCs w:val="1"/>
          <w:color w:val="auto"/>
        </w:rPr>
        <w:t xml:space="preserve"> </w:t>
      </w:r>
      <w:r>
        <w:rPr>
          <w:rFonts w:ascii="Arial" w:cs="Arial" w:eastAsia="Arial" w:hAnsi="Arial"/>
          <w:sz w:val="12"/>
          <w:szCs w:val="12"/>
          <w:color w:val="auto"/>
        </w:rPr>
        <w:t>lower yields on loans were driven by more than $1 billion of loans tied to LIBOR. LIBOR dropped approximately 25 basis points on average between the quarter ended June 30, 2020 and June 30, 2021. In addition, maturities of higher interest rate loans were renewed or replaced at lower rates. For the six-month period ended June 30, 2021, lower yields on earning assets were driven by a decline in the interest rate environment. The decline in asset yields was partially offset by year-over-year loan growth and PPP loan income.</w:t>
      </w:r>
    </w:p>
    <w:p>
      <w:pPr>
        <w:spacing w:after="0" w:line="48" w:lineRule="exact"/>
        <w:rPr>
          <w:sz w:val="20"/>
          <w:szCs w:val="20"/>
          <w:color w:val="auto"/>
        </w:rPr>
      </w:pPr>
    </w:p>
    <w:p>
      <w:pPr>
        <w:ind w:left="100" w:right="60"/>
        <w:spacing w:after="0" w:line="261" w:lineRule="auto"/>
        <w:rPr>
          <w:sz w:val="20"/>
          <w:szCs w:val="20"/>
          <w:color w:val="auto"/>
        </w:rPr>
      </w:pPr>
      <w:r>
        <w:rPr>
          <w:rFonts w:ascii="Arial" w:cs="Arial" w:eastAsia="Arial" w:hAnsi="Arial"/>
          <w:sz w:val="12"/>
          <w:szCs w:val="12"/>
          <w:b w:val="1"/>
          <w:bCs w:val="1"/>
          <w:u w:val="single" w:color="auto"/>
          <w:color w:val="auto"/>
        </w:rPr>
        <w:t>Interest expense</w:t>
      </w:r>
      <w:r>
        <w:rPr>
          <w:rFonts w:ascii="Arial" w:cs="Arial" w:eastAsia="Arial" w:hAnsi="Arial"/>
          <w:sz w:val="12"/>
          <w:szCs w:val="12"/>
          <w:b w:val="1"/>
          <w:bCs w:val="1"/>
          <w:color w:val="auto"/>
        </w:rPr>
        <w:t xml:space="preserve"> </w:t>
      </w:r>
      <w:r>
        <w:rPr>
          <w:rFonts w:ascii="Arial" w:cs="Arial" w:eastAsia="Arial" w:hAnsi="Arial"/>
          <w:sz w:val="12"/>
          <w:szCs w:val="12"/>
          <w:color w:val="auto"/>
        </w:rPr>
        <w:t>- Interest expense declined for the three- and six-month periods ended June 30, 2021 compared to the same periods in 2020. The cost of interest-bearing deposits declined due to strategic rate changes in our deposit</w:t>
      </w:r>
      <w:r>
        <w:rPr>
          <w:rFonts w:ascii="Arial" w:cs="Arial" w:eastAsia="Arial" w:hAnsi="Arial"/>
          <w:sz w:val="12"/>
          <w:szCs w:val="12"/>
          <w:b w:val="1"/>
          <w:bCs w:val="1"/>
          <w:color w:val="auto"/>
        </w:rPr>
        <w:t xml:space="preserve"> </w:t>
      </w:r>
      <w:r>
        <w:rPr>
          <w:rFonts w:ascii="Arial" w:cs="Arial" w:eastAsia="Arial" w:hAnsi="Arial"/>
          <w:sz w:val="12"/>
          <w:szCs w:val="12"/>
          <w:color w:val="auto"/>
        </w:rPr>
        <w:t>products driven by the declining interest rate environment. For the three-month period ended June 30, 2021 compared to the same period in 2020, the average volume for interest-bearing deposits declined primarily as a result of time deposit maturities and current rates on time deposits. For the six-month period ended June 30, 2021 compared to the same period in 2020, the decline in interest expense due to changes in rates was partially offset by an increase in average volume due to increased liquidity in the market.</w:t>
      </w:r>
    </w:p>
    <w:p>
      <w:pPr>
        <w:spacing w:after="0" w:line="52" w:lineRule="exact"/>
        <w:rPr>
          <w:sz w:val="20"/>
          <w:szCs w:val="20"/>
          <w:color w:val="auto"/>
        </w:rPr>
      </w:pPr>
    </w:p>
    <w:p>
      <w:pPr>
        <w:ind w:left="100" w:right="300" w:firstLine="324"/>
        <w:spacing w:after="0" w:line="276" w:lineRule="auto"/>
        <w:rPr>
          <w:sz w:val="20"/>
          <w:szCs w:val="20"/>
          <w:color w:val="auto"/>
        </w:rPr>
      </w:pPr>
      <w:r>
        <w:rPr>
          <w:rFonts w:ascii="Arial" w:cs="Arial" w:eastAsia="Arial" w:hAnsi="Arial"/>
          <w:sz w:val="12"/>
          <w:szCs w:val="12"/>
          <w:color w:val="auto"/>
        </w:rPr>
        <w:t>Average FHLB and other borrowings declined for the three- and six-month periods ended June 30, 2021 compared to the same periods in 2020, as the Company’s increase in cash offset the need to renew or increase these borrowings. The increase in the cost of FHLB borrowings was the result of short-term duration borrowings with lower rates that matured in 2020 and were not renewed.</w:t>
      </w:r>
    </w:p>
    <w:p>
      <w:pPr>
        <w:spacing w:after="0" w:line="75" w:lineRule="exact"/>
        <w:rPr>
          <w:sz w:val="20"/>
          <w:szCs w:val="20"/>
          <w:color w:val="auto"/>
        </w:rPr>
      </w:pPr>
    </w:p>
    <w:p>
      <w:pPr>
        <w:ind w:left="100" w:right="120"/>
        <w:spacing w:after="0" w:line="283" w:lineRule="auto"/>
        <w:rPr>
          <w:sz w:val="20"/>
          <w:szCs w:val="20"/>
          <w:color w:val="auto"/>
        </w:rPr>
      </w:pPr>
      <w:r>
        <w:rPr>
          <w:rFonts w:ascii="Arial" w:cs="Arial" w:eastAsia="Arial" w:hAnsi="Arial"/>
          <w:sz w:val="12"/>
          <w:szCs w:val="12"/>
          <w:b w:val="1"/>
          <w:bCs w:val="1"/>
          <w:u w:val="single" w:color="auto"/>
          <w:color w:val="auto"/>
        </w:rPr>
        <w:t>Net interest income</w:t>
      </w:r>
      <w:r>
        <w:rPr>
          <w:rFonts w:ascii="Arial" w:cs="Arial" w:eastAsia="Arial" w:hAnsi="Arial"/>
          <w:sz w:val="12"/>
          <w:szCs w:val="12"/>
          <w:b w:val="1"/>
          <w:bCs w:val="1"/>
          <w:color w:val="auto"/>
        </w:rPr>
        <w:t xml:space="preserve"> </w:t>
      </w:r>
      <w:r>
        <w:rPr>
          <w:rFonts w:ascii="Arial" w:cs="Arial" w:eastAsia="Arial" w:hAnsi="Arial"/>
          <w:sz w:val="12"/>
          <w:szCs w:val="12"/>
          <w:color w:val="auto"/>
        </w:rPr>
        <w:t>- Net interest income increased for the three- and six-month periods ended June 30, 2021 compared to the same period in 2020 driven by rate and volume declines in interest-bearing liabilities and an increase in</w:t>
      </w:r>
      <w:r>
        <w:rPr>
          <w:rFonts w:ascii="Arial" w:cs="Arial" w:eastAsia="Arial" w:hAnsi="Arial"/>
          <w:sz w:val="12"/>
          <w:szCs w:val="12"/>
          <w:b w:val="1"/>
          <w:bCs w:val="1"/>
          <w:color w:val="auto"/>
        </w:rPr>
        <w:t xml:space="preserve"> </w:t>
      </w:r>
      <w:r>
        <w:rPr>
          <w:rFonts w:ascii="Arial" w:cs="Arial" w:eastAsia="Arial" w:hAnsi="Arial"/>
          <w:sz w:val="12"/>
          <w:szCs w:val="12"/>
          <w:color w:val="auto"/>
        </w:rPr>
        <w:t>interest-earning asset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-198120</wp:posOffset>
            </wp:positionV>
            <wp:extent cx="6406515"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06515" cy="8572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Impact of Transition Away from LIBOR</w:t>
      </w:r>
    </w:p>
    <w:p>
      <w:pPr>
        <w:spacing w:after="0" w:line="114" w:lineRule="exact"/>
        <w:rPr>
          <w:sz w:val="20"/>
          <w:szCs w:val="20"/>
          <w:color w:val="auto"/>
        </w:rPr>
      </w:pPr>
    </w:p>
    <w:p>
      <w:pPr>
        <w:ind w:left="100" w:right="340" w:firstLine="324"/>
        <w:spacing w:after="0" w:line="289" w:lineRule="auto"/>
        <w:rPr>
          <w:sz w:val="20"/>
          <w:szCs w:val="20"/>
          <w:color w:val="auto"/>
        </w:rPr>
      </w:pPr>
      <w:r>
        <w:rPr>
          <w:rFonts w:ascii="Arial" w:cs="Arial" w:eastAsia="Arial" w:hAnsi="Arial"/>
          <w:sz w:val="11"/>
          <w:szCs w:val="11"/>
          <w:color w:val="auto"/>
        </w:rPr>
        <w:t>The Company had more than $1.4 billion in loans tied to LIBOR at June 30, 2021. The Company anticipates that, starting in October 2021, it will no longer add loans using the LIBOR index. For current borrowers, the Company is modifying loan document language to account for the transition away from LIBOR as loans renew or originate. The Company plans to replace LIBOR based loans with the Secured Overnight Financing Rate. The Company adopted Accounting Standards Update (“ASU”) 2020-04 “Reference Rate Reform (Topic 848): Facilitation of the Effects of Reference Rate Reform on Financial Reporting” in 2020. The ASU allows the Company to recognize the modification related to LIBOR as a continuation of the old contract, rather than a cancellation of the old contract resulting in a write-off of unamortized fees and creation of a new contract.</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Non-Interest Income</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2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For the Quarter Ended</w:t>
            </w:r>
          </w:p>
        </w:tc>
        <w:tc>
          <w:tcPr>
            <w:tcW w:w="1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2"/>
                <w:szCs w:val="12"/>
                <w:b w:val="1"/>
                <w:bCs w:val="1"/>
                <w:color w:val="auto"/>
              </w:rPr>
              <w:t>For the Six Months Ended</w:t>
            </w:r>
          </w:p>
        </w:tc>
      </w:tr>
      <w:tr>
        <w:trPr>
          <w:trHeight w:val="138"/>
        </w:trPr>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280"/>
              <w:spacing w:after="0"/>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2"/>
                <w:szCs w:val="12"/>
                <w:color w:val="auto"/>
              </w:rPr>
            </w:pPr>
          </w:p>
        </w:tc>
        <w:tc>
          <w:tcPr>
            <w:tcW w:w="920" w:type="dxa"/>
            <w:vAlign w:val="bottom"/>
          </w:tcPr>
          <w:p>
            <w:pPr>
              <w:jc w:val="right"/>
              <w:ind w:right="240"/>
              <w:spacing w:after="0"/>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2"/>
                <w:szCs w:val="12"/>
                <w:color w:val="auto"/>
              </w:rPr>
            </w:pPr>
          </w:p>
        </w:tc>
        <w:tc>
          <w:tcPr>
            <w:tcW w:w="1200" w:type="dxa"/>
            <w:vAlign w:val="bottom"/>
          </w:tcPr>
          <w:p>
            <w:pPr>
              <w:jc w:val="right"/>
              <w:ind w:right="300"/>
              <w:spacing w:after="0"/>
              <w:rPr>
                <w:sz w:val="20"/>
                <w:szCs w:val="20"/>
                <w:color w:val="auto"/>
              </w:rPr>
            </w:pPr>
            <w:r>
              <w:rPr>
                <w:rFonts w:ascii="Arial" w:cs="Arial" w:eastAsia="Arial" w:hAnsi="Arial"/>
                <w:sz w:val="12"/>
                <w:szCs w:val="12"/>
                <w:b w:val="1"/>
                <w:bCs w:val="1"/>
                <w:color w:val="auto"/>
              </w:rPr>
              <w:t>December 31,</w:t>
            </w:r>
          </w:p>
        </w:tc>
        <w:tc>
          <w:tcPr>
            <w:tcW w:w="240" w:type="dxa"/>
            <w:vAlign w:val="bottom"/>
          </w:tcPr>
          <w:p>
            <w:pPr>
              <w:spacing w:after="0"/>
              <w:rPr>
                <w:sz w:val="12"/>
                <w:szCs w:val="12"/>
                <w:color w:val="auto"/>
              </w:rPr>
            </w:pPr>
          </w:p>
        </w:tc>
        <w:tc>
          <w:tcPr>
            <w:tcW w:w="1340" w:type="dxa"/>
            <w:vAlign w:val="bottom"/>
          </w:tcPr>
          <w:p>
            <w:pPr>
              <w:jc w:val="right"/>
              <w:ind w:right="361"/>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w:t>
            </w:r>
          </w:p>
        </w:tc>
        <w:tc>
          <w:tcPr>
            <w:tcW w:w="240" w:type="dxa"/>
            <w:vAlign w:val="bottom"/>
          </w:tcPr>
          <w:p>
            <w:pPr>
              <w:spacing w:after="0"/>
              <w:rPr>
                <w:sz w:val="12"/>
                <w:szCs w:val="12"/>
                <w:color w:val="auto"/>
              </w:rPr>
            </w:pPr>
          </w:p>
        </w:tc>
        <w:tc>
          <w:tcPr>
            <w:tcW w:w="1080" w:type="dxa"/>
            <w:vAlign w:val="bottom"/>
          </w:tcPr>
          <w:p>
            <w:pPr>
              <w:jc w:val="right"/>
              <w:ind w:right="400"/>
              <w:spacing w:after="0"/>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12"/>
                <w:szCs w:val="12"/>
                <w:color w:val="auto"/>
              </w:rPr>
            </w:pPr>
          </w:p>
        </w:tc>
        <w:tc>
          <w:tcPr>
            <w:tcW w:w="1040" w:type="dxa"/>
            <w:vAlign w:val="bottom"/>
          </w:tcPr>
          <w:p>
            <w:pPr>
              <w:jc w:val="right"/>
              <w:ind w:right="380"/>
              <w:spacing w:after="0"/>
              <w:rPr>
                <w:sz w:val="20"/>
                <w:szCs w:val="20"/>
                <w:color w:val="auto"/>
              </w:rPr>
            </w:pPr>
            <w:r>
              <w:rPr>
                <w:rFonts w:ascii="Arial" w:cs="Arial" w:eastAsia="Arial" w:hAnsi="Arial"/>
                <w:sz w:val="12"/>
                <w:szCs w:val="12"/>
                <w:b w:val="1"/>
                <w:bCs w:val="1"/>
                <w:color w:val="auto"/>
              </w:rPr>
              <w:t>June 30,</w:t>
            </w:r>
          </w:p>
        </w:tc>
      </w:tr>
      <w:tr>
        <w:trPr>
          <w:trHeight w:val="166"/>
        </w:trPr>
        <w:tc>
          <w:tcPr>
            <w:tcW w:w="2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r>
      <w:tr>
        <w:trPr>
          <w:trHeight w:val="154"/>
        </w:trPr>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161"/>
              <w:spacing w:after="0"/>
              <w:rPr>
                <w:sz w:val="20"/>
                <w:szCs w:val="20"/>
                <w:color w:val="auto"/>
              </w:rPr>
            </w:pPr>
            <w:r>
              <w:rPr>
                <w:rFonts w:ascii="Arial" w:cs="Arial" w:eastAsia="Arial" w:hAnsi="Arial"/>
                <w:sz w:val="11"/>
                <w:szCs w:val="11"/>
                <w:i w:val="1"/>
                <w:iCs w:val="1"/>
                <w:color w:val="auto"/>
              </w:rPr>
              <w:t>(Dollars in thousands)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7"/>
        </w:trPr>
        <w:tc>
          <w:tcPr>
            <w:tcW w:w="2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non-interest income</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5,825</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4,144</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2,949</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4,063</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9,969</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4,729</w:t>
            </w:r>
          </w:p>
        </w:tc>
      </w:tr>
      <w:tr>
        <w:trPr>
          <w:trHeight w:val="198"/>
        </w:trPr>
        <w:tc>
          <w:tcPr>
            <w:tcW w:w="2100" w:type="dxa"/>
            <w:vAlign w:val="bottom"/>
          </w:tcPr>
          <w:p>
            <w:pPr>
              <w:ind w:left="20"/>
              <w:spacing w:after="0"/>
              <w:rPr>
                <w:sz w:val="20"/>
                <w:szCs w:val="20"/>
                <w:color w:val="auto"/>
              </w:rPr>
            </w:pPr>
            <w:r>
              <w:rPr>
                <w:rFonts w:ascii="Arial" w:cs="Arial" w:eastAsia="Arial" w:hAnsi="Arial"/>
                <w:sz w:val="12"/>
                <w:szCs w:val="12"/>
                <w:color w:val="auto"/>
                <w:w w:val="94"/>
              </w:rPr>
              <w:t>Non-interest income to average assets</w:t>
            </w:r>
            <w:r>
              <w:rPr>
                <w:rFonts w:ascii="Arial" w:cs="Arial" w:eastAsia="Arial" w:hAnsi="Arial"/>
                <w:sz w:val="15"/>
                <w:szCs w:val="15"/>
                <w:color w:val="auto"/>
                <w:w w:val="94"/>
                <w:vertAlign w:val="superscript"/>
              </w:rPr>
              <w:t>(1)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0.41 %</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0.29 %</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0.21 %</w:t>
            </w:r>
          </w:p>
        </w:tc>
        <w:tc>
          <w:tcPr>
            <w:tcW w:w="240" w:type="dxa"/>
            <w:vAlign w:val="bottom"/>
          </w:tcPr>
          <w:p>
            <w:pPr>
              <w:spacing w:after="0"/>
              <w:rPr>
                <w:sz w:val="17"/>
                <w:szCs w:val="17"/>
                <w:color w:val="auto"/>
              </w:rPr>
            </w:pPr>
          </w:p>
        </w:tc>
        <w:tc>
          <w:tcPr>
            <w:tcW w:w="1340" w:type="dxa"/>
            <w:vAlign w:val="bottom"/>
          </w:tcPr>
          <w:p>
            <w:pPr>
              <w:jc w:val="right"/>
              <w:ind w:right="1"/>
              <w:spacing w:after="0"/>
              <w:rPr>
                <w:sz w:val="20"/>
                <w:szCs w:val="20"/>
                <w:color w:val="auto"/>
              </w:rPr>
            </w:pPr>
            <w:r>
              <w:rPr>
                <w:rFonts w:ascii="Arial" w:cs="Arial" w:eastAsia="Arial" w:hAnsi="Arial"/>
                <w:sz w:val="12"/>
                <w:szCs w:val="12"/>
                <w:color w:val="auto"/>
              </w:rPr>
              <w:t>0.29 %</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0.19 %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0.35 %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0.18 %</w:t>
            </w:r>
          </w:p>
        </w:tc>
      </w:tr>
    </w:tbl>
    <w:p>
      <w:pPr>
        <w:ind w:left="220" w:hanging="108"/>
        <w:spacing w:after="0" w:line="209" w:lineRule="auto"/>
        <w:tabs>
          <w:tab w:leader="none" w:pos="220" w:val="left"/>
        </w:tabs>
        <w:numPr>
          <w:ilvl w:val="0"/>
          <w:numId w:val="15"/>
        </w:numPr>
        <w:rPr>
          <w:rFonts w:ascii="Arial" w:cs="Arial" w:eastAsia="Arial" w:hAnsi="Arial"/>
          <w:sz w:val="13"/>
          <w:szCs w:val="13"/>
          <w:color w:val="auto"/>
          <w:vertAlign w:val="superscript"/>
        </w:rPr>
      </w:pPr>
      <w:r>
        <w:rPr>
          <w:rFonts w:ascii="Arial" w:cs="Arial" w:eastAsia="Arial" w:hAnsi="Arial"/>
          <w:sz w:val="10"/>
          <w:szCs w:val="10"/>
          <w:color w:val="auto"/>
        </w:rPr>
        <w:t>Interim periods annualized.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components of non-interest income were as follows for the periods shown:</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1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83"/>
              </w:rPr>
              <w:t>June 30,</w:t>
            </w:r>
          </w:p>
        </w:tc>
        <w:tc>
          <w:tcPr>
            <w:tcW w:w="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w w:val="87"/>
              </w:rPr>
              <w:t>June 30,</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0"/>
              </w:rPr>
              <w:t>Change</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w w:val="95"/>
              </w:rPr>
              <w:t>Change</w:t>
            </w: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w:t>
            </w: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20" w:type="dxa"/>
            <w:vAlign w:val="bottom"/>
            <w:gridSpan w:val="5"/>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w w:val="91"/>
              </w:rPr>
              <w:t>Service charges and fees on customer</w:t>
            </w:r>
          </w:p>
        </w:tc>
        <w:tc>
          <w:tcPr>
            <w:tcW w:w="5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1,177</w:t>
            </w: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647</w:t>
            </w: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530</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82</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2,134</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1,155</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979</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85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w:t>
            </w:r>
          </w:p>
        </w:tc>
        <w:tc>
          <w:tcPr>
            <w:tcW w:w="5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tcPr>
          <w:p>
            <w:pPr>
              <w:ind w:left="20"/>
              <w:spacing w:after="0" w:line="117" w:lineRule="exact"/>
              <w:rPr>
                <w:sz w:val="20"/>
                <w:szCs w:val="20"/>
                <w:color w:val="auto"/>
              </w:rPr>
            </w:pPr>
            <w:r>
              <w:rPr>
                <w:rFonts w:ascii="Arial" w:cs="Arial" w:eastAsia="Arial" w:hAnsi="Arial"/>
                <w:sz w:val="12"/>
                <w:szCs w:val="12"/>
                <w:color w:val="auto"/>
                <w:w w:val="96"/>
              </w:rPr>
              <w:t>Realized gains (losses) on available-</w:t>
            </w:r>
          </w:p>
        </w:tc>
        <w:tc>
          <w:tcPr>
            <w:tcW w:w="5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320</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w w:val="99"/>
              </w:rPr>
              <w:t>(333)</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(104)</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713</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(716)</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(100)</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20" w:type="dxa"/>
            <w:vAlign w:val="bottom"/>
          </w:tcPr>
          <w:p>
            <w:pPr>
              <w:ind w:left="120"/>
              <w:spacing w:after="0"/>
              <w:rPr>
                <w:sz w:val="20"/>
                <w:szCs w:val="20"/>
                <w:color w:val="auto"/>
              </w:rPr>
            </w:pPr>
            <w:r>
              <w:rPr>
                <w:rFonts w:ascii="Arial" w:cs="Arial" w:eastAsia="Arial" w:hAnsi="Arial"/>
                <w:sz w:val="12"/>
                <w:szCs w:val="12"/>
                <w:color w:val="auto"/>
              </w:rPr>
              <w:t>for-sale securities</w:t>
            </w:r>
          </w:p>
        </w:tc>
        <w:tc>
          <w:tcPr>
            <w:tcW w:w="5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CCEEFF"/>
          </w:tcPr>
          <w:p>
            <w:pPr>
              <w:ind w:left="340"/>
              <w:spacing w:after="0" w:line="117" w:lineRule="exact"/>
              <w:rPr>
                <w:sz w:val="20"/>
                <w:szCs w:val="20"/>
                <w:color w:val="auto"/>
              </w:rPr>
            </w:pPr>
            <w:r>
              <w:rPr>
                <w:rFonts w:ascii="Arial" w:cs="Arial" w:eastAsia="Arial" w:hAnsi="Arial"/>
                <w:sz w:val="12"/>
                <w:szCs w:val="12"/>
                <w:color w:val="auto"/>
              </w:rPr>
              <w:t>Income from bank-owned life</w:t>
            </w:r>
          </w:p>
        </w:tc>
        <w:tc>
          <w:tcPr>
            <w:tcW w:w="5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2,245</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453</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6"/>
              </w:rPr>
              <w:t>1,792</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396</w:t>
            </w: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2,661</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909</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1,752</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193</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w:t>
            </w:r>
          </w:p>
        </w:tc>
        <w:tc>
          <w:tcPr>
            <w:tcW w:w="5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tcPr>
          <w:p>
            <w:pPr>
              <w:ind w:left="340"/>
              <w:spacing w:after="0" w:line="117" w:lineRule="exact"/>
              <w:rPr>
                <w:sz w:val="20"/>
                <w:szCs w:val="20"/>
                <w:color w:val="auto"/>
              </w:rPr>
            </w:pPr>
            <w:r>
              <w:rPr>
                <w:rFonts w:ascii="Arial" w:cs="Arial" w:eastAsia="Arial" w:hAnsi="Arial"/>
                <w:sz w:val="12"/>
                <w:szCs w:val="12"/>
                <w:color w:val="auto"/>
                <w:w w:val="95"/>
              </w:rPr>
              <w:t>Swap fees and credit valuation</w:t>
            </w:r>
          </w:p>
        </w:tc>
        <w:tc>
          <w:tcPr>
            <w:tcW w:w="5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(30)</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(32)</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6</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125</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(41)</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166</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(405)</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20" w:type="dxa"/>
            <w:vAlign w:val="bottom"/>
          </w:tcPr>
          <w:p>
            <w:pPr>
              <w:ind w:left="20"/>
              <w:spacing w:after="0"/>
              <w:rPr>
                <w:sz w:val="20"/>
                <w:szCs w:val="20"/>
                <w:color w:val="auto"/>
              </w:rPr>
            </w:pPr>
            <w:r>
              <w:rPr>
                <w:rFonts w:ascii="Arial" w:cs="Arial" w:eastAsia="Arial" w:hAnsi="Arial"/>
                <w:sz w:val="12"/>
                <w:szCs w:val="12"/>
                <w:color w:val="auto"/>
              </w:rPr>
              <w:t>adjustments, net</w:t>
            </w:r>
          </w:p>
        </w:tc>
        <w:tc>
          <w:tcPr>
            <w:tcW w:w="5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CCEEFF"/>
          </w:tcPr>
          <w:p>
            <w:pPr>
              <w:ind w:left="340"/>
              <w:spacing w:after="0" w:line="117" w:lineRule="exact"/>
              <w:rPr>
                <w:sz w:val="20"/>
                <w:szCs w:val="20"/>
                <w:color w:val="auto"/>
              </w:rPr>
            </w:pPr>
            <w:r>
              <w:rPr>
                <w:rFonts w:ascii="Arial" w:cs="Arial" w:eastAsia="Arial" w:hAnsi="Arial"/>
                <w:sz w:val="12"/>
                <w:szCs w:val="12"/>
                <w:color w:val="auto"/>
              </w:rPr>
              <w:t>ATM and credit card</w:t>
            </w:r>
          </w:p>
        </w:tc>
        <w:tc>
          <w:tcPr>
            <w:tcW w:w="5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1,506</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896</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68</w:t>
            </w: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3,834</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1,381</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2,453</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178</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interchange income</w:t>
            </w:r>
          </w:p>
        </w:tc>
        <w:tc>
          <w:tcPr>
            <w:tcW w:w="5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2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Other non-interest income</w:t>
            </w: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w:t>
            </w:r>
          </w:p>
        </w:tc>
        <w:tc>
          <w:tcPr>
            <w:tcW w:w="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590</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169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1,218</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w:t>
            </w: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606</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99</w:t>
            </w: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Total non-interest income</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5,825</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2,634</w:t>
            </w: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3,191</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121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9,969</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4,729</w:t>
            </w: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5,240</w:t>
            </w: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111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in non-interest income were driven by the following:</w:t>
      </w:r>
    </w:p>
    <w:p>
      <w:pPr>
        <w:spacing w:after="0" w:line="110" w:lineRule="exact"/>
        <w:rPr>
          <w:sz w:val="20"/>
          <w:szCs w:val="20"/>
          <w:color w:val="auto"/>
        </w:rPr>
      </w:pPr>
    </w:p>
    <w:p>
      <w:pPr>
        <w:ind w:left="100" w:right="60"/>
        <w:spacing w:after="0" w:line="266" w:lineRule="auto"/>
        <w:rPr>
          <w:sz w:val="20"/>
          <w:szCs w:val="20"/>
          <w:color w:val="auto"/>
        </w:rPr>
      </w:pPr>
      <w:r>
        <w:rPr>
          <w:rFonts w:ascii="Arial" w:cs="Arial" w:eastAsia="Arial" w:hAnsi="Arial"/>
          <w:sz w:val="12"/>
          <w:szCs w:val="12"/>
          <w:b w:val="1"/>
          <w:bCs w:val="1"/>
          <w:u w:val="single" w:color="auto"/>
          <w:color w:val="auto"/>
        </w:rPr>
        <w:t>Service charges and fees on customer accounts</w:t>
      </w:r>
      <w:r>
        <w:rPr>
          <w:rFonts w:ascii="Arial" w:cs="Arial" w:eastAsia="Arial" w:hAnsi="Arial"/>
          <w:sz w:val="12"/>
          <w:szCs w:val="12"/>
          <w:b w:val="1"/>
          <w:bCs w:val="1"/>
          <w:color w:val="auto"/>
        </w:rPr>
        <w:t xml:space="preserve"> </w:t>
      </w:r>
      <w:r>
        <w:rPr>
          <w:rFonts w:ascii="Arial" w:cs="Arial" w:eastAsia="Arial" w:hAnsi="Arial"/>
          <w:sz w:val="12"/>
          <w:szCs w:val="12"/>
          <w:color w:val="auto"/>
        </w:rPr>
        <w:t>- This category includes account analysis fees offset by a customer rebate program. The increase for the three- and six-month periods ended June 30, 2021 compared to the same</w:t>
      </w:r>
      <w:r>
        <w:rPr>
          <w:rFonts w:ascii="Arial" w:cs="Arial" w:eastAsia="Arial" w:hAnsi="Arial"/>
          <w:sz w:val="12"/>
          <w:szCs w:val="12"/>
          <w:b w:val="1"/>
          <w:bCs w:val="1"/>
          <w:color w:val="auto"/>
        </w:rPr>
        <w:t xml:space="preserve"> </w:t>
      </w:r>
      <w:r>
        <w:rPr>
          <w:rFonts w:ascii="Arial" w:cs="Arial" w:eastAsia="Arial" w:hAnsi="Arial"/>
          <w:sz w:val="12"/>
          <w:szCs w:val="12"/>
          <w:color w:val="auto"/>
        </w:rPr>
        <w:t>corresponding periods in 2020 was driven by a decline in costs associated with our rebate program, including a reduction in the funded balance and reduction in rates used. In addition, customer growth and an increase in transactions improved account analysis fees.</w:t>
      </w:r>
    </w:p>
    <w:p>
      <w:pPr>
        <w:spacing w:after="0" w:line="81" w:lineRule="exact"/>
        <w:rPr>
          <w:sz w:val="20"/>
          <w:szCs w:val="20"/>
          <w:color w:val="auto"/>
        </w:rPr>
      </w:pPr>
    </w:p>
    <w:p>
      <w:pPr>
        <w:ind w:left="100" w:right="20"/>
        <w:spacing w:after="0" w:line="330" w:lineRule="auto"/>
        <w:rPr>
          <w:sz w:val="20"/>
          <w:szCs w:val="20"/>
          <w:color w:val="auto"/>
        </w:rPr>
      </w:pPr>
      <w:r>
        <w:rPr>
          <w:rFonts w:ascii="Arial" w:cs="Arial" w:eastAsia="Arial" w:hAnsi="Arial"/>
          <w:sz w:val="11"/>
          <w:szCs w:val="11"/>
          <w:b w:val="1"/>
          <w:bCs w:val="1"/>
          <w:u w:val="single" w:color="auto"/>
          <w:color w:val="auto"/>
        </w:rPr>
        <w:t>Realized gains (losses) on available-for-sale securities</w:t>
      </w:r>
      <w:r>
        <w:rPr>
          <w:rFonts w:ascii="Arial" w:cs="Arial" w:eastAsia="Arial" w:hAnsi="Arial"/>
          <w:sz w:val="11"/>
          <w:szCs w:val="11"/>
          <w:b w:val="1"/>
          <w:bCs w:val="1"/>
          <w:color w:val="auto"/>
        </w:rPr>
        <w:t xml:space="preserve"> </w:t>
      </w:r>
      <w:r>
        <w:rPr>
          <w:rFonts w:ascii="Arial" w:cs="Arial" w:eastAsia="Arial" w:hAnsi="Arial"/>
          <w:sz w:val="11"/>
          <w:szCs w:val="11"/>
          <w:color w:val="auto"/>
        </w:rPr>
        <w:t>- The decrease for the three- and six-month periods ended June 30, 2021 compared to the same corresponding periods in 2020 was primarily due to the value and volume of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Company’s securities sold in 2020 in the declining rate environment. The 2020 sales were a strategic decision by management to capitalize on attractive market conditions and improve credit quality.</w:t>
      </w:r>
    </w:p>
    <w:p>
      <w:pPr>
        <w:spacing w:after="0" w:line="48" w:lineRule="exact"/>
        <w:rPr>
          <w:sz w:val="20"/>
          <w:szCs w:val="20"/>
          <w:color w:val="auto"/>
        </w:rPr>
      </w:pPr>
    </w:p>
    <w:p>
      <w:pPr>
        <w:ind w:left="100" w:right="200"/>
        <w:spacing w:after="0" w:line="283" w:lineRule="auto"/>
        <w:rPr>
          <w:sz w:val="20"/>
          <w:szCs w:val="20"/>
          <w:color w:val="auto"/>
        </w:rPr>
      </w:pPr>
      <w:r>
        <w:rPr>
          <w:rFonts w:ascii="Arial" w:cs="Arial" w:eastAsia="Arial" w:hAnsi="Arial"/>
          <w:sz w:val="12"/>
          <w:szCs w:val="12"/>
          <w:b w:val="1"/>
          <w:bCs w:val="1"/>
          <w:u w:val="single" w:color="auto"/>
          <w:color w:val="auto"/>
        </w:rPr>
        <w:t>Income from bank-owned life insurance</w:t>
      </w:r>
      <w:r>
        <w:rPr>
          <w:rFonts w:ascii="Arial" w:cs="Arial" w:eastAsia="Arial" w:hAnsi="Arial"/>
          <w:sz w:val="12"/>
          <w:szCs w:val="12"/>
          <w:b w:val="1"/>
          <w:bCs w:val="1"/>
          <w:color w:val="auto"/>
        </w:rPr>
        <w:t xml:space="preserve"> - </w:t>
      </w:r>
      <w:r>
        <w:rPr>
          <w:rFonts w:ascii="Arial" w:cs="Arial" w:eastAsia="Arial" w:hAnsi="Arial"/>
          <w:sz w:val="12"/>
          <w:szCs w:val="12"/>
          <w:color w:val="auto"/>
        </w:rPr>
        <w:t>During the quarter ended June 30, 2021, the Company recognized $2 million in tax-free death benefits from a bank-owned life insurance policy compared to $0 of such proceeds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three- and six-months ended June 30, 2020.</w:t>
      </w:r>
    </w:p>
    <w:p>
      <w:pPr>
        <w:spacing w:after="0" w:line="71" w:lineRule="exact"/>
        <w:rPr>
          <w:sz w:val="20"/>
          <w:szCs w:val="20"/>
          <w:color w:val="auto"/>
        </w:rPr>
      </w:pPr>
    </w:p>
    <w:p>
      <w:pPr>
        <w:ind w:left="100" w:right="400"/>
        <w:spacing w:after="0" w:line="283" w:lineRule="auto"/>
        <w:rPr>
          <w:sz w:val="20"/>
          <w:szCs w:val="20"/>
          <w:color w:val="auto"/>
        </w:rPr>
      </w:pPr>
      <w:r>
        <w:rPr>
          <w:rFonts w:ascii="Arial" w:cs="Arial" w:eastAsia="Arial" w:hAnsi="Arial"/>
          <w:sz w:val="12"/>
          <w:szCs w:val="12"/>
          <w:b w:val="1"/>
          <w:bCs w:val="1"/>
          <w:u w:val="single" w:color="auto"/>
          <w:color w:val="auto"/>
        </w:rPr>
        <w:t>Swap fee and credit valuation adjustments, net</w:t>
      </w:r>
      <w:r>
        <w:rPr>
          <w:rFonts w:ascii="Arial" w:cs="Arial" w:eastAsia="Arial" w:hAnsi="Arial"/>
          <w:sz w:val="12"/>
          <w:szCs w:val="12"/>
          <w:b w:val="1"/>
          <w:bCs w:val="1"/>
          <w:color w:val="auto"/>
        </w:rPr>
        <w:t xml:space="preserve"> </w:t>
      </w:r>
      <w:r>
        <w:rPr>
          <w:rFonts w:ascii="Arial" w:cs="Arial" w:eastAsia="Arial" w:hAnsi="Arial"/>
          <w:sz w:val="12"/>
          <w:szCs w:val="12"/>
          <w:color w:val="auto"/>
        </w:rPr>
        <w:t>- This category includes swap fees from the execution of new swaps and the credit valuation adjustment (“CVA”). Swap fees on new swaps depend on the size and term of the</w:t>
      </w:r>
      <w:r>
        <w:rPr>
          <w:rFonts w:ascii="Arial" w:cs="Arial" w:eastAsia="Arial" w:hAnsi="Arial"/>
          <w:sz w:val="12"/>
          <w:szCs w:val="12"/>
          <w:b w:val="1"/>
          <w:bCs w:val="1"/>
          <w:color w:val="auto"/>
        </w:rPr>
        <w:t xml:space="preserve"> </w:t>
      </w:r>
      <w:r>
        <w:rPr>
          <w:rFonts w:ascii="Arial" w:cs="Arial" w:eastAsia="Arial" w:hAnsi="Arial"/>
          <w:sz w:val="12"/>
          <w:szCs w:val="12"/>
          <w:color w:val="auto"/>
        </w:rPr>
        <w:t>underlying asset. During the three- and six-month periods ended June 30, 2021, no new swaps were executed compared to zero and two new swaps for the three- and six-month</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periods ended June 30, 2020, respectively. The low volume of new swaps was due to management's loan and pricing strategy and lower long-term interest rates.</w:t>
      </w:r>
    </w:p>
    <w:p>
      <w:pPr>
        <w:spacing w:after="0" w:line="110" w:lineRule="exact"/>
        <w:rPr>
          <w:sz w:val="20"/>
          <w:szCs w:val="20"/>
          <w:color w:val="auto"/>
        </w:rPr>
      </w:pPr>
    </w:p>
    <w:p>
      <w:pPr>
        <w:ind w:left="100" w:right="40"/>
        <w:spacing w:after="0" w:line="261" w:lineRule="auto"/>
        <w:rPr>
          <w:sz w:val="20"/>
          <w:szCs w:val="20"/>
          <w:color w:val="auto"/>
        </w:rPr>
      </w:pPr>
      <w:r>
        <w:rPr>
          <w:rFonts w:ascii="Arial" w:cs="Arial" w:eastAsia="Arial" w:hAnsi="Arial"/>
          <w:sz w:val="12"/>
          <w:szCs w:val="12"/>
          <w:b w:val="1"/>
          <w:bCs w:val="1"/>
          <w:u w:val="single" w:color="auto"/>
          <w:color w:val="auto"/>
        </w:rPr>
        <w:t>ATM and credit card interchange income</w:t>
      </w:r>
      <w:r>
        <w:rPr>
          <w:rFonts w:ascii="Arial" w:cs="Arial" w:eastAsia="Arial" w:hAnsi="Arial"/>
          <w:sz w:val="12"/>
          <w:szCs w:val="12"/>
          <w:b w:val="1"/>
          <w:bCs w:val="1"/>
          <w:color w:val="auto"/>
        </w:rPr>
        <w:t xml:space="preserve"> </w:t>
      </w:r>
      <w:r>
        <w:rPr>
          <w:rFonts w:ascii="Arial" w:cs="Arial" w:eastAsia="Arial" w:hAnsi="Arial"/>
          <w:sz w:val="12"/>
          <w:szCs w:val="12"/>
          <w:color w:val="auto"/>
        </w:rPr>
        <w:t>- The increase in ATM and credit card interchange income for the three- and six-month periods ended June 30, 2021 compared to the same periods in 2020 was primarily the result of</w:t>
      </w:r>
      <w:r>
        <w:rPr>
          <w:rFonts w:ascii="Arial" w:cs="Arial" w:eastAsia="Arial" w:hAnsi="Arial"/>
          <w:sz w:val="12"/>
          <w:szCs w:val="12"/>
          <w:b w:val="1"/>
          <w:bCs w:val="1"/>
          <w:color w:val="auto"/>
        </w:rPr>
        <w:t xml:space="preserve"> </w:t>
      </w:r>
      <w:r>
        <w:rPr>
          <w:rFonts w:ascii="Arial" w:cs="Arial" w:eastAsia="Arial" w:hAnsi="Arial"/>
          <w:sz w:val="12"/>
          <w:szCs w:val="12"/>
          <w:color w:val="auto"/>
        </w:rPr>
        <w:t>customers that mobilized their workforce directly impacted by the COVID-19 pandemic. As anticipated, the Company saw an $822 thousand decline for the three month period ended June 30, 2021 compared to the prior, three month period ended March 31, 2021 as COVID-19 cases declined. The Company anticipates the credit card activity and related income will continue to fluctuate in connection with changes in COVID-19 cases and the related vaccine rollout.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-372110</wp:posOffset>
            </wp:positionV>
            <wp:extent cx="5560695"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0695" cy="85725"/>
                    </a:xfrm>
                    <a:prstGeom prst="rect">
                      <a:avLst/>
                    </a:prstGeom>
                    <a:noFill/>
                  </pic:spPr>
                </pic:pic>
              </a:graphicData>
            </a:graphic>
          </wp:anchor>
        </w:drawing>
      </w:r>
    </w:p>
    <w:p>
      <w:pPr>
        <w:spacing w:after="0" w:line="64" w:lineRule="exact"/>
        <w:rPr>
          <w:sz w:val="20"/>
          <w:szCs w:val="20"/>
          <w:color w:val="auto"/>
        </w:rPr>
      </w:pPr>
    </w:p>
    <w:p>
      <w:pPr>
        <w:ind w:left="100" w:right="180"/>
        <w:spacing w:after="0" w:line="344" w:lineRule="auto"/>
        <w:rPr>
          <w:sz w:val="20"/>
          <w:szCs w:val="20"/>
          <w:color w:val="auto"/>
        </w:rPr>
      </w:pPr>
      <w:r>
        <w:rPr>
          <w:rFonts w:ascii="Arial" w:cs="Arial" w:eastAsia="Arial" w:hAnsi="Arial"/>
          <w:sz w:val="10"/>
          <w:szCs w:val="10"/>
          <w:b w:val="1"/>
          <w:bCs w:val="1"/>
          <w:u w:val="single" w:color="auto"/>
          <w:color w:val="auto"/>
        </w:rPr>
        <w:t>Other non-interest income</w:t>
      </w:r>
      <w:r>
        <w:rPr>
          <w:rFonts w:ascii="Arial" w:cs="Arial" w:eastAsia="Arial" w:hAnsi="Arial"/>
          <w:sz w:val="10"/>
          <w:szCs w:val="10"/>
          <w:b w:val="1"/>
          <w:bCs w:val="1"/>
          <w:color w:val="auto"/>
        </w:rPr>
        <w:t xml:space="preserve"> </w:t>
      </w:r>
      <w:r>
        <w:rPr>
          <w:rFonts w:ascii="Arial" w:cs="Arial" w:eastAsia="Arial" w:hAnsi="Arial"/>
          <w:sz w:val="10"/>
          <w:szCs w:val="10"/>
          <w:color w:val="auto"/>
        </w:rPr>
        <w:t>- The increase in other non-interest income for the three- and six-month periods ended June 30, 2021 compared to the same periods in 2020 was related to $183 thousand in state employment incentives</w:t>
      </w:r>
      <w:r>
        <w:rPr>
          <w:rFonts w:ascii="Arial" w:cs="Arial" w:eastAsia="Arial" w:hAnsi="Arial"/>
          <w:sz w:val="10"/>
          <w:szCs w:val="10"/>
          <w:b w:val="1"/>
          <w:bCs w:val="1"/>
          <w:color w:val="auto"/>
        </w:rPr>
        <w:t xml:space="preserve"> </w:t>
      </w:r>
      <w:r>
        <w:rPr>
          <w:rFonts w:ascii="Arial" w:cs="Arial" w:eastAsia="Arial" w:hAnsi="Arial"/>
          <w:sz w:val="10"/>
          <w:szCs w:val="10"/>
          <w:color w:val="auto"/>
        </w:rPr>
        <w:t>that we received in the second quarter of 2021. We anticipate a similar benefit in the third quarter of 2021 and will continue to receive the incentive quarterly going forward for three years, but at significantly lower amounts. The Company also saw a $278 thousand and $392 thousand increase in letter of credit and foreign exchange fees for the three- and six-month periods ended June 30, 2021 compared to the corresponding periods in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-305435</wp:posOffset>
            </wp:positionV>
            <wp:extent cx="6143625"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43625" cy="8572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Non-Interest Expense</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1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For the Quarter Ended</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b w:val="1"/>
                <w:bCs w:val="1"/>
                <w:color w:val="auto"/>
              </w:rPr>
              <w:t>For the Six Months Ended</w:t>
            </w:r>
          </w:p>
        </w:tc>
      </w:tr>
      <w:tr>
        <w:trPr>
          <w:trHeight w:val="137"/>
        </w:trPr>
        <w:tc>
          <w:tcPr>
            <w:tcW w:w="1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400"/>
              <w:spacing w:after="0" w:line="137" w:lineRule="exact"/>
              <w:rPr>
                <w:sz w:val="20"/>
                <w:szCs w:val="20"/>
                <w:color w:val="auto"/>
              </w:rPr>
            </w:pPr>
            <w:r>
              <w:rPr>
                <w:rFonts w:ascii="Arial" w:cs="Arial" w:eastAsia="Arial" w:hAnsi="Arial"/>
                <w:sz w:val="12"/>
                <w:szCs w:val="12"/>
                <w:b w:val="1"/>
                <w:bCs w:val="1"/>
                <w:color w:val="auto"/>
              </w:rPr>
              <w:t>June 30,</w:t>
            </w:r>
          </w:p>
        </w:tc>
        <w:tc>
          <w:tcPr>
            <w:tcW w:w="260" w:type="dxa"/>
            <w:vAlign w:val="bottom"/>
          </w:tcPr>
          <w:p>
            <w:pPr>
              <w:spacing w:after="0"/>
              <w:rPr>
                <w:sz w:val="11"/>
                <w:szCs w:val="11"/>
                <w:color w:val="auto"/>
              </w:rPr>
            </w:pPr>
          </w:p>
        </w:tc>
        <w:tc>
          <w:tcPr>
            <w:tcW w:w="1080" w:type="dxa"/>
            <w:vAlign w:val="bottom"/>
          </w:tcPr>
          <w:p>
            <w:pPr>
              <w:jc w:val="right"/>
              <w:ind w:right="360"/>
              <w:spacing w:after="0" w:line="137" w:lineRule="exact"/>
              <w:rPr>
                <w:sz w:val="20"/>
                <w:szCs w:val="20"/>
                <w:color w:val="auto"/>
              </w:rPr>
            </w:pPr>
            <w:r>
              <w:rPr>
                <w:rFonts w:ascii="Arial" w:cs="Arial" w:eastAsia="Arial" w:hAnsi="Arial"/>
                <w:sz w:val="12"/>
                <w:szCs w:val="12"/>
                <w:b w:val="1"/>
                <w:bCs w:val="1"/>
                <w:color w:val="auto"/>
              </w:rPr>
              <w:t>March 31,</w:t>
            </w:r>
          </w:p>
        </w:tc>
        <w:tc>
          <w:tcPr>
            <w:tcW w:w="120" w:type="dxa"/>
            <w:vAlign w:val="bottom"/>
          </w:tcPr>
          <w:p>
            <w:pPr>
              <w:spacing w:after="0"/>
              <w:rPr>
                <w:sz w:val="11"/>
                <w:szCs w:val="11"/>
                <w:color w:val="auto"/>
              </w:rPr>
            </w:pPr>
          </w:p>
        </w:tc>
        <w:tc>
          <w:tcPr>
            <w:tcW w:w="1220" w:type="dxa"/>
            <w:vAlign w:val="bottom"/>
          </w:tcPr>
          <w:p>
            <w:pPr>
              <w:jc w:val="right"/>
              <w:ind w:right="280"/>
              <w:spacing w:after="0" w:line="137"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1"/>
                <w:szCs w:val="11"/>
                <w:color w:val="auto"/>
              </w:rPr>
            </w:pPr>
          </w:p>
        </w:tc>
        <w:tc>
          <w:tcPr>
            <w:tcW w:w="1280" w:type="dxa"/>
            <w:vAlign w:val="bottom"/>
          </w:tcPr>
          <w:p>
            <w:pPr>
              <w:jc w:val="right"/>
              <w:ind w:right="280"/>
              <w:spacing w:after="0" w:line="137" w:lineRule="exact"/>
              <w:rPr>
                <w:sz w:val="20"/>
                <w:szCs w:val="20"/>
                <w:color w:val="auto"/>
              </w:rPr>
            </w:pPr>
            <w:r>
              <w:rPr>
                <w:rFonts w:ascii="Arial" w:cs="Arial" w:eastAsia="Arial" w:hAnsi="Arial"/>
                <w:sz w:val="12"/>
                <w:szCs w:val="12"/>
                <w:b w:val="1"/>
                <w:bCs w:val="1"/>
                <w:color w:val="auto"/>
              </w:rPr>
              <w:t>September 30,</w:t>
            </w:r>
          </w:p>
        </w:tc>
        <w:tc>
          <w:tcPr>
            <w:tcW w:w="280" w:type="dxa"/>
            <w:vAlign w:val="bottom"/>
          </w:tcPr>
          <w:p>
            <w:pPr>
              <w:spacing w:after="0"/>
              <w:rPr>
                <w:sz w:val="11"/>
                <w:szCs w:val="11"/>
                <w:color w:val="auto"/>
              </w:rPr>
            </w:pPr>
          </w:p>
        </w:tc>
        <w:tc>
          <w:tcPr>
            <w:tcW w:w="1100" w:type="dxa"/>
            <w:vAlign w:val="bottom"/>
            <w:gridSpan w:val="2"/>
          </w:tcPr>
          <w:p>
            <w:pPr>
              <w:ind w:left="180"/>
              <w:spacing w:after="0" w:line="137" w:lineRule="exact"/>
              <w:rPr>
                <w:sz w:val="20"/>
                <w:szCs w:val="20"/>
                <w:color w:val="auto"/>
              </w:rPr>
            </w:pPr>
            <w:r>
              <w:rPr>
                <w:rFonts w:ascii="Arial" w:cs="Arial" w:eastAsia="Arial" w:hAnsi="Arial"/>
                <w:sz w:val="12"/>
                <w:szCs w:val="12"/>
                <w:b w:val="1"/>
                <w:bCs w:val="1"/>
                <w:color w:val="auto"/>
              </w:rPr>
              <w:t>June 30,</w:t>
            </w:r>
          </w:p>
        </w:tc>
        <w:tc>
          <w:tcPr>
            <w:tcW w:w="240" w:type="dxa"/>
            <w:vAlign w:val="bottom"/>
          </w:tcPr>
          <w:p>
            <w:pPr>
              <w:spacing w:after="0"/>
              <w:rPr>
                <w:sz w:val="11"/>
                <w:szCs w:val="11"/>
                <w:color w:val="auto"/>
              </w:rPr>
            </w:pPr>
          </w:p>
        </w:tc>
        <w:tc>
          <w:tcPr>
            <w:tcW w:w="1060" w:type="dxa"/>
            <w:vAlign w:val="bottom"/>
          </w:tcPr>
          <w:p>
            <w:pPr>
              <w:jc w:val="right"/>
              <w:ind w:right="400"/>
              <w:spacing w:after="0" w:line="137" w:lineRule="exact"/>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11"/>
                <w:szCs w:val="11"/>
                <w:color w:val="auto"/>
              </w:rPr>
            </w:pPr>
          </w:p>
        </w:tc>
        <w:tc>
          <w:tcPr>
            <w:tcW w:w="1020" w:type="dxa"/>
            <w:vAlign w:val="bottom"/>
          </w:tcPr>
          <w:p>
            <w:pPr>
              <w:jc w:val="right"/>
              <w:ind w:right="360"/>
              <w:spacing w:after="0" w:line="137" w:lineRule="exact"/>
              <w:rPr>
                <w:sz w:val="20"/>
                <w:szCs w:val="20"/>
                <w:color w:val="auto"/>
              </w:rPr>
            </w:pPr>
            <w:r>
              <w:rPr>
                <w:rFonts w:ascii="Arial" w:cs="Arial" w:eastAsia="Arial" w:hAnsi="Arial"/>
                <w:sz w:val="12"/>
                <w:szCs w:val="12"/>
                <w:b w:val="1"/>
                <w:bCs w:val="1"/>
                <w:color w:val="auto"/>
              </w:rPr>
              <w:t>June 30,</w:t>
            </w:r>
          </w:p>
        </w:tc>
      </w:tr>
      <w:tr>
        <w:trPr>
          <w:trHeight w:val="176"/>
        </w:trPr>
        <w:tc>
          <w:tcPr>
            <w:tcW w:w="1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15"/>
                <w:szCs w:val="15"/>
                <w:b w:val="1"/>
                <w:bCs w:val="1"/>
                <w:color w:val="auto"/>
                <w:vertAlign w:val="superscript"/>
              </w:rPr>
              <w:t>(1)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r>
              <w:rPr>
                <w:rFonts w:ascii="Arial" w:cs="Arial" w:eastAsia="Arial" w:hAnsi="Arial"/>
                <w:sz w:val="15"/>
                <w:szCs w:val="15"/>
                <w:b w:val="1"/>
                <w:bCs w:val="1"/>
                <w:color w:val="auto"/>
                <w:vertAlign w:val="superscript"/>
              </w:rPr>
              <w:t>(1)</w:t>
            </w:r>
          </w:p>
        </w:tc>
      </w:tr>
      <w:tr>
        <w:trPr>
          <w:trHeight w:val="160"/>
        </w:trPr>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w w:val="94"/>
              </w:rPr>
              <w:t>(Dollars in thousands)</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non-interest expense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25,813</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22,818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23,732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23,011</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31,010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48,631</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53,233</w:t>
            </w:r>
          </w:p>
        </w:tc>
      </w:tr>
      <w:tr>
        <w:trPr>
          <w:trHeight w:val="150"/>
        </w:trPr>
        <w:tc>
          <w:tcPr>
            <w:tcW w:w="1580" w:type="dxa"/>
            <w:vAlign w:val="bottom"/>
          </w:tcPr>
          <w:p>
            <w:pPr>
              <w:ind w:left="20"/>
              <w:spacing w:after="0"/>
              <w:rPr>
                <w:sz w:val="20"/>
                <w:szCs w:val="20"/>
                <w:color w:val="auto"/>
              </w:rPr>
            </w:pPr>
            <w:r>
              <w:rPr>
                <w:rFonts w:ascii="Arial" w:cs="Arial" w:eastAsia="Arial" w:hAnsi="Arial"/>
                <w:sz w:val="12"/>
                <w:szCs w:val="12"/>
                <w:color w:val="auto"/>
                <w:w w:val="88"/>
              </w:rPr>
              <w:t>Non-interest expense to average</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4"/>
        </w:trPr>
        <w:tc>
          <w:tcPr>
            <w:tcW w:w="1580" w:type="dxa"/>
            <w:vAlign w:val="bottom"/>
          </w:tcPr>
          <w:p>
            <w:pPr>
              <w:ind w:left="120"/>
              <w:spacing w:after="0"/>
              <w:rPr>
                <w:sz w:val="20"/>
                <w:szCs w:val="20"/>
                <w:color w:val="auto"/>
              </w:rPr>
            </w:pPr>
            <w:r>
              <w:rPr>
                <w:rFonts w:ascii="Arial" w:cs="Arial" w:eastAsia="Arial" w:hAnsi="Arial"/>
                <w:sz w:val="12"/>
                <w:szCs w:val="12"/>
                <w:color w:val="auto"/>
              </w:rPr>
              <w:t>assets</w:t>
            </w:r>
            <w:r>
              <w:rPr>
                <w:rFonts w:ascii="Arial" w:cs="Arial" w:eastAsia="Arial" w:hAnsi="Arial"/>
                <w:sz w:val="15"/>
                <w:szCs w:val="15"/>
                <w:color w:val="auto"/>
                <w:vertAlign w:val="superscript"/>
              </w:rPr>
              <w:t>(2)</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1.82 %</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1.60 %</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1.71 %</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1.67 %</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2.21 %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1.71 %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2.01 %</w:t>
            </w:r>
          </w:p>
        </w:tc>
      </w:tr>
    </w:tbl>
    <w:p>
      <w:pPr>
        <w:ind w:left="220" w:hanging="108"/>
        <w:spacing w:after="0" w:line="209" w:lineRule="auto"/>
        <w:tabs>
          <w:tab w:leader="none" w:pos="220" w:val="left"/>
        </w:tabs>
        <w:numPr>
          <w:ilvl w:val="0"/>
          <w:numId w:val="16"/>
        </w:numPr>
        <w:rPr>
          <w:rFonts w:ascii="Arial" w:cs="Arial" w:eastAsia="Arial" w:hAnsi="Arial"/>
          <w:sz w:val="13"/>
          <w:szCs w:val="13"/>
          <w:color w:val="auto"/>
          <w:vertAlign w:val="superscript"/>
        </w:rPr>
      </w:pPr>
      <w:r>
        <w:rPr>
          <w:rFonts w:ascii="Arial" w:cs="Arial" w:eastAsia="Arial" w:hAnsi="Arial"/>
          <w:sz w:val="10"/>
          <w:szCs w:val="10"/>
          <w:color w:val="auto"/>
        </w:rPr>
        <w:t>Total non-interest expense includes $7 million related to goodwill impairment.</w:t>
      </w:r>
    </w:p>
    <w:p>
      <w:pPr>
        <w:spacing w:after="0" w:line="25" w:lineRule="exact"/>
        <w:rPr>
          <w:rFonts w:ascii="Arial" w:cs="Arial" w:eastAsia="Arial" w:hAnsi="Arial"/>
          <w:sz w:val="13"/>
          <w:szCs w:val="13"/>
          <w:color w:val="auto"/>
          <w:vertAlign w:val="superscript"/>
        </w:rPr>
      </w:pPr>
    </w:p>
    <w:p>
      <w:pPr>
        <w:ind w:left="220" w:hanging="108"/>
        <w:spacing w:after="0" w:line="205" w:lineRule="auto"/>
        <w:tabs>
          <w:tab w:leader="none" w:pos="220" w:val="left"/>
        </w:tabs>
        <w:numPr>
          <w:ilvl w:val="0"/>
          <w:numId w:val="16"/>
        </w:numPr>
        <w:rPr>
          <w:rFonts w:ascii="Arial" w:cs="Arial" w:eastAsia="Arial" w:hAnsi="Arial"/>
          <w:sz w:val="13"/>
          <w:szCs w:val="13"/>
          <w:color w:val="auto"/>
          <w:vertAlign w:val="superscript"/>
        </w:rPr>
      </w:pPr>
      <w:r>
        <w:rPr>
          <w:rFonts w:ascii="Arial" w:cs="Arial" w:eastAsia="Arial" w:hAnsi="Arial"/>
          <w:sz w:val="10"/>
          <w:szCs w:val="10"/>
          <w:color w:val="auto"/>
        </w:rPr>
        <w:t>Interim periods annualized.</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components of non-interest expense were as follows for the periods indicated:</w:t>
      </w:r>
    </w:p>
    <w:p>
      <w:pPr>
        <w:spacing w:after="0" w:line="29"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1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rPr>
              <w:t>Six Months Ended</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2"/>
                <w:szCs w:val="12"/>
                <w:b w:val="1"/>
                <w:bCs w:val="1"/>
                <w:color w:val="auto"/>
                <w:w w:val="87"/>
              </w:rPr>
              <w:t>June 30,</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87"/>
              </w:rPr>
              <w:t>June 30,</w:t>
            </w: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w w:val="86"/>
              </w:rPr>
              <w:t>Change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2"/>
                <w:szCs w:val="12"/>
                <w:b w:val="1"/>
                <w:bCs w:val="1"/>
                <w:color w:val="auto"/>
                <w:w w:val="86"/>
              </w:rPr>
              <w:t>Change</w:t>
            </w: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gridSpan w:val="2"/>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2"/>
              </w:rPr>
              <w:t>2021</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i w:val="1"/>
                <w:iCs w:val="1"/>
                <w:color w:val="auto"/>
                <w:w w:val="91"/>
              </w:rPr>
              <w:t>(Dollars in thousands)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560" w:type="dxa"/>
            <w:vAlign w:val="bottom"/>
            <w:shd w:val="clear" w:color="auto" w:fill="CCEEFF"/>
          </w:tcPr>
          <w:p>
            <w:pPr>
              <w:ind w:left="340"/>
              <w:spacing w:after="0" w:line="120" w:lineRule="exact"/>
              <w:rPr>
                <w:sz w:val="20"/>
                <w:szCs w:val="20"/>
                <w:color w:val="auto"/>
              </w:rPr>
            </w:pPr>
            <w:r>
              <w:rPr>
                <w:rFonts w:ascii="Arial" w:cs="Arial" w:eastAsia="Arial" w:hAnsi="Arial"/>
                <w:sz w:val="12"/>
                <w:szCs w:val="12"/>
                <w:color w:val="auto"/>
              </w:rPr>
              <w:t>Salary and employee</w:t>
            </w:r>
          </w:p>
        </w:tc>
        <w:tc>
          <w:tcPr>
            <w:tcW w:w="5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15,660</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14,004</w:t>
            </w:r>
          </w:p>
        </w:tc>
        <w:tc>
          <w:tcPr>
            <w:tcW w:w="8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1,656</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29,213</w:t>
            </w:r>
          </w:p>
        </w:tc>
        <w:tc>
          <w:tcPr>
            <w:tcW w:w="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28,394</w:t>
            </w:r>
          </w:p>
        </w:tc>
        <w:tc>
          <w:tcPr>
            <w:tcW w:w="7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819</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3</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benefits</w:t>
            </w:r>
          </w:p>
        </w:tc>
        <w:tc>
          <w:tcPr>
            <w:tcW w:w="50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340"/>
              <w:spacing w:after="0"/>
              <w:rPr>
                <w:sz w:val="20"/>
                <w:szCs w:val="20"/>
                <w:color w:val="auto"/>
              </w:rPr>
            </w:pPr>
            <w:r>
              <w:rPr>
                <w:rFonts w:ascii="Arial" w:cs="Arial" w:eastAsia="Arial" w:hAnsi="Arial"/>
                <w:sz w:val="12"/>
                <w:szCs w:val="12"/>
                <w:color w:val="auto"/>
              </w:rPr>
              <w:t>Occupancy</w:t>
            </w: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2,397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2,045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352</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4,891</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761</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18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Professional fees</w:t>
            </w: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1,920</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60" w:type="dxa"/>
            <w:vAlign w:val="bottom"/>
          </w:tcPr>
          <w:p>
            <w:pPr>
              <w:ind w:left="340"/>
              <w:spacing w:after="0" w:line="117" w:lineRule="exact"/>
              <w:rPr>
                <w:sz w:val="20"/>
                <w:szCs w:val="20"/>
                <w:color w:val="auto"/>
              </w:rPr>
            </w:pPr>
            <w:r>
              <w:rPr>
                <w:rFonts w:ascii="Arial" w:cs="Arial" w:eastAsia="Arial" w:hAnsi="Arial"/>
                <w:sz w:val="12"/>
                <w:szCs w:val="12"/>
                <w:color w:val="auto"/>
              </w:rPr>
              <w:t>Deposit insurance</w:t>
            </w:r>
          </w:p>
        </w:tc>
        <w:tc>
          <w:tcPr>
            <w:tcW w:w="5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917</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1,039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(122)</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(12)</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2,068</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2,055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13</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20"/>
              <w:spacing w:after="0"/>
              <w:rPr>
                <w:sz w:val="20"/>
                <w:szCs w:val="20"/>
                <w:color w:val="auto"/>
              </w:rPr>
            </w:pPr>
            <w:r>
              <w:rPr>
                <w:rFonts w:ascii="Arial" w:cs="Arial" w:eastAsia="Arial" w:hAnsi="Arial"/>
                <w:sz w:val="12"/>
                <w:szCs w:val="12"/>
                <w:color w:val="auto"/>
              </w:rPr>
              <w:t>premiums</w:t>
            </w:r>
          </w:p>
        </w:tc>
        <w:tc>
          <w:tcPr>
            <w:tcW w:w="5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Data processing</w:t>
            </w: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1,436</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60" w:type="dxa"/>
            <w:vAlign w:val="bottom"/>
          </w:tcPr>
          <w:p>
            <w:pPr>
              <w:ind w:left="340"/>
              <w:spacing w:after="0"/>
              <w:rPr>
                <w:sz w:val="20"/>
                <w:szCs w:val="20"/>
                <w:color w:val="auto"/>
              </w:rPr>
            </w:pPr>
            <w:r>
              <w:rPr>
                <w:rFonts w:ascii="Arial" w:cs="Arial" w:eastAsia="Arial" w:hAnsi="Arial"/>
                <w:sz w:val="12"/>
                <w:szCs w:val="12"/>
                <w:color w:val="auto"/>
              </w:rPr>
              <w:t>Advertising</w:t>
            </w:r>
          </w:p>
        </w:tc>
        <w:tc>
          <w:tcPr>
            <w:tcW w:w="5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212</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95</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738</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60" w:type="dxa"/>
            <w:vAlign w:val="bottom"/>
            <w:shd w:val="clear" w:color="auto" w:fill="CCEEFF"/>
          </w:tcPr>
          <w:p>
            <w:pPr>
              <w:ind w:left="340"/>
              <w:spacing w:after="0" w:line="117" w:lineRule="exact"/>
              <w:rPr>
                <w:sz w:val="20"/>
                <w:szCs w:val="20"/>
                <w:color w:val="auto"/>
              </w:rPr>
            </w:pPr>
            <w:r>
              <w:rPr>
                <w:rFonts w:ascii="Arial" w:cs="Arial" w:eastAsia="Arial" w:hAnsi="Arial"/>
                <w:sz w:val="12"/>
                <w:szCs w:val="12"/>
                <w:color w:val="auto"/>
              </w:rPr>
              <w:t>Software and</w:t>
            </w:r>
          </w:p>
        </w:tc>
        <w:tc>
          <w:tcPr>
            <w:tcW w:w="5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1,034</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937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2,099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1,813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16</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communication</w:t>
            </w:r>
          </w:p>
        </w:tc>
        <w:tc>
          <w:tcPr>
            <w:tcW w:w="5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560" w:type="dxa"/>
            <w:vAlign w:val="bottom"/>
          </w:tcPr>
          <w:p>
            <w:pPr>
              <w:ind w:left="340"/>
              <w:spacing w:after="0"/>
              <w:rPr>
                <w:sz w:val="20"/>
                <w:szCs w:val="20"/>
                <w:color w:val="auto"/>
              </w:rPr>
            </w:pPr>
            <w:r>
              <w:rPr>
                <w:rFonts w:ascii="Arial" w:cs="Arial" w:eastAsia="Arial" w:hAnsi="Arial"/>
                <w:sz w:val="12"/>
                <w:szCs w:val="12"/>
                <w:color w:val="auto"/>
                <w:w w:val="99"/>
              </w:rPr>
              <w:t>Foreclosed assets, net</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665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1,135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(470)</w:t>
            </w:r>
          </w:p>
        </w:tc>
        <w:tc>
          <w:tcPr>
            <w:tcW w:w="900" w:type="dxa"/>
            <w:vAlign w:val="bottom"/>
            <w:gridSpan w:val="2"/>
          </w:tcPr>
          <w:p>
            <w:pPr>
              <w:jc w:val="right"/>
              <w:ind w:right="60"/>
              <w:spacing w:after="0"/>
              <w:rPr>
                <w:sz w:val="20"/>
                <w:szCs w:val="20"/>
                <w:color w:val="auto"/>
              </w:rPr>
            </w:pPr>
            <w:r>
              <w:rPr>
                <w:rFonts w:ascii="Arial" w:cs="Arial" w:eastAsia="Arial" w:hAnsi="Arial"/>
                <w:sz w:val="12"/>
                <w:szCs w:val="12"/>
                <w:color w:val="auto"/>
              </w:rPr>
              <w:t>(41)</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715</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1,154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(439)</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(38)</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Goodwill impairment</w:t>
            </w:r>
          </w:p>
        </w:tc>
        <w:tc>
          <w:tcPr>
            <w:tcW w:w="5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(7,397)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(100)</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tcPr>
          <w:p>
            <w:pPr>
              <w:ind w:left="340"/>
              <w:spacing w:after="0" w:line="117" w:lineRule="exact"/>
              <w:rPr>
                <w:sz w:val="20"/>
                <w:szCs w:val="20"/>
                <w:color w:val="auto"/>
              </w:rPr>
            </w:pPr>
            <w:r>
              <w:rPr>
                <w:rFonts w:ascii="Arial" w:cs="Arial" w:eastAsia="Arial" w:hAnsi="Arial"/>
                <w:sz w:val="12"/>
                <w:szCs w:val="12"/>
                <w:color w:val="auto"/>
              </w:rPr>
              <w:t>Other non-interest</w:t>
            </w:r>
          </w:p>
        </w:tc>
        <w:tc>
          <w:tcPr>
            <w:tcW w:w="5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2,847</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2,214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633</w:t>
            </w:r>
          </w:p>
        </w:tc>
        <w:tc>
          <w:tcPr>
            <w:tcW w:w="80" w:type="dxa"/>
            <w:vAlign w:val="bottom"/>
            <w:vMerge w:val="restart"/>
          </w:tcPr>
          <w:p>
            <w:pPr>
              <w:spacing w:after="0"/>
              <w:rPr>
                <w:sz w:val="10"/>
                <w:szCs w:val="10"/>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2"/>
                <w:szCs w:val="12"/>
                <w:color w:val="auto"/>
              </w:rPr>
              <w:t>29</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5,551</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4,188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1,363</w:t>
            </w:r>
          </w:p>
        </w:tc>
        <w:tc>
          <w:tcPr>
            <w:tcW w:w="60" w:type="dxa"/>
            <w:vAlign w:val="bottom"/>
            <w:vMerge w:val="restart"/>
          </w:tcPr>
          <w:p>
            <w:pPr>
              <w:spacing w:after="0"/>
              <w:rPr>
                <w:sz w:val="10"/>
                <w:szCs w:val="10"/>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2"/>
                <w:szCs w:val="12"/>
                <w:color w:val="auto"/>
              </w:rPr>
              <w:t>33</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expense</w:t>
            </w: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60" w:type="dxa"/>
            <w:vAlign w:val="bottom"/>
            <w:shd w:val="clear" w:color="auto" w:fill="CCEEFF"/>
          </w:tcPr>
          <w:p>
            <w:pPr>
              <w:ind w:left="420"/>
              <w:spacing w:after="0" w:line="97" w:lineRule="exact"/>
              <w:rPr>
                <w:sz w:val="20"/>
                <w:szCs w:val="20"/>
                <w:color w:val="auto"/>
              </w:rPr>
            </w:pPr>
            <w:r>
              <w:rPr>
                <w:rFonts w:ascii="Arial" w:cs="Arial" w:eastAsia="Arial" w:hAnsi="Arial"/>
                <w:sz w:val="11"/>
                <w:szCs w:val="11"/>
                <w:color w:val="auto"/>
              </w:rPr>
              <w:t>Total non-interest</w:t>
            </w:r>
          </w:p>
        </w:tc>
        <w:tc>
          <w:tcPr>
            <w:tcW w:w="5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25,813</w:t>
            </w: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31,010</w:t>
            </w:r>
          </w:p>
        </w:tc>
        <w:tc>
          <w:tcPr>
            <w:tcW w:w="4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8"/>
                <w:szCs w:val="8"/>
                <w:color w:val="auto"/>
              </w:rPr>
            </w:pPr>
          </w:p>
        </w:tc>
        <w:tc>
          <w:tcPr>
            <w:tcW w:w="780" w:type="dxa"/>
            <w:vAlign w:val="bottom"/>
            <w:vMerge w:val="restart"/>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(5,197)</w:t>
            </w:r>
          </w:p>
        </w:tc>
        <w:tc>
          <w:tcPr>
            <w:tcW w:w="80" w:type="dxa"/>
            <w:vAlign w:val="bottom"/>
            <w:vMerge w:val="restart"/>
            <w:shd w:val="clear" w:color="auto" w:fill="CCEEFF"/>
          </w:tcPr>
          <w:p>
            <w:pPr>
              <w:spacing w:after="0"/>
              <w:rPr>
                <w:sz w:val="8"/>
                <w:szCs w:val="8"/>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48,631</w:t>
            </w:r>
          </w:p>
        </w:tc>
        <w:tc>
          <w:tcPr>
            <w:tcW w:w="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53,233</w:t>
            </w:r>
          </w:p>
        </w:tc>
        <w:tc>
          <w:tcPr>
            <w:tcW w:w="40" w:type="dxa"/>
            <w:vAlign w:val="bottom"/>
            <w:vMerge w:val="restart"/>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8"/>
                <w:szCs w:val="8"/>
                <w:color w:val="auto"/>
              </w:rPr>
            </w:pPr>
          </w:p>
        </w:tc>
        <w:tc>
          <w:tcPr>
            <w:tcW w:w="64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(4,602)</w:t>
            </w:r>
          </w:p>
        </w:tc>
        <w:tc>
          <w:tcPr>
            <w:tcW w:w="60" w:type="dxa"/>
            <w:vAlign w:val="bottom"/>
            <w:vMerge w:val="restart"/>
            <w:shd w:val="clear" w:color="auto" w:fill="CCEEFF"/>
          </w:tcPr>
          <w:p>
            <w:pPr>
              <w:spacing w:after="0"/>
              <w:rPr>
                <w:sz w:val="8"/>
                <w:szCs w:val="8"/>
                <w:color w:val="auto"/>
              </w:rPr>
            </w:pPr>
          </w:p>
        </w:tc>
        <w:tc>
          <w:tcPr>
            <w:tcW w:w="92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1560" w:type="dxa"/>
            <w:vAlign w:val="bottom"/>
            <w:tcBorders>
              <w:bottom w:val="single" w:sz="8" w:color="CCEEFF"/>
            </w:tcBorders>
            <w:shd w:val="clear" w:color="auto" w:fill="CCEEFF"/>
          </w:tcPr>
          <w:p>
            <w:pPr>
              <w:ind w:left="100"/>
              <w:spacing w:after="0" w:line="135" w:lineRule="exact"/>
              <w:rPr>
                <w:sz w:val="20"/>
                <w:szCs w:val="20"/>
                <w:color w:val="auto"/>
              </w:rPr>
            </w:pPr>
            <w:r>
              <w:rPr>
                <w:rFonts w:ascii="Arial" w:cs="Arial" w:eastAsia="Arial" w:hAnsi="Arial"/>
                <w:sz w:val="12"/>
                <w:szCs w:val="12"/>
                <w:color w:val="auto"/>
              </w:rPr>
              <w:t>expense</w:t>
            </w: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3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in noninterest expense were driven by the following:</w:t>
      </w:r>
    </w:p>
    <w:p>
      <w:pPr>
        <w:spacing w:after="0" w:line="110" w:lineRule="exact"/>
        <w:rPr>
          <w:sz w:val="20"/>
          <w:szCs w:val="20"/>
          <w:color w:val="auto"/>
        </w:rPr>
      </w:pPr>
    </w:p>
    <w:p>
      <w:pPr>
        <w:ind w:left="100" w:right="200"/>
        <w:spacing w:after="0" w:line="283" w:lineRule="auto"/>
        <w:rPr>
          <w:sz w:val="20"/>
          <w:szCs w:val="20"/>
          <w:color w:val="auto"/>
        </w:rPr>
      </w:pPr>
      <w:r>
        <w:rPr>
          <w:rFonts w:ascii="Arial" w:cs="Arial" w:eastAsia="Arial" w:hAnsi="Arial"/>
          <w:sz w:val="12"/>
          <w:szCs w:val="12"/>
          <w:b w:val="1"/>
          <w:bCs w:val="1"/>
          <w:u w:val="single" w:color="auto"/>
          <w:color w:val="auto"/>
        </w:rPr>
        <w:t>Salary and Employee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 Salary and employee benefit costs increased for the three- and six-month periods ended June 30, 2021 compared to the same periods in 2020 primarily due to an increase in anticipated payouts for</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performance-based awards that resulted from improved earnings and asset quality metrics. In addition, the Company recognized $719 thousand in costs due to the death of an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2"/>
          <w:szCs w:val="12"/>
          <w:color w:val="auto"/>
        </w:rPr>
        <w:t>employee during the quarter ended June 30, 2021. The costs related to the accelerated vesting of stock-based awards and the annual incentive award held by the employee upon the employee’s death.</w:t>
      </w:r>
    </w:p>
    <w:p>
      <w:pPr>
        <w:spacing w:after="0" w:line="114"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The increase in these costs were offset by reductions in headcount that resulted in a benefit of $564 thousand and $794 thousand for the three- and six-months periods ended June 30, 2021 compared to the same periods in 2020, respectively. The Company optimized staffing levels during the second half of 2020 and savings began to materialize in 2021.</w:t>
      </w:r>
    </w:p>
    <w:p>
      <w:pPr>
        <w:spacing w:after="0" w:line="75" w:lineRule="exact"/>
        <w:rPr>
          <w:sz w:val="20"/>
          <w:szCs w:val="20"/>
          <w:color w:val="auto"/>
        </w:rPr>
      </w:pPr>
    </w:p>
    <w:p>
      <w:pPr>
        <w:jc w:val="both"/>
        <w:ind w:left="100" w:right="120"/>
        <w:spacing w:after="0" w:line="266" w:lineRule="auto"/>
        <w:rPr>
          <w:sz w:val="20"/>
          <w:szCs w:val="20"/>
          <w:color w:val="auto"/>
        </w:rPr>
      </w:pPr>
      <w:r>
        <w:rPr>
          <w:rFonts w:ascii="Arial" w:cs="Arial" w:eastAsia="Arial" w:hAnsi="Arial"/>
          <w:sz w:val="12"/>
          <w:szCs w:val="12"/>
          <w:b w:val="1"/>
          <w:bCs w:val="1"/>
          <w:u w:val="single" w:color="auto"/>
          <w:color w:val="auto"/>
        </w:rPr>
        <w:t>Occupancy</w:t>
      </w:r>
      <w:r>
        <w:rPr>
          <w:rFonts w:ascii="Arial" w:cs="Arial" w:eastAsia="Arial" w:hAnsi="Arial"/>
          <w:sz w:val="12"/>
          <w:szCs w:val="12"/>
          <w:b w:val="1"/>
          <w:bCs w:val="1"/>
          <w:color w:val="auto"/>
        </w:rPr>
        <w:t xml:space="preserve"> </w:t>
      </w:r>
      <w:r>
        <w:rPr>
          <w:rFonts w:ascii="Arial" w:cs="Arial" w:eastAsia="Arial" w:hAnsi="Arial"/>
          <w:sz w:val="12"/>
          <w:szCs w:val="12"/>
          <w:color w:val="auto"/>
        </w:rPr>
        <w:t>- Occupancy costs increased for the three- and six-month periods ended June 30, 2021 compared to the same periods in 2020 primarily due to our new locations in the rapidly growing Frisco, Texas market and our more</w:t>
      </w:r>
      <w:r>
        <w:rPr>
          <w:rFonts w:ascii="Arial" w:cs="Arial" w:eastAsia="Arial" w:hAnsi="Arial"/>
          <w:sz w:val="12"/>
          <w:szCs w:val="12"/>
          <w:b w:val="1"/>
          <w:bCs w:val="1"/>
          <w:color w:val="auto"/>
        </w:rPr>
        <w:t xml:space="preserve"> </w:t>
      </w:r>
      <w:r>
        <w:rPr>
          <w:rFonts w:ascii="Arial" w:cs="Arial" w:eastAsia="Arial" w:hAnsi="Arial"/>
          <w:sz w:val="12"/>
          <w:szCs w:val="12"/>
          <w:color w:val="auto"/>
        </w:rPr>
        <w:t>prominent location on the Country Club Plaza, in Kansas City, Missouri. During the quarter ended June 30, 2021, the Company entered the Phoenix, Arizona market and entered into a temporary lease agreement that is expected to have an immaterial impact to occupancy costs for the quarter ending September 30, 2021.</w:t>
      </w:r>
    </w:p>
    <w:p>
      <w:pPr>
        <w:spacing w:after="0" w:line="81" w:lineRule="exact"/>
        <w:rPr>
          <w:sz w:val="20"/>
          <w:szCs w:val="20"/>
          <w:color w:val="auto"/>
        </w:rPr>
      </w:pPr>
    </w:p>
    <w:p>
      <w:pPr>
        <w:ind w:left="100" w:right="160"/>
        <w:spacing w:after="0" w:line="283" w:lineRule="auto"/>
        <w:rPr>
          <w:sz w:val="20"/>
          <w:szCs w:val="20"/>
          <w:color w:val="auto"/>
        </w:rPr>
      </w:pPr>
      <w:r>
        <w:rPr>
          <w:rFonts w:ascii="Arial" w:cs="Arial" w:eastAsia="Arial" w:hAnsi="Arial"/>
          <w:sz w:val="12"/>
          <w:szCs w:val="12"/>
          <w:b w:val="1"/>
          <w:bCs w:val="1"/>
          <w:u w:val="single" w:color="auto"/>
          <w:color w:val="auto"/>
        </w:rPr>
        <w:t>Professional Fees</w:t>
      </w:r>
      <w:r>
        <w:rPr>
          <w:rFonts w:ascii="Arial" w:cs="Arial" w:eastAsia="Arial" w:hAnsi="Arial"/>
          <w:sz w:val="12"/>
          <w:szCs w:val="12"/>
          <w:b w:val="1"/>
          <w:bCs w:val="1"/>
          <w:color w:val="auto"/>
        </w:rPr>
        <w:t xml:space="preserve"> </w:t>
      </w:r>
      <w:r>
        <w:rPr>
          <w:rFonts w:ascii="Arial" w:cs="Arial" w:eastAsia="Arial" w:hAnsi="Arial"/>
          <w:sz w:val="12"/>
          <w:szCs w:val="12"/>
          <w:color w:val="auto"/>
        </w:rPr>
        <w:t>- Professional fees declined for the three- and six-month periods ended June 30, 2021 compared to the same corresponding periods in 2020 primarily from a reduction in legal fees related to PPP loan originations</w:t>
      </w:r>
      <w:r>
        <w:rPr>
          <w:rFonts w:ascii="Arial" w:cs="Arial" w:eastAsia="Arial" w:hAnsi="Arial"/>
          <w:sz w:val="12"/>
          <w:szCs w:val="12"/>
          <w:b w:val="1"/>
          <w:bCs w:val="1"/>
          <w:color w:val="auto"/>
        </w:rPr>
        <w:t xml:space="preserve"> </w:t>
      </w:r>
      <w:r>
        <w:rPr>
          <w:rFonts w:ascii="Arial" w:cs="Arial" w:eastAsia="Arial" w:hAnsi="Arial"/>
          <w:sz w:val="12"/>
          <w:szCs w:val="12"/>
          <w:color w:val="auto"/>
        </w:rPr>
        <w:t>and loan workouts. The decline was partially offset by an increase in consulting fees as a result of our CFO search.</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1"/>
          <w:szCs w:val="11"/>
          <w:b w:val="1"/>
          <w:bCs w:val="1"/>
          <w:u w:val="single" w:color="auto"/>
          <w:color w:val="auto"/>
        </w:rPr>
        <w:t>Deposit Insurance Premiums</w:t>
      </w:r>
      <w:r>
        <w:rPr>
          <w:rFonts w:ascii="Arial" w:cs="Arial" w:eastAsia="Arial" w:hAnsi="Arial"/>
          <w:sz w:val="11"/>
          <w:szCs w:val="11"/>
          <w:b w:val="1"/>
          <w:bCs w:val="1"/>
          <w:color w:val="auto"/>
        </w:rPr>
        <w:t xml:space="preserve"> </w:t>
      </w:r>
      <w:r>
        <w:rPr>
          <w:rFonts w:ascii="Arial" w:cs="Arial" w:eastAsia="Arial" w:hAnsi="Arial"/>
          <w:sz w:val="11"/>
          <w:szCs w:val="11"/>
          <w:color w:val="auto"/>
        </w:rPr>
        <w:t>- The FDIC uses a risk-based premium system to calculate quarterly fees. Our costs fluctuate as a result of changes in asset growth, changes in asset quality and changes in capital ratios.</w:t>
      </w:r>
    </w:p>
    <w:p>
      <w:pPr>
        <w:spacing w:after="0" w:line="126" w:lineRule="exact"/>
        <w:rPr>
          <w:sz w:val="20"/>
          <w:szCs w:val="20"/>
          <w:color w:val="auto"/>
        </w:rPr>
      </w:pPr>
    </w:p>
    <w:p>
      <w:pPr>
        <w:ind w:left="100" w:right="40"/>
        <w:spacing w:after="0" w:line="283" w:lineRule="auto"/>
        <w:rPr>
          <w:sz w:val="20"/>
          <w:szCs w:val="20"/>
          <w:color w:val="auto"/>
        </w:rPr>
      </w:pPr>
      <w:r>
        <w:rPr>
          <w:rFonts w:ascii="Arial" w:cs="Arial" w:eastAsia="Arial" w:hAnsi="Arial"/>
          <w:sz w:val="12"/>
          <w:szCs w:val="12"/>
          <w:b w:val="1"/>
          <w:bCs w:val="1"/>
          <w:u w:val="single" w:color="auto"/>
          <w:color w:val="auto"/>
        </w:rPr>
        <w:t>Advertising</w:t>
      </w:r>
      <w:r>
        <w:rPr>
          <w:rFonts w:ascii="Arial" w:cs="Arial" w:eastAsia="Arial" w:hAnsi="Arial"/>
          <w:sz w:val="12"/>
          <w:szCs w:val="12"/>
          <w:b w:val="1"/>
          <w:bCs w:val="1"/>
          <w:color w:val="auto"/>
        </w:rPr>
        <w:t xml:space="preserve"> </w:t>
      </w:r>
      <w:r>
        <w:rPr>
          <w:rFonts w:ascii="Arial" w:cs="Arial" w:eastAsia="Arial" w:hAnsi="Arial"/>
          <w:sz w:val="12"/>
          <w:szCs w:val="12"/>
          <w:color w:val="auto"/>
        </w:rPr>
        <w:t>- The increase in advertising costs was driven by increased in-person events for the three- and six-month periods ended June 30, 2021 compared to the same periods in 2020 as a result of COVID-19 pandemic restrictions</w:t>
      </w:r>
      <w:r>
        <w:rPr>
          <w:rFonts w:ascii="Arial" w:cs="Arial" w:eastAsia="Arial" w:hAnsi="Arial"/>
          <w:sz w:val="12"/>
          <w:szCs w:val="12"/>
          <w:b w:val="1"/>
          <w:bCs w:val="1"/>
          <w:color w:val="auto"/>
        </w:rPr>
        <w:t xml:space="preserve"> </w:t>
      </w:r>
      <w:r>
        <w:rPr>
          <w:rFonts w:ascii="Arial" w:cs="Arial" w:eastAsia="Arial" w:hAnsi="Arial"/>
          <w:sz w:val="12"/>
          <w:szCs w:val="12"/>
          <w:color w:val="auto"/>
        </w:rPr>
        <w:t>being lifted.</w:t>
      </w:r>
    </w:p>
    <w:p>
      <w:pPr>
        <w:spacing w:after="0" w:line="71" w:lineRule="exact"/>
        <w:rPr>
          <w:sz w:val="20"/>
          <w:szCs w:val="20"/>
          <w:color w:val="auto"/>
        </w:rPr>
      </w:pPr>
    </w:p>
    <w:p>
      <w:pPr>
        <w:jc w:val="both"/>
        <w:ind w:left="100" w:right="300"/>
        <w:spacing w:after="0" w:line="266" w:lineRule="auto"/>
        <w:rPr>
          <w:sz w:val="20"/>
          <w:szCs w:val="20"/>
          <w:color w:val="auto"/>
        </w:rPr>
      </w:pPr>
      <w:r>
        <w:rPr>
          <w:rFonts w:ascii="Arial" w:cs="Arial" w:eastAsia="Arial" w:hAnsi="Arial"/>
          <w:sz w:val="12"/>
          <w:szCs w:val="12"/>
          <w:b w:val="1"/>
          <w:bCs w:val="1"/>
          <w:u w:val="single" w:color="auto"/>
          <w:color w:val="auto"/>
        </w:rPr>
        <w:t>Software and Communication</w:t>
      </w:r>
      <w:r>
        <w:rPr>
          <w:rFonts w:ascii="Arial" w:cs="Arial" w:eastAsia="Arial" w:hAnsi="Arial"/>
          <w:sz w:val="12"/>
          <w:szCs w:val="12"/>
          <w:b w:val="1"/>
          <w:bCs w:val="1"/>
          <w:color w:val="auto"/>
        </w:rPr>
        <w:t xml:space="preserve"> </w:t>
      </w:r>
      <w:r>
        <w:rPr>
          <w:rFonts w:ascii="Arial" w:cs="Arial" w:eastAsia="Arial" w:hAnsi="Arial"/>
          <w:sz w:val="12"/>
          <w:szCs w:val="12"/>
          <w:color w:val="auto"/>
        </w:rPr>
        <w:t>- Software and communication costs increased for the three- and six-month periods ended June 30, 2021 compared to the same periods in 2020 primarily due to our continued strategy to invest in</w:t>
      </w:r>
      <w:r>
        <w:rPr>
          <w:rFonts w:ascii="Arial" w:cs="Arial" w:eastAsia="Arial" w:hAnsi="Arial"/>
          <w:sz w:val="12"/>
          <w:szCs w:val="12"/>
          <w:b w:val="1"/>
          <w:bCs w:val="1"/>
          <w:color w:val="auto"/>
        </w:rPr>
        <w:t xml:space="preserve"> </w:t>
      </w:r>
      <w:r>
        <w:rPr>
          <w:rFonts w:ascii="Arial" w:cs="Arial" w:eastAsia="Arial" w:hAnsi="Arial"/>
          <w:sz w:val="12"/>
          <w:szCs w:val="12"/>
          <w:color w:val="auto"/>
        </w:rPr>
        <w:t>technologies that allow us to cover beginning-to-end loan originations, provide customers with a suite of online tools and allow us to analyze operational trends. In addition to the growing number of technologies implemented, a portion of costs increased as a result of our growth.</w:t>
      </w:r>
    </w:p>
    <w:p>
      <w:pPr>
        <w:spacing w:after="0" w:line="81" w:lineRule="exact"/>
        <w:rPr>
          <w:sz w:val="20"/>
          <w:szCs w:val="20"/>
          <w:color w:val="auto"/>
        </w:rPr>
      </w:pPr>
    </w:p>
    <w:p>
      <w:pPr>
        <w:ind w:left="100" w:right="180"/>
        <w:spacing w:after="0" w:line="283" w:lineRule="auto"/>
        <w:rPr>
          <w:sz w:val="20"/>
          <w:szCs w:val="20"/>
          <w:color w:val="auto"/>
        </w:rPr>
      </w:pPr>
      <w:r>
        <w:rPr>
          <w:rFonts w:ascii="Arial" w:cs="Arial" w:eastAsia="Arial" w:hAnsi="Arial"/>
          <w:sz w:val="12"/>
          <w:szCs w:val="12"/>
          <w:b w:val="1"/>
          <w:bCs w:val="1"/>
          <w:u w:val="single" w:color="auto"/>
          <w:color w:val="auto"/>
        </w:rPr>
        <w:t>Foreclosed Assets, net</w:t>
      </w:r>
      <w:r>
        <w:rPr>
          <w:rFonts w:ascii="Arial" w:cs="Arial" w:eastAsia="Arial" w:hAnsi="Arial"/>
          <w:sz w:val="12"/>
          <w:szCs w:val="12"/>
          <w:b w:val="1"/>
          <w:bCs w:val="1"/>
          <w:color w:val="auto"/>
        </w:rPr>
        <w:t xml:space="preserve"> </w:t>
      </w:r>
      <w:r>
        <w:rPr>
          <w:rFonts w:ascii="Arial" w:cs="Arial" w:eastAsia="Arial" w:hAnsi="Arial"/>
          <w:sz w:val="12"/>
          <w:szCs w:val="12"/>
          <w:color w:val="auto"/>
        </w:rPr>
        <w:t>- The value of a commercial use facility foreclosed upon in 2020 was reduced by $630 thousand during the three-month period ended June 30, 2021. The value of industrial facilities and raw land foreclosed</w:t>
      </w:r>
      <w:r>
        <w:rPr>
          <w:rFonts w:ascii="Arial" w:cs="Arial" w:eastAsia="Arial" w:hAnsi="Arial"/>
          <w:sz w:val="12"/>
          <w:szCs w:val="12"/>
          <w:b w:val="1"/>
          <w:bCs w:val="1"/>
          <w:color w:val="auto"/>
        </w:rPr>
        <w:t xml:space="preserve"> </w:t>
      </w:r>
      <w:r>
        <w:rPr>
          <w:rFonts w:ascii="Arial" w:cs="Arial" w:eastAsia="Arial" w:hAnsi="Arial"/>
          <w:sz w:val="12"/>
          <w:szCs w:val="12"/>
          <w:color w:val="auto"/>
        </w:rPr>
        <w:t>upon in 2019 was reduced by $1 million during the three-month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-198120</wp:posOffset>
            </wp:positionV>
            <wp:extent cx="6292215"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85725"/>
                    </a:xfrm>
                    <a:prstGeom prst="rect">
                      <a:avLst/>
                    </a:prstGeom>
                    <a:noFill/>
                  </pic:spPr>
                </pic:pic>
              </a:graphicData>
            </a:graphic>
          </wp:anchor>
        </w:drawing>
      </w:r>
    </w:p>
    <w:p>
      <w:pPr>
        <w:spacing w:after="0" w:line="51" w:lineRule="exact"/>
        <w:rPr>
          <w:sz w:val="20"/>
          <w:szCs w:val="20"/>
          <w:color w:val="auto"/>
        </w:rPr>
      </w:pPr>
    </w:p>
    <w:p>
      <w:pPr>
        <w:ind w:left="100" w:right="280"/>
        <w:spacing w:after="0" w:line="283" w:lineRule="auto"/>
        <w:rPr>
          <w:sz w:val="20"/>
          <w:szCs w:val="20"/>
          <w:color w:val="auto"/>
        </w:rPr>
      </w:pPr>
      <w:r>
        <w:rPr>
          <w:rFonts w:ascii="Arial" w:cs="Arial" w:eastAsia="Arial" w:hAnsi="Arial"/>
          <w:sz w:val="12"/>
          <w:szCs w:val="12"/>
          <w:b w:val="1"/>
          <w:bCs w:val="1"/>
          <w:u w:val="single" w:color="auto"/>
          <w:color w:val="auto"/>
        </w:rPr>
        <w:t>Goodwill Impairment</w:t>
      </w:r>
      <w:r>
        <w:rPr>
          <w:rFonts w:ascii="Arial" w:cs="Arial" w:eastAsia="Arial" w:hAnsi="Arial"/>
          <w:sz w:val="12"/>
          <w:szCs w:val="12"/>
          <w:b w:val="1"/>
          <w:bCs w:val="1"/>
          <w:color w:val="auto"/>
        </w:rPr>
        <w:t xml:space="preserve"> </w:t>
      </w:r>
      <w:r>
        <w:rPr>
          <w:rFonts w:ascii="Arial" w:cs="Arial" w:eastAsia="Arial" w:hAnsi="Arial"/>
          <w:sz w:val="12"/>
          <w:szCs w:val="12"/>
          <w:color w:val="auto"/>
        </w:rPr>
        <w:t>- The Company performed an interim review for goodwill impairment at June 30, 2020. A quantitative review was performed on the Tulsa market reporting unit using a combination of income and market</w:t>
      </w:r>
      <w:r>
        <w:rPr>
          <w:rFonts w:ascii="Arial" w:cs="Arial" w:eastAsia="Arial" w:hAnsi="Arial"/>
          <w:sz w:val="12"/>
          <w:szCs w:val="12"/>
          <w:b w:val="1"/>
          <w:bCs w:val="1"/>
          <w:color w:val="auto"/>
        </w:rPr>
        <w:t xml:space="preserve"> </w:t>
      </w:r>
      <w:r>
        <w:rPr>
          <w:rFonts w:ascii="Arial" w:cs="Arial" w:eastAsia="Arial" w:hAnsi="Arial"/>
          <w:sz w:val="12"/>
          <w:szCs w:val="12"/>
          <w:color w:val="auto"/>
        </w:rPr>
        <w:t>based approaches. The reporting unit’s fair value was less than its book value and resulted in a $7 million impairment during the three-month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-198120</wp:posOffset>
            </wp:positionV>
            <wp:extent cx="622935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29350" cy="85725"/>
                    </a:xfrm>
                    <a:prstGeom prst="rect">
                      <a:avLst/>
                    </a:prstGeom>
                    <a:noFill/>
                  </pic:spPr>
                </pic:pic>
              </a:graphicData>
            </a:graphic>
          </wp:anchor>
        </w:drawing>
      </w:r>
    </w:p>
    <w:p>
      <w:pPr>
        <w:spacing w:after="0" w:line="51" w:lineRule="exact"/>
        <w:rPr>
          <w:sz w:val="20"/>
          <w:szCs w:val="20"/>
          <w:color w:val="auto"/>
        </w:rPr>
      </w:pPr>
    </w:p>
    <w:p>
      <w:pPr>
        <w:ind w:left="100" w:right="240"/>
        <w:spacing w:after="0" w:line="266" w:lineRule="auto"/>
        <w:rPr>
          <w:sz w:val="20"/>
          <w:szCs w:val="20"/>
          <w:color w:val="auto"/>
        </w:rPr>
      </w:pPr>
      <w:r>
        <w:rPr>
          <w:rFonts w:ascii="Arial" w:cs="Arial" w:eastAsia="Arial" w:hAnsi="Arial"/>
          <w:sz w:val="12"/>
          <w:szCs w:val="12"/>
          <w:b w:val="1"/>
          <w:bCs w:val="1"/>
          <w:u w:val="single" w:color="auto"/>
          <w:color w:val="auto"/>
        </w:rPr>
        <w:t>Other Non-interest Expense</w:t>
      </w:r>
      <w:r>
        <w:rPr>
          <w:rFonts w:ascii="Arial" w:cs="Arial" w:eastAsia="Arial" w:hAnsi="Arial"/>
          <w:sz w:val="12"/>
          <w:szCs w:val="12"/>
          <w:b w:val="1"/>
          <w:bCs w:val="1"/>
          <w:color w:val="auto"/>
        </w:rPr>
        <w:t xml:space="preserve"> </w:t>
      </w:r>
      <w:r>
        <w:rPr>
          <w:rFonts w:ascii="Arial" w:cs="Arial" w:eastAsia="Arial" w:hAnsi="Arial"/>
          <w:sz w:val="12"/>
          <w:szCs w:val="12"/>
          <w:color w:val="auto"/>
        </w:rPr>
        <w:t>- Other non-interest expense increased for the three- and six-month periods ended June 30, 2021 compared to the same periods in 2020 primarily due to a $465 thousand and $1 million increase in</w:t>
      </w:r>
      <w:r>
        <w:rPr>
          <w:rFonts w:ascii="Arial" w:cs="Arial" w:eastAsia="Arial" w:hAnsi="Arial"/>
          <w:sz w:val="12"/>
          <w:szCs w:val="12"/>
          <w:b w:val="1"/>
          <w:bCs w:val="1"/>
          <w:color w:val="auto"/>
        </w:rPr>
        <w:t xml:space="preserve"> </w:t>
      </w:r>
      <w:r>
        <w:rPr>
          <w:rFonts w:ascii="Arial" w:cs="Arial" w:eastAsia="Arial" w:hAnsi="Arial"/>
          <w:sz w:val="12"/>
          <w:szCs w:val="12"/>
          <w:color w:val="auto"/>
        </w:rPr>
        <w:t>commercial card costs, respectively, as a result of our growing customer base and increased use as a result of COVID-19 pandemic restrictions being lifted. In addition, insured cash sweep (“ICS”) deposits increased in 2021 from 2020, which drove related fees higher.</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2"/>
              </w:rPr>
              <w:t>For the Quarter Ended</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2"/>
                <w:szCs w:val="12"/>
                <w:b w:val="1"/>
                <w:bCs w:val="1"/>
                <w:color w:val="auto"/>
              </w:rPr>
              <w:t>For the Six Months Ended</w:t>
            </w: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420"/>
              <w:spacing w:after="0"/>
              <w:rPr>
                <w:sz w:val="20"/>
                <w:szCs w:val="20"/>
                <w:color w:val="auto"/>
              </w:rPr>
            </w:pPr>
            <w:r>
              <w:rPr>
                <w:rFonts w:ascii="Arial" w:cs="Arial" w:eastAsia="Arial" w:hAnsi="Arial"/>
                <w:sz w:val="12"/>
                <w:szCs w:val="12"/>
                <w:b w:val="1"/>
                <w:bCs w:val="1"/>
                <w:color w:val="auto"/>
              </w:rPr>
              <w:t>June 30,</w:t>
            </w:r>
          </w:p>
        </w:tc>
        <w:tc>
          <w:tcPr>
            <w:tcW w:w="280" w:type="dxa"/>
            <w:vAlign w:val="bottom"/>
          </w:tcPr>
          <w:p>
            <w:pPr>
              <w:spacing w:after="0"/>
              <w:rPr>
                <w:sz w:val="12"/>
                <w:szCs w:val="12"/>
                <w:color w:val="auto"/>
              </w:rPr>
            </w:pPr>
          </w:p>
        </w:tc>
        <w:tc>
          <w:tcPr>
            <w:tcW w:w="1160" w:type="dxa"/>
            <w:vAlign w:val="bottom"/>
          </w:tcPr>
          <w:p>
            <w:pPr>
              <w:jc w:val="right"/>
              <w:ind w:right="400"/>
              <w:spacing w:after="0"/>
              <w:rPr>
                <w:sz w:val="20"/>
                <w:szCs w:val="20"/>
                <w:color w:val="auto"/>
              </w:rPr>
            </w:pPr>
            <w:r>
              <w:rPr>
                <w:rFonts w:ascii="Arial" w:cs="Arial" w:eastAsia="Arial" w:hAnsi="Arial"/>
                <w:sz w:val="12"/>
                <w:szCs w:val="12"/>
                <w:b w:val="1"/>
                <w:bCs w:val="1"/>
                <w:color w:val="auto"/>
              </w:rPr>
              <w:t>March 31,</w:t>
            </w:r>
          </w:p>
        </w:tc>
        <w:tc>
          <w:tcPr>
            <w:tcW w:w="120" w:type="dxa"/>
            <w:vAlign w:val="bottom"/>
          </w:tcPr>
          <w:p>
            <w:pPr>
              <w:spacing w:after="0"/>
              <w:rPr>
                <w:sz w:val="12"/>
                <w:szCs w:val="12"/>
                <w:color w:val="auto"/>
              </w:rPr>
            </w:pPr>
          </w:p>
        </w:tc>
        <w:tc>
          <w:tcPr>
            <w:tcW w:w="1320" w:type="dxa"/>
            <w:vAlign w:val="bottom"/>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12"/>
                <w:szCs w:val="12"/>
                <w:color w:val="auto"/>
              </w:rPr>
            </w:pPr>
          </w:p>
        </w:tc>
        <w:tc>
          <w:tcPr>
            <w:tcW w:w="1280" w:type="dxa"/>
            <w:vAlign w:val="bottom"/>
          </w:tcPr>
          <w:p>
            <w:pPr>
              <w:jc w:val="center"/>
              <w:ind w:right="121"/>
              <w:spacing w:after="0"/>
              <w:rPr>
                <w:sz w:val="20"/>
                <w:szCs w:val="20"/>
                <w:color w:val="auto"/>
              </w:rPr>
            </w:pPr>
            <w:r>
              <w:rPr>
                <w:rFonts w:ascii="Arial" w:cs="Arial" w:eastAsia="Arial" w:hAnsi="Arial"/>
                <w:sz w:val="12"/>
                <w:szCs w:val="12"/>
                <w:b w:val="1"/>
                <w:bCs w:val="1"/>
                <w:color w:val="auto"/>
                <w:w w:val="90"/>
              </w:rPr>
              <w:t>September 30,</w:t>
            </w:r>
          </w:p>
        </w:tc>
        <w:tc>
          <w:tcPr>
            <w:tcW w:w="300" w:type="dxa"/>
            <w:vAlign w:val="bottom"/>
          </w:tcPr>
          <w:p>
            <w:pPr>
              <w:spacing w:after="0"/>
              <w:rPr>
                <w:sz w:val="12"/>
                <w:szCs w:val="12"/>
                <w:color w:val="auto"/>
              </w:rPr>
            </w:pPr>
          </w:p>
        </w:tc>
        <w:tc>
          <w:tcPr>
            <w:tcW w:w="1160" w:type="dxa"/>
            <w:vAlign w:val="bottom"/>
            <w:gridSpan w:val="2"/>
          </w:tcPr>
          <w:p>
            <w:pPr>
              <w:ind w:left="200"/>
              <w:spacing w:after="0"/>
              <w:rPr>
                <w:sz w:val="20"/>
                <w:szCs w:val="20"/>
                <w:color w:val="auto"/>
              </w:rPr>
            </w:pPr>
            <w:r>
              <w:rPr>
                <w:rFonts w:ascii="Arial" w:cs="Arial" w:eastAsia="Arial" w:hAnsi="Arial"/>
                <w:sz w:val="12"/>
                <w:szCs w:val="12"/>
                <w:b w:val="1"/>
                <w:bCs w:val="1"/>
                <w:color w:val="auto"/>
              </w:rPr>
              <w:t>June 30,</w:t>
            </w:r>
          </w:p>
        </w:tc>
        <w:tc>
          <w:tcPr>
            <w:tcW w:w="280" w:type="dxa"/>
            <w:vAlign w:val="bottom"/>
          </w:tcPr>
          <w:p>
            <w:pPr>
              <w:spacing w:after="0"/>
              <w:rPr>
                <w:sz w:val="12"/>
                <w:szCs w:val="12"/>
                <w:color w:val="auto"/>
              </w:rPr>
            </w:pPr>
          </w:p>
        </w:tc>
        <w:tc>
          <w:tcPr>
            <w:tcW w:w="1120" w:type="dxa"/>
            <w:vAlign w:val="bottom"/>
          </w:tcPr>
          <w:p>
            <w:pPr>
              <w:jc w:val="right"/>
              <w:ind w:right="440"/>
              <w:spacing w:after="0"/>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12"/>
                <w:szCs w:val="12"/>
                <w:color w:val="auto"/>
              </w:rPr>
            </w:pPr>
          </w:p>
        </w:tc>
        <w:tc>
          <w:tcPr>
            <w:tcW w:w="1100" w:type="dxa"/>
            <w:vAlign w:val="bottom"/>
          </w:tcPr>
          <w:p>
            <w:pPr>
              <w:jc w:val="right"/>
              <w:ind w:right="42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89"/>
              </w:rPr>
              <w:t>2020</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101"/>
              <w:spacing w:after="0"/>
              <w:rPr>
                <w:sz w:val="20"/>
                <w:szCs w:val="20"/>
                <w:color w:val="auto"/>
              </w:rPr>
            </w:pPr>
            <w:r>
              <w:rPr>
                <w:rFonts w:ascii="Arial" w:cs="Arial" w:eastAsia="Arial" w:hAnsi="Arial"/>
                <w:sz w:val="11"/>
                <w:szCs w:val="11"/>
                <w:i w:val="1"/>
                <w:iCs w:val="1"/>
                <w:color w:val="auto"/>
                <w:w w:val="89"/>
              </w:rPr>
              <w:t>(Dollars in thousands)</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3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Income tax expense</w:t>
            </w:r>
          </w:p>
        </w:tc>
        <w:tc>
          <w:tcPr>
            <w:tcW w:w="26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3,263</w:t>
            </w: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2,908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1,785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1,498</w:t>
            </w:r>
          </w:p>
        </w:tc>
        <w:tc>
          <w:tcPr>
            <w:tcW w:w="30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(863)</w:t>
            </w:r>
          </w:p>
        </w:tc>
        <w:tc>
          <w:tcPr>
            <w:tcW w:w="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6,171</w:t>
            </w:r>
          </w:p>
        </w:tc>
        <w:tc>
          <w:tcPr>
            <w:tcW w:w="30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53"/>
        </w:trPr>
        <w:tc>
          <w:tcPr>
            <w:tcW w:w="1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(benefit)</w:t>
            </w:r>
          </w:p>
        </w:tc>
        <w:tc>
          <w:tcPr>
            <w:tcW w:w="260" w:type="dxa"/>
            <w:vAlign w:val="bottom"/>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line="117" w:lineRule="exact"/>
              <w:rPr>
                <w:sz w:val="20"/>
                <w:szCs w:val="20"/>
                <w:color w:val="auto"/>
              </w:rPr>
            </w:pPr>
            <w:r>
              <w:rPr>
                <w:rFonts w:ascii="Arial" w:cs="Arial" w:eastAsia="Arial" w:hAnsi="Arial"/>
                <w:sz w:val="12"/>
                <w:szCs w:val="12"/>
                <w:color w:val="auto"/>
              </w:rPr>
              <w:t>Income (loss) before</w:t>
            </w:r>
          </w:p>
        </w:tc>
        <w:tc>
          <w:tcPr>
            <w:tcW w:w="260" w:type="dxa"/>
            <w:vAlign w:val="bottom"/>
            <w:vMerge w:val="restart"/>
          </w:tcPr>
          <w:p>
            <w:pPr>
              <w:jc w:val="right"/>
              <w:ind w:right="120"/>
              <w:spacing w:after="0"/>
              <w:rPr>
                <w:sz w:val="20"/>
                <w:szCs w:val="20"/>
                <w:color w:val="auto"/>
              </w:rPr>
            </w:pPr>
            <w:r>
              <w:rPr>
                <w:rFonts w:ascii="Arial" w:cs="Arial" w:eastAsia="Arial" w:hAnsi="Arial"/>
                <w:sz w:val="12"/>
                <w:szCs w:val="12"/>
                <w:color w:val="auto"/>
                <w:w w:val="89"/>
              </w:rPr>
              <w:t>$</w:t>
            </w:r>
          </w:p>
        </w:tc>
        <w:tc>
          <w:tcPr>
            <w:tcW w:w="1120" w:type="dxa"/>
            <w:vAlign w:val="bottom"/>
            <w:vMerge w:val="restart"/>
          </w:tcPr>
          <w:p>
            <w:pPr>
              <w:jc w:val="right"/>
              <w:ind w:right="120"/>
              <w:spacing w:after="0"/>
              <w:rPr>
                <w:sz w:val="20"/>
                <w:szCs w:val="20"/>
                <w:color w:val="auto"/>
              </w:rPr>
            </w:pPr>
            <w:r>
              <w:rPr>
                <w:rFonts w:ascii="Arial" w:cs="Arial" w:eastAsia="Arial" w:hAnsi="Arial"/>
                <w:sz w:val="12"/>
                <w:szCs w:val="12"/>
                <w:color w:val="auto"/>
              </w:rPr>
              <w:t>18,840</w:t>
            </w:r>
          </w:p>
        </w:tc>
        <w:tc>
          <w:tcPr>
            <w:tcW w:w="28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vMerge w:val="restart"/>
          </w:tcPr>
          <w:p>
            <w:pPr>
              <w:jc w:val="right"/>
              <w:ind w:right="140"/>
              <w:spacing w:after="0"/>
              <w:rPr>
                <w:sz w:val="20"/>
                <w:szCs w:val="20"/>
                <w:color w:val="auto"/>
              </w:rPr>
            </w:pPr>
            <w:r>
              <w:rPr>
                <w:rFonts w:ascii="Arial" w:cs="Arial" w:eastAsia="Arial" w:hAnsi="Arial"/>
                <w:sz w:val="12"/>
                <w:szCs w:val="12"/>
                <w:color w:val="auto"/>
              </w:rPr>
              <w:t>14,943</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320" w:type="dxa"/>
            <w:vAlign w:val="bottom"/>
            <w:vMerge w:val="restart"/>
          </w:tcPr>
          <w:p>
            <w:pPr>
              <w:jc w:val="right"/>
              <w:ind w:right="140"/>
              <w:spacing w:after="0"/>
              <w:rPr>
                <w:sz w:val="20"/>
                <w:szCs w:val="20"/>
                <w:color w:val="auto"/>
              </w:rPr>
            </w:pPr>
            <w:r>
              <w:rPr>
                <w:rFonts w:ascii="Arial" w:cs="Arial" w:eastAsia="Arial" w:hAnsi="Arial"/>
                <w:sz w:val="12"/>
                <w:szCs w:val="12"/>
                <w:color w:val="auto"/>
              </w:rPr>
              <w:t>9,879</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80" w:type="dxa"/>
            <w:vAlign w:val="bottom"/>
            <w:vMerge w:val="restart"/>
          </w:tcPr>
          <w:p>
            <w:pPr>
              <w:jc w:val="right"/>
              <w:ind w:right="121"/>
              <w:spacing w:after="0"/>
              <w:rPr>
                <w:sz w:val="20"/>
                <w:szCs w:val="20"/>
                <w:color w:val="auto"/>
              </w:rPr>
            </w:pPr>
            <w:r>
              <w:rPr>
                <w:rFonts w:ascii="Arial" w:cs="Arial" w:eastAsia="Arial" w:hAnsi="Arial"/>
                <w:sz w:val="12"/>
                <w:szCs w:val="12"/>
                <w:color w:val="auto"/>
              </w:rPr>
              <w:t>9,504</w:t>
            </w:r>
          </w:p>
        </w:tc>
        <w:tc>
          <w:tcPr>
            <w:tcW w:w="3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vMerge w:val="restart"/>
          </w:tcPr>
          <w:p>
            <w:pPr>
              <w:jc w:val="right"/>
              <w:ind w:right="60"/>
              <w:spacing w:after="0"/>
              <w:rPr>
                <w:sz w:val="20"/>
                <w:szCs w:val="20"/>
                <w:color w:val="auto"/>
              </w:rPr>
            </w:pPr>
            <w:r>
              <w:rPr>
                <w:rFonts w:ascii="Arial" w:cs="Arial" w:eastAsia="Arial" w:hAnsi="Arial"/>
                <w:sz w:val="12"/>
                <w:szCs w:val="12"/>
                <w:color w:val="auto"/>
              </w:rPr>
              <w:t>(8,219)</w:t>
            </w:r>
          </w:p>
        </w:tc>
        <w:tc>
          <w:tcPr>
            <w:tcW w:w="60" w:type="dxa"/>
            <w:vAlign w:val="bottom"/>
          </w:tcPr>
          <w:p>
            <w:pPr>
              <w:spacing w:after="0"/>
              <w:rPr>
                <w:sz w:val="10"/>
                <w:szCs w:val="10"/>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vMerge w:val="restart"/>
          </w:tcPr>
          <w:p>
            <w:pPr>
              <w:jc w:val="right"/>
              <w:ind w:right="120"/>
              <w:spacing w:after="0"/>
              <w:rPr>
                <w:sz w:val="20"/>
                <w:szCs w:val="20"/>
                <w:color w:val="auto"/>
              </w:rPr>
            </w:pPr>
            <w:r>
              <w:rPr>
                <w:rFonts w:ascii="Arial" w:cs="Arial" w:eastAsia="Arial" w:hAnsi="Arial"/>
                <w:sz w:val="12"/>
                <w:szCs w:val="12"/>
                <w:color w:val="auto"/>
              </w:rPr>
              <w:t>33,783</w:t>
            </w:r>
          </w:p>
        </w:tc>
        <w:tc>
          <w:tcPr>
            <w:tcW w:w="3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vMerge w:val="restart"/>
          </w:tcPr>
          <w:p>
            <w:pPr>
              <w:jc w:val="right"/>
              <w:ind w:right="60"/>
              <w:spacing w:after="0"/>
              <w:rPr>
                <w:sz w:val="20"/>
                <w:szCs w:val="20"/>
                <w:color w:val="auto"/>
              </w:rPr>
            </w:pPr>
            <w:r>
              <w:rPr>
                <w:rFonts w:ascii="Arial" w:cs="Arial" w:eastAsia="Arial" w:hAnsi="Arial"/>
                <w:sz w:val="12"/>
                <w:szCs w:val="12"/>
                <w:color w:val="auto"/>
              </w:rPr>
              <w:t>(4,069)</w:t>
            </w:r>
          </w:p>
        </w:tc>
        <w:tc>
          <w:tcPr>
            <w:tcW w:w="0" w:type="dxa"/>
            <w:vAlign w:val="bottom"/>
          </w:tcPr>
          <w:p>
            <w:pPr>
              <w:spacing w:after="0"/>
              <w:rPr>
                <w:sz w:val="1"/>
                <w:szCs w:val="1"/>
                <w:color w:val="auto"/>
              </w:rPr>
            </w:pPr>
          </w:p>
        </w:tc>
      </w:tr>
      <w:tr>
        <w:trPr>
          <w:trHeight w:val="153"/>
        </w:trPr>
        <w:tc>
          <w:tcPr>
            <w:tcW w:w="1340" w:type="dxa"/>
            <w:vAlign w:val="bottom"/>
          </w:tcPr>
          <w:p>
            <w:pPr>
              <w:ind w:left="120"/>
              <w:spacing w:after="0"/>
              <w:rPr>
                <w:sz w:val="20"/>
                <w:szCs w:val="20"/>
                <w:color w:val="auto"/>
              </w:rPr>
            </w:pPr>
            <w:r>
              <w:rPr>
                <w:rFonts w:ascii="Arial" w:cs="Arial" w:eastAsia="Arial" w:hAnsi="Arial"/>
                <w:sz w:val="12"/>
                <w:szCs w:val="12"/>
                <w:color w:val="auto"/>
              </w:rPr>
              <w:t>income taxes</w:t>
            </w:r>
          </w:p>
        </w:tc>
        <w:tc>
          <w:tcPr>
            <w:tcW w:w="2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Effective tax rate</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18 %</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18 %</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00" w:right="260" w:firstLine="324"/>
        <w:spacing w:after="0" w:line="263" w:lineRule="auto"/>
        <w:rPr>
          <w:sz w:val="20"/>
          <w:szCs w:val="20"/>
          <w:color w:val="auto"/>
        </w:rPr>
      </w:pPr>
      <w:r>
        <w:rPr>
          <w:rFonts w:ascii="Arial" w:cs="Arial" w:eastAsia="Arial" w:hAnsi="Arial"/>
          <w:sz w:val="12"/>
          <w:szCs w:val="12"/>
          <w:color w:val="auto"/>
        </w:rPr>
        <w:t>Our income tax expense (benefit) differs from the amount that would be calculated using the federal statutory tax rate, primarily from investments in tax advantaged assets, including bank-owned life insurance, tax-exempt municipal securities and tax credit bonds; state tax credits; and permanent tax differences from goodwill impairment and equity-based compensation. Refer to “Note 10: Income Tax” within the Notes to the Unaudited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Analysis of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Securities Portfolio</w:t>
      </w:r>
    </w:p>
    <w:p>
      <w:pPr>
        <w:spacing w:after="0" w:line="113" w:lineRule="exact"/>
        <w:rPr>
          <w:sz w:val="20"/>
          <w:szCs w:val="20"/>
          <w:color w:val="auto"/>
        </w:rPr>
      </w:pPr>
    </w:p>
    <w:p>
      <w:pPr>
        <w:ind w:left="100" w:right="120" w:firstLine="324"/>
        <w:spacing w:after="0" w:line="263" w:lineRule="auto"/>
        <w:rPr>
          <w:sz w:val="20"/>
          <w:szCs w:val="20"/>
          <w:color w:val="auto"/>
        </w:rPr>
      </w:pPr>
      <w:r>
        <w:rPr>
          <w:rFonts w:ascii="Arial" w:cs="Arial" w:eastAsia="Arial" w:hAnsi="Arial"/>
          <w:sz w:val="12"/>
          <w:szCs w:val="12"/>
          <w:color w:val="auto"/>
        </w:rPr>
        <w:t>The securities portfolio is maintained to serve as a contingent, on-balance sheet source of liquidity. The objective of the investment portfolio is to optimize earnings, manage credit and interest rate risk, ensure adequate liquidity, and meet pledging and regulatory capital requirements. As of June 30, 2021, available-for-sale investments totaled $712 million, an increase of $58 million from December 31, 2020. For additional information, see “Note 3: Securities” in the Notes to the Unaudited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Loan Portfolio</w:t>
      </w:r>
    </w:p>
    <w:p>
      <w:pPr>
        <w:spacing w:after="0" w:line="113" w:lineRule="exact"/>
        <w:rPr>
          <w:sz w:val="20"/>
          <w:szCs w:val="20"/>
          <w:color w:val="auto"/>
        </w:rPr>
      </w:pPr>
    </w:p>
    <w:p>
      <w:pPr>
        <w:ind w:left="100" w:right="340" w:firstLine="324"/>
        <w:spacing w:after="0" w:line="276" w:lineRule="auto"/>
        <w:rPr>
          <w:sz w:val="20"/>
          <w:szCs w:val="20"/>
          <w:color w:val="auto"/>
        </w:rPr>
      </w:pPr>
      <w:r>
        <w:rPr>
          <w:rFonts w:ascii="Arial" w:cs="Arial" w:eastAsia="Arial" w:hAnsi="Arial"/>
          <w:sz w:val="12"/>
          <w:szCs w:val="12"/>
          <w:color w:val="auto"/>
        </w:rPr>
        <w:t>Refer to “Note 4: Loans and Allowance for Loan Losses (“ALLL”)” within the Notes to the Unaudited Consolidated Financial Statements for additional information regarding the Company’s loan portfolio. As of June 30, 2021, gross loans declined $203 million or 5% from December 31, 2020 and was driven by the following:</w:t>
      </w:r>
    </w:p>
    <w:p>
      <w:pPr>
        <w:spacing w:after="0" w:line="79" w:lineRule="exact"/>
        <w:rPr>
          <w:sz w:val="20"/>
          <w:szCs w:val="20"/>
          <w:color w:val="auto"/>
        </w:rPr>
      </w:pPr>
    </w:p>
    <w:p>
      <w:pPr>
        <w:ind w:left="100" w:right="180"/>
        <w:spacing w:after="0" w:line="276" w:lineRule="auto"/>
        <w:tabs>
          <w:tab w:leader="none" w:pos="35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 PPP loans decreased $95 million or 33% from December 31, 2020 to June 30, 2021. PPP loan activity is detailed in the </w:t>
      </w:r>
      <w:hyperlink w:anchor="page36">
        <w:r>
          <w:rPr>
            <w:rFonts w:ascii="Arial" w:cs="Arial" w:eastAsia="Arial" w:hAnsi="Arial"/>
            <w:sz w:val="12"/>
            <w:szCs w:val="12"/>
            <w:u w:val="single" w:color="auto"/>
            <w:color w:val="0000FF"/>
          </w:rPr>
          <w:t>“Second Quarter 2021 Highlights”</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section within Management’s Discussion and Analysis. The loans are guaranteed by the SBA, earn interest at 1.00%, and include a fee. The PPP loans will decline as the SBA forgives the loans and provides repayment to the Bank.</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2"/>
          <w:szCs w:val="12"/>
          <w:b w:val="1"/>
          <w:bCs w:val="1"/>
          <w:u w:val="single" w:color="auto"/>
          <w:color w:val="auto"/>
        </w:rPr>
        <w:t>Construction and Land Development</w:t>
      </w:r>
      <w:r>
        <w:rPr>
          <w:rFonts w:ascii="Arial" w:cs="Arial" w:eastAsia="Arial" w:hAnsi="Arial"/>
          <w:sz w:val="12"/>
          <w:szCs w:val="12"/>
          <w:b w:val="1"/>
          <w:bCs w:val="1"/>
          <w:color w:val="auto"/>
        </w:rPr>
        <w:t xml:space="preserve"> </w:t>
      </w:r>
      <w:r>
        <w:rPr>
          <w:rFonts w:ascii="Arial" w:cs="Arial" w:eastAsia="Arial" w:hAnsi="Arial"/>
          <w:sz w:val="12"/>
          <w:szCs w:val="12"/>
          <w:color w:val="auto"/>
        </w:rPr>
        <w:t>- The $60 million or 11% increase was driven by customer drawdowns on lines of credit primarily for commercial projects.</w:t>
      </w:r>
    </w:p>
    <w:p>
      <w:pPr>
        <w:spacing w:after="0" w:line="114" w:lineRule="exact"/>
        <w:rPr>
          <w:sz w:val="20"/>
          <w:szCs w:val="20"/>
          <w:color w:val="auto"/>
        </w:rPr>
      </w:pPr>
    </w:p>
    <w:p>
      <w:pPr>
        <w:ind w:left="100" w:right="320"/>
        <w:spacing w:after="0" w:line="387" w:lineRule="auto"/>
        <w:rPr>
          <w:sz w:val="20"/>
          <w:szCs w:val="20"/>
          <w:color w:val="auto"/>
        </w:rPr>
      </w:pPr>
      <w:r>
        <w:rPr>
          <w:rFonts w:ascii="Arial" w:cs="Arial" w:eastAsia="Arial" w:hAnsi="Arial"/>
          <w:sz w:val="10"/>
          <w:szCs w:val="10"/>
          <w:b w:val="1"/>
          <w:bCs w:val="1"/>
          <w:u w:val="single" w:color="auto"/>
          <w:color w:val="auto"/>
        </w:rPr>
        <w:t>Energy</w:t>
      </w:r>
      <w:r>
        <w:rPr>
          <w:rFonts w:ascii="Arial" w:cs="Arial" w:eastAsia="Arial" w:hAnsi="Arial"/>
          <w:sz w:val="10"/>
          <w:szCs w:val="10"/>
          <w:b w:val="1"/>
          <w:bCs w:val="1"/>
          <w:color w:val="auto"/>
        </w:rPr>
        <w:t xml:space="preserve"> </w:t>
      </w:r>
      <w:r>
        <w:rPr>
          <w:rFonts w:ascii="Arial" w:cs="Arial" w:eastAsia="Arial" w:hAnsi="Arial"/>
          <w:sz w:val="10"/>
          <w:szCs w:val="10"/>
          <w:color w:val="auto"/>
        </w:rPr>
        <w:t>- Our energy portfolio declined $19 million or 5% from December 31, 2020 to June 30, 2021 primarily due to pay downs on outstanding lines of credit. Customers remain impacted by lower oil and natural gas prices that</w:t>
      </w:r>
      <w:r>
        <w:rPr>
          <w:rFonts w:ascii="Arial" w:cs="Arial" w:eastAsia="Arial" w:hAnsi="Arial"/>
          <w:sz w:val="10"/>
          <w:szCs w:val="10"/>
          <w:b w:val="1"/>
          <w:bCs w:val="1"/>
          <w:color w:val="auto"/>
        </w:rPr>
        <w:t xml:space="preserve"> </w:t>
      </w:r>
      <w:r>
        <w:rPr>
          <w:rFonts w:ascii="Arial" w:cs="Arial" w:eastAsia="Arial" w:hAnsi="Arial"/>
          <w:sz w:val="10"/>
          <w:szCs w:val="10"/>
          <w:color w:val="auto"/>
        </w:rPr>
        <w:t>strained operating cash flow and the ability to pay down their lines of credit. The Company expects the energy portfolio to decline further as part of management’s strategy to lower our oil and natural gas loan concentrations.</w:t>
      </w:r>
    </w:p>
    <w:p>
      <w:pPr>
        <w:spacing w:after="0" w:line="25" w:lineRule="exact"/>
        <w:rPr>
          <w:sz w:val="20"/>
          <w:szCs w:val="20"/>
          <w:color w:val="auto"/>
        </w:rPr>
      </w:pPr>
    </w:p>
    <w:p>
      <w:pPr>
        <w:ind w:left="100" w:right="240"/>
        <w:spacing w:after="0" w:line="283" w:lineRule="auto"/>
        <w:rPr>
          <w:sz w:val="20"/>
          <w:szCs w:val="20"/>
          <w:color w:val="auto"/>
        </w:rPr>
      </w:pPr>
      <w:r>
        <w:rPr>
          <w:rFonts w:ascii="Arial" w:cs="Arial" w:eastAsia="Arial" w:hAnsi="Arial"/>
          <w:sz w:val="12"/>
          <w:szCs w:val="12"/>
          <w:b w:val="1"/>
          <w:bCs w:val="1"/>
          <w:u w:val="single" w:color="auto"/>
          <w:color w:val="auto"/>
        </w:rPr>
        <w:t>Commercial</w:t>
      </w:r>
      <w:r>
        <w:rPr>
          <w:rFonts w:ascii="Arial" w:cs="Arial" w:eastAsia="Arial" w:hAnsi="Arial"/>
          <w:sz w:val="12"/>
          <w:szCs w:val="12"/>
          <w:b w:val="1"/>
          <w:bCs w:val="1"/>
          <w:color w:val="auto"/>
        </w:rPr>
        <w:t xml:space="preserve"> </w:t>
      </w:r>
      <w:r>
        <w:rPr>
          <w:rFonts w:ascii="Arial" w:cs="Arial" w:eastAsia="Arial" w:hAnsi="Arial"/>
          <w:sz w:val="12"/>
          <w:szCs w:val="12"/>
          <w:color w:val="auto"/>
        </w:rPr>
        <w:t>- The $151 million or 11% decline in commercial loans was driven by $11 million of charge-offs taken, an increase in pay downs and $28 million of loans sold to a third-party. The loans sold were written down to the</w:t>
      </w:r>
      <w:r>
        <w:rPr>
          <w:rFonts w:ascii="Arial" w:cs="Arial" w:eastAsia="Arial" w:hAnsi="Arial"/>
          <w:sz w:val="12"/>
          <w:szCs w:val="12"/>
          <w:b w:val="1"/>
          <w:bCs w:val="1"/>
          <w:color w:val="auto"/>
        </w:rPr>
        <w:t xml:space="preserve"> </w:t>
      </w:r>
      <w:r>
        <w:rPr>
          <w:rFonts w:ascii="Arial" w:cs="Arial" w:eastAsia="Arial" w:hAnsi="Arial"/>
          <w:sz w:val="12"/>
          <w:szCs w:val="12"/>
          <w:color w:val="auto"/>
        </w:rPr>
        <w:t>sales price prior to the sale.</w:t>
      </w:r>
    </w:p>
    <w:p>
      <w:pPr>
        <w:spacing w:after="0" w:line="3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contractual maturities of our gross loans and sensitivity to interest rate changes:</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9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80"/>
              <w:spacing w:after="0"/>
              <w:rPr>
                <w:sz w:val="20"/>
                <w:szCs w:val="20"/>
                <w:color w:val="auto"/>
              </w:rPr>
            </w:pPr>
            <w:r>
              <w:rPr>
                <w:rFonts w:ascii="Arial" w:cs="Arial" w:eastAsia="Arial" w:hAnsi="Arial"/>
                <w:sz w:val="12"/>
                <w:szCs w:val="12"/>
                <w:b w:val="1"/>
                <w:bCs w:val="1"/>
                <w:color w:val="auto"/>
              </w:rPr>
              <w:t>As of June 30, 2021</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20" w:type="dxa"/>
            <w:vAlign w:val="bottom"/>
            <w:gridSpan w:val="6"/>
          </w:tcPr>
          <w:p>
            <w:pPr>
              <w:spacing w:after="0"/>
              <w:rPr>
                <w:sz w:val="20"/>
                <w:szCs w:val="20"/>
                <w:color w:val="auto"/>
              </w:rPr>
            </w:pPr>
            <w:r>
              <w:rPr>
                <w:rFonts w:ascii="Arial" w:cs="Arial" w:eastAsia="Arial" w:hAnsi="Arial"/>
                <w:sz w:val="12"/>
                <w:szCs w:val="12"/>
                <w:b w:val="1"/>
                <w:bCs w:val="1"/>
                <w:color w:val="auto"/>
                <w:w w:val="96"/>
              </w:rPr>
              <w:t>Due after Five Years through Fifteen</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2"/>
                <w:szCs w:val="12"/>
                <w:b w:val="1"/>
                <w:bCs w:val="1"/>
                <w:color w:val="auto"/>
              </w:rPr>
              <w:t>Due in One Year or Less</w:t>
            </w:r>
          </w:p>
        </w:tc>
        <w:tc>
          <w:tcPr>
            <w:tcW w:w="60" w:type="dxa"/>
            <w:vAlign w:val="bottom"/>
          </w:tcPr>
          <w:p>
            <w:pPr>
              <w:spacing w:after="0"/>
              <w:rPr>
                <w:sz w:val="14"/>
                <w:szCs w:val="1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rPr>
              <w:t>Due after One Year through Five Years</w:t>
            </w:r>
          </w:p>
        </w:tc>
        <w:tc>
          <w:tcPr>
            <w:tcW w:w="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rPr>
              <w:t>Years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2"/>
                <w:szCs w:val="12"/>
                <w:b w:val="1"/>
                <w:bCs w:val="1"/>
                <w:color w:val="auto"/>
              </w:rPr>
              <w:t>Due after Fifteen Years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Adjustable</w:t>
            </w: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Adjustable</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Adjustable</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Fixed Rate</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Rate</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Fixed Rate</w:t>
            </w:r>
          </w:p>
        </w:tc>
        <w:tc>
          <w:tcPr>
            <w:tcW w:w="132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rPr>
              <w:t>Adjustable Rate</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Fixed Rate</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Rate</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Fixed Rate</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Rate</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4"/>
          </w:tcPr>
          <w:p>
            <w:pPr>
              <w:ind w:left="20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40" w:type="dxa"/>
            <w:vAlign w:val="bottom"/>
            <w:shd w:val="clear" w:color="auto" w:fill="CCEEFF"/>
          </w:tcPr>
          <w:p>
            <w:pPr>
              <w:ind w:left="340"/>
              <w:spacing w:after="0"/>
              <w:rPr>
                <w:sz w:val="20"/>
                <w:szCs w:val="20"/>
                <w:color w:val="auto"/>
              </w:rPr>
            </w:pPr>
            <w:r>
              <w:rPr>
                <w:rFonts w:ascii="Arial" w:cs="Arial" w:eastAsia="Arial" w:hAnsi="Arial"/>
                <w:sz w:val="12"/>
                <w:szCs w:val="12"/>
                <w:color w:val="auto"/>
                <w:w w:val="90"/>
              </w:rPr>
              <w:t>Commercial</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63,384</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256,601</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278,011</w:t>
            </w: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494,569</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15,640</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79,619</w:t>
            </w: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940" w:type="dxa"/>
            <w:vAlign w:val="bottom"/>
          </w:tcPr>
          <w:p>
            <w:pPr>
              <w:ind w:left="340"/>
              <w:spacing w:after="0"/>
              <w:rPr>
                <w:sz w:val="20"/>
                <w:szCs w:val="20"/>
                <w:color w:val="auto"/>
              </w:rPr>
            </w:pPr>
            <w:r>
              <w:rPr>
                <w:rFonts w:ascii="Arial" w:cs="Arial" w:eastAsia="Arial" w:hAnsi="Arial"/>
                <w:sz w:val="12"/>
                <w:szCs w:val="12"/>
                <w:color w:val="auto"/>
              </w:rPr>
              <w:t>Energy</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52</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173,019</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415</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152,987</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rPr>
              <w:t>Commercial real</w:t>
            </w:r>
          </w:p>
        </w:tc>
        <w:tc>
          <w:tcPr>
            <w:tcW w:w="4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114,143</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88,752</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365,152</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319,828</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64,679</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249,562</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6,599</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estate</w:t>
            </w:r>
          </w:p>
        </w:tc>
        <w:tc>
          <w:tcPr>
            <w:tcW w:w="4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20"/>
              <w:spacing w:after="0" w:line="117" w:lineRule="exact"/>
              <w:rPr>
                <w:sz w:val="20"/>
                <w:szCs w:val="20"/>
                <w:color w:val="auto"/>
              </w:rPr>
            </w:pPr>
            <w:r>
              <w:rPr>
                <w:rFonts w:ascii="Arial" w:cs="Arial" w:eastAsia="Arial" w:hAnsi="Arial"/>
                <w:sz w:val="12"/>
                <w:szCs w:val="12"/>
                <w:color w:val="auto"/>
                <w:w w:val="99"/>
              </w:rPr>
              <w:t>Construction and</w:t>
            </w: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40" w:type="dxa"/>
            <w:vAlign w:val="bottom"/>
          </w:tcPr>
          <w:p>
            <w:pPr>
              <w:ind w:left="120"/>
              <w:spacing w:after="0" w:line="117" w:lineRule="exact"/>
              <w:rPr>
                <w:sz w:val="20"/>
                <w:szCs w:val="20"/>
                <w:color w:val="auto"/>
              </w:rPr>
            </w:pPr>
            <w:r>
              <w:rPr>
                <w:rFonts w:ascii="Arial" w:cs="Arial" w:eastAsia="Arial" w:hAnsi="Arial"/>
                <w:sz w:val="12"/>
                <w:szCs w:val="12"/>
                <w:color w:val="auto"/>
              </w:rPr>
              <w:t>land</w:t>
            </w:r>
          </w:p>
        </w:tc>
        <w:tc>
          <w:tcPr>
            <w:tcW w:w="4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7,170</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103,053</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31,948</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418,695</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1,839</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28,191</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7,184</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25,477</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120"/>
              <w:spacing w:after="0"/>
              <w:rPr>
                <w:sz w:val="20"/>
                <w:szCs w:val="20"/>
                <w:color w:val="auto"/>
              </w:rPr>
            </w:pPr>
            <w:r>
              <w:rPr>
                <w:rFonts w:ascii="Arial" w:cs="Arial" w:eastAsia="Arial" w:hAnsi="Arial"/>
                <w:sz w:val="12"/>
                <w:szCs w:val="12"/>
                <w:color w:val="auto"/>
              </w:rPr>
              <w:t>development</w:t>
            </w: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rPr>
              <w:t>Residential and</w:t>
            </w: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4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99"/>
              </w:rPr>
              <w:t>multifamily real</w:t>
            </w:r>
          </w:p>
        </w:tc>
        <w:tc>
          <w:tcPr>
            <w:tcW w:w="4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39,413</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71,154</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60,271</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125,429</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102,443</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8,131</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1,373</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233,455</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estate</w:t>
            </w:r>
          </w:p>
        </w:tc>
        <w:tc>
          <w:tcPr>
            <w:tcW w:w="4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40" w:type="dxa"/>
            <w:vAlign w:val="bottom"/>
          </w:tcPr>
          <w:p>
            <w:pPr>
              <w:ind w:left="340"/>
              <w:spacing w:after="0"/>
              <w:rPr>
                <w:sz w:val="20"/>
                <w:szCs w:val="20"/>
                <w:color w:val="auto"/>
              </w:rPr>
            </w:pPr>
            <w:r>
              <w:rPr>
                <w:rFonts w:ascii="Arial" w:cs="Arial" w:eastAsia="Arial" w:hAnsi="Arial"/>
                <w:sz w:val="12"/>
                <w:szCs w:val="12"/>
                <w:color w:val="auto"/>
              </w:rPr>
              <w:t>PPP</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67,756</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129,328</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Consumer</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20,672</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7,313</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2,674</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12,639</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21,359</w:t>
            </w: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2,346</w:t>
            </w: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940" w:type="dxa"/>
            <w:vAlign w:val="bottom"/>
          </w:tcPr>
          <w:p>
            <w:pPr>
              <w:ind w:left="420"/>
              <w:spacing w:after="0" w:line="97" w:lineRule="exact"/>
              <w:rPr>
                <w:sz w:val="20"/>
                <w:szCs w:val="20"/>
                <w:color w:val="auto"/>
              </w:rPr>
            </w:pPr>
            <w:r>
              <w:rPr>
                <w:rFonts w:ascii="Arial" w:cs="Arial" w:eastAsia="Arial" w:hAnsi="Arial"/>
                <w:sz w:val="11"/>
                <w:szCs w:val="11"/>
                <w:color w:val="auto"/>
              </w:rPr>
              <w:t>Gross</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312,590</w:t>
            </w:r>
          </w:p>
        </w:tc>
        <w:tc>
          <w:tcPr>
            <w:tcW w:w="60" w:type="dxa"/>
            <w:vAlign w:val="bottom"/>
          </w:tcPr>
          <w:p>
            <w:pPr>
              <w:spacing w:after="0"/>
              <w:rPr>
                <w:sz w:val="8"/>
                <w:szCs w:val="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699,892</w:t>
            </w:r>
          </w:p>
        </w:tc>
        <w:tc>
          <w:tcPr>
            <w:tcW w:w="60" w:type="dxa"/>
            <w:vAlign w:val="bottom"/>
          </w:tcPr>
          <w:p>
            <w:pPr>
              <w:spacing w:after="0"/>
              <w:rPr>
                <w:sz w:val="8"/>
                <w:szCs w:val="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867,799</w:t>
            </w:r>
          </w:p>
        </w:tc>
        <w:tc>
          <w:tcPr>
            <w:tcW w:w="40" w:type="dxa"/>
            <w:vAlign w:val="bottom"/>
          </w:tcPr>
          <w:p>
            <w:pPr>
              <w:spacing w:after="0"/>
              <w:rPr>
                <w:sz w:val="8"/>
                <w:szCs w:val="8"/>
                <w:color w:val="auto"/>
              </w:rPr>
            </w:pPr>
          </w:p>
        </w:tc>
        <w:tc>
          <w:tcPr>
            <w:tcW w:w="56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1,524,147</w:t>
            </w:r>
          </w:p>
        </w:tc>
        <w:tc>
          <w:tcPr>
            <w:tcW w:w="60" w:type="dxa"/>
            <w:vAlign w:val="bottom"/>
          </w:tcPr>
          <w:p>
            <w:pPr>
              <w:spacing w:after="0"/>
              <w:rPr>
                <w:sz w:val="8"/>
                <w:szCs w:val="8"/>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184,601</w:t>
            </w:r>
          </w:p>
        </w:tc>
        <w:tc>
          <w:tcPr>
            <w:tcW w:w="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386,862</w:t>
            </w:r>
          </w:p>
        </w:tc>
        <w:tc>
          <w:tcPr>
            <w:tcW w:w="40" w:type="dxa"/>
            <w:vAlign w:val="bottom"/>
          </w:tcPr>
          <w:p>
            <w:pPr>
              <w:spacing w:after="0"/>
              <w:rPr>
                <w:sz w:val="8"/>
                <w:szCs w:val="8"/>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8,557</w:t>
            </w:r>
          </w:p>
        </w:tc>
        <w:tc>
          <w:tcPr>
            <w:tcW w:w="60" w:type="dxa"/>
            <w:vAlign w:val="bottom"/>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267,877</w:t>
            </w:r>
          </w:p>
        </w:tc>
        <w:tc>
          <w:tcPr>
            <w:tcW w:w="60" w:type="dxa"/>
            <w:vAlign w:val="bottom"/>
          </w:tcPr>
          <w:p>
            <w:pPr>
              <w:spacing w:after="0"/>
              <w:rPr>
                <w:sz w:val="8"/>
                <w:szCs w:val="8"/>
                <w:color w:val="auto"/>
              </w:rPr>
            </w:pPr>
          </w:p>
        </w:tc>
        <w:tc>
          <w:tcPr>
            <w:tcW w:w="62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940" w:type="dxa"/>
            <w:vAlign w:val="bottom"/>
          </w:tcPr>
          <w:p>
            <w:pPr>
              <w:ind w:left="100"/>
              <w:spacing w:after="0" w:line="135" w:lineRule="exact"/>
              <w:rPr>
                <w:sz w:val="20"/>
                <w:szCs w:val="20"/>
                <w:color w:val="auto"/>
              </w:rPr>
            </w:pPr>
            <w:r>
              <w:rPr>
                <w:rFonts w:ascii="Arial" w:cs="Arial" w:eastAsia="Arial" w:hAnsi="Arial"/>
                <w:sz w:val="12"/>
                <w:szCs w:val="12"/>
                <w:color w:val="auto"/>
              </w:rPr>
              <w:t>loans</w:t>
            </w:r>
          </w:p>
        </w:tc>
        <w:tc>
          <w:tcPr>
            <w:tcW w:w="4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31" w:right="23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Provision and Allowance for Loan Losses (“ALLL”)</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For the Quarter Ended</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2"/>
                <w:szCs w:val="12"/>
                <w:b w:val="1"/>
                <w:bCs w:val="1"/>
                <w:color w:val="auto"/>
              </w:rPr>
              <w:t>For the Six Months Ended</w:t>
            </w:r>
          </w:p>
        </w:tc>
      </w:tr>
      <w:tr>
        <w:trPr>
          <w:trHeight w:val="147"/>
        </w:trPr>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00"/>
              <w:spacing w:after="0"/>
              <w:rPr>
                <w:sz w:val="20"/>
                <w:szCs w:val="20"/>
                <w:color w:val="auto"/>
              </w:rPr>
            </w:pPr>
            <w:r>
              <w:rPr>
                <w:rFonts w:ascii="Arial" w:cs="Arial" w:eastAsia="Arial" w:hAnsi="Arial"/>
                <w:sz w:val="12"/>
                <w:szCs w:val="12"/>
                <w:b w:val="1"/>
                <w:bCs w:val="1"/>
                <w:color w:val="auto"/>
              </w:rPr>
              <w:t>June 30,</w:t>
            </w:r>
          </w:p>
        </w:tc>
        <w:tc>
          <w:tcPr>
            <w:tcW w:w="240" w:type="dxa"/>
            <w:vAlign w:val="bottom"/>
          </w:tcPr>
          <w:p>
            <w:pPr>
              <w:spacing w:after="0"/>
              <w:rPr>
                <w:sz w:val="12"/>
                <w:szCs w:val="12"/>
                <w:color w:val="auto"/>
              </w:rPr>
            </w:pPr>
          </w:p>
        </w:tc>
        <w:tc>
          <w:tcPr>
            <w:tcW w:w="940" w:type="dxa"/>
            <w:vAlign w:val="bottom"/>
          </w:tcPr>
          <w:p>
            <w:pPr>
              <w:jc w:val="right"/>
              <w:ind w:right="2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2"/>
                <w:szCs w:val="12"/>
                <w:color w:val="auto"/>
              </w:rPr>
            </w:pPr>
          </w:p>
        </w:tc>
        <w:tc>
          <w:tcPr>
            <w:tcW w:w="1260" w:type="dxa"/>
            <w:vAlign w:val="bottom"/>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2"/>
                <w:szCs w:val="12"/>
                <w:color w:val="auto"/>
              </w:rPr>
            </w:pPr>
          </w:p>
        </w:tc>
        <w:tc>
          <w:tcPr>
            <w:tcW w:w="1240" w:type="dxa"/>
            <w:vAlign w:val="bottom"/>
          </w:tcPr>
          <w:p>
            <w:pPr>
              <w:jc w:val="right"/>
              <w:ind w:right="260"/>
              <w:spacing w:after="0"/>
              <w:rPr>
                <w:sz w:val="20"/>
                <w:szCs w:val="20"/>
                <w:color w:val="auto"/>
              </w:rPr>
            </w:pPr>
            <w:r>
              <w:rPr>
                <w:rFonts w:ascii="Arial" w:cs="Arial" w:eastAsia="Arial" w:hAnsi="Arial"/>
                <w:sz w:val="12"/>
                <w:szCs w:val="12"/>
                <w:b w:val="1"/>
                <w:bCs w:val="1"/>
                <w:color w:val="auto"/>
              </w:rPr>
              <w:t>September 30,</w:t>
            </w:r>
          </w:p>
        </w:tc>
        <w:tc>
          <w:tcPr>
            <w:tcW w:w="26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w:t>
            </w:r>
          </w:p>
        </w:tc>
        <w:tc>
          <w:tcPr>
            <w:tcW w:w="240" w:type="dxa"/>
            <w:vAlign w:val="bottom"/>
          </w:tcPr>
          <w:p>
            <w:pPr>
              <w:spacing w:after="0"/>
              <w:rPr>
                <w:sz w:val="12"/>
                <w:szCs w:val="12"/>
                <w:color w:val="auto"/>
              </w:rPr>
            </w:pPr>
          </w:p>
        </w:tc>
        <w:tc>
          <w:tcPr>
            <w:tcW w:w="1040" w:type="dxa"/>
            <w:vAlign w:val="bottom"/>
          </w:tcPr>
          <w:p>
            <w:pPr>
              <w:jc w:val="right"/>
              <w:ind w:right="380"/>
              <w:spacing w:after="0"/>
              <w:rPr>
                <w:sz w:val="20"/>
                <w:szCs w:val="20"/>
                <w:color w:val="auto"/>
              </w:rPr>
            </w:pPr>
            <w:r>
              <w:rPr>
                <w:rFonts w:ascii="Arial" w:cs="Arial" w:eastAsia="Arial" w:hAnsi="Arial"/>
                <w:sz w:val="12"/>
                <w:szCs w:val="12"/>
                <w:b w:val="1"/>
                <w:bCs w:val="1"/>
                <w:color w:val="auto"/>
              </w:rPr>
              <w:t>June 30,</w:t>
            </w:r>
          </w:p>
        </w:tc>
        <w:tc>
          <w:tcPr>
            <w:tcW w:w="280" w:type="dxa"/>
            <w:vAlign w:val="bottom"/>
          </w:tcPr>
          <w:p>
            <w:pPr>
              <w:spacing w:after="0"/>
              <w:rPr>
                <w:sz w:val="12"/>
                <w:szCs w:val="12"/>
                <w:color w:val="auto"/>
              </w:rPr>
            </w:pPr>
          </w:p>
        </w:tc>
        <w:tc>
          <w:tcPr>
            <w:tcW w:w="1020" w:type="dxa"/>
            <w:vAlign w:val="bottom"/>
          </w:tcPr>
          <w:p>
            <w:pPr>
              <w:jc w:val="right"/>
              <w:ind w:right="360"/>
              <w:spacing w:after="0"/>
              <w:rPr>
                <w:sz w:val="20"/>
                <w:szCs w:val="20"/>
                <w:color w:val="auto"/>
              </w:rPr>
            </w:pPr>
            <w:r>
              <w:rPr>
                <w:rFonts w:ascii="Arial" w:cs="Arial" w:eastAsia="Arial" w:hAnsi="Arial"/>
                <w:sz w:val="12"/>
                <w:szCs w:val="12"/>
                <w:b w:val="1"/>
                <w:bCs w:val="1"/>
                <w:color w:val="auto"/>
              </w:rPr>
              <w:t>June 30,</w:t>
            </w:r>
          </w:p>
        </w:tc>
      </w:tr>
      <w:tr>
        <w:trPr>
          <w:trHeight w:val="166"/>
        </w:trPr>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r>
      <w:tr>
        <w:trPr>
          <w:trHeight w:val="169"/>
        </w:trPr>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i w:val="1"/>
                <w:iCs w:val="1"/>
                <w:color w:val="auto"/>
                <w:w w:val="95"/>
              </w:rPr>
              <w:t>(Dollars in thousands)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 for loan losses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3,500</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10,875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10,875</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11,000</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34,950</w:t>
            </w:r>
          </w:p>
        </w:tc>
      </w:tr>
      <w:tr>
        <w:trPr>
          <w:trHeight w:val="171"/>
        </w:trPr>
        <w:tc>
          <w:tcPr>
            <w:tcW w:w="2260" w:type="dxa"/>
            <w:vAlign w:val="bottom"/>
          </w:tcPr>
          <w:p>
            <w:pPr>
              <w:ind w:left="20"/>
              <w:spacing w:after="0"/>
              <w:rPr>
                <w:sz w:val="20"/>
                <w:szCs w:val="20"/>
                <w:color w:val="auto"/>
              </w:rPr>
            </w:pPr>
            <w:r>
              <w:rPr>
                <w:rFonts w:ascii="Arial" w:cs="Arial" w:eastAsia="Arial" w:hAnsi="Arial"/>
                <w:sz w:val="12"/>
                <w:szCs w:val="12"/>
                <w:color w:val="auto"/>
              </w:rPr>
              <w:t>Allowance for loan losses</w:t>
            </w:r>
          </w:p>
        </w:tc>
        <w:tc>
          <w:tcPr>
            <w:tcW w:w="200" w:type="dxa"/>
            <w:vAlign w:val="bottom"/>
          </w:tcPr>
          <w:p>
            <w:pPr>
              <w:spacing w:after="0"/>
              <w:rPr>
                <w:sz w:val="14"/>
                <w:szCs w:val="14"/>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75,493</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74,551</w:t>
            </w:r>
          </w:p>
        </w:tc>
        <w:tc>
          <w:tcPr>
            <w:tcW w:w="18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75,295</w:t>
            </w:r>
          </w:p>
        </w:tc>
        <w:tc>
          <w:tcPr>
            <w:tcW w:w="120" w:type="dxa"/>
            <w:vAlign w:val="bottom"/>
          </w:tcPr>
          <w:p>
            <w:pPr>
              <w:spacing w:after="0"/>
              <w:rPr>
                <w:sz w:val="14"/>
                <w:szCs w:val="14"/>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76,035</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71,185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20"/>
              <w:spacing w:after="0"/>
              <w:rPr>
                <w:sz w:val="20"/>
                <w:szCs w:val="20"/>
                <w:color w:val="auto"/>
              </w:rPr>
            </w:pPr>
            <w:r>
              <w:rPr>
                <w:rFonts w:ascii="Arial" w:cs="Arial" w:eastAsia="Arial" w:hAnsi="Arial"/>
                <w:sz w:val="12"/>
                <w:szCs w:val="12"/>
                <w:color w:val="auto"/>
              </w:rPr>
              <w:t>75,493</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71,185</w:t>
            </w: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charge-offs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2,558</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8,244</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11,615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6,025</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10,802</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20,661</w:t>
            </w:r>
          </w:p>
        </w:tc>
      </w:tr>
    </w:tbl>
    <w:p>
      <w:pPr>
        <w:spacing w:after="0" w:line="162" w:lineRule="exact"/>
        <w:rPr>
          <w:sz w:val="20"/>
          <w:szCs w:val="20"/>
          <w:color w:val="auto"/>
        </w:rPr>
      </w:pPr>
    </w:p>
    <w:p>
      <w:pPr>
        <w:jc w:val="both"/>
        <w:ind w:left="100" w:right="80" w:firstLine="324"/>
        <w:spacing w:after="0" w:line="263" w:lineRule="auto"/>
        <w:rPr>
          <w:sz w:val="20"/>
          <w:szCs w:val="20"/>
          <w:color w:val="auto"/>
        </w:rPr>
      </w:pPr>
      <w:r>
        <w:rPr>
          <w:rFonts w:ascii="Arial" w:cs="Arial" w:eastAsia="Arial" w:hAnsi="Arial"/>
          <w:sz w:val="12"/>
          <w:szCs w:val="12"/>
          <w:color w:val="auto"/>
        </w:rPr>
        <w:t>Refer to “Note 4: Loans and Allowance for Loan Losses (“ALLL”)” within the Notes to the Unaudited Consolidated Financial Statements for information regarding the Company’s ALLL process. The ALLL at June 30, 2021 represents our best estimate of the incurred credit losses inherent in the loan portfolio at that date. The allocation in one portfolio segment does not preclude its availability to absorb losses in other segments. The table below presents the allocation of the allowance for loan losses as of the dates indicated:</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22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June 30, 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40"/>
              <w:spacing w:after="0"/>
              <w:rPr>
                <w:sz w:val="20"/>
                <w:szCs w:val="20"/>
                <w:color w:val="auto"/>
              </w:rPr>
            </w:pPr>
            <w:r>
              <w:rPr>
                <w:rFonts w:ascii="Arial" w:cs="Arial" w:eastAsia="Arial" w:hAnsi="Arial"/>
                <w:sz w:val="12"/>
                <w:szCs w:val="12"/>
                <w:b w:val="1"/>
                <w:bCs w:val="1"/>
                <w:color w:val="auto"/>
                <w:w w:val="99"/>
              </w:rPr>
              <w:t>December 31, 2020</w:t>
            </w:r>
          </w:p>
        </w:tc>
        <w:tc>
          <w:tcPr>
            <w:tcW w:w="1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520" w:type="dxa"/>
            <w:vAlign w:val="bottom"/>
            <w:gridSpan w:val="3"/>
          </w:tcPr>
          <w:p>
            <w:pPr>
              <w:ind w:left="340"/>
              <w:spacing w:after="0" w:line="106" w:lineRule="exact"/>
              <w:rPr>
                <w:sz w:val="20"/>
                <w:szCs w:val="20"/>
                <w:color w:val="auto"/>
              </w:rPr>
            </w:pPr>
            <w:r>
              <w:rPr>
                <w:rFonts w:ascii="Arial" w:cs="Arial" w:eastAsia="Arial" w:hAnsi="Arial"/>
                <w:sz w:val="12"/>
                <w:szCs w:val="12"/>
                <w:b w:val="1"/>
                <w:bCs w:val="1"/>
                <w:color w:val="auto"/>
                <w:w w:val="95"/>
              </w:rPr>
              <w:t>Percent of Allowance</w:t>
            </w:r>
          </w:p>
        </w:tc>
        <w:tc>
          <w:tcPr>
            <w:tcW w:w="1460" w:type="dxa"/>
            <w:vAlign w:val="bottom"/>
            <w:gridSpan w:val="2"/>
          </w:tcPr>
          <w:p>
            <w:pPr>
              <w:jc w:val="right"/>
              <w:spacing w:after="0" w:line="106" w:lineRule="exact"/>
              <w:rPr>
                <w:sz w:val="20"/>
                <w:szCs w:val="20"/>
                <w:color w:val="auto"/>
              </w:rPr>
            </w:pPr>
            <w:r>
              <w:rPr>
                <w:rFonts w:ascii="Arial" w:cs="Arial" w:eastAsia="Arial" w:hAnsi="Arial"/>
                <w:sz w:val="12"/>
                <w:szCs w:val="12"/>
                <w:b w:val="1"/>
                <w:bCs w:val="1"/>
                <w:color w:val="auto"/>
              </w:rPr>
              <w:t>Percent of Loan Type</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540" w:type="dxa"/>
            <w:vAlign w:val="bottom"/>
            <w:gridSpan w:val="3"/>
          </w:tcPr>
          <w:p>
            <w:pPr>
              <w:ind w:left="360"/>
              <w:spacing w:after="0" w:line="106" w:lineRule="exact"/>
              <w:rPr>
                <w:sz w:val="20"/>
                <w:szCs w:val="20"/>
                <w:color w:val="auto"/>
              </w:rPr>
            </w:pPr>
            <w:r>
              <w:rPr>
                <w:rFonts w:ascii="Arial" w:cs="Arial" w:eastAsia="Arial" w:hAnsi="Arial"/>
                <w:sz w:val="12"/>
                <w:szCs w:val="12"/>
                <w:b w:val="1"/>
                <w:bCs w:val="1"/>
                <w:color w:val="auto"/>
                <w:w w:val="95"/>
              </w:rPr>
              <w:t>Percent of Allowance</w:t>
            </w:r>
          </w:p>
        </w:tc>
        <w:tc>
          <w:tcPr>
            <w:tcW w:w="1460" w:type="dxa"/>
            <w:vAlign w:val="bottom"/>
            <w:gridSpan w:val="2"/>
          </w:tcPr>
          <w:p>
            <w:pPr>
              <w:jc w:val="right"/>
              <w:spacing w:after="0" w:line="106" w:lineRule="exact"/>
              <w:rPr>
                <w:sz w:val="20"/>
                <w:szCs w:val="20"/>
                <w:color w:val="auto"/>
              </w:rPr>
            </w:pPr>
            <w:r>
              <w:rPr>
                <w:rFonts w:ascii="Arial" w:cs="Arial" w:eastAsia="Arial" w:hAnsi="Arial"/>
                <w:sz w:val="12"/>
                <w:szCs w:val="12"/>
                <w:b w:val="1"/>
                <w:bCs w:val="1"/>
                <w:color w:val="auto"/>
              </w:rPr>
              <w:t>Percent of Loan Type</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to Total Allowance</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 Total Loans</w:t>
            </w:r>
          </w:p>
        </w:tc>
        <w:tc>
          <w:tcPr>
            <w:tcW w:w="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 Total Allowance</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to Total Loans</w:t>
            </w: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i w:val="1"/>
                <w:iCs w:val="1"/>
                <w:color w:val="auto"/>
                <w:w w:val="93"/>
              </w:rPr>
              <w:t>(Dollars in thousands)</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w:t>
            </w: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28,433</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24,693</w:t>
            </w:r>
          </w:p>
        </w:tc>
        <w:tc>
          <w:tcPr>
            <w:tcW w:w="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33</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30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200" w:type="dxa"/>
            <w:vAlign w:val="bottom"/>
          </w:tcPr>
          <w:p>
            <w:pPr>
              <w:ind w:left="340"/>
              <w:spacing w:after="0"/>
              <w:rPr>
                <w:sz w:val="20"/>
                <w:szCs w:val="20"/>
                <w:color w:val="auto"/>
              </w:rPr>
            </w:pPr>
            <w:r>
              <w:rPr>
                <w:rFonts w:ascii="Arial" w:cs="Arial" w:eastAsia="Arial" w:hAnsi="Arial"/>
                <w:sz w:val="12"/>
                <w:szCs w:val="12"/>
                <w:color w:val="auto"/>
              </w:rPr>
              <w:t>Energy</w:t>
            </w:r>
          </w:p>
        </w:tc>
        <w:tc>
          <w:tcPr>
            <w:tcW w:w="5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17,849</w:t>
            </w:r>
          </w:p>
        </w:tc>
        <w:tc>
          <w:tcPr>
            <w:tcW w:w="80" w:type="dxa"/>
            <w:vAlign w:val="bottom"/>
          </w:tcPr>
          <w:p>
            <w:pPr>
              <w:spacing w:after="0"/>
              <w:rPr>
                <w:sz w:val="13"/>
                <w:szCs w:val="13"/>
                <w:color w:val="auto"/>
              </w:rPr>
            </w:pPr>
          </w:p>
        </w:tc>
        <w:tc>
          <w:tcPr>
            <w:tcW w:w="1300" w:type="dxa"/>
            <w:vAlign w:val="bottom"/>
          </w:tcPr>
          <w:p>
            <w:pPr>
              <w:jc w:val="right"/>
              <w:ind w:right="260"/>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8</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18,341</w:t>
            </w:r>
          </w:p>
        </w:tc>
        <w:tc>
          <w:tcPr>
            <w:tcW w:w="60" w:type="dxa"/>
            <w:vAlign w:val="bottom"/>
          </w:tcPr>
          <w:p>
            <w:pPr>
              <w:spacing w:after="0"/>
              <w:rPr>
                <w:sz w:val="13"/>
                <w:szCs w:val="13"/>
                <w:color w:val="auto"/>
              </w:rPr>
            </w:pPr>
          </w:p>
        </w:tc>
        <w:tc>
          <w:tcPr>
            <w:tcW w:w="1280" w:type="dxa"/>
            <w:vAlign w:val="bottom"/>
          </w:tcPr>
          <w:p>
            <w:pPr>
              <w:jc w:val="right"/>
              <w:ind w:right="220"/>
              <w:spacing w:after="0"/>
              <w:rPr>
                <w:sz w:val="20"/>
                <w:szCs w:val="20"/>
                <w:color w:val="auto"/>
              </w:rPr>
            </w:pPr>
            <w:r>
              <w:rPr>
                <w:rFonts w:ascii="Arial" w:cs="Arial" w:eastAsia="Arial" w:hAnsi="Arial"/>
                <w:sz w:val="12"/>
                <w:szCs w:val="12"/>
                <w:color w:val="auto"/>
              </w:rPr>
              <w:t>24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180"/>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Commercial real estate</w:t>
            </w: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19,181</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28</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22,354</w:t>
            </w:r>
          </w:p>
        </w:tc>
        <w:tc>
          <w:tcPr>
            <w:tcW w:w="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29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26</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340"/>
              <w:spacing w:after="0"/>
              <w:rPr>
                <w:sz w:val="20"/>
                <w:szCs w:val="20"/>
                <w:color w:val="auto"/>
              </w:rPr>
            </w:pPr>
            <w:r>
              <w:rPr>
                <w:rFonts w:ascii="Arial" w:cs="Arial" w:eastAsia="Arial" w:hAnsi="Arial"/>
                <w:sz w:val="12"/>
                <w:szCs w:val="12"/>
                <w:color w:val="auto"/>
                <w:w w:val="97"/>
              </w:rPr>
              <w:t>Construction and land development</w:t>
            </w:r>
          </w:p>
        </w:tc>
        <w:tc>
          <w:tcPr>
            <w:tcW w:w="5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3,885</w:t>
            </w:r>
          </w:p>
        </w:tc>
        <w:tc>
          <w:tcPr>
            <w:tcW w:w="80" w:type="dxa"/>
            <w:vAlign w:val="bottom"/>
          </w:tcPr>
          <w:p>
            <w:pPr>
              <w:spacing w:after="0"/>
              <w:rPr>
                <w:sz w:val="13"/>
                <w:szCs w:val="13"/>
                <w:color w:val="auto"/>
              </w:rPr>
            </w:pPr>
          </w:p>
        </w:tc>
        <w:tc>
          <w:tcPr>
            <w:tcW w:w="1300" w:type="dxa"/>
            <w:vAlign w:val="bottom"/>
          </w:tcPr>
          <w:p>
            <w:pPr>
              <w:jc w:val="right"/>
              <w:ind w:right="260"/>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15</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3,612</w:t>
            </w:r>
          </w:p>
        </w:tc>
        <w:tc>
          <w:tcPr>
            <w:tcW w:w="60" w:type="dxa"/>
            <w:vAlign w:val="bottom"/>
          </w:tcPr>
          <w:p>
            <w:pPr>
              <w:spacing w:after="0"/>
              <w:rPr>
                <w:sz w:val="13"/>
                <w:szCs w:val="13"/>
                <w:color w:val="auto"/>
              </w:rPr>
            </w:pPr>
          </w:p>
        </w:tc>
        <w:tc>
          <w:tcPr>
            <w:tcW w:w="1280" w:type="dxa"/>
            <w:vAlign w:val="bottom"/>
          </w:tcPr>
          <w:p>
            <w:pPr>
              <w:jc w:val="right"/>
              <w:ind w:right="220"/>
              <w:spacing w:after="0"/>
              <w:rPr>
                <w:sz w:val="20"/>
                <w:szCs w:val="20"/>
                <w:color w:val="auto"/>
              </w:rPr>
            </w:pPr>
            <w:r>
              <w:rPr>
                <w:rFonts w:ascii="Arial" w:cs="Arial" w:eastAsia="Arial" w:hAnsi="Arial"/>
                <w:sz w:val="12"/>
                <w:szCs w:val="12"/>
                <w:color w:val="auto"/>
              </w:rPr>
              <w:t>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180"/>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and multifamily real estate</w:t>
            </w: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5,826</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5,842</w:t>
            </w:r>
          </w:p>
        </w:tc>
        <w:tc>
          <w:tcPr>
            <w:tcW w:w="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15</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340"/>
              <w:spacing w:after="0"/>
              <w:rPr>
                <w:sz w:val="20"/>
                <w:szCs w:val="20"/>
                <w:color w:val="auto"/>
              </w:rPr>
            </w:pPr>
            <w:r>
              <w:rPr>
                <w:rFonts w:ascii="Arial" w:cs="Arial" w:eastAsia="Arial" w:hAnsi="Arial"/>
                <w:sz w:val="12"/>
                <w:szCs w:val="12"/>
                <w:color w:val="auto"/>
              </w:rPr>
              <w:t>PPP</w:t>
            </w:r>
          </w:p>
        </w:tc>
        <w:tc>
          <w:tcPr>
            <w:tcW w:w="5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Arial" w:cs="Arial" w:eastAsia="Arial" w:hAnsi="Arial"/>
                <w:sz w:val="12"/>
                <w:szCs w:val="12"/>
                <w:color w:val="auto"/>
              </w:rPr>
              <w:t>5</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180"/>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Consumer</w:t>
            </w: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8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3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w:t>
            </w:r>
          </w:p>
        </w:tc>
        <w:tc>
          <w:tcPr>
            <w:tcW w:w="6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tcPr>
          <w:p>
            <w:pPr>
              <w:ind w:left="420"/>
              <w:spacing w:after="0"/>
              <w:rPr>
                <w:sz w:val="20"/>
                <w:szCs w:val="20"/>
                <w:color w:val="auto"/>
              </w:rPr>
            </w:pPr>
            <w:r>
              <w:rPr>
                <w:rFonts w:ascii="Arial" w:cs="Arial" w:eastAsia="Arial" w:hAnsi="Arial"/>
                <w:sz w:val="12"/>
                <w:szCs w:val="12"/>
                <w:color w:val="auto"/>
              </w:rPr>
              <w:t>Gross loans</w:t>
            </w: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75,493</w:t>
            </w:r>
          </w:p>
        </w:tc>
        <w:tc>
          <w:tcPr>
            <w:tcW w:w="80" w:type="dxa"/>
            <w:vAlign w:val="bottom"/>
          </w:tcPr>
          <w:p>
            <w:pPr>
              <w:spacing w:after="0"/>
              <w:rPr>
                <w:sz w:val="12"/>
                <w:szCs w:val="12"/>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75,295</w:t>
            </w:r>
          </w:p>
        </w:tc>
        <w:tc>
          <w:tcPr>
            <w:tcW w:w="60" w:type="dxa"/>
            <w:vAlign w:val="bottom"/>
          </w:tcPr>
          <w:p>
            <w:pPr>
              <w:spacing w:after="0"/>
              <w:rPr>
                <w:sz w:val="12"/>
                <w:szCs w:val="12"/>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100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Refer to “Note 4: Loans and Allowance for Loan Losses (“ALLL”)” within the Notes to the Unaudited Consolidated Financial Statements for information regarding the activity in the allowance for loan losses. A discussion of the changes in the ALLL is provided below:</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Charge-offs and Recoveries:</w:t>
      </w:r>
    </w:p>
    <w:p>
      <w:pPr>
        <w:spacing w:after="0" w:line="113" w:lineRule="exact"/>
        <w:rPr>
          <w:sz w:val="20"/>
          <w:szCs w:val="20"/>
          <w:color w:val="auto"/>
        </w:rPr>
      </w:pPr>
    </w:p>
    <w:p>
      <w:pPr>
        <w:ind w:left="100" w:right="280" w:firstLine="324"/>
        <w:spacing w:after="0" w:line="276" w:lineRule="auto"/>
        <w:rPr>
          <w:sz w:val="20"/>
          <w:szCs w:val="20"/>
          <w:color w:val="auto"/>
        </w:rPr>
      </w:pPr>
      <w:r>
        <w:rPr>
          <w:rFonts w:ascii="Arial" w:cs="Arial" w:eastAsia="Arial" w:hAnsi="Arial"/>
          <w:sz w:val="12"/>
          <w:szCs w:val="12"/>
          <w:color w:val="auto"/>
        </w:rPr>
        <w:t>During the three months ended June 30, 2021, charge-offs primarily related to a commercial borrower. The $3 million charged-off was greater than the reserved balance in the ALLL at December 31, 2020 resulting in a $2 million increase in the provision during the three- and six-month periods ended June 30, 2021.</w:t>
      </w:r>
    </w:p>
    <w:p>
      <w:pPr>
        <w:spacing w:after="0" w:line="79" w:lineRule="exact"/>
        <w:rPr>
          <w:sz w:val="20"/>
          <w:szCs w:val="20"/>
          <w:color w:val="auto"/>
        </w:rPr>
      </w:pPr>
    </w:p>
    <w:p>
      <w:pPr>
        <w:ind w:left="100" w:right="20" w:firstLine="324"/>
        <w:spacing w:after="0" w:line="276" w:lineRule="auto"/>
        <w:rPr>
          <w:sz w:val="20"/>
          <w:szCs w:val="20"/>
          <w:color w:val="auto"/>
        </w:rPr>
      </w:pPr>
      <w:r>
        <w:rPr>
          <w:rFonts w:ascii="Arial" w:cs="Arial" w:eastAsia="Arial" w:hAnsi="Arial"/>
          <w:sz w:val="12"/>
          <w:szCs w:val="12"/>
          <w:color w:val="auto"/>
        </w:rPr>
        <w:t>During the three months ended March 31, 2021, charge-offs primarily related to two commercial borrowers that were unable to support their debt obligations. The $8 million charged-off was greater than the reserved balance in the ALLL at December 31, 2020 resulting in a $5 million increase in the provision during the quarter ended March 31, 2021.</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three months ended June 30, 2020, the Company charged-off one energy loan that was classified for several years and accounted for the majority of net charge-offs.</w:t>
      </w:r>
    </w:p>
    <w:p>
      <w:pPr>
        <w:spacing w:after="0" w:line="114" w:lineRule="exact"/>
        <w:rPr>
          <w:sz w:val="20"/>
          <w:szCs w:val="20"/>
          <w:color w:val="auto"/>
        </w:rPr>
      </w:pPr>
    </w:p>
    <w:p>
      <w:pPr>
        <w:ind w:left="100" w:right="60" w:firstLine="324"/>
        <w:spacing w:after="0" w:line="323" w:lineRule="auto"/>
        <w:rPr>
          <w:sz w:val="20"/>
          <w:szCs w:val="20"/>
          <w:color w:val="auto"/>
        </w:rPr>
      </w:pPr>
      <w:r>
        <w:rPr>
          <w:rFonts w:ascii="Arial" w:cs="Arial" w:eastAsia="Arial" w:hAnsi="Arial"/>
          <w:sz w:val="11"/>
          <w:szCs w:val="11"/>
          <w:color w:val="auto"/>
        </w:rPr>
        <w:t>For the three months ended March 31, 2020, net charge-offs included an $18 million charge-off related to a previously disclosed non-performing, commercial loan. The commercial loan had a specific reserve associated with it as of December 31, 2019, resulting in a limited impact to the first quarter 2020 provision. In addition, the Company charged off $1 million related to one oil exploration and production credit.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38"/>
        </w:trPr>
        <w:tc>
          <w:tcPr>
            <w:tcW w:w="1620" w:type="dxa"/>
            <w:vAlign w:val="bottom"/>
            <w:gridSpan w:val="3"/>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0" w:type="dxa"/>
            <w:vAlign w:val="bottom"/>
          </w:tcPr>
          <w:p>
            <w:pPr>
              <w:spacing w:after="0"/>
              <w:rPr>
                <w:sz w:val="24"/>
                <w:szCs w:val="24"/>
                <w:color w:val="auto"/>
              </w:rPr>
            </w:pPr>
          </w:p>
        </w:tc>
        <w:tc>
          <w:tcPr>
            <w:tcW w:w="7140" w:type="dxa"/>
            <w:vAlign w:val="bottom"/>
            <w:gridSpan w:val="15"/>
          </w:tcPr>
          <w:p>
            <w:pPr>
              <w:ind w:left="320"/>
              <w:spacing w:after="0"/>
              <w:rPr>
                <w:sz w:val="20"/>
                <w:szCs w:val="20"/>
                <w:color w:val="auto"/>
              </w:rPr>
            </w:pPr>
            <w:r>
              <w:rPr>
                <w:rFonts w:ascii="Arial" w:cs="Arial" w:eastAsia="Arial" w:hAnsi="Arial"/>
                <w:sz w:val="12"/>
                <w:szCs w:val="12"/>
                <w:color w:val="auto"/>
                <w:w w:val="89"/>
              </w:rPr>
              <w:t>The below table provides the ratio of net charge-offs (recoveries) during the period to average loans outstanding based on our loan categories: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80"/>
              <w:spacing w:after="0"/>
              <w:rPr>
                <w:sz w:val="20"/>
                <w:szCs w:val="20"/>
                <w:color w:val="auto"/>
              </w:rPr>
            </w:pPr>
            <w:r>
              <w:rPr>
                <w:rFonts w:ascii="Arial" w:cs="Arial" w:eastAsia="Arial" w:hAnsi="Arial"/>
                <w:sz w:val="12"/>
                <w:szCs w:val="12"/>
                <w:b w:val="1"/>
                <w:bCs w:val="1"/>
                <w:color w:val="auto"/>
              </w:rPr>
              <w:t>For the Quarter Ended</w:t>
            </w: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2"/>
                <w:szCs w:val="12"/>
                <w:b w:val="1"/>
                <w:bCs w:val="1"/>
                <w:color w:val="auto"/>
              </w:rPr>
              <w:t>For the Six Months Ended</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Commercial</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0.84</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2.47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1.72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0.03</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1.71</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2.66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Arial" w:cs="Arial" w:eastAsia="Arial" w:hAnsi="Arial"/>
                <w:sz w:val="12"/>
                <w:szCs w:val="12"/>
                <w:color w:val="auto"/>
              </w:rPr>
              <w:t>Energy</w:t>
            </w:r>
          </w:p>
        </w:tc>
        <w:tc>
          <w:tcPr>
            <w:tcW w:w="11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Arial" w:cs="Arial" w:eastAsia="Arial" w:hAnsi="Arial"/>
                <w:sz w:val="12"/>
                <w:szCs w:val="12"/>
                <w:color w:val="auto"/>
              </w:rPr>
              <w:t>3.16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220"/>
              <w:spacing w:after="0"/>
              <w:rPr>
                <w:sz w:val="20"/>
                <w:szCs w:val="20"/>
                <w:color w:val="auto"/>
              </w:rPr>
            </w:pPr>
            <w:r>
              <w:rPr>
                <w:rFonts w:ascii="Arial" w:cs="Arial" w:eastAsia="Arial" w:hAnsi="Arial"/>
                <w:sz w:val="12"/>
                <w:szCs w:val="12"/>
                <w:color w:val="auto"/>
              </w:rPr>
              <w:t>1.04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220"/>
              <w:spacing w:after="0"/>
              <w:rPr>
                <w:sz w:val="20"/>
                <w:szCs w:val="20"/>
                <w:color w:val="auto"/>
              </w:rPr>
            </w:pPr>
            <w:r>
              <w:rPr>
                <w:rFonts w:ascii="Arial" w:cs="Arial" w:eastAsia="Arial" w:hAnsi="Arial"/>
                <w:sz w:val="12"/>
                <w:szCs w:val="12"/>
                <w:color w:val="auto"/>
              </w:rPr>
              <w:t>1.16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w w:val="93"/>
              </w:rPr>
              <w:t>Commercial real estate</w:t>
            </w: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0.53</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520" w:type="dxa"/>
            <w:vAlign w:val="bottom"/>
            <w:gridSpan w:val="2"/>
          </w:tcPr>
          <w:p>
            <w:pPr>
              <w:ind w:left="20"/>
              <w:spacing w:after="0" w:line="117" w:lineRule="exact"/>
              <w:rPr>
                <w:sz w:val="20"/>
                <w:szCs w:val="20"/>
                <w:color w:val="auto"/>
              </w:rPr>
            </w:pPr>
            <w:r>
              <w:rPr>
                <w:rFonts w:ascii="Arial" w:cs="Arial" w:eastAsia="Arial" w:hAnsi="Arial"/>
                <w:sz w:val="12"/>
                <w:szCs w:val="12"/>
                <w:color w:val="auto"/>
              </w:rPr>
              <w:t>Construction and land</w:t>
            </w:r>
          </w:p>
        </w:tc>
        <w:tc>
          <w:tcPr>
            <w:tcW w:w="1120" w:type="dxa"/>
            <w:vAlign w:val="bottom"/>
            <w:vMerge w:val="restart"/>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restart"/>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restart"/>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color w:val="auto"/>
              </w:rPr>
              <w:t>development</w:t>
            </w:r>
          </w:p>
        </w:tc>
        <w:tc>
          <w:tcPr>
            <w:tcW w:w="1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152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2"/>
                <w:szCs w:val="12"/>
                <w:color w:val="auto"/>
              </w:rPr>
              <w:t>Residential and multifamily</w:t>
            </w:r>
          </w:p>
        </w:tc>
        <w:tc>
          <w:tcPr>
            <w:tcW w:w="11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(0.02)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80"/>
              <w:spacing w:after="0"/>
              <w:rPr>
                <w:sz w:val="20"/>
                <w:szCs w:val="20"/>
                <w:color w:val="auto"/>
              </w:rPr>
            </w:pPr>
            <w:r>
              <w:rPr>
                <w:rFonts w:ascii="Arial" w:cs="Arial" w:eastAsia="Arial" w:hAnsi="Arial"/>
                <w:sz w:val="12"/>
                <w:szCs w:val="12"/>
                <w:color w:val="auto"/>
              </w:rPr>
              <w:t>0.18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0.15</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0.08</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real estate</w:t>
            </w:r>
          </w:p>
        </w:tc>
        <w:tc>
          <w:tcPr>
            <w:tcW w:w="11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520" w:type="dxa"/>
            <w:vAlign w:val="bottom"/>
            <w:gridSpan w:val="2"/>
          </w:tcPr>
          <w:p>
            <w:pPr>
              <w:ind w:left="340"/>
              <w:spacing w:after="0"/>
              <w:rPr>
                <w:sz w:val="20"/>
                <w:szCs w:val="20"/>
                <w:color w:val="auto"/>
              </w:rPr>
            </w:pPr>
            <w:r>
              <w:rPr>
                <w:rFonts w:ascii="Arial" w:cs="Arial" w:eastAsia="Arial" w:hAnsi="Arial"/>
                <w:sz w:val="12"/>
                <w:szCs w:val="12"/>
                <w:color w:val="auto"/>
              </w:rPr>
              <w:t>PPP</w:t>
            </w:r>
          </w:p>
        </w:tc>
        <w:tc>
          <w:tcPr>
            <w:tcW w:w="11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Consumer</w:t>
            </w:r>
          </w:p>
        </w:tc>
        <w:tc>
          <w:tcPr>
            <w:tcW w:w="11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(0.03)</w:t>
            </w:r>
          </w:p>
        </w:tc>
        <w:tc>
          <w:tcPr>
            <w:tcW w:w="2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(0.09)</w:t>
            </w:r>
          </w:p>
        </w:tc>
        <w:tc>
          <w:tcPr>
            <w:tcW w:w="1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2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(0.02)</w:t>
            </w:r>
          </w:p>
        </w:tc>
        <w:tc>
          <w:tcPr>
            <w:tcW w:w="2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0.46</w:t>
            </w:r>
          </w:p>
        </w:tc>
        <w:tc>
          <w:tcPr>
            <w:tcW w:w="2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520" w:type="dxa"/>
            <w:vAlign w:val="bottom"/>
            <w:gridSpan w:val="2"/>
          </w:tcPr>
          <w:p>
            <w:pPr>
              <w:ind w:left="20"/>
              <w:spacing w:after="0" w:line="97" w:lineRule="exact"/>
              <w:rPr>
                <w:sz w:val="20"/>
                <w:szCs w:val="20"/>
                <w:color w:val="auto"/>
              </w:rPr>
            </w:pPr>
            <w:r>
              <w:rPr>
                <w:rFonts w:ascii="Arial" w:cs="Arial" w:eastAsia="Arial" w:hAnsi="Arial"/>
                <w:sz w:val="11"/>
                <w:szCs w:val="11"/>
                <w:color w:val="auto"/>
              </w:rPr>
              <w:t>Total net charge-offs to</w:t>
            </w:r>
          </w:p>
        </w:tc>
        <w:tc>
          <w:tcPr>
            <w:tcW w:w="1120" w:type="dxa"/>
            <w:vAlign w:val="bottom"/>
            <w:vMerge w:val="restart"/>
          </w:tcPr>
          <w:p>
            <w:pPr>
              <w:jc w:val="right"/>
              <w:ind w:right="200"/>
              <w:spacing w:after="0"/>
              <w:rPr>
                <w:sz w:val="20"/>
                <w:szCs w:val="20"/>
                <w:color w:val="auto"/>
              </w:rPr>
            </w:pPr>
            <w:r>
              <w:rPr>
                <w:rFonts w:ascii="Arial" w:cs="Arial" w:eastAsia="Arial" w:hAnsi="Arial"/>
                <w:sz w:val="12"/>
                <w:szCs w:val="12"/>
                <w:color w:val="auto"/>
              </w:rPr>
              <w:t>0.23</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8"/>
                <w:szCs w:val="8"/>
                <w:color w:val="auto"/>
              </w:rPr>
            </w:pPr>
          </w:p>
        </w:tc>
        <w:tc>
          <w:tcPr>
            <w:tcW w:w="1120" w:type="dxa"/>
            <w:vAlign w:val="bottom"/>
            <w:vMerge w:val="restart"/>
          </w:tcPr>
          <w:p>
            <w:pPr>
              <w:jc w:val="right"/>
              <w:ind w:right="240"/>
              <w:spacing w:after="0"/>
              <w:rPr>
                <w:sz w:val="20"/>
                <w:szCs w:val="20"/>
                <w:color w:val="auto"/>
              </w:rPr>
            </w:pPr>
            <w:r>
              <w:rPr>
                <w:rFonts w:ascii="Arial" w:cs="Arial" w:eastAsia="Arial" w:hAnsi="Arial"/>
                <w:sz w:val="12"/>
                <w:szCs w:val="12"/>
                <w:color w:val="auto"/>
              </w:rPr>
              <w:t>0.74</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8"/>
                <w:szCs w:val="8"/>
                <w:color w:val="auto"/>
              </w:rPr>
            </w:pPr>
          </w:p>
        </w:tc>
        <w:tc>
          <w:tcPr>
            <w:tcW w:w="1220" w:type="dxa"/>
            <w:vAlign w:val="bottom"/>
            <w:vMerge w:val="restart"/>
          </w:tcPr>
          <w:p>
            <w:pPr>
              <w:jc w:val="right"/>
              <w:ind w:right="280"/>
              <w:spacing w:after="0"/>
              <w:rPr>
                <w:sz w:val="20"/>
                <w:szCs w:val="20"/>
                <w:color w:val="auto"/>
              </w:rPr>
            </w:pPr>
            <w:r>
              <w:rPr>
                <w:rFonts w:ascii="Arial" w:cs="Arial" w:eastAsia="Arial" w:hAnsi="Arial"/>
                <w:sz w:val="12"/>
                <w:szCs w:val="12"/>
                <w:color w:val="auto"/>
              </w:rPr>
              <w:t>1.03</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vMerge w:val="restart"/>
          </w:tcPr>
          <w:p>
            <w:pPr>
              <w:jc w:val="right"/>
              <w:ind w:right="280"/>
              <w:spacing w:after="0"/>
              <w:rPr>
                <w:sz w:val="20"/>
                <w:szCs w:val="20"/>
                <w:color w:val="auto"/>
              </w:rPr>
            </w:pPr>
            <w:r>
              <w:rPr>
                <w:rFonts w:ascii="Arial" w:cs="Arial" w:eastAsia="Arial" w:hAnsi="Arial"/>
                <w:sz w:val="12"/>
                <w:szCs w:val="12"/>
                <w:color w:val="auto"/>
              </w:rPr>
              <w:t>0.54</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93"/>
              </w:rPr>
              <w:t>%</w:t>
            </w:r>
          </w:p>
        </w:tc>
        <w:tc>
          <w:tcPr>
            <w:tcW w:w="60" w:type="dxa"/>
            <w:vAlign w:val="bottom"/>
          </w:tcPr>
          <w:p>
            <w:pPr>
              <w:spacing w:after="0"/>
              <w:rPr>
                <w:sz w:val="8"/>
                <w:szCs w:val="8"/>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2"/>
                <w:szCs w:val="12"/>
                <w:color w:val="auto"/>
              </w:rPr>
              <w:t>0.12</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8"/>
                <w:szCs w:val="8"/>
                <w:color w:val="auto"/>
              </w:rPr>
            </w:pPr>
          </w:p>
        </w:tc>
        <w:tc>
          <w:tcPr>
            <w:tcW w:w="1120" w:type="dxa"/>
            <w:vAlign w:val="bottom"/>
            <w:vMerge w:val="restart"/>
          </w:tcPr>
          <w:p>
            <w:pPr>
              <w:jc w:val="right"/>
              <w:ind w:right="200"/>
              <w:spacing w:after="0"/>
              <w:rPr>
                <w:sz w:val="20"/>
                <w:szCs w:val="20"/>
                <w:color w:val="auto"/>
              </w:rPr>
            </w:pPr>
            <w:r>
              <w:rPr>
                <w:rFonts w:ascii="Arial" w:cs="Arial" w:eastAsia="Arial" w:hAnsi="Arial"/>
                <w:sz w:val="12"/>
                <w:szCs w:val="12"/>
                <w:color w:val="auto"/>
              </w:rPr>
              <w:t>0.49</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2"/>
                <w:szCs w:val="12"/>
                <w:color w:val="auto"/>
              </w:rPr>
              <w:t>1.01</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52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average loans</w:t>
            </w:r>
          </w:p>
        </w:tc>
        <w:tc>
          <w:tcPr>
            <w:tcW w:w="112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40"/>
        <w:spacing w:after="0"/>
        <w:rPr>
          <w:sz w:val="20"/>
          <w:szCs w:val="20"/>
          <w:color w:val="auto"/>
        </w:rPr>
      </w:pPr>
      <w:r>
        <w:rPr>
          <w:rFonts w:ascii="Arial" w:cs="Arial" w:eastAsia="Arial" w:hAnsi="Arial"/>
          <w:sz w:val="11"/>
          <w:szCs w:val="11"/>
          <w:color w:val="auto"/>
        </w:rPr>
        <w:t>Interim periods annualized.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-76200</wp:posOffset>
            </wp:positionV>
            <wp:extent cx="614362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43625" cy="571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Impact of Risk Rating Changes:</w:t>
      </w:r>
    </w:p>
    <w:p>
      <w:pPr>
        <w:spacing w:after="0" w:line="113"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2"/>
          <w:szCs w:val="12"/>
          <w:color w:val="auto"/>
        </w:rPr>
        <w:t>Loans risk rated “accruing, substandard” that are not TDRs declined $95 million between December 31, 2020 and June 30, 2021 resulting in a $9 million decrease to the required reserve. The decline was driven by approximately $69 million of loans upgraded primarily due to an improving economy and approximately $41 million of loan pay downs, including two commercial loans partially charged-off, discussed above, totaling $28 million that were sold in the first quarter of 2021. The declines were offset by loans that were downgraded to “accruing, substandard” during the six months ended June 30, 2021.</w:t>
      </w:r>
    </w:p>
    <w:p>
      <w:pPr>
        <w:spacing w:after="0" w:line="86" w:lineRule="exact"/>
        <w:rPr>
          <w:sz w:val="20"/>
          <w:szCs w:val="20"/>
          <w:color w:val="auto"/>
        </w:rPr>
      </w:pPr>
    </w:p>
    <w:p>
      <w:pPr>
        <w:jc w:val="both"/>
        <w:ind w:left="100" w:right="60" w:firstLine="324"/>
        <w:spacing w:after="0" w:line="276" w:lineRule="auto"/>
        <w:rPr>
          <w:sz w:val="20"/>
          <w:szCs w:val="20"/>
          <w:color w:val="auto"/>
        </w:rPr>
      </w:pPr>
      <w:r>
        <w:rPr>
          <w:rFonts w:ascii="Arial" w:cs="Arial" w:eastAsia="Arial" w:hAnsi="Arial"/>
          <w:sz w:val="12"/>
          <w:szCs w:val="12"/>
          <w:color w:val="auto"/>
        </w:rPr>
        <w:t>The commercial loan portfolio had elevated charge-offs over the past five quarters. The charge-offs impacted the commercial loan historical loss factor that resulted in a $3 million increase to the required reserve during the six months ended June 30, 2021.</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Impaired Loans and Other Factors:</w:t>
      </w:r>
    </w:p>
    <w:p>
      <w:pPr>
        <w:spacing w:after="0" w:line="113" w:lineRule="exact"/>
        <w:rPr>
          <w:sz w:val="20"/>
          <w:szCs w:val="20"/>
          <w:color w:val="auto"/>
        </w:rPr>
      </w:pPr>
    </w:p>
    <w:p>
      <w:pPr>
        <w:jc w:val="both"/>
        <w:ind w:left="100" w:right="40" w:firstLine="324"/>
        <w:spacing w:after="0" w:line="263" w:lineRule="auto"/>
        <w:rPr>
          <w:sz w:val="20"/>
          <w:szCs w:val="20"/>
          <w:color w:val="auto"/>
        </w:rPr>
      </w:pPr>
      <w:r>
        <w:rPr>
          <w:rFonts w:ascii="Arial" w:cs="Arial" w:eastAsia="Arial" w:hAnsi="Arial"/>
          <w:sz w:val="12"/>
          <w:szCs w:val="12"/>
          <w:color w:val="auto"/>
        </w:rPr>
        <w:t>Impaired loans declined $21 million between December 31, 2020 and June 30, 2021, driven by $15 million of loans upgraded, including an $8 million loan upgraded due to an increase in capital, and a $10 million decline as a result of payments made by several borrowers offset by approximately $4 million of loans impaired during the six months ended June 30, 2021. The reduction in impaired loans and related reserve was offset by changes in underlying collateral values that ultimately increased the ALLL by $3 million.</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Nonperforming Assets and Other Asset Quality Metrics</w:t>
      </w:r>
    </w:p>
    <w:p>
      <w:pPr>
        <w:spacing w:after="0" w:line="113" w:lineRule="exact"/>
        <w:rPr>
          <w:sz w:val="20"/>
          <w:szCs w:val="20"/>
          <w:color w:val="auto"/>
        </w:rPr>
      </w:pPr>
    </w:p>
    <w:p>
      <w:pPr>
        <w:ind w:left="100" w:right="360" w:firstLine="324"/>
        <w:spacing w:after="0" w:line="276" w:lineRule="auto"/>
        <w:rPr>
          <w:sz w:val="20"/>
          <w:szCs w:val="20"/>
          <w:color w:val="auto"/>
        </w:rPr>
      </w:pPr>
      <w:r>
        <w:rPr>
          <w:rFonts w:ascii="Arial" w:cs="Arial" w:eastAsia="Arial" w:hAnsi="Arial"/>
          <w:sz w:val="12"/>
          <w:szCs w:val="12"/>
          <w:color w:val="auto"/>
        </w:rPr>
        <w:t>Nonperforming assets include: (i) nonperforming loans - includes non-accrual loans, loans past due 90 days or more and still accruing interest, and loans modified under troubled debt restructurings (“TDRs”) that are not performing in accordance with their modified terms; (ii) foreclosed assets held for sale; (iii) repossessed assets; and (iv) impaired securities.</w:t>
      </w:r>
    </w:p>
    <w:p>
      <w:pPr>
        <w:spacing w:after="0" w:line="79" w:lineRule="exact"/>
        <w:rPr>
          <w:sz w:val="20"/>
          <w:szCs w:val="20"/>
          <w:color w:val="auto"/>
        </w:rPr>
      </w:pPr>
    </w:p>
    <w:p>
      <w:pPr>
        <w:ind w:left="100" w:right="80" w:firstLine="324"/>
        <w:spacing w:after="0" w:line="263" w:lineRule="auto"/>
        <w:rPr>
          <w:sz w:val="20"/>
          <w:szCs w:val="20"/>
          <w:color w:val="auto"/>
        </w:rPr>
      </w:pPr>
      <w:r>
        <w:rPr>
          <w:rFonts w:ascii="Arial" w:cs="Arial" w:eastAsia="Arial" w:hAnsi="Arial"/>
          <w:sz w:val="12"/>
          <w:szCs w:val="12"/>
          <w:color w:val="auto"/>
        </w:rPr>
        <w:t>Nonaccrual loans declined $9 million during the quarter ended June 30, 2021 primarily due to $6 million of loans placed back on accrual status due to payments made or being in the process of collection. In addition, two commercial loans were able to pay down their outstanding balance that decreased the nonaccrual total by $5 million. The reductions were offset by a $3 million commercial loan that matured in the first quarter of 2021 and for which the borrower was unable to make the required payments.</w:t>
      </w:r>
    </w:p>
    <w:p>
      <w:pPr>
        <w:spacing w:after="0" w:line="86" w:lineRule="exact"/>
        <w:rPr>
          <w:sz w:val="20"/>
          <w:szCs w:val="20"/>
          <w:color w:val="auto"/>
        </w:rPr>
      </w:pPr>
    </w:p>
    <w:p>
      <w:pPr>
        <w:jc w:val="both"/>
        <w:ind w:left="100" w:right="80" w:firstLine="324"/>
        <w:spacing w:after="0" w:line="263" w:lineRule="auto"/>
        <w:rPr>
          <w:sz w:val="20"/>
          <w:szCs w:val="20"/>
          <w:color w:val="auto"/>
        </w:rPr>
      </w:pPr>
      <w:r>
        <w:rPr>
          <w:rFonts w:ascii="Arial" w:cs="Arial" w:eastAsia="Arial" w:hAnsi="Arial"/>
          <w:sz w:val="12"/>
          <w:szCs w:val="12"/>
          <w:color w:val="auto"/>
        </w:rPr>
        <w:t>Nonaccrual loans declined $12 million during the three months ended March 31, 2021 primarily due to one commercial real estate loan borrower that recapitalized its balance sheet and was placed back on accrual. In addition, several commercial borrowers were able to pay down a portion of the outstanding loan balance during the three months ended March 31, 2021. Nonaccrual energy loans increased slightly between December 31, 2020 and March 31, 2021 as oil and natural gas borrowers struggled from the effects of low oil and gas prices over the past year.</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2020, nonaccrual loans increased primarily from energy loans that did not meet the criteria to be modified under the CARES Act and several loans impacted by the COVID-19 pandemic.</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Foreclosed assets held-for-sale declined $629 thousand during the three-month period ended June 30, 2021 due to an additional write-down on a commercial property.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38"/>
        </w:trPr>
        <w:tc>
          <w:tcPr>
            <w:tcW w:w="2300" w:type="dxa"/>
            <w:vAlign w:val="bottom"/>
            <w:gridSpan w:val="3"/>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00" w:type="dxa"/>
            <w:vAlign w:val="bottom"/>
          </w:tcPr>
          <w:p>
            <w:pPr>
              <w:spacing w:after="0"/>
              <w:rPr>
                <w:sz w:val="24"/>
                <w:szCs w:val="24"/>
                <w:color w:val="auto"/>
              </w:rPr>
            </w:pPr>
          </w:p>
        </w:tc>
        <w:tc>
          <w:tcPr>
            <w:tcW w:w="5480" w:type="dxa"/>
            <w:vAlign w:val="bottom"/>
            <w:gridSpan w:val="8"/>
          </w:tcPr>
          <w:p>
            <w:pPr>
              <w:ind w:left="320"/>
              <w:spacing w:after="0"/>
              <w:rPr>
                <w:sz w:val="20"/>
                <w:szCs w:val="20"/>
                <w:color w:val="auto"/>
              </w:rPr>
            </w:pPr>
            <w:r>
              <w:rPr>
                <w:rFonts w:ascii="Arial" w:cs="Arial" w:eastAsia="Arial" w:hAnsi="Arial"/>
                <w:sz w:val="12"/>
                <w:szCs w:val="12"/>
                <w:color w:val="auto"/>
                <w:w w:val="97"/>
              </w:rPr>
              <w:t>The table below summarizes our nonperforming assets and related ratios as of the dates indicated: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2"/>
                <w:szCs w:val="12"/>
                <w:b w:val="1"/>
                <w:bCs w:val="1"/>
                <w:color w:val="auto"/>
                <w:w w:val="94"/>
              </w:rPr>
              <w:t>For the Quarter Ended</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jc w:val="right"/>
              <w:ind w:right="160"/>
              <w:spacing w:after="0" w:line="115" w:lineRule="exact"/>
              <w:rPr>
                <w:sz w:val="20"/>
                <w:szCs w:val="20"/>
                <w:color w:val="auto"/>
              </w:rPr>
            </w:pPr>
            <w:r>
              <w:rPr>
                <w:rFonts w:ascii="Arial" w:cs="Arial" w:eastAsia="Arial" w:hAnsi="Arial"/>
                <w:sz w:val="12"/>
                <w:szCs w:val="12"/>
                <w:b w:val="1"/>
                <w:bCs w:val="1"/>
                <w:color w:val="auto"/>
              </w:rPr>
              <w:t>June 30,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jc w:val="right"/>
              <w:ind w:right="120"/>
              <w:spacing w:after="0" w:line="115" w:lineRule="exact"/>
              <w:rPr>
                <w:sz w:val="20"/>
                <w:szCs w:val="20"/>
                <w:color w:val="auto"/>
              </w:rPr>
            </w:pPr>
            <w:r>
              <w:rPr>
                <w:rFonts w:ascii="Arial" w:cs="Arial" w:eastAsia="Arial" w:hAnsi="Arial"/>
                <w:sz w:val="12"/>
                <w:szCs w:val="12"/>
                <w:b w:val="1"/>
                <w:bCs w:val="1"/>
                <w:color w:val="auto"/>
              </w:rPr>
              <w:t>March 31,</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89"/>
              </w:rPr>
              <w:t>December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jc w:val="right"/>
              <w:ind w:right="40"/>
              <w:spacing w:after="0" w:line="115" w:lineRule="exact"/>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jc w:val="right"/>
              <w:ind w:right="140"/>
              <w:spacing w:after="0" w:line="115" w:lineRule="exact"/>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jc w:val="center"/>
              <w:ind w:left="40"/>
              <w:spacing w:after="0"/>
              <w:rPr>
                <w:sz w:val="20"/>
                <w:szCs w:val="20"/>
                <w:color w:val="auto"/>
              </w:rPr>
            </w:pPr>
            <w:r>
              <w:rPr>
                <w:rFonts w:ascii="Arial" w:cs="Arial" w:eastAsia="Arial" w:hAnsi="Arial"/>
                <w:sz w:val="11"/>
                <w:szCs w:val="11"/>
                <w:i w:val="1"/>
                <w:iCs w:val="1"/>
                <w:color w:val="auto"/>
                <w:w w:val="91"/>
              </w:rPr>
              <w:t>(Dollars in thousands)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2200" w:type="dxa"/>
            <w:vAlign w:val="bottom"/>
            <w:gridSpan w:val="2"/>
          </w:tcPr>
          <w:p>
            <w:pPr>
              <w:ind w:left="340"/>
              <w:spacing w:after="0"/>
              <w:rPr>
                <w:sz w:val="20"/>
                <w:szCs w:val="20"/>
                <w:color w:val="auto"/>
              </w:rPr>
            </w:pPr>
            <w:r>
              <w:rPr>
                <w:rFonts w:ascii="Arial" w:cs="Arial" w:eastAsia="Arial" w:hAnsi="Arial"/>
                <w:sz w:val="12"/>
                <w:szCs w:val="12"/>
                <w:color w:val="auto"/>
              </w:rPr>
              <w:t>Nonaccrual loans</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54,652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40"/>
              <w:spacing w:after="0"/>
              <w:rPr>
                <w:sz w:val="20"/>
                <w:szCs w:val="20"/>
                <w:color w:val="auto"/>
              </w:rPr>
            </w:pPr>
            <w:r>
              <w:rPr>
                <w:rFonts w:ascii="Arial" w:cs="Arial" w:eastAsia="Arial" w:hAnsi="Arial"/>
                <w:sz w:val="12"/>
                <w:szCs w:val="12"/>
                <w:color w:val="auto"/>
              </w:rPr>
              <w:t>63,319</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60"/>
              <w:spacing w:after="0"/>
              <w:rPr>
                <w:sz w:val="20"/>
                <w:szCs w:val="20"/>
                <w:color w:val="auto"/>
              </w:rPr>
            </w:pPr>
            <w:r>
              <w:rPr>
                <w:rFonts w:ascii="Arial" w:cs="Arial" w:eastAsia="Arial" w:hAnsi="Arial"/>
                <w:sz w:val="12"/>
                <w:szCs w:val="12"/>
                <w:color w:val="auto"/>
              </w:rPr>
              <w:t>75,051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80"/>
              <w:spacing w:after="0"/>
              <w:rPr>
                <w:sz w:val="20"/>
                <w:szCs w:val="20"/>
                <w:color w:val="auto"/>
              </w:rPr>
            </w:pPr>
            <w:r>
              <w:rPr>
                <w:rFonts w:ascii="Arial" w:cs="Arial" w:eastAsia="Arial" w:hAnsi="Arial"/>
                <w:sz w:val="12"/>
                <w:szCs w:val="12"/>
                <w:color w:val="auto"/>
              </w:rPr>
              <w:t>75,560</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37,534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20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2"/>
                <w:szCs w:val="12"/>
                <w:color w:val="auto"/>
                <w:w w:val="99"/>
              </w:rPr>
              <w:t>Loans past due 90 days or more and still</w:t>
            </w:r>
          </w:p>
        </w:tc>
        <w:tc>
          <w:tcPr>
            <w:tcW w:w="5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1,776</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3,183</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260"/>
              <w:spacing w:after="0"/>
              <w:rPr>
                <w:sz w:val="20"/>
                <w:szCs w:val="20"/>
                <w:color w:val="auto"/>
              </w:rPr>
            </w:pPr>
            <w:r>
              <w:rPr>
                <w:rFonts w:ascii="Arial" w:cs="Arial" w:eastAsia="Arial" w:hAnsi="Arial"/>
                <w:sz w:val="12"/>
                <w:szCs w:val="12"/>
                <w:color w:val="auto"/>
              </w:rPr>
              <w:t>1,024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4,324</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220</w:t>
            </w:r>
          </w:p>
        </w:tc>
        <w:tc>
          <w:tcPr>
            <w:tcW w:w="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accruing</w:t>
            </w: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200" w:type="dxa"/>
            <w:vAlign w:val="bottom"/>
            <w:gridSpan w:val="2"/>
          </w:tcPr>
          <w:p>
            <w:pPr>
              <w:ind w:left="420"/>
              <w:spacing w:after="0"/>
              <w:rPr>
                <w:sz w:val="20"/>
                <w:szCs w:val="20"/>
                <w:color w:val="auto"/>
              </w:rPr>
            </w:pPr>
            <w:r>
              <w:rPr>
                <w:rFonts w:ascii="Arial" w:cs="Arial" w:eastAsia="Arial" w:hAnsi="Arial"/>
                <w:sz w:val="12"/>
                <w:szCs w:val="12"/>
                <w:color w:val="auto"/>
              </w:rPr>
              <w:t>Total nonperforming loans</w:t>
            </w:r>
          </w:p>
        </w:tc>
        <w:tc>
          <w:tcPr>
            <w:tcW w:w="580" w:type="dxa"/>
            <w:vAlign w:val="bottom"/>
          </w:tcPr>
          <w:p>
            <w:pPr>
              <w:spacing w:after="0"/>
              <w:rPr>
                <w:sz w:val="12"/>
                <w:szCs w:val="12"/>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56,428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40"/>
              <w:spacing w:after="0"/>
              <w:rPr>
                <w:sz w:val="20"/>
                <w:szCs w:val="20"/>
                <w:color w:val="auto"/>
              </w:rPr>
            </w:pPr>
            <w:r>
              <w:rPr>
                <w:rFonts w:ascii="Arial" w:cs="Arial" w:eastAsia="Arial" w:hAnsi="Arial"/>
                <w:sz w:val="12"/>
                <w:szCs w:val="12"/>
                <w:color w:val="auto"/>
              </w:rPr>
              <w:t>66,502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ind w:right="260"/>
              <w:spacing w:after="0"/>
              <w:rPr>
                <w:sz w:val="20"/>
                <w:szCs w:val="20"/>
                <w:color w:val="auto"/>
              </w:rPr>
            </w:pPr>
            <w:r>
              <w:rPr>
                <w:rFonts w:ascii="Arial" w:cs="Arial" w:eastAsia="Arial" w:hAnsi="Arial"/>
                <w:sz w:val="12"/>
                <w:szCs w:val="12"/>
                <w:color w:val="auto"/>
              </w:rPr>
              <w:t>76,075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180"/>
              <w:spacing w:after="0"/>
              <w:rPr>
                <w:sz w:val="20"/>
                <w:szCs w:val="20"/>
                <w:color w:val="auto"/>
              </w:rPr>
            </w:pPr>
            <w:r>
              <w:rPr>
                <w:rFonts w:ascii="Arial" w:cs="Arial" w:eastAsia="Arial" w:hAnsi="Arial"/>
                <w:sz w:val="12"/>
                <w:szCs w:val="12"/>
                <w:color w:val="auto"/>
              </w:rPr>
              <w:t>79,884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37,754</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Foreclosed assets held for sale</w:t>
            </w: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1,718</w:t>
            </w: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2,347</w:t>
            </w:r>
          </w:p>
        </w:tc>
        <w:tc>
          <w:tcPr>
            <w:tcW w:w="2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2,347</w:t>
            </w: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2,349</w:t>
            </w:r>
          </w:p>
        </w:tc>
        <w:tc>
          <w:tcPr>
            <w:tcW w:w="2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2,502</w:t>
            </w: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2200" w:type="dxa"/>
            <w:vAlign w:val="bottom"/>
            <w:tcBorders>
              <w:bottom w:val="single" w:sz="8" w:color="CCEEFF"/>
            </w:tcBorders>
            <w:gridSpan w:val="2"/>
          </w:tcPr>
          <w:p>
            <w:pPr>
              <w:ind w:left="420"/>
              <w:spacing w:after="0"/>
              <w:rPr>
                <w:sz w:val="20"/>
                <w:szCs w:val="20"/>
                <w:color w:val="auto"/>
              </w:rPr>
            </w:pPr>
            <w:r>
              <w:rPr>
                <w:rFonts w:ascii="Arial" w:cs="Arial" w:eastAsia="Arial" w:hAnsi="Arial"/>
                <w:sz w:val="12"/>
                <w:szCs w:val="12"/>
                <w:color w:val="auto"/>
              </w:rPr>
              <w:t>Total nonperforming assets</w:t>
            </w: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58,146</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68,849</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78,422</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82,233</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40,256</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ALLL to total loans</w:t>
            </w: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1.78</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1.65</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1.70</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1.70</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1.61</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tcPr>
          <w:p>
            <w:pPr>
              <w:ind w:left="420"/>
              <w:spacing w:after="0"/>
              <w:rPr>
                <w:sz w:val="20"/>
                <w:szCs w:val="20"/>
                <w:color w:val="auto"/>
              </w:rPr>
            </w:pPr>
            <w:r>
              <w:rPr>
                <w:rFonts w:ascii="Arial" w:cs="Arial" w:eastAsia="Arial" w:hAnsi="Arial"/>
                <w:sz w:val="12"/>
                <w:szCs w:val="12"/>
                <w:color w:val="auto"/>
              </w:rPr>
              <w:t>ALLL to nonaccrual loans</w:t>
            </w:r>
          </w:p>
        </w:tc>
        <w:tc>
          <w:tcPr>
            <w:tcW w:w="58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138.14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140"/>
              <w:spacing w:after="0"/>
              <w:rPr>
                <w:sz w:val="20"/>
                <w:szCs w:val="20"/>
                <w:color w:val="auto"/>
              </w:rPr>
            </w:pPr>
            <w:r>
              <w:rPr>
                <w:rFonts w:ascii="Arial" w:cs="Arial" w:eastAsia="Arial" w:hAnsi="Arial"/>
                <w:sz w:val="12"/>
                <w:szCs w:val="12"/>
                <w:color w:val="auto"/>
              </w:rPr>
              <w:t>117.74</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ind w:right="260"/>
              <w:spacing w:after="0"/>
              <w:rPr>
                <w:sz w:val="20"/>
                <w:szCs w:val="20"/>
                <w:color w:val="auto"/>
              </w:rPr>
            </w:pPr>
            <w:r>
              <w:rPr>
                <w:rFonts w:ascii="Arial" w:cs="Arial" w:eastAsia="Arial" w:hAnsi="Arial"/>
                <w:sz w:val="12"/>
                <w:szCs w:val="12"/>
                <w:color w:val="auto"/>
              </w:rPr>
              <w:t>100.33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180"/>
              <w:spacing w:after="0"/>
              <w:rPr>
                <w:sz w:val="20"/>
                <w:szCs w:val="20"/>
                <w:color w:val="auto"/>
              </w:rPr>
            </w:pPr>
            <w:r>
              <w:rPr>
                <w:rFonts w:ascii="Arial" w:cs="Arial" w:eastAsia="Arial" w:hAnsi="Arial"/>
                <w:sz w:val="12"/>
                <w:szCs w:val="12"/>
                <w:color w:val="auto"/>
              </w:rPr>
              <w:t>100.63</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189.66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ALLL to nonperforming loans</w:t>
            </w: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133.79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112.10</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98.98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95.18</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188.55</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tcPr>
          <w:p>
            <w:pPr>
              <w:ind w:left="420"/>
              <w:spacing w:after="0"/>
              <w:rPr>
                <w:sz w:val="20"/>
                <w:szCs w:val="20"/>
                <w:color w:val="auto"/>
              </w:rPr>
            </w:pPr>
            <w:r>
              <w:rPr>
                <w:rFonts w:ascii="Arial" w:cs="Arial" w:eastAsia="Arial" w:hAnsi="Arial"/>
                <w:sz w:val="12"/>
                <w:szCs w:val="12"/>
                <w:color w:val="auto"/>
              </w:rPr>
              <w:t>Nonaccrual loans to total loans</w:t>
            </w:r>
          </w:p>
        </w:tc>
        <w:tc>
          <w:tcPr>
            <w:tcW w:w="58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1.29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140"/>
              <w:spacing w:after="0"/>
              <w:rPr>
                <w:sz w:val="20"/>
                <w:szCs w:val="20"/>
                <w:color w:val="auto"/>
              </w:rPr>
            </w:pPr>
            <w:r>
              <w:rPr>
                <w:rFonts w:ascii="Arial" w:cs="Arial" w:eastAsia="Arial" w:hAnsi="Arial"/>
                <w:sz w:val="12"/>
                <w:szCs w:val="12"/>
                <w:color w:val="auto"/>
              </w:rPr>
              <w:t>1.40</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ind w:right="260"/>
              <w:spacing w:after="0"/>
              <w:rPr>
                <w:sz w:val="20"/>
                <w:szCs w:val="20"/>
                <w:color w:val="auto"/>
              </w:rPr>
            </w:pPr>
            <w:r>
              <w:rPr>
                <w:rFonts w:ascii="Arial" w:cs="Arial" w:eastAsia="Arial" w:hAnsi="Arial"/>
                <w:sz w:val="12"/>
                <w:szCs w:val="12"/>
                <w:color w:val="auto"/>
              </w:rPr>
              <w:t>1.69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180"/>
              <w:spacing w:after="0"/>
              <w:rPr>
                <w:sz w:val="20"/>
                <w:szCs w:val="20"/>
                <w:color w:val="auto"/>
              </w:rPr>
            </w:pPr>
            <w:r>
              <w:rPr>
                <w:rFonts w:ascii="Arial" w:cs="Arial" w:eastAsia="Arial" w:hAnsi="Arial"/>
                <w:sz w:val="12"/>
                <w:szCs w:val="12"/>
                <w:color w:val="auto"/>
              </w:rPr>
              <w:t>1.68</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0.85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w w:val="96"/>
              </w:rPr>
              <w:t>Nonperforming loans to total loans</w:t>
            </w: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1.33</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1.48</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1.71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1.78</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0.86</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200" w:type="dxa"/>
            <w:vAlign w:val="bottom"/>
            <w:gridSpan w:val="2"/>
          </w:tcPr>
          <w:p>
            <w:pPr>
              <w:ind w:left="420"/>
              <w:spacing w:after="0"/>
              <w:rPr>
                <w:sz w:val="20"/>
                <w:szCs w:val="20"/>
                <w:color w:val="auto"/>
              </w:rPr>
            </w:pPr>
            <w:r>
              <w:rPr>
                <w:rFonts w:ascii="Arial" w:cs="Arial" w:eastAsia="Arial" w:hAnsi="Arial"/>
                <w:sz w:val="12"/>
                <w:szCs w:val="12"/>
                <w:color w:val="auto"/>
                <w:w w:val="90"/>
              </w:rPr>
              <w:t>Nonperforming assets to total assets</w:t>
            </w:r>
          </w:p>
        </w:tc>
        <w:tc>
          <w:tcPr>
            <w:tcW w:w="58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1.09</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140"/>
              <w:spacing w:after="0"/>
              <w:rPr>
                <w:sz w:val="20"/>
                <w:szCs w:val="20"/>
                <w:color w:val="auto"/>
              </w:rPr>
            </w:pPr>
            <w:r>
              <w:rPr>
                <w:rFonts w:ascii="Arial" w:cs="Arial" w:eastAsia="Arial" w:hAnsi="Arial"/>
                <w:sz w:val="12"/>
                <w:szCs w:val="12"/>
                <w:color w:val="auto"/>
              </w:rPr>
              <w:t>1.15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jc w:val="right"/>
              <w:ind w:right="260"/>
              <w:spacing w:after="0"/>
              <w:rPr>
                <w:sz w:val="20"/>
                <w:szCs w:val="20"/>
                <w:color w:val="auto"/>
              </w:rPr>
            </w:pPr>
            <w:r>
              <w:rPr>
                <w:rFonts w:ascii="Arial" w:cs="Arial" w:eastAsia="Arial" w:hAnsi="Arial"/>
                <w:sz w:val="12"/>
                <w:szCs w:val="12"/>
                <w:color w:val="auto"/>
              </w:rPr>
              <w:t>1.39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180"/>
              <w:spacing w:after="0"/>
              <w:rPr>
                <w:sz w:val="20"/>
                <w:szCs w:val="20"/>
                <w:color w:val="auto"/>
              </w:rPr>
            </w:pPr>
            <w:r>
              <w:rPr>
                <w:rFonts w:ascii="Arial" w:cs="Arial" w:eastAsia="Arial" w:hAnsi="Arial"/>
                <w:sz w:val="12"/>
                <w:szCs w:val="12"/>
                <w:color w:val="auto"/>
              </w:rPr>
              <w:t>1.49</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0.74</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00" w:right="120" w:firstLine="324"/>
        <w:spacing w:after="0" w:line="263" w:lineRule="auto"/>
        <w:rPr>
          <w:sz w:val="20"/>
          <w:szCs w:val="20"/>
          <w:color w:val="auto"/>
        </w:rPr>
      </w:pPr>
      <w:r>
        <w:rPr>
          <w:rFonts w:ascii="Arial" w:cs="Arial" w:eastAsia="Arial" w:hAnsi="Arial"/>
          <w:sz w:val="12"/>
          <w:szCs w:val="12"/>
          <w:color w:val="auto"/>
        </w:rPr>
        <w:t>Other asset quality metrics management reviews include loans past due 30 - 89 days and classified loans. The Company defines classified loans as loans categorized as substandard - performing, substandard - nonperforming, doubtful, or loss. The definitions of substandard, doubtful and loss are provided in “Note 4 Loans and Allowance for Loan Losses” in the Notes to the Unaudited Consolidated Financial Statements. The following table summarizes our loans past due 30 - 89 days, classified assets and related ratios as of the dates indicated:</w:t>
      </w:r>
    </w:p>
    <w:tbl>
      <w:tblPr>
        <w:tblLayout w:type="fixed"/>
        <w:tblInd w:w="100" w:type="dxa"/>
        <w:tblCellMar>
          <w:top w:w="0" w:type="dxa"/>
          <w:left w:w="0" w:type="dxa"/>
          <w:bottom w:w="0" w:type="dxa"/>
          <w:right w:w="0" w:type="dxa"/>
        </w:tblCellMar>
      </w:tblPr>
      <w:tr>
        <w:trPr>
          <w:trHeight w:val="122"/>
        </w:trPr>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ind w:right="160"/>
              <w:spacing w:after="0" w:line="122" w:lineRule="exact"/>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ind w:right="100"/>
              <w:spacing w:after="0" w:line="122" w:lineRule="exact"/>
              <w:rPr>
                <w:sz w:val="20"/>
                <w:szCs w:val="20"/>
                <w:color w:val="auto"/>
              </w:rPr>
            </w:pPr>
            <w:r>
              <w:rPr>
                <w:rFonts w:ascii="Arial" w:cs="Arial" w:eastAsia="Arial" w:hAnsi="Arial"/>
                <w:sz w:val="12"/>
                <w:szCs w:val="12"/>
                <w:b w:val="1"/>
                <w:bCs w:val="1"/>
                <w:color w:val="auto"/>
              </w:rPr>
              <w:t>March 31,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jc w:val="right"/>
              <w:ind w:right="140"/>
              <w:spacing w:after="0" w:line="122" w:lineRule="exact"/>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jc w:val="right"/>
              <w:ind w:right="60"/>
              <w:spacing w:after="0" w:line="122" w:lineRule="exact"/>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ind w:right="160"/>
              <w:spacing w:after="0" w:line="122" w:lineRule="exact"/>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i w:val="1"/>
                <w:iCs w:val="1"/>
                <w:color w:val="auto"/>
                <w:w w:val="97"/>
              </w:rPr>
              <w:t>(Dollars in thousands)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6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Loan Past Due Detail</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tcPr>
          <w:p>
            <w:pPr>
              <w:ind w:left="420"/>
              <w:spacing w:after="0"/>
              <w:rPr>
                <w:sz w:val="20"/>
                <w:szCs w:val="20"/>
                <w:color w:val="auto"/>
              </w:rPr>
            </w:pPr>
            <w:r>
              <w:rPr>
                <w:rFonts w:ascii="Arial" w:cs="Arial" w:eastAsia="Arial" w:hAnsi="Arial"/>
                <w:sz w:val="12"/>
                <w:szCs w:val="12"/>
                <w:color w:val="auto"/>
              </w:rPr>
              <w:t>30 - 59 days past due</w:t>
            </w: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20"/>
              <w:spacing w:after="0"/>
              <w:rPr>
                <w:sz w:val="20"/>
                <w:szCs w:val="20"/>
                <w:color w:val="auto"/>
              </w:rPr>
            </w:pPr>
            <w:r>
              <w:rPr>
                <w:rFonts w:ascii="Arial" w:cs="Arial" w:eastAsia="Arial" w:hAnsi="Arial"/>
                <w:sz w:val="12"/>
                <w:szCs w:val="12"/>
                <w:color w:val="auto"/>
              </w:rPr>
              <w:t>18,758</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20"/>
              <w:spacing w:after="0"/>
              <w:rPr>
                <w:sz w:val="20"/>
                <w:szCs w:val="20"/>
                <w:color w:val="auto"/>
              </w:rPr>
            </w:pPr>
            <w:r>
              <w:rPr>
                <w:rFonts w:ascii="Arial" w:cs="Arial" w:eastAsia="Arial" w:hAnsi="Arial"/>
                <w:sz w:val="12"/>
                <w:szCs w:val="12"/>
                <w:color w:val="auto"/>
              </w:rPr>
              <w:t>10,583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40"/>
              <w:spacing w:after="0"/>
              <w:rPr>
                <w:sz w:val="20"/>
                <w:szCs w:val="20"/>
                <w:color w:val="auto"/>
              </w:rPr>
            </w:pPr>
            <w:r>
              <w:rPr>
                <w:rFonts w:ascii="Arial" w:cs="Arial" w:eastAsia="Arial" w:hAnsi="Arial"/>
                <w:sz w:val="12"/>
                <w:szCs w:val="12"/>
                <w:color w:val="auto"/>
              </w:rPr>
              <w:t>10,137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15,324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20"/>
              <w:spacing w:after="0"/>
              <w:rPr>
                <w:sz w:val="20"/>
                <w:szCs w:val="20"/>
                <w:color w:val="auto"/>
              </w:rPr>
            </w:pPr>
            <w:r>
              <w:rPr>
                <w:rFonts w:ascii="Arial" w:cs="Arial" w:eastAsia="Arial" w:hAnsi="Arial"/>
                <w:sz w:val="12"/>
                <w:szCs w:val="12"/>
                <w:color w:val="auto"/>
              </w:rPr>
              <w:t>14,205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60 - 89 days past due</w:t>
            </w: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10</w:t>
            </w:r>
          </w:p>
        </w:tc>
        <w:tc>
          <w:tcPr>
            <w:tcW w:w="3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403</w:t>
            </w: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7,941</w:t>
            </w: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30,027</w:t>
            </w:r>
          </w:p>
        </w:tc>
        <w:tc>
          <w:tcPr>
            <w:tcW w:w="2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20,676</w:t>
            </w: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60" w:type="dxa"/>
            <w:vAlign w:val="bottom"/>
            <w:tcBorders>
              <w:bottom w:val="single" w:sz="8" w:color="CCEEFF"/>
            </w:tcBorders>
          </w:tcPr>
          <w:p>
            <w:pPr>
              <w:ind w:left="480"/>
              <w:spacing w:after="0"/>
              <w:rPr>
                <w:sz w:val="20"/>
                <w:szCs w:val="20"/>
                <w:color w:val="auto"/>
              </w:rPr>
            </w:pPr>
            <w:r>
              <w:rPr>
                <w:rFonts w:ascii="Arial" w:cs="Arial" w:eastAsia="Arial" w:hAnsi="Arial"/>
                <w:sz w:val="12"/>
                <w:szCs w:val="12"/>
                <w:color w:val="auto"/>
              </w:rPr>
              <w:t>Total 30 - 89 days past due</w:t>
            </w: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18,768</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10,986</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18,078</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45,351</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34,881</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60" w:type="dxa"/>
            <w:vAlign w:val="bottom"/>
            <w:shd w:val="clear" w:color="auto" w:fill="CCEEFF"/>
          </w:tcPr>
          <w:p>
            <w:pPr>
              <w:ind w:left="480"/>
              <w:spacing w:after="0" w:line="100" w:lineRule="exact"/>
              <w:rPr>
                <w:sz w:val="20"/>
                <w:szCs w:val="20"/>
                <w:color w:val="auto"/>
              </w:rPr>
            </w:pPr>
            <w:r>
              <w:rPr>
                <w:rFonts w:ascii="Arial" w:cs="Arial" w:eastAsia="Arial" w:hAnsi="Arial"/>
                <w:sz w:val="11"/>
                <w:szCs w:val="11"/>
                <w:color w:val="auto"/>
              </w:rPr>
              <w:t>Loans 30 - 89 days past due /</w:t>
            </w:r>
          </w:p>
        </w:tc>
        <w:tc>
          <w:tcPr>
            <w:tcW w:w="5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0.24</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12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0.41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1.01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0.79</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gross loans</w:t>
            </w:r>
          </w:p>
        </w:tc>
        <w:tc>
          <w:tcPr>
            <w:tcW w:w="5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tcPr>
          <w:p>
            <w:pPr>
              <w:ind w:left="340"/>
              <w:spacing w:after="0"/>
              <w:rPr>
                <w:sz w:val="20"/>
                <w:szCs w:val="20"/>
                <w:color w:val="auto"/>
              </w:rPr>
            </w:pPr>
            <w:r>
              <w:rPr>
                <w:rFonts w:ascii="Arial" w:cs="Arial" w:eastAsia="Arial" w:hAnsi="Arial"/>
                <w:sz w:val="12"/>
                <w:szCs w:val="12"/>
                <w:b w:val="1"/>
                <w:bCs w:val="1"/>
                <w:color w:val="auto"/>
              </w:rPr>
              <w:t>Classified Loans</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Substandard - performing</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116,078</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205,560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211,008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224,352</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199,595</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tcPr>
          <w:p>
            <w:pPr>
              <w:ind w:left="420"/>
              <w:spacing w:after="0"/>
              <w:rPr>
                <w:sz w:val="20"/>
                <w:szCs w:val="20"/>
                <w:color w:val="auto"/>
              </w:rPr>
            </w:pPr>
            <w:r>
              <w:rPr>
                <w:rFonts w:ascii="Arial" w:cs="Arial" w:eastAsia="Arial" w:hAnsi="Arial"/>
                <w:sz w:val="12"/>
                <w:szCs w:val="12"/>
                <w:color w:val="auto"/>
              </w:rPr>
              <w:t>Substandard - nonperforming</w:t>
            </w:r>
          </w:p>
        </w:tc>
        <w:tc>
          <w:tcPr>
            <w:tcW w:w="580" w:type="dxa"/>
            <w:vAlign w:val="bottom"/>
          </w:tcPr>
          <w:p>
            <w:pPr>
              <w:spacing w:after="0"/>
              <w:rPr>
                <w:sz w:val="13"/>
                <w:szCs w:val="13"/>
                <w:color w:val="auto"/>
              </w:rPr>
            </w:pPr>
          </w:p>
        </w:tc>
        <w:tc>
          <w:tcPr>
            <w:tcW w:w="900" w:type="dxa"/>
            <w:vAlign w:val="bottom"/>
          </w:tcPr>
          <w:p>
            <w:pPr>
              <w:jc w:val="right"/>
              <w:ind w:right="120"/>
              <w:spacing w:after="0"/>
              <w:rPr>
                <w:sz w:val="20"/>
                <w:szCs w:val="20"/>
                <w:color w:val="auto"/>
              </w:rPr>
            </w:pPr>
            <w:r>
              <w:rPr>
                <w:rFonts w:ascii="Arial" w:cs="Arial" w:eastAsia="Arial" w:hAnsi="Arial"/>
                <w:sz w:val="12"/>
                <w:szCs w:val="12"/>
                <w:color w:val="auto"/>
              </w:rPr>
              <w:t>49,300</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ind w:right="120"/>
              <w:spacing w:after="0"/>
              <w:rPr>
                <w:sz w:val="20"/>
                <w:szCs w:val="20"/>
                <w:color w:val="auto"/>
              </w:rPr>
            </w:pPr>
            <w:r>
              <w:rPr>
                <w:rFonts w:ascii="Arial" w:cs="Arial" w:eastAsia="Arial" w:hAnsi="Arial"/>
                <w:sz w:val="12"/>
                <w:szCs w:val="12"/>
                <w:color w:val="auto"/>
              </w:rPr>
              <w:t>57,967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ind w:right="240"/>
              <w:spacing w:after="0"/>
              <w:rPr>
                <w:sz w:val="20"/>
                <w:szCs w:val="20"/>
                <w:color w:val="auto"/>
              </w:rPr>
            </w:pPr>
            <w:r>
              <w:rPr>
                <w:rFonts w:ascii="Arial" w:cs="Arial" w:eastAsia="Arial" w:hAnsi="Arial"/>
                <w:sz w:val="12"/>
                <w:szCs w:val="12"/>
                <w:color w:val="auto"/>
              </w:rPr>
              <w:t>70,734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jc w:val="right"/>
              <w:ind w:right="180"/>
              <w:spacing w:after="0"/>
              <w:rPr>
                <w:sz w:val="20"/>
                <w:szCs w:val="20"/>
                <w:color w:val="auto"/>
              </w:rPr>
            </w:pPr>
            <w:r>
              <w:rPr>
                <w:rFonts w:ascii="Arial" w:cs="Arial" w:eastAsia="Arial" w:hAnsi="Arial"/>
                <w:sz w:val="12"/>
                <w:szCs w:val="12"/>
                <w:color w:val="auto"/>
              </w:rPr>
              <w:t>67,765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ind w:right="120"/>
              <w:spacing w:after="0"/>
              <w:rPr>
                <w:sz w:val="20"/>
                <w:szCs w:val="20"/>
                <w:color w:val="auto"/>
              </w:rPr>
            </w:pPr>
            <w:r>
              <w:rPr>
                <w:rFonts w:ascii="Arial" w:cs="Arial" w:eastAsia="Arial" w:hAnsi="Arial"/>
                <w:sz w:val="12"/>
                <w:szCs w:val="12"/>
                <w:color w:val="auto"/>
              </w:rPr>
              <w:t>29,030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Doubtful</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5,352</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5,352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4,315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7,794</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8,504</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60" w:type="dxa"/>
            <w:vAlign w:val="bottom"/>
            <w:tcBorders>
              <w:bottom w:val="single" w:sz="8" w:color="CCEEFF"/>
            </w:tcBorders>
          </w:tcPr>
          <w:p>
            <w:pPr>
              <w:ind w:left="420"/>
              <w:spacing w:after="0"/>
              <w:rPr>
                <w:sz w:val="20"/>
                <w:szCs w:val="20"/>
                <w:color w:val="auto"/>
              </w:rPr>
            </w:pPr>
            <w:r>
              <w:rPr>
                <w:rFonts w:ascii="Arial" w:cs="Arial" w:eastAsia="Arial" w:hAnsi="Arial"/>
                <w:sz w:val="12"/>
                <w:szCs w:val="12"/>
                <w:color w:val="auto"/>
              </w:rPr>
              <w:t>Loss</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classified loans</w:t>
            </w: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170,730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268,879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286,057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299,911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237,129</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60" w:type="dxa"/>
            <w:vAlign w:val="bottom"/>
            <w:tcBorders>
              <w:bottom w:val="single" w:sz="8" w:color="CCEEFF"/>
            </w:tcBorders>
          </w:tcPr>
          <w:p>
            <w:pPr>
              <w:ind w:left="400"/>
              <w:spacing w:after="0"/>
              <w:rPr>
                <w:sz w:val="20"/>
                <w:szCs w:val="20"/>
                <w:color w:val="auto"/>
              </w:rPr>
            </w:pPr>
            <w:r>
              <w:rPr>
                <w:rFonts w:ascii="Arial" w:cs="Arial" w:eastAsia="Arial" w:hAnsi="Arial"/>
                <w:sz w:val="12"/>
                <w:szCs w:val="12"/>
                <w:color w:val="auto"/>
                <w:w w:val="98"/>
              </w:rPr>
              <w:t>Foreclosed assets held for sale</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1,718</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2,347</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2,347</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2,349</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2,502</w:t>
            </w: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Total classified assets</w:t>
            </w:r>
          </w:p>
        </w:tc>
        <w:tc>
          <w:tcPr>
            <w:tcW w:w="5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172,448</w:t>
            </w:r>
          </w:p>
        </w:tc>
        <w:tc>
          <w:tcPr>
            <w:tcW w:w="3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271,226</w:t>
            </w:r>
          </w:p>
        </w:tc>
        <w:tc>
          <w:tcPr>
            <w:tcW w:w="2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288,404</w:t>
            </w: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302,260</w:t>
            </w:r>
          </w:p>
        </w:tc>
        <w:tc>
          <w:tcPr>
            <w:tcW w:w="2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239,631</w:t>
            </w:r>
          </w:p>
        </w:tc>
        <w:tc>
          <w:tcPr>
            <w:tcW w:w="3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60" w:type="dxa"/>
            <w:vAlign w:val="bottom"/>
          </w:tcPr>
          <w:p>
            <w:pPr>
              <w:ind w:left="140"/>
              <w:spacing w:after="0" w:line="95" w:lineRule="exact"/>
              <w:rPr>
                <w:sz w:val="20"/>
                <w:szCs w:val="20"/>
                <w:color w:val="auto"/>
              </w:rPr>
            </w:pPr>
            <w:r>
              <w:rPr>
                <w:rFonts w:ascii="Arial" w:cs="Arial" w:eastAsia="Arial" w:hAnsi="Arial"/>
                <w:sz w:val="11"/>
                <w:szCs w:val="11"/>
                <w:color w:val="auto"/>
              </w:rPr>
              <w:t>Classified loans / (total capital +</w:t>
            </w:r>
          </w:p>
        </w:tc>
        <w:tc>
          <w:tcPr>
            <w:tcW w:w="580" w:type="dxa"/>
            <w:vAlign w:val="bottom"/>
          </w:tcPr>
          <w:p>
            <w:pPr>
              <w:spacing w:after="0"/>
              <w:rPr>
                <w:sz w:val="8"/>
                <w:szCs w:val="8"/>
                <w:color w:val="auto"/>
              </w:rPr>
            </w:pPr>
          </w:p>
        </w:tc>
        <w:tc>
          <w:tcPr>
            <w:tcW w:w="900" w:type="dxa"/>
            <w:vAlign w:val="bottom"/>
            <w:vMerge w:val="restart"/>
          </w:tcPr>
          <w:p>
            <w:pPr>
              <w:jc w:val="right"/>
              <w:ind w:right="120"/>
              <w:spacing w:after="0"/>
              <w:rPr>
                <w:sz w:val="20"/>
                <w:szCs w:val="20"/>
                <w:color w:val="auto"/>
              </w:rPr>
            </w:pPr>
            <w:r>
              <w:rPr>
                <w:rFonts w:ascii="Arial" w:cs="Arial" w:eastAsia="Arial" w:hAnsi="Arial"/>
                <w:sz w:val="12"/>
                <w:szCs w:val="12"/>
                <w:color w:val="auto"/>
              </w:rPr>
              <w:t>24.0</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restart"/>
          </w:tcPr>
          <w:p>
            <w:pPr>
              <w:jc w:val="right"/>
              <w:ind w:right="120"/>
              <w:spacing w:after="0"/>
              <w:rPr>
                <w:sz w:val="20"/>
                <w:szCs w:val="20"/>
                <w:color w:val="auto"/>
              </w:rPr>
            </w:pPr>
            <w:r>
              <w:rPr>
                <w:rFonts w:ascii="Arial" w:cs="Arial" w:eastAsia="Arial" w:hAnsi="Arial"/>
                <w:sz w:val="12"/>
                <w:szCs w:val="12"/>
                <w:color w:val="auto"/>
              </w:rPr>
              <w:t>38.2</w:t>
            </w: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vMerge w:val="restart"/>
          </w:tcPr>
          <w:p>
            <w:pPr>
              <w:jc w:val="right"/>
              <w:ind w:right="240"/>
              <w:spacing w:after="0"/>
              <w:rPr>
                <w:sz w:val="20"/>
                <w:szCs w:val="20"/>
                <w:color w:val="auto"/>
              </w:rPr>
            </w:pPr>
            <w:r>
              <w:rPr>
                <w:rFonts w:ascii="Arial" w:cs="Arial" w:eastAsia="Arial" w:hAnsi="Arial"/>
                <w:sz w:val="12"/>
                <w:szCs w:val="12"/>
                <w:color w:val="auto"/>
              </w:rPr>
              <w:t>40.9</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vMerge w:val="restart"/>
          </w:tcPr>
          <w:p>
            <w:pPr>
              <w:jc w:val="right"/>
              <w:ind w:right="180"/>
              <w:spacing w:after="0"/>
              <w:rPr>
                <w:sz w:val="20"/>
                <w:szCs w:val="20"/>
                <w:color w:val="auto"/>
              </w:rPr>
            </w:pPr>
            <w:r>
              <w:rPr>
                <w:rFonts w:ascii="Arial" w:cs="Arial" w:eastAsia="Arial" w:hAnsi="Arial"/>
                <w:sz w:val="12"/>
                <w:szCs w:val="12"/>
                <w:color w:val="auto"/>
              </w:rPr>
              <w:t>43.2</w:t>
            </w: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restart"/>
          </w:tcPr>
          <w:p>
            <w:pPr>
              <w:jc w:val="right"/>
              <w:ind w:right="120"/>
              <w:spacing w:after="0"/>
              <w:rPr>
                <w:sz w:val="20"/>
                <w:szCs w:val="20"/>
                <w:color w:val="auto"/>
              </w:rPr>
            </w:pPr>
            <w:r>
              <w:rPr>
                <w:rFonts w:ascii="Arial" w:cs="Arial" w:eastAsia="Arial" w:hAnsi="Arial"/>
                <w:sz w:val="12"/>
                <w:szCs w:val="12"/>
                <w:color w:val="auto"/>
              </w:rPr>
              <w:t>34.9</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60" w:type="dxa"/>
            <w:vAlign w:val="bottom"/>
          </w:tcPr>
          <w:p>
            <w:pPr>
              <w:ind w:left="260"/>
              <w:spacing w:after="0"/>
              <w:rPr>
                <w:sz w:val="20"/>
                <w:szCs w:val="20"/>
                <w:color w:val="auto"/>
              </w:rPr>
            </w:pPr>
            <w:r>
              <w:rPr>
                <w:rFonts w:ascii="Arial" w:cs="Arial" w:eastAsia="Arial" w:hAnsi="Arial"/>
                <w:sz w:val="12"/>
                <w:szCs w:val="12"/>
                <w:color w:val="auto"/>
              </w:rPr>
              <w:t>ALLL)</w:t>
            </w:r>
          </w:p>
        </w:tc>
        <w:tc>
          <w:tcPr>
            <w:tcW w:w="5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60" w:type="dxa"/>
            <w:vAlign w:val="bottom"/>
            <w:shd w:val="clear" w:color="auto" w:fill="CCEEFF"/>
          </w:tcPr>
          <w:p>
            <w:pPr>
              <w:ind w:left="580"/>
              <w:spacing w:after="0" w:line="117" w:lineRule="exact"/>
              <w:rPr>
                <w:sz w:val="20"/>
                <w:szCs w:val="20"/>
                <w:color w:val="auto"/>
              </w:rPr>
            </w:pPr>
            <w:r>
              <w:rPr>
                <w:rFonts w:ascii="Arial" w:cs="Arial" w:eastAsia="Arial" w:hAnsi="Arial"/>
                <w:sz w:val="12"/>
                <w:szCs w:val="12"/>
                <w:color w:val="auto"/>
              </w:rPr>
              <w:t>Classified assets / (total</w:t>
            </w:r>
          </w:p>
        </w:tc>
        <w:tc>
          <w:tcPr>
            <w:tcW w:w="5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24.2</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38.6</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41.2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43.6</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35.3</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capital + ALLL)</w:t>
            </w:r>
          </w:p>
        </w:tc>
        <w:tc>
          <w:tcPr>
            <w:tcW w:w="5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00" w:right="100" w:firstLine="324"/>
        <w:spacing w:after="0" w:line="323" w:lineRule="auto"/>
        <w:rPr>
          <w:sz w:val="20"/>
          <w:szCs w:val="20"/>
          <w:color w:val="auto"/>
        </w:rPr>
      </w:pPr>
      <w:r>
        <w:rPr>
          <w:rFonts w:ascii="Arial" w:cs="Arial" w:eastAsia="Arial" w:hAnsi="Arial"/>
          <w:sz w:val="11"/>
          <w:szCs w:val="11"/>
          <w:color w:val="auto"/>
        </w:rPr>
        <w:t>The Company's classified assets as of June 30, 2021 declined $99 million since March 31, 2021. The decline was driven by $18 million in loan payoffs, $56 million in loans upgraded, $35 million in pay downs partially offset by $11 million of new or increased loan balances. The decrease in classified assets was primarily related to commercial, energy and commercial real estate loans that improved due to better economic conditions.</w:t>
      </w:r>
    </w:p>
    <w:p>
      <w:pPr>
        <w:spacing w:after="0" w:line="56" w:lineRule="exact"/>
        <w:rPr>
          <w:sz w:val="20"/>
          <w:szCs w:val="20"/>
          <w:color w:val="auto"/>
        </w:rPr>
      </w:pPr>
    </w:p>
    <w:p>
      <w:pPr>
        <w:ind w:left="100" w:right="80" w:firstLine="324"/>
        <w:spacing w:after="0" w:line="323" w:lineRule="auto"/>
        <w:rPr>
          <w:sz w:val="20"/>
          <w:szCs w:val="20"/>
          <w:color w:val="auto"/>
        </w:rPr>
      </w:pPr>
      <w:r>
        <w:rPr>
          <w:rFonts w:ascii="Arial" w:cs="Arial" w:eastAsia="Arial" w:hAnsi="Arial"/>
          <w:sz w:val="11"/>
          <w:szCs w:val="11"/>
          <w:color w:val="auto"/>
        </w:rPr>
        <w:t>The Company's classified assets as of March 31, 2021 decreased $17 million from December 31, 2020. The decline was driven by $30 million of commercial and commercial real estate loans upgraded due to improvements in the borrowers’ capital structure and $8 million in pay downs from classified loans, offset by an increase of approximately $21 million in downgraded loans, primarily from our energy and commercial loan portfolio.</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Deposits and Other Borrowings</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4240" w:type="dxa"/>
            <w:vAlign w:val="bottom"/>
            <w:gridSpan w:val="5"/>
          </w:tcPr>
          <w:p>
            <w:pPr>
              <w:jc w:val="center"/>
              <w:ind w:left="160"/>
              <w:spacing w:after="0"/>
              <w:rPr>
                <w:sz w:val="20"/>
                <w:szCs w:val="20"/>
                <w:color w:val="auto"/>
              </w:rPr>
            </w:pPr>
            <w:r>
              <w:rPr>
                <w:rFonts w:ascii="Arial" w:cs="Arial" w:eastAsia="Arial" w:hAnsi="Arial"/>
                <w:sz w:val="12"/>
                <w:szCs w:val="12"/>
                <w:color w:val="auto"/>
                <w:w w:val="91"/>
              </w:rPr>
              <w:t>The following table sets forth the maturity of time deposits as of June 30, 2021:</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1"/>
        </w:trPr>
        <w:tc>
          <w:tcPr>
            <w:tcW w:w="2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7"/>
              </w:rPr>
              <w:t>As of June 30, 2021</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169"/>
        </w:trPr>
        <w:tc>
          <w:tcPr>
            <w:tcW w:w="2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Three Months or Less</w:t>
            </w: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Three to Six Months</w:t>
            </w: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0"/>
              </w:rPr>
              <w:t>Six to Twelve Months</w:t>
            </w: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After Twelve Months</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Total</w:t>
            </w:r>
          </w:p>
        </w:tc>
      </w:tr>
      <w:tr>
        <w:trPr>
          <w:trHeight w:val="153"/>
        </w:trPr>
        <w:tc>
          <w:tcPr>
            <w:tcW w:w="2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1"/>
                <w:szCs w:val="11"/>
                <w:i w:val="1"/>
                <w:iCs w:val="1"/>
                <w:color w:val="auto"/>
                <w:w w:val="91"/>
              </w:rPr>
              <w:t>(Dollars in thousands)</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0"/>
        </w:trPr>
        <w:tc>
          <w:tcPr>
            <w:tcW w:w="21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Time deposits in excess of FDIC insurance</w:t>
            </w:r>
          </w:p>
        </w:tc>
        <w:tc>
          <w:tcPr>
            <w:tcW w:w="1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1"/>
        </w:trPr>
        <w:tc>
          <w:tcPr>
            <w:tcW w:w="2180" w:type="dxa"/>
            <w:vAlign w:val="bottom"/>
            <w:shd w:val="clear" w:color="auto" w:fill="CCEEFF"/>
          </w:tcPr>
          <w:p>
            <w:pPr>
              <w:ind w:left="60"/>
              <w:spacing w:after="0"/>
              <w:rPr>
                <w:sz w:val="20"/>
                <w:szCs w:val="20"/>
                <w:color w:val="auto"/>
              </w:rPr>
            </w:pPr>
            <w:r>
              <w:rPr>
                <w:rFonts w:ascii="Arial" w:cs="Arial" w:eastAsia="Arial" w:hAnsi="Arial"/>
                <w:sz w:val="12"/>
                <w:szCs w:val="12"/>
                <w:color w:val="auto"/>
              </w:rPr>
              <w:t>limit</w:t>
            </w:r>
          </w:p>
        </w:tc>
        <w:tc>
          <w:tcPr>
            <w:tcW w:w="180" w:type="dxa"/>
            <w:vAlign w:val="bottom"/>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99,085</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78,251</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47,480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287,206</w:t>
            </w:r>
          </w:p>
        </w:tc>
      </w:tr>
      <w:tr>
        <w:trPr>
          <w:trHeight w:val="171"/>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w w:val="96"/>
              </w:rPr>
              <w:t>Time deposits below FDIC insurance limit</w:t>
            </w: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139,572</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126,376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139,175</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111,718</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516,841</w:t>
            </w:r>
          </w:p>
        </w:tc>
      </w:tr>
      <w:tr>
        <w:trPr>
          <w:trHeight w:val="194"/>
        </w:trPr>
        <w:tc>
          <w:tcPr>
            <w:tcW w:w="2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8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238,657</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188,766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217,426</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159,198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804,047</w:t>
            </w:r>
          </w:p>
        </w:tc>
      </w:tr>
    </w:tbl>
    <w:p>
      <w:pPr>
        <w:spacing w:after="0" w:line="162" w:lineRule="exact"/>
        <w:rPr>
          <w:sz w:val="20"/>
          <w:szCs w:val="20"/>
          <w:color w:val="auto"/>
        </w:rPr>
      </w:pPr>
    </w:p>
    <w:p>
      <w:pPr>
        <w:ind w:left="100" w:right="20" w:firstLine="324"/>
        <w:spacing w:after="0" w:line="263" w:lineRule="auto"/>
        <w:rPr>
          <w:sz w:val="20"/>
          <w:szCs w:val="20"/>
          <w:color w:val="auto"/>
        </w:rPr>
      </w:pPr>
      <w:r>
        <w:rPr>
          <w:rFonts w:ascii="Arial" w:cs="Arial" w:eastAsia="Arial" w:hAnsi="Arial"/>
          <w:sz w:val="12"/>
          <w:szCs w:val="12"/>
          <w:color w:val="auto"/>
        </w:rPr>
        <w:t>At June 30, 2021, our deposits totaled $4 billion, a decrease of $338 million or 7% from December 31, 2020. Of this decrease, $199 million were money market, NOW and savings deposits and $239 million were time deposits. Declines were offset by a $100 million increase in non-interest bearing deposits. The decline in money market, NOW and savings deposits was driven by required payments from our customers to the Internal Revenue Service and interest rate competition. The decrease in time deposits resulted from maturities and the low interest rate environment.</w:t>
      </w:r>
    </w:p>
    <w:p>
      <w:pPr>
        <w:spacing w:after="0" w:line="86" w:lineRule="exact"/>
        <w:rPr>
          <w:sz w:val="20"/>
          <w:szCs w:val="20"/>
          <w:color w:val="auto"/>
        </w:rPr>
      </w:pPr>
    </w:p>
    <w:p>
      <w:pPr>
        <w:ind w:left="100" w:right="80" w:firstLine="324"/>
        <w:spacing w:after="0" w:line="276" w:lineRule="auto"/>
        <w:rPr>
          <w:sz w:val="20"/>
          <w:szCs w:val="20"/>
          <w:color w:val="auto"/>
        </w:rPr>
      </w:pPr>
      <w:r>
        <w:rPr>
          <w:rFonts w:ascii="Arial" w:cs="Arial" w:eastAsia="Arial" w:hAnsi="Arial"/>
          <w:sz w:val="12"/>
          <w:szCs w:val="12"/>
          <w:color w:val="auto"/>
        </w:rPr>
        <w:t>Other borrowings include FHLB advances, repurchase agreements and our trust preferred security. At June 30, 2021, other borrowings totaled $284 million, a $12 million or 4% decrease from December 31, 2020. The decline was driven by borrowings that matured and were not replaced during the six months ended June 30, 2021 due to increased Company liquidity.</w:t>
      </w:r>
    </w:p>
    <w:p>
      <w:pPr>
        <w:spacing w:after="0" w:line="79" w:lineRule="exact"/>
        <w:rPr>
          <w:sz w:val="20"/>
          <w:szCs w:val="20"/>
          <w:color w:val="auto"/>
        </w:rPr>
      </w:pPr>
    </w:p>
    <w:p>
      <w:pPr>
        <w:ind w:left="100" w:right="200" w:firstLine="324"/>
        <w:spacing w:after="0" w:line="276" w:lineRule="auto"/>
        <w:rPr>
          <w:sz w:val="20"/>
          <w:szCs w:val="20"/>
          <w:color w:val="auto"/>
        </w:rPr>
      </w:pPr>
      <w:r>
        <w:rPr>
          <w:rFonts w:ascii="Arial" w:cs="Arial" w:eastAsia="Arial" w:hAnsi="Arial"/>
          <w:sz w:val="12"/>
          <w:szCs w:val="12"/>
          <w:color w:val="auto"/>
        </w:rPr>
        <w:t>As of June 30, 2021, the Company had approximately $333 million of deposits with one customer relationship. The Company evaluated the deposit concentration and determined that a significant reduction to these deposits would not adversely impact the Company as sufficient liquidity is accessible and at favorable rates.</w:t>
      </w:r>
    </w:p>
    <w:p>
      <w:pPr>
        <w:spacing w:after="0" w:line="79" w:lineRule="exact"/>
        <w:rPr>
          <w:sz w:val="20"/>
          <w:szCs w:val="20"/>
          <w:color w:val="auto"/>
        </w:rPr>
      </w:pPr>
    </w:p>
    <w:p>
      <w:pPr>
        <w:ind w:left="100" w:right="420" w:firstLine="324"/>
        <w:spacing w:after="0" w:line="276" w:lineRule="auto"/>
        <w:rPr>
          <w:sz w:val="20"/>
          <w:szCs w:val="20"/>
          <w:color w:val="auto"/>
        </w:rPr>
      </w:pPr>
      <w:r>
        <w:rPr>
          <w:rFonts w:ascii="Arial" w:cs="Arial" w:eastAsia="Arial" w:hAnsi="Arial"/>
          <w:sz w:val="12"/>
          <w:szCs w:val="12"/>
          <w:color w:val="auto"/>
        </w:rPr>
        <w:t>As of June 30, 2021, the Company had approximately $2 billion of uninsured deposits, which is an estimated amount based on the same methodologies and assumptions used for the bank’s regulatory requirements. The Company believes that its current capital ratios and liquidity are sufficient to mitigate the risks of uninsured deposits.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w:t>
      </w:r>
    </w:p>
    <w:p>
      <w:pPr>
        <w:spacing w:after="0" w:line="118" w:lineRule="exact"/>
        <w:rPr>
          <w:sz w:val="20"/>
          <w:szCs w:val="20"/>
          <w:color w:val="auto"/>
        </w:rPr>
      </w:pPr>
    </w:p>
    <w:p>
      <w:pPr>
        <w:jc w:val="both"/>
        <w:ind w:left="100" w:right="120" w:firstLine="324"/>
        <w:spacing w:after="0" w:line="287" w:lineRule="auto"/>
        <w:rPr>
          <w:sz w:val="20"/>
          <w:szCs w:val="20"/>
          <w:color w:val="auto"/>
        </w:rPr>
      </w:pPr>
      <w:r>
        <w:rPr>
          <w:rFonts w:ascii="Arial" w:cs="Arial" w:eastAsia="Arial" w:hAnsi="Arial"/>
          <w:sz w:val="11"/>
          <w:szCs w:val="11"/>
          <w:color w:val="auto"/>
        </w:rPr>
        <w:t>The Company’s liquidity strategy is to maintain adequate, but not excessive, liquidity to meet the daily cash flow needs of its clients while attempting to achieve adequate earnings for its stockholders. The liquidity position is monitored continuously by the Company’s finance department. Liquidity resources can be derived from two sources: (i) on-balance sheet liquidity resources, which represent funds currently on the balance sheet and (ii) off-balance sheet liquidity resources, which represent funds available from third-party sources. Our on-balance sheet and off-balance sheet liquidity resources consisted of the following as of the dates indicated:</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57"/>
        </w:trPr>
        <w:tc>
          <w:tcPr>
            <w:tcW w:w="55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June 30, 2021</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December 31, 2020</w:t>
            </w:r>
          </w:p>
        </w:tc>
        <w:tc>
          <w:tcPr>
            <w:tcW w:w="300" w:type="dxa"/>
            <w:vAlign w:val="bottom"/>
            <w:tcBorders>
              <w:bottom w:val="single" w:sz="8" w:color="auto"/>
            </w:tcBorders>
          </w:tcPr>
          <w:p>
            <w:pPr>
              <w:spacing w:after="0"/>
              <w:rPr>
                <w:sz w:val="13"/>
                <w:szCs w:val="13"/>
                <w:color w:val="auto"/>
              </w:rPr>
            </w:pPr>
          </w:p>
        </w:tc>
      </w:tr>
      <w:tr>
        <w:trPr>
          <w:trHeight w:val="131"/>
        </w:trPr>
        <w:tc>
          <w:tcPr>
            <w:tcW w:w="5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1"/>
                <w:szCs w:val="11"/>
                <w:i w:val="1"/>
                <w:iCs w:val="1"/>
                <w:color w:val="auto"/>
                <w:w w:val="97"/>
              </w:rPr>
              <w:t>(Dollars in thousands)</w:t>
            </w: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55"/>
        </w:trPr>
        <w:tc>
          <w:tcPr>
            <w:tcW w:w="5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on-balance sheet liquidity</w:t>
            </w: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918,959</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1,046,110</w:t>
            </w:r>
          </w:p>
        </w:tc>
        <w:tc>
          <w:tcPr>
            <w:tcW w:w="300" w:type="dxa"/>
            <w:vAlign w:val="bottom"/>
            <w:shd w:val="clear" w:color="auto" w:fill="CCEEFF"/>
          </w:tcPr>
          <w:p>
            <w:pPr>
              <w:spacing w:after="0"/>
              <w:rPr>
                <w:sz w:val="13"/>
                <w:szCs w:val="13"/>
                <w:color w:val="auto"/>
              </w:rPr>
            </w:pPr>
          </w:p>
        </w:tc>
      </w:tr>
      <w:tr>
        <w:trPr>
          <w:trHeight w:val="153"/>
        </w:trPr>
        <w:tc>
          <w:tcPr>
            <w:tcW w:w="556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Total off-balance sheet liquidity</w:t>
            </w:r>
          </w:p>
        </w:tc>
        <w:tc>
          <w:tcPr>
            <w:tcW w:w="8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689,513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756,325</w:t>
            </w:r>
          </w:p>
        </w:tc>
        <w:tc>
          <w:tcPr>
            <w:tcW w:w="300" w:type="dxa"/>
            <w:vAlign w:val="bottom"/>
            <w:tcBorders>
              <w:bottom w:val="single" w:sz="8" w:color="auto"/>
            </w:tcBorders>
          </w:tcPr>
          <w:p>
            <w:pPr>
              <w:spacing w:after="0"/>
              <w:rPr>
                <w:sz w:val="13"/>
                <w:szCs w:val="13"/>
                <w:color w:val="auto"/>
              </w:rPr>
            </w:pPr>
          </w:p>
        </w:tc>
      </w:tr>
      <w:tr>
        <w:trPr>
          <w:trHeight w:val="162"/>
        </w:trPr>
        <w:tc>
          <w:tcPr>
            <w:tcW w:w="5560" w:type="dxa"/>
            <w:vAlign w:val="bottom"/>
            <w:shd w:val="clear" w:color="auto" w:fill="CCEEFF"/>
          </w:tcPr>
          <w:p>
            <w:pPr>
              <w:ind w:left="400"/>
              <w:spacing w:after="0"/>
              <w:rPr>
                <w:sz w:val="20"/>
                <w:szCs w:val="20"/>
                <w:color w:val="auto"/>
              </w:rPr>
            </w:pPr>
            <w:r>
              <w:rPr>
                <w:rFonts w:ascii="Arial" w:cs="Arial" w:eastAsia="Arial" w:hAnsi="Arial"/>
                <w:sz w:val="12"/>
                <w:szCs w:val="12"/>
                <w:color w:val="auto"/>
              </w:rPr>
              <w:t>Total liquidity</w:t>
            </w: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1,608,472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1,802,435</w:t>
            </w:r>
          </w:p>
        </w:tc>
        <w:tc>
          <w:tcPr>
            <w:tcW w:w="300" w:type="dxa"/>
            <w:vAlign w:val="bottom"/>
            <w:shd w:val="clear" w:color="auto" w:fill="CCEEFF"/>
          </w:tcPr>
          <w:p>
            <w:pPr>
              <w:spacing w:after="0"/>
              <w:rPr>
                <w:sz w:val="14"/>
                <w:szCs w:val="14"/>
                <w:color w:val="auto"/>
              </w:rPr>
            </w:pPr>
          </w:p>
        </w:tc>
      </w:tr>
      <w:tr>
        <w:trPr>
          <w:trHeight w:val="158"/>
        </w:trPr>
        <w:tc>
          <w:tcPr>
            <w:tcW w:w="5560" w:type="dxa"/>
            <w:vAlign w:val="bottom"/>
            <w:tcBorders>
              <w:top w:val="single" w:sz="8" w:color="CCEEFF"/>
            </w:tcBorders>
          </w:tcPr>
          <w:p>
            <w:pPr>
              <w:ind w:left="340"/>
              <w:spacing w:after="0"/>
              <w:rPr>
                <w:sz w:val="20"/>
                <w:szCs w:val="20"/>
                <w:color w:val="auto"/>
              </w:rPr>
            </w:pPr>
            <w:r>
              <w:rPr>
                <w:rFonts w:ascii="Arial" w:cs="Arial" w:eastAsia="Arial" w:hAnsi="Arial"/>
                <w:sz w:val="12"/>
                <w:szCs w:val="12"/>
                <w:color w:val="auto"/>
              </w:rPr>
              <w:t>On-balance sheet liquidity as a percent of assets</w:t>
            </w:r>
          </w:p>
        </w:tc>
        <w:tc>
          <w:tcPr>
            <w:tcW w:w="8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17</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ind w:right="120"/>
              <w:spacing w:after="0"/>
              <w:rPr>
                <w:sz w:val="20"/>
                <w:szCs w:val="20"/>
                <w:color w:val="auto"/>
              </w:rPr>
            </w:pPr>
            <w:r>
              <w:rPr>
                <w:rFonts w:ascii="Arial" w:cs="Arial" w:eastAsia="Arial" w:hAnsi="Arial"/>
                <w:sz w:val="12"/>
                <w:szCs w:val="12"/>
                <w:color w:val="auto"/>
              </w:rPr>
              <w:t>19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55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Total liquidity as a percent of assets</w:t>
            </w:r>
          </w:p>
        </w:tc>
        <w:tc>
          <w:tcPr>
            <w:tcW w:w="80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32</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believes that its current liquidity will be sufficient to meet anticipated cash requirements for the next 12 months.</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18" w:lineRule="exact"/>
        <w:rPr>
          <w:sz w:val="20"/>
          <w:szCs w:val="20"/>
          <w:color w:val="auto"/>
        </w:rPr>
      </w:pPr>
    </w:p>
    <w:p>
      <w:pPr>
        <w:ind w:left="100" w:right="140" w:firstLine="324"/>
        <w:spacing w:after="0" w:line="276" w:lineRule="auto"/>
        <w:rPr>
          <w:sz w:val="20"/>
          <w:szCs w:val="20"/>
          <w:color w:val="auto"/>
        </w:rPr>
      </w:pPr>
      <w:r>
        <w:rPr>
          <w:rFonts w:ascii="Arial" w:cs="Arial" w:eastAsia="Arial" w:hAnsi="Arial"/>
          <w:sz w:val="12"/>
          <w:szCs w:val="12"/>
          <w:color w:val="auto"/>
        </w:rPr>
        <w:t>In the first quarter of 2021, the Company entered into an agreement with a third-party, venture capital firm. The Company invested $100 thousand during the three months ended June 30, 2021 and will invest up to $3 million into the venture capital fund. The fund was designed to invest in companies that find solutions for community banks and help accelerate technology adoption for community banks.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100" w:right="220" w:firstLine="324"/>
        <w:spacing w:after="0" w:line="276" w:lineRule="auto"/>
        <w:rPr>
          <w:sz w:val="20"/>
          <w:szCs w:val="20"/>
          <w:color w:val="auto"/>
        </w:rPr>
      </w:pPr>
      <w:r>
        <w:rPr>
          <w:rFonts w:ascii="Arial" w:cs="Arial" w:eastAsia="Arial" w:hAnsi="Arial"/>
          <w:sz w:val="12"/>
          <w:szCs w:val="12"/>
          <w:color w:val="auto"/>
        </w:rPr>
        <w:t>Refer to “Note 6: Time Deposits and Borrowings” within the Notes to the Unaudited Consolidated Financial Statements for our significant contractual cash obligations to third parties. In addition, the Company has various lease agreements with approximately $32 million of future minimum lease payments at June 30, 2021.</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Contractual obligations may be satisfied through our on-balance sheet and off-balance sheet liquidity discussed above.</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Resources and Off-Balance Sheet Arrangements</w:t>
      </w:r>
    </w:p>
    <w:p>
      <w:pPr>
        <w:spacing w:after="0" w:line="118"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The regulatory capital requirements involve quantitative measures of the Company’s assets, liabilities, select off-balance sheet items and equity. Failure to meet minimum capital requirements can initiate certain mandatory and possibly additional discretionary actions by regulators that, if undertaken, could have a direct material effect on the Company’s consolidated financial statements. Refer to “Note 8: Regulatory Matters” in the Notes to the Unaudited Consolidated Financial Statements for additional information. Management believes that as of June 30, 2021, the Company and the bank met all capital adequacy requirements to which they are subject.</w:t>
      </w:r>
    </w:p>
    <w:p>
      <w:pPr>
        <w:spacing w:after="0" w:line="88" w:lineRule="exact"/>
        <w:rPr>
          <w:sz w:val="20"/>
          <w:szCs w:val="20"/>
          <w:color w:val="auto"/>
        </w:rPr>
      </w:pPr>
    </w:p>
    <w:p>
      <w:pPr>
        <w:ind w:left="100" w:firstLine="324"/>
        <w:spacing w:after="0" w:line="298" w:lineRule="auto"/>
        <w:rPr>
          <w:sz w:val="20"/>
          <w:szCs w:val="20"/>
          <w:color w:val="auto"/>
        </w:rPr>
      </w:pPr>
      <w:r>
        <w:rPr>
          <w:rFonts w:ascii="Arial" w:cs="Arial" w:eastAsia="Arial" w:hAnsi="Arial"/>
          <w:sz w:val="11"/>
          <w:szCs w:val="11"/>
          <w:color w:val="auto"/>
        </w:rPr>
        <w:t>The Company is subject to off-balance sheet risk in the normal course of business to meet the needs of its clients that have, or are reasonably likely to have, a current or future effect on our financial condition, changes in financial condition, revenues or expenses, results of operations, liquidity, capital expenditures or capital resources. Refer to “Note 12: Commitments and Credit Risk” in the Notes to Unaudited Consolidated Financial Statements for a breakout of our off-balance sheet arrangements. As of June 30, 2021, the Company believes it has sufficient access to liquid assets to support the funding of these commitments.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18" w:lineRule="exact"/>
        <w:rPr>
          <w:sz w:val="20"/>
          <w:szCs w:val="20"/>
          <w:color w:val="auto"/>
        </w:rPr>
      </w:pPr>
    </w:p>
    <w:p>
      <w:pPr>
        <w:ind w:left="100" w:right="60" w:firstLine="324"/>
        <w:spacing w:after="0" w:line="259" w:lineRule="auto"/>
        <w:rPr>
          <w:sz w:val="20"/>
          <w:szCs w:val="20"/>
          <w:color w:val="auto"/>
        </w:rPr>
      </w:pPr>
      <w:r>
        <w:rPr>
          <w:rFonts w:ascii="Arial" w:cs="Arial" w:eastAsia="Arial" w:hAnsi="Arial"/>
          <w:sz w:val="12"/>
          <w:szCs w:val="12"/>
          <w:color w:val="auto"/>
        </w:rPr>
        <w:t>The Company identified several accounting policies that are critical to an understanding of our financial condition and results of operations. These policies require difficult, subjective or complex judgments and assumptions that create potential sensitivity of our financial statements to those judgments and assumptions. These policies relate to the allowance for loan and lease losses, investment securities impairment, deferred tax assets, and the fair value of financial instruments. A discussion of these policies can be found in the section captioned “Critical Accounting Policies and Estimates” in Management’s Discussion and Analysis of Financial Condition and Results of Operations included in the 2020 Form 10-K.</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have been no additional changes in the Company’s application of critical accounting policies since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Refer to “Note 1: Nature of Operations and Summary of Significant Accounting Policies” included in the Notes to the Unaudited Consolidated Financial Statements included elsewhere in this Form 10-Q.</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Interest Rate Risk</w:t>
      </w:r>
    </w:p>
    <w:p>
      <w:pPr>
        <w:spacing w:after="0" w:line="113" w:lineRule="exact"/>
        <w:rPr>
          <w:sz w:val="20"/>
          <w:szCs w:val="20"/>
          <w:color w:val="auto"/>
        </w:rPr>
      </w:pPr>
    </w:p>
    <w:p>
      <w:pPr>
        <w:ind w:left="100" w:right="100" w:firstLine="324"/>
        <w:spacing w:after="0" w:line="259" w:lineRule="auto"/>
        <w:rPr>
          <w:sz w:val="20"/>
          <w:szCs w:val="20"/>
          <w:color w:val="auto"/>
        </w:rPr>
      </w:pPr>
      <w:r>
        <w:rPr>
          <w:rFonts w:ascii="Arial" w:cs="Arial" w:eastAsia="Arial" w:hAnsi="Arial"/>
          <w:sz w:val="12"/>
          <w:szCs w:val="12"/>
          <w:color w:val="auto"/>
        </w:rPr>
        <w:t>A primary component of market risk is interest rate volatility. Interest rate risk management is a key element of the Company’s balance sheet management. Interest rate risk is the risk that NIM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88"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2"/>
          <w:szCs w:val="12"/>
          <w:color w:val="auto"/>
        </w:rPr>
        <w:t>Our exposure to interest rate risk is managed by the Funds Management Committee (“FMC”). The FMC uses a combination of three systems to measure the balance sheet’s interest rate risk position. The three systems in combination are expected to provide a better overall result than a single system alone. The three systems include: (i) gap reports; (ii) earnings simulation; and (iii) economic value of equity. The FMC’s primary tools to change the interest rate risk position are: (i) investment portfolio duration; (ii) deposit and borrowing mix; and (iii) on balance sheet derivatives.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9" w:name="page50"/>
    <w:bookmarkEnd w:id="4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100" w:right="80" w:firstLine="324"/>
        <w:spacing w:after="0" w:line="324" w:lineRule="auto"/>
        <w:rPr>
          <w:sz w:val="20"/>
          <w:szCs w:val="20"/>
          <w:color w:val="auto"/>
        </w:rPr>
      </w:pPr>
      <w:r>
        <w:rPr>
          <w:rFonts w:ascii="Arial" w:cs="Arial" w:eastAsia="Arial" w:hAnsi="Arial"/>
          <w:sz w:val="10"/>
          <w:szCs w:val="10"/>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2"/>
          <w:szCs w:val="12"/>
          <w:b w:val="1"/>
          <w:bCs w:val="1"/>
          <w:color w:val="auto"/>
        </w:rPr>
        <w:t>Hypothetical Change in Interest Rate - Rate Shock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12065</wp:posOffset>
            </wp:positionV>
            <wp:extent cx="70866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6600" cy="571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222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June 30, 2021</w:t>
            </w:r>
          </w:p>
        </w:tc>
      </w:tr>
      <w:tr>
        <w:trPr>
          <w:trHeight w:val="106"/>
        </w:trPr>
        <w:tc>
          <w:tcPr>
            <w:tcW w:w="2220" w:type="dxa"/>
            <w:vAlign w:val="bottom"/>
          </w:tcPr>
          <w:p>
            <w:pPr>
              <w:ind w:left="320"/>
              <w:spacing w:after="0" w:line="106" w:lineRule="exact"/>
              <w:rPr>
                <w:sz w:val="20"/>
                <w:szCs w:val="20"/>
                <w:color w:val="auto"/>
              </w:rPr>
            </w:pPr>
            <w:r>
              <w:rPr>
                <w:rFonts w:ascii="Arial" w:cs="Arial" w:eastAsia="Arial" w:hAnsi="Arial"/>
                <w:sz w:val="12"/>
                <w:szCs w:val="12"/>
                <w:b w:val="1"/>
                <w:bCs w:val="1"/>
                <w:color w:val="auto"/>
              </w:rPr>
              <w:t>Change in Interest Rate</w:t>
            </w:r>
          </w:p>
        </w:tc>
        <w:tc>
          <w:tcPr>
            <w:tcW w:w="2020" w:type="dxa"/>
            <w:vAlign w:val="bottom"/>
          </w:tcPr>
          <w:p>
            <w:pPr>
              <w:ind w:left="480"/>
              <w:spacing w:after="0" w:line="106" w:lineRule="exact"/>
              <w:rPr>
                <w:sz w:val="20"/>
                <w:szCs w:val="20"/>
                <w:color w:val="auto"/>
              </w:rPr>
            </w:pPr>
            <w:r>
              <w:rPr>
                <w:rFonts w:ascii="Arial" w:cs="Arial" w:eastAsia="Arial" w:hAnsi="Arial"/>
                <w:sz w:val="12"/>
                <w:szCs w:val="12"/>
                <w:b w:val="1"/>
                <w:bCs w:val="1"/>
                <w:color w:val="auto"/>
                <w:w w:val="88"/>
              </w:rPr>
              <w:t>Percent change in net interest</w:t>
            </w:r>
          </w:p>
        </w:tc>
        <w:tc>
          <w:tcPr>
            <w:tcW w:w="2400" w:type="dxa"/>
            <w:vAlign w:val="bottom"/>
          </w:tcPr>
          <w:p>
            <w:pPr>
              <w:ind w:left="680"/>
              <w:spacing w:after="0" w:line="106" w:lineRule="exact"/>
              <w:rPr>
                <w:sz w:val="20"/>
                <w:szCs w:val="20"/>
                <w:color w:val="auto"/>
              </w:rPr>
            </w:pPr>
            <w:r>
              <w:rPr>
                <w:rFonts w:ascii="Arial" w:cs="Arial" w:eastAsia="Arial" w:hAnsi="Arial"/>
                <w:sz w:val="12"/>
                <w:szCs w:val="12"/>
                <w:b w:val="1"/>
                <w:bCs w:val="1"/>
                <w:color w:val="auto"/>
                <w:w w:val="97"/>
              </w:rPr>
              <w:t>Percent change in fair value of</w:t>
            </w:r>
          </w:p>
        </w:tc>
      </w:tr>
      <w:tr>
        <w:trPr>
          <w:trHeight w:val="153"/>
        </w:trPr>
        <w:tc>
          <w:tcPr>
            <w:tcW w:w="2220" w:type="dxa"/>
            <w:vAlign w:val="bottom"/>
          </w:tcPr>
          <w:p>
            <w:pPr>
              <w:spacing w:after="0"/>
              <w:rPr>
                <w:sz w:val="20"/>
                <w:szCs w:val="20"/>
                <w:color w:val="auto"/>
              </w:rPr>
            </w:pPr>
            <w:r>
              <w:rPr>
                <w:rFonts w:ascii="Arial" w:cs="Arial" w:eastAsia="Arial" w:hAnsi="Arial"/>
                <w:sz w:val="12"/>
                <w:szCs w:val="12"/>
                <w:b w:val="1"/>
                <w:bCs w:val="1"/>
                <w:color w:val="auto"/>
              </w:rPr>
              <w:t>(Basis Points)</w:t>
            </w:r>
          </w:p>
        </w:tc>
        <w:tc>
          <w:tcPr>
            <w:tcW w:w="2020" w:type="dxa"/>
            <w:vAlign w:val="bottom"/>
          </w:tcPr>
          <w:p>
            <w:pPr>
              <w:ind w:left="900"/>
              <w:spacing w:after="0"/>
              <w:rPr>
                <w:sz w:val="20"/>
                <w:szCs w:val="20"/>
                <w:color w:val="auto"/>
              </w:rPr>
            </w:pPr>
            <w:r>
              <w:rPr>
                <w:rFonts w:ascii="Arial" w:cs="Arial" w:eastAsia="Arial" w:hAnsi="Arial"/>
                <w:sz w:val="12"/>
                <w:szCs w:val="12"/>
                <w:b w:val="1"/>
                <w:bCs w:val="1"/>
                <w:color w:val="auto"/>
              </w:rPr>
              <w:t>income</w:t>
            </w:r>
          </w:p>
        </w:tc>
        <w:tc>
          <w:tcPr>
            <w:tcW w:w="2400" w:type="dxa"/>
            <w:vAlign w:val="bottom"/>
          </w:tcPr>
          <w:p>
            <w:pPr>
              <w:ind w:left="1140"/>
              <w:spacing w:after="0"/>
              <w:rPr>
                <w:sz w:val="20"/>
                <w:szCs w:val="20"/>
                <w:color w:val="auto"/>
              </w:rPr>
            </w:pPr>
            <w:r>
              <w:rPr>
                <w:rFonts w:ascii="Arial" w:cs="Arial" w:eastAsia="Arial" w:hAnsi="Arial"/>
                <w:sz w:val="12"/>
                <w:szCs w:val="12"/>
                <w:b w:val="1"/>
                <w:bCs w:val="1"/>
                <w:color w:val="auto"/>
              </w:rPr>
              <w:t>equity</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0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June 30, 2020</w:t>
            </w:r>
          </w:p>
        </w:tc>
      </w:tr>
      <w:tr>
        <w:trPr>
          <w:trHeight w:val="106"/>
        </w:trPr>
        <w:tc>
          <w:tcPr>
            <w:tcW w:w="2000" w:type="dxa"/>
            <w:vAlign w:val="bottom"/>
          </w:tcPr>
          <w:p>
            <w:pPr>
              <w:ind w:left="480"/>
              <w:spacing w:after="0" w:line="106" w:lineRule="exact"/>
              <w:rPr>
                <w:sz w:val="20"/>
                <w:szCs w:val="20"/>
                <w:color w:val="auto"/>
              </w:rPr>
            </w:pPr>
            <w:r>
              <w:rPr>
                <w:rFonts w:ascii="Arial" w:cs="Arial" w:eastAsia="Arial" w:hAnsi="Arial"/>
                <w:sz w:val="12"/>
                <w:szCs w:val="12"/>
                <w:b w:val="1"/>
                <w:bCs w:val="1"/>
                <w:color w:val="auto"/>
                <w:w w:val="87"/>
              </w:rPr>
              <w:t>Percent change in net interest</w:t>
            </w:r>
          </w:p>
        </w:tc>
        <w:tc>
          <w:tcPr>
            <w:tcW w:w="2420" w:type="dxa"/>
            <w:vAlign w:val="bottom"/>
          </w:tcPr>
          <w:p>
            <w:pPr>
              <w:ind w:left="720"/>
              <w:spacing w:after="0" w:line="106" w:lineRule="exact"/>
              <w:rPr>
                <w:sz w:val="20"/>
                <w:szCs w:val="20"/>
                <w:color w:val="auto"/>
              </w:rPr>
            </w:pPr>
            <w:r>
              <w:rPr>
                <w:rFonts w:ascii="Arial" w:cs="Arial" w:eastAsia="Arial" w:hAnsi="Arial"/>
                <w:sz w:val="12"/>
                <w:szCs w:val="12"/>
                <w:b w:val="1"/>
                <w:bCs w:val="1"/>
                <w:color w:val="auto"/>
                <w:w w:val="96"/>
              </w:rPr>
              <w:t>Percent change in fair value of</w:t>
            </w:r>
          </w:p>
        </w:tc>
      </w:tr>
      <w:tr>
        <w:trPr>
          <w:trHeight w:val="153"/>
        </w:trPr>
        <w:tc>
          <w:tcPr>
            <w:tcW w:w="2000" w:type="dxa"/>
            <w:vAlign w:val="bottom"/>
          </w:tcPr>
          <w:p>
            <w:pPr>
              <w:ind w:left="900"/>
              <w:spacing w:after="0"/>
              <w:rPr>
                <w:sz w:val="20"/>
                <w:szCs w:val="20"/>
                <w:color w:val="auto"/>
              </w:rPr>
            </w:pPr>
            <w:r>
              <w:rPr>
                <w:rFonts w:ascii="Arial" w:cs="Arial" w:eastAsia="Arial" w:hAnsi="Arial"/>
                <w:sz w:val="12"/>
                <w:szCs w:val="12"/>
                <w:b w:val="1"/>
                <w:bCs w:val="1"/>
                <w:color w:val="auto"/>
              </w:rPr>
              <w:t>income</w:t>
            </w:r>
          </w:p>
        </w:tc>
        <w:tc>
          <w:tcPr>
            <w:tcW w:w="2420" w:type="dxa"/>
            <w:vAlign w:val="bottom"/>
          </w:tcPr>
          <w:p>
            <w:pPr>
              <w:ind w:left="1180"/>
              <w:spacing w:after="0"/>
              <w:rPr>
                <w:sz w:val="20"/>
                <w:szCs w:val="20"/>
                <w:color w:val="auto"/>
              </w:rPr>
            </w:pPr>
            <w:r>
              <w:rPr>
                <w:rFonts w:ascii="Arial" w:cs="Arial" w:eastAsia="Arial" w:hAnsi="Arial"/>
                <w:sz w:val="12"/>
                <w:szCs w:val="12"/>
                <w:b w:val="1"/>
                <w:bCs w:val="1"/>
                <w:color w:val="auto"/>
              </w:rPr>
              <w:t>equity</w:t>
            </w:r>
          </w:p>
        </w:tc>
      </w:tr>
    </w:tbl>
    <w:p>
      <w:pPr>
        <w:spacing w:after="0" w:line="1" w:lineRule="exact"/>
        <w:rPr>
          <w:sz w:val="20"/>
          <w:szCs w:val="20"/>
          <w:color w:val="auto"/>
        </w:rPr>
      </w:pPr>
    </w:p>
    <w:p>
      <w:pPr>
        <w:sectPr>
          <w:pgSz w:w="11900" w:h="16838" w:orient="portrait"/>
          <w:cols w:equalWidth="0" w:num="2">
            <w:col w:w="6760" w:space="80"/>
            <w:col w:w="4440"/>
          </w:cols>
          <w:pgMar w:left="300" w:top="131" w:right="319" w:bottom="1440" w:gutter="0" w:footer="0" w:header="0"/>
          <w:type w:val="continuous"/>
        </w:sectPr>
      </w:pPr>
    </w:p>
    <w:tbl>
      <w:tblPr>
        <w:tblLayout w:type="fixed"/>
        <w:tblInd w:w="100" w:type="dxa"/>
        <w:tblCellMar>
          <w:top w:w="0" w:type="dxa"/>
          <w:left w:w="0" w:type="dxa"/>
          <w:bottom w:w="0" w:type="dxa"/>
          <w:right w:w="0" w:type="dxa"/>
        </w:tblCellMar>
      </w:tblPr>
      <w:tr>
        <w:trPr>
          <w:trHeight w:val="142"/>
        </w:trPr>
        <w:tc>
          <w:tcPr>
            <w:tcW w:w="21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+300</w:t>
            </w:r>
          </w:p>
        </w:tc>
        <w:tc>
          <w:tcPr>
            <w:tcW w:w="18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2.9</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(7.5)</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180" w:type="dxa"/>
            <w:vAlign w:val="bottom"/>
          </w:tcPr>
          <w:p>
            <w:pPr>
              <w:ind w:left="340"/>
              <w:spacing w:after="0"/>
              <w:rPr>
                <w:sz w:val="20"/>
                <w:szCs w:val="20"/>
                <w:color w:val="auto"/>
              </w:rPr>
            </w:pPr>
            <w:r>
              <w:rPr>
                <w:rFonts w:ascii="Arial" w:cs="Arial" w:eastAsia="Arial" w:hAnsi="Arial"/>
                <w:sz w:val="12"/>
                <w:szCs w:val="12"/>
                <w:color w:val="auto"/>
              </w:rPr>
              <w:t>+200</w:t>
            </w:r>
          </w:p>
        </w:tc>
        <w:tc>
          <w:tcPr>
            <w:tcW w:w="1840" w:type="dxa"/>
            <w:vAlign w:val="bottom"/>
          </w:tcPr>
          <w:p>
            <w:pPr>
              <w:jc w:val="right"/>
              <w:ind w:right="40"/>
              <w:spacing w:after="0"/>
              <w:rPr>
                <w:sz w:val="20"/>
                <w:szCs w:val="20"/>
                <w:color w:val="auto"/>
              </w:rPr>
            </w:pPr>
            <w:r>
              <w:rPr>
                <w:rFonts w:ascii="Arial" w:cs="Arial" w:eastAsia="Arial" w:hAnsi="Arial"/>
                <w:sz w:val="12"/>
                <w:szCs w:val="12"/>
                <w:color w:val="auto"/>
              </w:rPr>
              <w:t>1.4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jc w:val="right"/>
              <w:ind w:right="20"/>
              <w:spacing w:after="0"/>
              <w:rPr>
                <w:sz w:val="20"/>
                <w:szCs w:val="20"/>
                <w:color w:val="auto"/>
              </w:rPr>
            </w:pPr>
            <w:r>
              <w:rPr>
                <w:rFonts w:ascii="Arial" w:cs="Arial" w:eastAsia="Arial" w:hAnsi="Arial"/>
                <w:sz w:val="12"/>
                <w:szCs w:val="12"/>
                <w:color w:val="auto"/>
              </w:rPr>
              <w:t>(6.5)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jc w:val="right"/>
              <w:ind w:right="20"/>
              <w:spacing w:after="0"/>
              <w:rPr>
                <w:sz w:val="20"/>
                <w:szCs w:val="20"/>
                <w:color w:val="auto"/>
              </w:rPr>
            </w:pPr>
            <w:r>
              <w:rPr>
                <w:rFonts w:ascii="Arial" w:cs="Arial" w:eastAsia="Arial" w:hAnsi="Arial"/>
                <w:sz w:val="12"/>
                <w:szCs w:val="12"/>
                <w:color w:val="auto"/>
              </w:rPr>
              <w:t>2.2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jc w:val="right"/>
              <w:ind w:right="20"/>
              <w:spacing w:after="0"/>
              <w:rPr>
                <w:sz w:val="20"/>
                <w:szCs w:val="20"/>
                <w:color w:val="auto"/>
              </w:rPr>
            </w:pPr>
            <w:r>
              <w:rPr>
                <w:rFonts w:ascii="Arial" w:cs="Arial" w:eastAsia="Arial" w:hAnsi="Arial"/>
                <w:sz w:val="12"/>
                <w:szCs w:val="12"/>
                <w:color w:val="auto"/>
              </w:rPr>
              <w:t>(3.1)</w:t>
            </w:r>
          </w:p>
        </w:tc>
        <w:tc>
          <w:tcPr>
            <w:tcW w:w="360" w:type="dxa"/>
            <w:vAlign w:val="bottom"/>
          </w:tcPr>
          <w:p>
            <w:pPr>
              <w:spacing w:after="0"/>
              <w:rPr>
                <w:sz w:val="13"/>
                <w:szCs w:val="13"/>
                <w:color w:val="auto"/>
              </w:rPr>
            </w:pPr>
          </w:p>
        </w:tc>
      </w:tr>
      <w:tr>
        <w:trPr>
          <w:trHeight w:val="153"/>
        </w:trPr>
        <w:tc>
          <w:tcPr>
            <w:tcW w:w="21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+100</w:t>
            </w:r>
          </w:p>
        </w:tc>
        <w:tc>
          <w:tcPr>
            <w:tcW w:w="1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(0.6)</w:t>
            </w:r>
          </w:p>
        </w:tc>
        <w:tc>
          <w:tcPr>
            <w:tcW w:w="360" w:type="dxa"/>
            <w:vAlign w:val="bottom"/>
            <w:shd w:val="clear" w:color="auto" w:fill="CCEEFF"/>
          </w:tcPr>
          <w:p>
            <w:pPr>
              <w:spacing w:after="0"/>
              <w:rPr>
                <w:sz w:val="13"/>
                <w:szCs w:val="13"/>
                <w:color w:val="auto"/>
              </w:rPr>
            </w:pPr>
          </w:p>
        </w:tc>
      </w:tr>
      <w:tr>
        <w:trPr>
          <w:trHeight w:val="153"/>
        </w:trPr>
        <w:tc>
          <w:tcPr>
            <w:tcW w:w="2180" w:type="dxa"/>
            <w:vAlign w:val="bottom"/>
          </w:tcPr>
          <w:p>
            <w:pPr>
              <w:ind w:left="340"/>
              <w:spacing w:after="0"/>
              <w:rPr>
                <w:sz w:val="20"/>
                <w:szCs w:val="20"/>
                <w:color w:val="auto"/>
              </w:rPr>
            </w:pPr>
            <w:r>
              <w:rPr>
                <w:rFonts w:ascii="Arial" w:cs="Arial" w:eastAsia="Arial" w:hAnsi="Arial"/>
                <w:sz w:val="12"/>
                <w:szCs w:val="12"/>
                <w:color w:val="auto"/>
              </w:rPr>
              <w:t>Base</w:t>
            </w:r>
          </w:p>
        </w:tc>
        <w:tc>
          <w:tcPr>
            <w:tcW w:w="18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7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1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-100</w:t>
            </w:r>
          </w:p>
        </w:tc>
        <w:tc>
          <w:tcPr>
            <w:tcW w:w="18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7"/>
                <w:szCs w:val="17"/>
                <w:color w:val="auto"/>
                <w:vertAlign w:val="subscript"/>
              </w:rPr>
              <w:t>NA</w:t>
            </w:r>
            <w:r>
              <w:rPr>
                <w:rFonts w:ascii="Arial" w:cs="Arial" w:eastAsia="Arial" w:hAnsi="Arial"/>
                <w:sz w:val="7"/>
                <w:szCs w:val="7"/>
                <w:color w:val="auto"/>
              </w:rPr>
              <w:t>(1)</w:t>
            </w:r>
          </w:p>
        </w:tc>
        <w:tc>
          <w:tcPr>
            <w:tcW w:w="18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7"/>
                <w:szCs w:val="17"/>
                <w:color w:val="auto"/>
                <w:vertAlign w:val="subscript"/>
              </w:rPr>
              <w:t>NA</w:t>
            </w:r>
            <w:r>
              <w:rPr>
                <w:rFonts w:ascii="Arial" w:cs="Arial" w:eastAsia="Arial" w:hAnsi="Arial"/>
                <w:sz w:val="7"/>
                <w:szCs w:val="7"/>
                <w:color w:val="auto"/>
              </w:rPr>
              <w:t>(1)</w:t>
            </w:r>
          </w:p>
        </w:tc>
        <w:tc>
          <w:tcPr>
            <w:tcW w:w="1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7"/>
                <w:szCs w:val="17"/>
                <w:color w:val="auto"/>
                <w:vertAlign w:val="subscript"/>
              </w:rPr>
              <w:t>NA</w:t>
            </w:r>
            <w:r>
              <w:rPr>
                <w:rFonts w:ascii="Arial" w:cs="Arial" w:eastAsia="Arial" w:hAnsi="Arial"/>
                <w:sz w:val="7"/>
                <w:szCs w:val="7"/>
                <w:color w:val="auto"/>
              </w:rPr>
              <w:t>(1)</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3" w:lineRule="exact"/>
              <w:rPr>
                <w:sz w:val="20"/>
                <w:szCs w:val="20"/>
                <w:color w:val="auto"/>
              </w:rPr>
            </w:pPr>
            <w:r>
              <w:rPr>
                <w:rFonts w:ascii="Arial" w:cs="Arial" w:eastAsia="Arial" w:hAnsi="Arial"/>
                <w:sz w:val="17"/>
                <w:szCs w:val="17"/>
                <w:color w:val="auto"/>
                <w:vertAlign w:val="subscript"/>
              </w:rPr>
              <w:t>NA</w:t>
            </w:r>
            <w:r>
              <w:rPr>
                <w:rFonts w:ascii="Arial" w:cs="Arial" w:eastAsia="Arial" w:hAnsi="Arial"/>
                <w:sz w:val="7"/>
                <w:szCs w:val="7"/>
                <w:color w:val="auto"/>
              </w:rPr>
              <w:t>(1)</w:t>
            </w:r>
          </w:p>
        </w:tc>
      </w:tr>
      <w:tr>
        <w:trPr>
          <w:trHeight w:val="162"/>
        </w:trPr>
        <w:tc>
          <w:tcPr>
            <w:tcW w:w="2180" w:type="dxa"/>
            <w:vAlign w:val="bottom"/>
          </w:tcPr>
          <w:p>
            <w:pPr>
              <w:ind w:left="340"/>
              <w:spacing w:after="0"/>
              <w:rPr>
                <w:sz w:val="20"/>
                <w:szCs w:val="20"/>
                <w:color w:val="auto"/>
              </w:rPr>
            </w:pPr>
            <w:r>
              <w:rPr>
                <w:rFonts w:ascii="Arial" w:cs="Arial" w:eastAsia="Arial" w:hAnsi="Arial"/>
                <w:sz w:val="12"/>
                <w:szCs w:val="12"/>
                <w:color w:val="auto"/>
              </w:rPr>
              <w:t>-200</w:t>
            </w:r>
          </w:p>
        </w:tc>
        <w:tc>
          <w:tcPr>
            <w:tcW w:w="1840" w:type="dxa"/>
            <w:vAlign w:val="bottom"/>
          </w:tcPr>
          <w:p>
            <w:pPr>
              <w:spacing w:after="0"/>
              <w:rPr>
                <w:sz w:val="14"/>
                <w:szCs w:val="14"/>
                <w:color w:val="auto"/>
              </w:rPr>
            </w:pPr>
          </w:p>
        </w:tc>
        <w:tc>
          <w:tcPr>
            <w:tcW w:w="460" w:type="dxa"/>
            <w:vAlign w:val="bottom"/>
            <w:gridSpan w:val="2"/>
          </w:tcPr>
          <w:p>
            <w:pPr>
              <w:jc w:val="right"/>
              <w:ind w:right="100"/>
              <w:spacing w:after="0" w:line="163" w:lineRule="exact"/>
              <w:rPr>
                <w:sz w:val="20"/>
                <w:szCs w:val="20"/>
                <w:color w:val="auto"/>
              </w:rPr>
            </w:pPr>
            <w:r>
              <w:rPr>
                <w:rFonts w:ascii="Arial" w:cs="Arial" w:eastAsia="Arial" w:hAnsi="Arial"/>
                <w:sz w:val="18"/>
                <w:szCs w:val="18"/>
                <w:color w:val="auto"/>
                <w:vertAlign w:val="subscript"/>
              </w:rPr>
              <w:t>NA</w:t>
            </w:r>
            <w:r>
              <w:rPr>
                <w:rFonts w:ascii="Arial" w:cs="Arial" w:eastAsia="Arial" w:hAnsi="Arial"/>
                <w:sz w:val="7"/>
                <w:szCs w:val="7"/>
                <w:color w:val="auto"/>
              </w:rPr>
              <w:t>(1)</w:t>
            </w:r>
          </w:p>
        </w:tc>
        <w:tc>
          <w:tcPr>
            <w:tcW w:w="1820" w:type="dxa"/>
            <w:vAlign w:val="bottom"/>
          </w:tcPr>
          <w:p>
            <w:pPr>
              <w:spacing w:after="0"/>
              <w:rPr>
                <w:sz w:val="14"/>
                <w:szCs w:val="14"/>
                <w:color w:val="auto"/>
              </w:rPr>
            </w:pPr>
          </w:p>
        </w:tc>
        <w:tc>
          <w:tcPr>
            <w:tcW w:w="440" w:type="dxa"/>
            <w:vAlign w:val="bottom"/>
            <w:gridSpan w:val="2"/>
          </w:tcPr>
          <w:p>
            <w:pPr>
              <w:jc w:val="right"/>
              <w:ind w:right="100"/>
              <w:spacing w:after="0" w:line="163" w:lineRule="exact"/>
              <w:rPr>
                <w:sz w:val="20"/>
                <w:szCs w:val="20"/>
                <w:color w:val="auto"/>
              </w:rPr>
            </w:pPr>
            <w:r>
              <w:rPr>
                <w:rFonts w:ascii="Arial" w:cs="Arial" w:eastAsia="Arial" w:hAnsi="Arial"/>
                <w:sz w:val="18"/>
                <w:szCs w:val="18"/>
                <w:color w:val="auto"/>
                <w:vertAlign w:val="subscript"/>
              </w:rPr>
              <w:t>NA</w:t>
            </w:r>
            <w:r>
              <w:rPr>
                <w:rFonts w:ascii="Arial" w:cs="Arial" w:eastAsia="Arial" w:hAnsi="Arial"/>
                <w:sz w:val="7"/>
                <w:szCs w:val="7"/>
                <w:color w:val="auto"/>
              </w:rPr>
              <w:t>(1)</w:t>
            </w:r>
          </w:p>
        </w:tc>
        <w:tc>
          <w:tcPr>
            <w:tcW w:w="1780" w:type="dxa"/>
            <w:vAlign w:val="bottom"/>
          </w:tcPr>
          <w:p>
            <w:pPr>
              <w:spacing w:after="0"/>
              <w:rPr>
                <w:sz w:val="14"/>
                <w:szCs w:val="14"/>
                <w:color w:val="auto"/>
              </w:rPr>
            </w:pPr>
          </w:p>
        </w:tc>
        <w:tc>
          <w:tcPr>
            <w:tcW w:w="460" w:type="dxa"/>
            <w:vAlign w:val="bottom"/>
            <w:gridSpan w:val="2"/>
          </w:tcPr>
          <w:p>
            <w:pPr>
              <w:jc w:val="right"/>
              <w:ind w:right="100"/>
              <w:spacing w:after="0" w:line="163" w:lineRule="exact"/>
              <w:rPr>
                <w:sz w:val="20"/>
                <w:szCs w:val="20"/>
                <w:color w:val="auto"/>
              </w:rPr>
            </w:pPr>
            <w:r>
              <w:rPr>
                <w:rFonts w:ascii="Arial" w:cs="Arial" w:eastAsia="Arial" w:hAnsi="Arial"/>
                <w:sz w:val="18"/>
                <w:szCs w:val="18"/>
                <w:color w:val="auto"/>
                <w:vertAlign w:val="subscript"/>
              </w:rPr>
              <w:t>NA</w:t>
            </w:r>
            <w:r>
              <w:rPr>
                <w:rFonts w:ascii="Arial" w:cs="Arial" w:eastAsia="Arial" w:hAnsi="Arial"/>
                <w:sz w:val="7"/>
                <w:szCs w:val="7"/>
                <w:color w:val="auto"/>
              </w:rPr>
              <w:t>(1)</w:t>
            </w:r>
          </w:p>
        </w:tc>
        <w:tc>
          <w:tcPr>
            <w:tcW w:w="1820" w:type="dxa"/>
            <w:vAlign w:val="bottom"/>
          </w:tcPr>
          <w:p>
            <w:pPr>
              <w:spacing w:after="0"/>
              <w:rPr>
                <w:sz w:val="14"/>
                <w:szCs w:val="14"/>
                <w:color w:val="auto"/>
              </w:rPr>
            </w:pPr>
          </w:p>
        </w:tc>
        <w:tc>
          <w:tcPr>
            <w:tcW w:w="360" w:type="dxa"/>
            <w:vAlign w:val="bottom"/>
          </w:tcPr>
          <w:p>
            <w:pPr>
              <w:jc w:val="right"/>
              <w:spacing w:after="0" w:line="163" w:lineRule="exact"/>
              <w:rPr>
                <w:sz w:val="20"/>
                <w:szCs w:val="20"/>
                <w:color w:val="auto"/>
              </w:rPr>
            </w:pPr>
            <w:r>
              <w:rPr>
                <w:rFonts w:ascii="Arial" w:cs="Arial" w:eastAsia="Arial" w:hAnsi="Arial"/>
                <w:sz w:val="18"/>
                <w:szCs w:val="18"/>
                <w:color w:val="auto"/>
                <w:vertAlign w:val="subscript"/>
              </w:rPr>
              <w:t>NA</w:t>
            </w:r>
            <w:r>
              <w:rPr>
                <w:rFonts w:ascii="Arial" w:cs="Arial" w:eastAsia="Arial" w:hAnsi="Arial"/>
                <w:sz w:val="7"/>
                <w:szCs w:val="7"/>
                <w:color w:val="auto"/>
              </w:rPr>
              <w:t>(1)</w:t>
            </w:r>
          </w:p>
        </w:tc>
      </w:tr>
    </w:tbl>
    <w:p>
      <w:pPr>
        <w:ind w:left="220" w:hanging="108"/>
        <w:spacing w:after="0" w:line="209" w:lineRule="auto"/>
        <w:tabs>
          <w:tab w:leader="none" w:pos="220" w:val="left"/>
        </w:tabs>
        <w:numPr>
          <w:ilvl w:val="0"/>
          <w:numId w:val="18"/>
        </w:numPr>
        <w:rPr>
          <w:rFonts w:ascii="Arial" w:cs="Arial" w:eastAsia="Arial" w:hAnsi="Arial"/>
          <w:sz w:val="13"/>
          <w:szCs w:val="13"/>
          <w:color w:val="auto"/>
          <w:vertAlign w:val="superscript"/>
        </w:rPr>
      </w:pPr>
      <w:r>
        <w:rPr>
          <w:rFonts w:ascii="Arial" w:cs="Arial" w:eastAsia="Arial" w:hAnsi="Arial"/>
          <w:sz w:val="10"/>
          <w:szCs w:val="10"/>
          <w:color w:val="auto"/>
        </w:rPr>
        <w:t>The Company decided to exclude the down rate environment from its analysis due to the already low interest rate environment.</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Hypothetical Change in Interest Rate - Rate Ramp</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5240" w:type="dxa"/>
            <w:vAlign w:val="bottom"/>
            <w:tcBorders>
              <w:top w:val="single" w:sz="8" w:color="auto"/>
            </w:tcBorders>
          </w:tcPr>
          <w:p>
            <w:pPr>
              <w:spacing w:after="0"/>
              <w:rPr>
                <w:sz w:val="15"/>
                <w:szCs w:val="15"/>
                <w:color w:val="auto"/>
              </w:rPr>
            </w:pPr>
          </w:p>
        </w:tc>
        <w:tc>
          <w:tcPr>
            <w:tcW w:w="2440" w:type="dxa"/>
            <w:vAlign w:val="bottom"/>
            <w:tcBorders>
              <w:top w:val="single" w:sz="8" w:color="auto"/>
              <w:bottom w:val="single" w:sz="8" w:color="auto"/>
            </w:tcBorders>
          </w:tcPr>
          <w:p>
            <w:pPr>
              <w:jc w:val="center"/>
              <w:ind w:left="360"/>
              <w:spacing w:after="0"/>
              <w:rPr>
                <w:sz w:val="20"/>
                <w:szCs w:val="20"/>
                <w:color w:val="auto"/>
              </w:rPr>
            </w:pPr>
            <w:r>
              <w:rPr>
                <w:rFonts w:ascii="Arial" w:cs="Arial" w:eastAsia="Arial" w:hAnsi="Arial"/>
                <w:sz w:val="12"/>
                <w:szCs w:val="12"/>
                <w:b w:val="1"/>
                <w:bCs w:val="1"/>
                <w:color w:val="auto"/>
                <w:w w:val="89"/>
              </w:rPr>
              <w:t>June 30, 2021</w:t>
            </w:r>
          </w:p>
        </w:tc>
        <w:tc>
          <w:tcPr>
            <w:tcW w:w="4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June 30, 2020</w:t>
            </w:r>
          </w:p>
        </w:tc>
      </w:tr>
      <w:tr>
        <w:trPr>
          <w:trHeight w:val="140"/>
        </w:trPr>
        <w:tc>
          <w:tcPr>
            <w:tcW w:w="5240" w:type="dxa"/>
            <w:vAlign w:val="bottom"/>
          </w:tcPr>
          <w:p>
            <w:pPr>
              <w:ind w:left="20"/>
              <w:spacing w:after="0"/>
              <w:rPr>
                <w:sz w:val="20"/>
                <w:szCs w:val="20"/>
                <w:color w:val="auto"/>
              </w:rPr>
            </w:pPr>
            <w:r>
              <w:rPr>
                <w:rFonts w:ascii="Arial" w:cs="Arial" w:eastAsia="Arial" w:hAnsi="Arial"/>
                <w:sz w:val="12"/>
                <w:szCs w:val="12"/>
                <w:b w:val="1"/>
                <w:bCs w:val="1"/>
                <w:color w:val="auto"/>
              </w:rPr>
              <w:t>Change in Interest Rate</w:t>
            </w: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6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(Basis Points)</w:t>
            </w:r>
          </w:p>
        </w:tc>
        <w:tc>
          <w:tcPr>
            <w:tcW w:w="2440" w:type="dxa"/>
            <w:vAlign w:val="bottom"/>
            <w:tcBorders>
              <w:bottom w:val="single" w:sz="8" w:color="auto"/>
            </w:tcBorders>
          </w:tcPr>
          <w:p>
            <w:pPr>
              <w:jc w:val="center"/>
              <w:ind w:left="340"/>
              <w:spacing w:after="0"/>
              <w:rPr>
                <w:sz w:val="20"/>
                <w:szCs w:val="20"/>
                <w:color w:val="auto"/>
              </w:rPr>
            </w:pPr>
            <w:r>
              <w:rPr>
                <w:rFonts w:ascii="Arial" w:cs="Arial" w:eastAsia="Arial" w:hAnsi="Arial"/>
                <w:sz w:val="12"/>
                <w:szCs w:val="12"/>
                <w:b w:val="1"/>
                <w:bCs w:val="1"/>
                <w:color w:val="auto"/>
                <w:w w:val="88"/>
              </w:rPr>
              <w:t>Percent change in net interest income</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Percent change in net interest income</w:t>
            </w:r>
          </w:p>
        </w:tc>
      </w:tr>
      <w:tr>
        <w:trPr>
          <w:trHeight w:val="178"/>
        </w:trPr>
        <w:tc>
          <w:tcPr>
            <w:tcW w:w="5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+300</w:t>
            </w:r>
          </w:p>
        </w:tc>
        <w:tc>
          <w:tcPr>
            <w:tcW w:w="24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0.9 %</w:t>
            </w:r>
          </w:p>
        </w:tc>
        <w:tc>
          <w:tcPr>
            <w:tcW w:w="80" w:type="dxa"/>
            <w:vAlign w:val="bottom"/>
            <w:shd w:val="clear" w:color="auto" w:fill="CCEEFF"/>
          </w:tcPr>
          <w:p>
            <w:pPr>
              <w:spacing w:after="0"/>
              <w:rPr>
                <w:sz w:val="15"/>
                <w:szCs w:val="15"/>
                <w:color w:val="auto"/>
              </w:rPr>
            </w:pPr>
          </w:p>
        </w:tc>
        <w:tc>
          <w:tcPr>
            <w:tcW w:w="2840" w:type="dxa"/>
            <w:vAlign w:val="bottom"/>
            <w:shd w:val="clear" w:color="auto" w:fill="CCEEFF"/>
          </w:tcPr>
          <w:p>
            <w:pPr>
              <w:ind w:left="2540"/>
              <w:spacing w:after="0"/>
              <w:rPr>
                <w:sz w:val="20"/>
                <w:szCs w:val="20"/>
                <w:color w:val="auto"/>
              </w:rPr>
            </w:pPr>
            <w:r>
              <w:rPr>
                <w:rFonts w:ascii="Arial" w:cs="Arial" w:eastAsia="Arial" w:hAnsi="Arial"/>
                <w:sz w:val="12"/>
                <w:szCs w:val="12"/>
                <w:color w:val="auto"/>
                <w:w w:val="91"/>
              </w:rPr>
              <w:t>1.7 %</w:t>
            </w:r>
          </w:p>
        </w:tc>
      </w:tr>
      <w:tr>
        <w:trPr>
          <w:trHeight w:val="171"/>
        </w:trPr>
        <w:tc>
          <w:tcPr>
            <w:tcW w:w="5240" w:type="dxa"/>
            <w:vAlign w:val="bottom"/>
          </w:tcPr>
          <w:p>
            <w:pPr>
              <w:ind w:left="20"/>
              <w:spacing w:after="0"/>
              <w:rPr>
                <w:sz w:val="20"/>
                <w:szCs w:val="20"/>
                <w:color w:val="auto"/>
              </w:rPr>
            </w:pPr>
            <w:r>
              <w:rPr>
                <w:rFonts w:ascii="Arial" w:cs="Arial" w:eastAsia="Arial" w:hAnsi="Arial"/>
                <w:sz w:val="12"/>
                <w:szCs w:val="12"/>
                <w:color w:val="auto"/>
              </w:rPr>
              <w:t>+200</w:t>
            </w:r>
          </w:p>
        </w:tc>
        <w:tc>
          <w:tcPr>
            <w:tcW w:w="2440" w:type="dxa"/>
            <w:vAlign w:val="bottom"/>
          </w:tcPr>
          <w:p>
            <w:pPr>
              <w:spacing w:after="0"/>
              <w:rPr>
                <w:sz w:val="14"/>
                <w:szCs w:val="14"/>
                <w:color w:val="auto"/>
              </w:rPr>
            </w:pPr>
          </w:p>
        </w:tc>
        <w:tc>
          <w:tcPr>
            <w:tcW w:w="400" w:type="dxa"/>
            <w:vAlign w:val="bottom"/>
          </w:tcPr>
          <w:p>
            <w:pPr>
              <w:jc w:val="right"/>
              <w:ind w:right="88"/>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4"/>
                <w:szCs w:val="14"/>
                <w:color w:val="auto"/>
              </w:rPr>
            </w:pPr>
          </w:p>
        </w:tc>
        <w:tc>
          <w:tcPr>
            <w:tcW w:w="2840" w:type="dxa"/>
            <w:vAlign w:val="bottom"/>
          </w:tcPr>
          <w:p>
            <w:pPr>
              <w:ind w:left="2540"/>
              <w:spacing w:after="0"/>
              <w:rPr>
                <w:sz w:val="20"/>
                <w:szCs w:val="20"/>
                <w:color w:val="auto"/>
              </w:rPr>
            </w:pPr>
            <w:r>
              <w:rPr>
                <w:rFonts w:ascii="Arial" w:cs="Arial" w:eastAsia="Arial" w:hAnsi="Arial"/>
                <w:sz w:val="12"/>
                <w:szCs w:val="12"/>
                <w:color w:val="auto"/>
              </w:rPr>
              <w:t>1.1</w:t>
            </w: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+100</w:t>
            </w:r>
          </w:p>
        </w:tc>
        <w:tc>
          <w:tcPr>
            <w:tcW w:w="24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6"/>
                <w:szCs w:val="16"/>
                <w:color w:val="auto"/>
              </w:rPr>
            </w:pPr>
          </w:p>
        </w:tc>
        <w:tc>
          <w:tcPr>
            <w:tcW w:w="2840" w:type="dxa"/>
            <w:vAlign w:val="bottom"/>
            <w:shd w:val="clear" w:color="auto" w:fill="CCEEFF"/>
          </w:tcPr>
          <w:p>
            <w:pPr>
              <w:ind w:left="2540"/>
              <w:spacing w:after="0"/>
              <w:rPr>
                <w:sz w:val="20"/>
                <w:szCs w:val="20"/>
                <w:color w:val="auto"/>
              </w:rPr>
            </w:pPr>
            <w:r>
              <w:rPr>
                <w:rFonts w:ascii="Arial" w:cs="Arial" w:eastAsia="Arial" w:hAnsi="Arial"/>
                <w:sz w:val="12"/>
                <w:szCs w:val="12"/>
                <w:color w:val="auto"/>
              </w:rPr>
              <w:t>0.6</w:t>
            </w:r>
          </w:p>
        </w:tc>
      </w:tr>
      <w:tr>
        <w:trPr>
          <w:trHeight w:val="171"/>
        </w:trPr>
        <w:tc>
          <w:tcPr>
            <w:tcW w:w="5240" w:type="dxa"/>
            <w:vAlign w:val="bottom"/>
          </w:tcPr>
          <w:p>
            <w:pPr>
              <w:ind w:left="20"/>
              <w:spacing w:after="0"/>
              <w:rPr>
                <w:sz w:val="20"/>
                <w:szCs w:val="20"/>
                <w:color w:val="auto"/>
              </w:rPr>
            </w:pPr>
            <w:r>
              <w:rPr>
                <w:rFonts w:ascii="Arial" w:cs="Arial" w:eastAsia="Arial" w:hAnsi="Arial"/>
                <w:sz w:val="12"/>
                <w:szCs w:val="12"/>
                <w:color w:val="auto"/>
              </w:rPr>
              <w:t>Base</w:t>
            </w:r>
          </w:p>
        </w:tc>
        <w:tc>
          <w:tcPr>
            <w:tcW w:w="244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2840" w:type="dxa"/>
            <w:vAlign w:val="bottom"/>
          </w:tcPr>
          <w:p>
            <w:pPr>
              <w:jc w:val="right"/>
              <w:spacing w:after="0"/>
              <w:rPr>
                <w:sz w:val="20"/>
                <w:szCs w:val="20"/>
                <w:color w:val="auto"/>
              </w:rPr>
            </w:pPr>
            <w:r>
              <w:rPr>
                <w:rFonts w:ascii="Arial" w:cs="Arial" w:eastAsia="Arial" w:hAnsi="Arial"/>
                <w:sz w:val="12"/>
                <w:szCs w:val="12"/>
                <w:color w:val="auto"/>
              </w:rPr>
              <w:t>— %</w:t>
            </w:r>
          </w:p>
        </w:tc>
      </w:tr>
      <w:tr>
        <w:trPr>
          <w:trHeight w:val="189"/>
        </w:trPr>
        <w:tc>
          <w:tcPr>
            <w:tcW w:w="5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-100</w:t>
            </w:r>
          </w:p>
        </w:tc>
        <w:tc>
          <w:tcPr>
            <w:tcW w:w="24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7"/>
                <w:szCs w:val="7"/>
                <w:color w:val="auto"/>
              </w:rPr>
              <w:t>(1)</w:t>
            </w:r>
          </w:p>
        </w:tc>
        <w:tc>
          <w:tcPr>
            <w:tcW w:w="2840" w:type="dxa"/>
            <w:vAlign w:val="bottom"/>
            <w:shd w:val="clear" w:color="auto" w:fill="CCEEFF"/>
          </w:tcPr>
          <w:p>
            <w:pPr>
              <w:jc w:val="right"/>
              <w:spacing w:after="0" w:line="189"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7"/>
                <w:szCs w:val="7"/>
                <w:color w:val="auto"/>
              </w:rPr>
              <w:t>(1)</w:t>
            </w:r>
          </w:p>
        </w:tc>
      </w:tr>
      <w:tr>
        <w:trPr>
          <w:trHeight w:val="189"/>
        </w:trPr>
        <w:tc>
          <w:tcPr>
            <w:tcW w:w="5240" w:type="dxa"/>
            <w:vAlign w:val="bottom"/>
          </w:tcPr>
          <w:p>
            <w:pPr>
              <w:ind w:left="20"/>
              <w:spacing w:after="0"/>
              <w:rPr>
                <w:sz w:val="20"/>
                <w:szCs w:val="20"/>
                <w:color w:val="auto"/>
              </w:rPr>
            </w:pPr>
            <w:r>
              <w:rPr>
                <w:rFonts w:ascii="Arial" w:cs="Arial" w:eastAsia="Arial" w:hAnsi="Arial"/>
                <w:sz w:val="12"/>
                <w:szCs w:val="12"/>
                <w:color w:val="auto"/>
              </w:rPr>
              <w:t>-200</w:t>
            </w:r>
          </w:p>
        </w:tc>
        <w:tc>
          <w:tcPr>
            <w:tcW w:w="2440" w:type="dxa"/>
            <w:vAlign w:val="bottom"/>
          </w:tcPr>
          <w:p>
            <w:pPr>
              <w:spacing w:after="0"/>
              <w:rPr>
                <w:sz w:val="16"/>
                <w:szCs w:val="16"/>
                <w:color w:val="auto"/>
              </w:rPr>
            </w:pPr>
          </w:p>
        </w:tc>
        <w:tc>
          <w:tcPr>
            <w:tcW w:w="480" w:type="dxa"/>
            <w:vAlign w:val="bottom"/>
            <w:gridSpan w:val="2"/>
          </w:tcPr>
          <w:p>
            <w:pPr>
              <w:ind w:left="120"/>
              <w:spacing w:after="0" w:line="190"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7"/>
                <w:szCs w:val="7"/>
                <w:color w:val="auto"/>
              </w:rPr>
              <w:t>(1)</w:t>
            </w:r>
          </w:p>
        </w:tc>
        <w:tc>
          <w:tcPr>
            <w:tcW w:w="2840" w:type="dxa"/>
            <w:vAlign w:val="bottom"/>
          </w:tcPr>
          <w:p>
            <w:pPr>
              <w:jc w:val="right"/>
              <w:spacing w:after="0" w:line="190"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7"/>
                <w:szCs w:val="7"/>
                <w:color w:val="auto"/>
              </w:rPr>
              <w:t>(1)</w:t>
            </w:r>
          </w:p>
        </w:tc>
      </w:tr>
    </w:tbl>
    <w:p>
      <w:pPr>
        <w:ind w:left="220" w:hanging="108"/>
        <w:spacing w:after="0" w:line="224" w:lineRule="auto"/>
        <w:tabs>
          <w:tab w:leader="none" w:pos="220" w:val="left"/>
        </w:tabs>
        <w:numPr>
          <w:ilvl w:val="0"/>
          <w:numId w:val="19"/>
        </w:numPr>
        <w:rPr>
          <w:rFonts w:ascii="Arial" w:cs="Arial" w:eastAsia="Arial" w:hAnsi="Arial"/>
          <w:sz w:val="13"/>
          <w:szCs w:val="13"/>
          <w:color w:val="auto"/>
          <w:vertAlign w:val="superscript"/>
        </w:rPr>
      </w:pPr>
      <w:r>
        <w:rPr>
          <w:rFonts w:ascii="Arial" w:cs="Arial" w:eastAsia="Arial" w:hAnsi="Arial"/>
          <w:sz w:val="10"/>
          <w:szCs w:val="10"/>
          <w:color w:val="auto"/>
        </w:rPr>
        <w:t>The Company decided to exclude the down rate environment from its analysis due to the already low interest rate environment.</w:t>
      </w:r>
    </w:p>
    <w:p>
      <w:pPr>
        <w:spacing w:after="0" w:line="58" w:lineRule="exact"/>
        <w:rPr>
          <w:sz w:val="20"/>
          <w:szCs w:val="20"/>
          <w:color w:val="auto"/>
        </w:rPr>
      </w:pPr>
    </w:p>
    <w:p>
      <w:pPr>
        <w:ind w:left="100" w:firstLine="324"/>
        <w:spacing w:after="0" w:line="256" w:lineRule="auto"/>
        <w:rPr>
          <w:sz w:val="20"/>
          <w:szCs w:val="20"/>
          <w:color w:val="auto"/>
        </w:rPr>
      </w:pPr>
      <w:r>
        <w:rPr>
          <w:rFonts w:ascii="Arial" w:cs="Arial" w:eastAsia="Arial" w:hAnsi="Arial"/>
          <w:sz w:val="12"/>
          <w:szCs w:val="12"/>
          <w:color w:val="auto"/>
        </w:rPr>
        <w:t>The Company’s position is relatively neutral as of June 30, 2021. The hypothetical change in net interest income as of June 30, 2021 in an up 100 basis point shock is mainly due to floors on variable rate loans that limit interest income growth as rates start to rise and the number of fixed-rate PPP loans outstanding. In addition, the Company reduced wholesale deposits and time deposits to lower interest rate sensitivity in the current low rate environment. As a result, our interest-bearing liabilities reprice at the same speed as our earning assets in an up 100 basis point rate environment. The FMC has several options available, including an increase in fixed-rate deposits and using on balance sheet derivatives, that could reduce the short-term, negative impact of a rising interest rate environment. The Company expects that forgiveness of our PPP loans over the near term may improve net interest income if rates were to increase. Approximately 65% of the Company’s earning assets reprice or mature over the next 12 months.</w:t>
      </w:r>
    </w:p>
    <w:p>
      <w:pPr>
        <w:spacing w:after="0" w:line="92" w:lineRule="exact"/>
        <w:rPr>
          <w:sz w:val="20"/>
          <w:szCs w:val="20"/>
          <w:color w:val="auto"/>
        </w:rPr>
      </w:pPr>
    </w:p>
    <w:p>
      <w:pPr>
        <w:ind w:left="100" w:firstLine="324"/>
        <w:spacing w:after="0" w:line="263" w:lineRule="auto"/>
        <w:rPr>
          <w:sz w:val="20"/>
          <w:szCs w:val="20"/>
          <w:color w:val="auto"/>
        </w:rPr>
      </w:pPr>
      <w:r>
        <w:rPr>
          <w:rFonts w:ascii="Arial" w:cs="Arial" w:eastAsia="Arial" w:hAnsi="Arial"/>
          <w:sz w:val="12"/>
          <w:szCs w:val="12"/>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18" w:lineRule="exact"/>
        <w:rPr>
          <w:sz w:val="20"/>
          <w:szCs w:val="20"/>
          <w:color w:val="auto"/>
        </w:rPr>
      </w:pPr>
    </w:p>
    <w:p>
      <w:pPr>
        <w:ind w:left="100" w:right="160" w:firstLine="324"/>
        <w:spacing w:after="0" w:line="263" w:lineRule="auto"/>
        <w:rPr>
          <w:sz w:val="20"/>
          <w:szCs w:val="20"/>
          <w:color w:val="auto"/>
        </w:rPr>
      </w:pP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June 30, 2021. Based on that evaluation, the Company’s Chief Executive Officer and Chief Financial Officer concluded that the Company’s disclosure controls and procedures were effective as of June 30, 2021.</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18" w:lineRule="exact"/>
        <w:rPr>
          <w:sz w:val="20"/>
          <w:szCs w:val="20"/>
          <w:color w:val="auto"/>
        </w:rPr>
      </w:pPr>
    </w:p>
    <w:p>
      <w:pPr>
        <w:ind w:left="100" w:right="100" w:firstLine="324"/>
        <w:spacing w:after="0" w:line="276" w:lineRule="auto"/>
        <w:rPr>
          <w:sz w:val="20"/>
          <w:szCs w:val="20"/>
          <w:color w:val="auto"/>
        </w:rPr>
      </w:pPr>
      <w:r>
        <w:rPr>
          <w:rFonts w:ascii="Arial" w:cs="Arial" w:eastAsia="Arial" w:hAnsi="Arial"/>
          <w:sz w:val="12"/>
          <w:szCs w:val="12"/>
          <w:color w:val="auto"/>
        </w:rPr>
        <w:t>There was no change in the Company’s internal control over financial reporting (as such term is defined in Rule 13a-15(f) under the Exchange Act) that occurred during the second quarter of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type w:val="continuous"/>
        </w:sectPr>
      </w:pPr>
    </w:p>
    <w:bookmarkStart w:id="50" w:name="page51"/>
    <w:bookmarkEnd w:id="5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PART II -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18" w:lineRule="exact"/>
        <w:rPr>
          <w:sz w:val="20"/>
          <w:szCs w:val="20"/>
          <w:color w:val="auto"/>
        </w:rPr>
      </w:pPr>
    </w:p>
    <w:p>
      <w:pPr>
        <w:ind w:left="100" w:right="200" w:firstLine="324"/>
        <w:spacing w:after="0" w:line="259" w:lineRule="auto"/>
        <w:rPr>
          <w:sz w:val="20"/>
          <w:szCs w:val="20"/>
          <w:color w:val="auto"/>
        </w:rPr>
      </w:pPr>
      <w:r>
        <w:rPr>
          <w:rFonts w:ascii="Arial" w:cs="Arial" w:eastAsia="Arial" w:hAnsi="Arial"/>
          <w:sz w:val="12"/>
          <w:szCs w:val="12"/>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18" w:lineRule="exact"/>
        <w:rPr>
          <w:sz w:val="20"/>
          <w:szCs w:val="20"/>
          <w:color w:val="auto"/>
        </w:rPr>
      </w:pPr>
    </w:p>
    <w:p>
      <w:pPr>
        <w:ind w:left="100" w:right="40" w:firstLine="324"/>
        <w:spacing w:after="0" w:line="276" w:lineRule="auto"/>
        <w:rPr>
          <w:sz w:val="20"/>
          <w:szCs w:val="20"/>
          <w:color w:val="auto"/>
        </w:rPr>
      </w:pPr>
      <w:r>
        <w:rPr>
          <w:rFonts w:ascii="Arial" w:cs="Arial" w:eastAsia="Arial" w:hAnsi="Arial"/>
          <w:sz w:val="12"/>
          <w:szCs w:val="12"/>
          <w:color w:val="auto"/>
        </w:rPr>
        <w:t>In addition to the other information set forth in this report and the updated risk factor below, you should carefully consider the factors discussed in Part I, "Item 1A. Risk Factors" in our 2020 Form 10-K, which could materially affect our business, financial condition or results of operations in future periods.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may not be able to manage the risks associated with our anticipated growth and expansion through de novo branching.</w:t>
      </w:r>
    </w:p>
    <w:p>
      <w:pPr>
        <w:spacing w:after="0" w:line="114" w:lineRule="exact"/>
        <w:rPr>
          <w:sz w:val="20"/>
          <w:szCs w:val="20"/>
          <w:color w:val="auto"/>
        </w:rPr>
      </w:pPr>
    </w:p>
    <w:p>
      <w:pPr>
        <w:ind w:left="100" w:right="40" w:firstLine="324"/>
        <w:spacing w:after="0" w:line="285" w:lineRule="auto"/>
        <w:rPr>
          <w:sz w:val="20"/>
          <w:szCs w:val="20"/>
          <w:color w:val="auto"/>
        </w:rPr>
      </w:pPr>
      <w:r>
        <w:rPr>
          <w:rFonts w:ascii="Arial" w:cs="Arial" w:eastAsia="Arial" w:hAnsi="Arial"/>
          <w:sz w:val="11"/>
          <w:szCs w:val="11"/>
          <w:color w:val="auto"/>
        </w:rPr>
        <w:t>Our business strategy includes evaluating potential strategic opportunities to grow through de novo branching. We are in the process of opening a de novo branch in Phoenix, Arizona.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Share Repurchase Program</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repurchases of our common shares for the three-months ended June 30, 2021:</w:t>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2"/>
            <w:vMerge w:val="restart"/>
          </w:tcPr>
          <w:p>
            <w:pPr>
              <w:ind w:left="620"/>
              <w:spacing w:after="0"/>
              <w:rPr>
                <w:sz w:val="20"/>
                <w:szCs w:val="20"/>
                <w:color w:val="auto"/>
              </w:rPr>
            </w:pPr>
            <w:r>
              <w:rPr>
                <w:rFonts w:ascii="Arial" w:cs="Arial" w:eastAsia="Arial" w:hAnsi="Arial"/>
                <w:sz w:val="12"/>
                <w:szCs w:val="12"/>
                <w:b w:val="1"/>
                <w:bCs w:val="1"/>
                <w:color w:val="auto"/>
              </w:rPr>
              <w:t>Total Number of Shares</w:t>
            </w:r>
          </w:p>
        </w:tc>
        <w:tc>
          <w:tcPr>
            <w:tcW w:w="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jc w:val="right"/>
              <w:ind w:right="180"/>
              <w:spacing w:after="0"/>
              <w:rPr>
                <w:sz w:val="20"/>
                <w:szCs w:val="20"/>
                <w:color w:val="auto"/>
              </w:rPr>
            </w:pPr>
            <w:r>
              <w:rPr>
                <w:rFonts w:ascii="Arial" w:cs="Arial" w:eastAsia="Arial" w:hAnsi="Arial"/>
                <w:sz w:val="12"/>
                <w:szCs w:val="12"/>
                <w:b w:val="1"/>
                <w:bCs w:val="1"/>
                <w:color w:val="auto"/>
              </w:rPr>
              <w:t>Total Number of Shares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jc w:val="right"/>
              <w:ind w:right="40"/>
              <w:spacing w:after="0"/>
              <w:rPr>
                <w:sz w:val="20"/>
                <w:szCs w:val="20"/>
                <w:color w:val="auto"/>
              </w:rPr>
            </w:pPr>
            <w:r>
              <w:rPr>
                <w:rFonts w:ascii="Arial" w:cs="Arial" w:eastAsia="Arial" w:hAnsi="Arial"/>
                <w:sz w:val="12"/>
                <w:szCs w:val="12"/>
                <w:b w:val="1"/>
                <w:bCs w:val="1"/>
                <w:color w:val="auto"/>
                <w:w w:val="90"/>
              </w:rPr>
              <w:t>Approximate Dollar Value of Shares</w:t>
            </w:r>
          </w:p>
        </w:tc>
        <w:tc>
          <w:tcPr>
            <w:tcW w:w="0" w:type="dxa"/>
            <w:vAlign w:val="bottom"/>
          </w:tcPr>
          <w:p>
            <w:pPr>
              <w:spacing w:after="0"/>
              <w:rPr>
                <w:sz w:val="1"/>
                <w:szCs w:val="1"/>
                <w:color w:val="auto"/>
              </w:rPr>
            </w:pPr>
          </w:p>
        </w:tc>
      </w:tr>
      <w:tr>
        <w:trPr>
          <w:trHeight w:val="117"/>
        </w:trPr>
        <w:tc>
          <w:tcPr>
            <w:tcW w:w="20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Calendar Month</w:t>
            </w:r>
          </w:p>
        </w:tc>
        <w:tc>
          <w:tcPr>
            <w:tcW w:w="60" w:type="dxa"/>
            <w:vAlign w:val="bottom"/>
            <w:vMerge w:val="restart"/>
          </w:tcPr>
          <w:p>
            <w:pPr>
              <w:spacing w:after="0"/>
              <w:rPr>
                <w:sz w:val="10"/>
                <w:szCs w:val="10"/>
                <w:color w:val="auto"/>
              </w:rPr>
            </w:pPr>
          </w:p>
        </w:tc>
        <w:tc>
          <w:tcPr>
            <w:tcW w:w="22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w w:val="94"/>
              </w:rPr>
              <w:t>Average Price Paid per Share</w:t>
            </w:r>
          </w:p>
        </w:tc>
        <w:tc>
          <w:tcPr>
            <w:tcW w:w="80" w:type="dxa"/>
            <w:vAlign w:val="bottom"/>
            <w:vMerge w:val="restart"/>
          </w:tcPr>
          <w:p>
            <w:pPr>
              <w:spacing w:after="0"/>
              <w:rPr>
                <w:sz w:val="10"/>
                <w:szCs w:val="10"/>
                <w:color w:val="auto"/>
              </w:rPr>
            </w:pPr>
          </w:p>
        </w:tc>
        <w:tc>
          <w:tcPr>
            <w:tcW w:w="2040" w:type="dxa"/>
            <w:vAlign w:val="bottom"/>
          </w:tcPr>
          <w:p>
            <w:pPr>
              <w:jc w:val="right"/>
              <w:ind w:right="200"/>
              <w:spacing w:after="0" w:line="117" w:lineRule="exact"/>
              <w:rPr>
                <w:sz w:val="20"/>
                <w:szCs w:val="20"/>
                <w:color w:val="auto"/>
              </w:rPr>
            </w:pPr>
            <w:r>
              <w:rPr>
                <w:rFonts w:ascii="Arial" w:cs="Arial" w:eastAsia="Arial" w:hAnsi="Arial"/>
                <w:sz w:val="12"/>
                <w:szCs w:val="12"/>
                <w:b w:val="1"/>
                <w:bCs w:val="1"/>
                <w:color w:val="auto"/>
              </w:rPr>
              <w:t>Purchased as Part of Publicly</w:t>
            </w:r>
          </w:p>
        </w:tc>
        <w:tc>
          <w:tcPr>
            <w:tcW w:w="80" w:type="dxa"/>
            <w:vAlign w:val="bottom"/>
          </w:tcPr>
          <w:p>
            <w:pPr>
              <w:spacing w:after="0"/>
              <w:rPr>
                <w:sz w:val="10"/>
                <w:szCs w:val="10"/>
                <w:color w:val="auto"/>
              </w:rPr>
            </w:pPr>
          </w:p>
        </w:tc>
        <w:tc>
          <w:tcPr>
            <w:tcW w:w="236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w w:val="89"/>
              </w:rPr>
              <w:t>that may yet be Purchased as Part of Publicly</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21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Repurchased</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Announced Plans or Programs</w:t>
            </w:r>
          </w:p>
        </w:tc>
        <w:tc>
          <w:tcPr>
            <w:tcW w:w="80" w:type="dxa"/>
            <w:vAlign w:val="bottom"/>
            <w:tcBorders>
              <w:bottom w:val="single" w:sz="8" w:color="CCEEFF"/>
            </w:tcBorders>
          </w:tcPr>
          <w:p>
            <w:pPr>
              <w:spacing w:after="0"/>
              <w:rPr>
                <w:sz w:val="13"/>
                <w:szCs w:val="13"/>
                <w:color w:val="auto"/>
              </w:rPr>
            </w:pPr>
          </w:p>
        </w:tc>
        <w:tc>
          <w:tcPr>
            <w:tcW w:w="23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b w:val="1"/>
                <w:bCs w:val="1"/>
                <w:color w:val="auto"/>
              </w:rPr>
              <w:t>Announced Plans or Programs</w:t>
            </w:r>
          </w:p>
        </w:tc>
        <w:tc>
          <w:tcPr>
            <w:tcW w:w="0" w:type="dxa"/>
            <w:vAlign w:val="bottom"/>
          </w:tcPr>
          <w:p>
            <w:pPr>
              <w:spacing w:after="0"/>
              <w:rPr>
                <w:sz w:val="1"/>
                <w:szCs w:val="1"/>
                <w:color w:val="auto"/>
              </w:rPr>
            </w:pPr>
          </w:p>
        </w:tc>
      </w:tr>
      <w:tr>
        <w:trPr>
          <w:trHeight w:val="142"/>
        </w:trPr>
        <w:tc>
          <w:tcPr>
            <w:tcW w:w="21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April 1 - 30</w:t>
            </w:r>
          </w:p>
        </w:tc>
        <w:tc>
          <w:tcPr>
            <w:tcW w:w="2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77,297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13.88</w:t>
            </w:r>
          </w:p>
        </w:tc>
        <w:tc>
          <w:tcPr>
            <w:tcW w:w="80" w:type="dxa"/>
            <w:vAlign w:val="bottom"/>
            <w:shd w:val="clear" w:color="auto" w:fill="CCEEFF"/>
          </w:tcPr>
          <w:p>
            <w:pPr>
              <w:spacing w:after="0"/>
              <w:rPr>
                <w:sz w:val="12"/>
                <w:szCs w:val="1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11,834,969</w:t>
            </w:r>
          </w:p>
        </w:tc>
        <w:tc>
          <w:tcPr>
            <w:tcW w:w="0" w:type="dxa"/>
            <w:vAlign w:val="bottom"/>
          </w:tcPr>
          <w:p>
            <w:pPr>
              <w:spacing w:after="0"/>
              <w:rPr>
                <w:sz w:val="1"/>
                <w:szCs w:val="1"/>
                <w:color w:val="auto"/>
              </w:rPr>
            </w:pPr>
          </w:p>
        </w:tc>
      </w:tr>
      <w:tr>
        <w:trPr>
          <w:trHeight w:val="153"/>
        </w:trPr>
        <w:tc>
          <w:tcPr>
            <w:tcW w:w="2100" w:type="dxa"/>
            <w:vAlign w:val="bottom"/>
            <w:gridSpan w:val="2"/>
          </w:tcPr>
          <w:p>
            <w:pPr>
              <w:ind w:left="340"/>
              <w:spacing w:after="0"/>
              <w:rPr>
                <w:sz w:val="20"/>
                <w:szCs w:val="20"/>
                <w:color w:val="auto"/>
              </w:rPr>
            </w:pPr>
            <w:r>
              <w:rPr>
                <w:rFonts w:ascii="Arial" w:cs="Arial" w:eastAsia="Arial" w:hAnsi="Arial"/>
                <w:sz w:val="12"/>
                <w:szCs w:val="12"/>
                <w:color w:val="auto"/>
              </w:rPr>
              <w:t>May 1 - 31</w:t>
            </w:r>
          </w:p>
        </w:tc>
        <w:tc>
          <w:tcPr>
            <w:tcW w:w="2140" w:type="dxa"/>
            <w:vAlign w:val="bottom"/>
          </w:tcPr>
          <w:p>
            <w:pPr>
              <w:jc w:val="right"/>
              <w:spacing w:after="0"/>
              <w:rPr>
                <w:sz w:val="20"/>
                <w:szCs w:val="20"/>
                <w:color w:val="auto"/>
              </w:rPr>
            </w:pPr>
            <w:r>
              <w:rPr>
                <w:rFonts w:ascii="Arial" w:cs="Arial" w:eastAsia="Arial" w:hAnsi="Arial"/>
                <w:sz w:val="12"/>
                <w:szCs w:val="12"/>
                <w:color w:val="auto"/>
              </w:rPr>
              <w:t>280,351</w:t>
            </w:r>
          </w:p>
        </w:tc>
        <w:tc>
          <w:tcPr>
            <w:tcW w:w="8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840" w:type="dxa"/>
            <w:vAlign w:val="bottom"/>
          </w:tcPr>
          <w:p>
            <w:pPr>
              <w:jc w:val="right"/>
              <w:spacing w:after="0"/>
              <w:rPr>
                <w:sz w:val="20"/>
                <w:szCs w:val="20"/>
                <w:color w:val="auto"/>
              </w:rPr>
            </w:pPr>
            <w:r>
              <w:rPr>
                <w:rFonts w:ascii="Arial" w:cs="Arial" w:eastAsia="Arial" w:hAnsi="Arial"/>
                <w:sz w:val="12"/>
                <w:szCs w:val="12"/>
                <w:color w:val="auto"/>
              </w:rPr>
              <w:t>14.73</w:t>
            </w:r>
          </w:p>
        </w:tc>
        <w:tc>
          <w:tcPr>
            <w:tcW w:w="8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2"/>
                <w:szCs w:val="12"/>
                <w:color w:val="auto"/>
              </w:rPr>
              <w:t>280,351</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960" w:type="dxa"/>
            <w:vAlign w:val="bottom"/>
          </w:tcPr>
          <w:p>
            <w:pPr>
              <w:jc w:val="right"/>
              <w:spacing w:after="0"/>
              <w:rPr>
                <w:sz w:val="20"/>
                <w:szCs w:val="20"/>
                <w:color w:val="auto"/>
              </w:rPr>
            </w:pPr>
            <w:r>
              <w:rPr>
                <w:rFonts w:ascii="Arial" w:cs="Arial" w:eastAsia="Arial" w:hAnsi="Arial"/>
                <w:sz w:val="12"/>
                <w:szCs w:val="12"/>
                <w:color w:val="auto"/>
              </w:rPr>
              <w:t>7,701,121</w:t>
            </w:r>
          </w:p>
        </w:tc>
        <w:tc>
          <w:tcPr>
            <w:tcW w:w="0" w:type="dxa"/>
            <w:vAlign w:val="bottom"/>
          </w:tcPr>
          <w:p>
            <w:pPr>
              <w:spacing w:after="0"/>
              <w:rPr>
                <w:sz w:val="1"/>
                <w:szCs w:val="1"/>
                <w:color w:val="auto"/>
              </w:rPr>
            </w:pPr>
          </w:p>
        </w:tc>
      </w:tr>
      <w:tr>
        <w:trPr>
          <w:trHeight w:val="153"/>
        </w:trPr>
        <w:tc>
          <w:tcPr>
            <w:tcW w:w="21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June 1 - 30</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518,048</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14.78</w:t>
            </w:r>
          </w:p>
        </w:tc>
        <w:tc>
          <w:tcPr>
            <w:tcW w:w="80" w:type="dxa"/>
            <w:vAlign w:val="bottom"/>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518,048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100" w:type="dxa"/>
            <w:vAlign w:val="bottom"/>
            <w:gridSpan w:val="2"/>
          </w:tcPr>
          <w:p>
            <w:pPr>
              <w:ind w:left="400"/>
              <w:spacing w:after="0"/>
              <w:rPr>
                <w:sz w:val="20"/>
                <w:szCs w:val="20"/>
                <w:color w:val="auto"/>
              </w:rPr>
            </w:pPr>
            <w:r>
              <w:rPr>
                <w:rFonts w:ascii="Arial" w:cs="Arial" w:eastAsia="Arial" w:hAnsi="Arial"/>
                <w:sz w:val="12"/>
                <w:szCs w:val="12"/>
                <w:color w:val="auto"/>
              </w:rPr>
              <w:t>Total</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875,696</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14.69</w:t>
            </w:r>
          </w:p>
        </w:tc>
        <w:tc>
          <w:tcPr>
            <w:tcW w:w="80" w:type="dxa"/>
            <w:vAlign w:val="bottom"/>
          </w:tcPr>
          <w:p>
            <w:pPr>
              <w:spacing w:after="0"/>
              <w:rPr>
                <w:sz w:val="12"/>
                <w:szCs w:val="1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875,696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right="160" w:firstLine="324"/>
        <w:spacing w:after="0" w:line="298" w:lineRule="auto"/>
        <w:rPr>
          <w:sz w:val="20"/>
          <w:szCs w:val="20"/>
          <w:color w:val="auto"/>
        </w:rPr>
      </w:pPr>
      <w:r>
        <w:rPr>
          <w:rFonts w:ascii="Arial" w:cs="Arial" w:eastAsia="Arial" w:hAnsi="Arial"/>
          <w:sz w:val="11"/>
          <w:szCs w:val="11"/>
          <w:color w:val="auto"/>
        </w:rPr>
        <w:t>On October 20, 2020, the Company announced that its Board of Directors approved a share repurchase program under which the Company may repurchase up to $20 million of its common stock. Repurchases under the program could be made in open market or privately negotiated transactions in compliance with SEC Rule 10b-18, subject to market conditions, applicable legal requirements and other relevant factors. The program did not obligate the Company to acquire any particular amount of common stock, and it could be suspended at any time at the Company's discretion. No time limit was set for completion of the program.</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June 30, 2021, the Company completed its share repurchase program under which the Company purchased $20 million of its common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1" w:name="page52"/>
    <w:bookmarkEnd w:id="5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20" w:type="dxa"/>
            <w:vAlign w:val="bottom"/>
            <w:gridSpan w:val="5"/>
          </w:tcPr>
          <w:p>
            <w:pPr>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b w:val="1"/>
                <w:bCs w:val="1"/>
                <w:color w:val="auto"/>
              </w:rPr>
              <w:t>Exhibit Description</w:t>
            </w:r>
          </w:p>
        </w:tc>
        <w:tc>
          <w:tcPr>
            <w:tcW w:w="0" w:type="dxa"/>
            <w:vAlign w:val="bottom"/>
          </w:tcPr>
          <w:p>
            <w:pPr>
              <w:spacing w:after="0"/>
              <w:rPr>
                <w:sz w:val="1"/>
                <w:szCs w:val="1"/>
                <w:color w:val="auto"/>
              </w:rPr>
            </w:pPr>
          </w:p>
        </w:tc>
      </w:tr>
      <w:tr>
        <w:trPr>
          <w:trHeight w:val="115"/>
        </w:trPr>
        <w:tc>
          <w:tcPr>
            <w:tcW w:w="160" w:type="dxa"/>
            <w:vAlign w:val="bottom"/>
            <w:tcBorders>
              <w:top w:val="single" w:sz="8" w:color="auto"/>
              <w:bottom w:val="single" w:sz="8" w:color="0000FF"/>
            </w:tcBorders>
          </w:tcPr>
          <w:p>
            <w:pPr>
              <w:spacing w:after="0" w:line="106" w:lineRule="exact"/>
              <w:rPr>
                <w:rFonts w:ascii="Arial" w:cs="Arial" w:eastAsia="Arial" w:hAnsi="Arial"/>
                <w:sz w:val="12"/>
                <w:szCs w:val="12"/>
                <w:color w:val="0000FF"/>
                <w:w w:val="71"/>
              </w:rPr>
            </w:pPr>
            <w:hyperlink r:id="rId99">
              <w:r>
                <w:rPr>
                  <w:rFonts w:ascii="Arial" w:cs="Arial" w:eastAsia="Arial" w:hAnsi="Arial"/>
                  <w:sz w:val="12"/>
                  <w:szCs w:val="12"/>
                  <w:color w:val="0000FF"/>
                  <w:w w:val="71"/>
                </w:rPr>
                <w:t>3.</w:t>
              </w:r>
              <w:r>
                <w:rPr>
                  <w:rFonts w:ascii="Arial" w:cs="Arial" w:eastAsia="Arial" w:hAnsi="Arial"/>
                  <w:sz w:val="12"/>
                  <w:szCs w:val="12"/>
                  <w:u w:val="single" w:color="auto"/>
                  <w:color w:val="0000FF"/>
                  <w:w w:val="71"/>
                </w:rPr>
                <w:t>1</w:t>
              </w:r>
            </w:hyperlink>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20" w:type="dxa"/>
            <w:vAlign w:val="bottom"/>
            <w:tcBorders>
              <w:top w:val="single" w:sz="8" w:color="auto"/>
              <w:bottom w:val="single" w:sz="8" w:color="0000FF"/>
            </w:tcBorders>
            <w:gridSpan w:val="10"/>
          </w:tcPr>
          <w:p>
            <w:pPr>
              <w:spacing w:after="0" w:line="106" w:lineRule="exact"/>
              <w:rPr>
                <w:rFonts w:ascii="Arial" w:cs="Arial" w:eastAsia="Arial" w:hAnsi="Arial"/>
                <w:sz w:val="12"/>
                <w:szCs w:val="12"/>
                <w:color w:val="0000FF"/>
                <w:w w:val="91"/>
              </w:rPr>
            </w:pPr>
            <w:hyperlink r:id="rId99">
              <w:r>
                <w:rPr>
                  <w:rFonts w:ascii="Arial" w:cs="Arial" w:eastAsia="Arial" w:hAnsi="Arial"/>
                  <w:sz w:val="12"/>
                  <w:szCs w:val="12"/>
                  <w:color w:val="0000FF"/>
                  <w:w w:val="91"/>
                </w:rPr>
                <w:t>Articles of Incorporation of CrossFirst Bankshares, Inc. (incorporated by reference to Exhibit 3.1 to the Company's Registration Statement on Form S-1 as filed with the SEC on July 18, 2019, File No.</w:t>
              </w:r>
            </w:hyperlink>
          </w:p>
        </w:tc>
        <w:tc>
          <w:tcPr>
            <w:tcW w:w="240" w:type="dxa"/>
            <w:vAlign w:val="bottom"/>
            <w:tcBorders>
              <w:top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20"/>
              <w:spacing w:after="0" w:line="124" w:lineRule="exact"/>
              <w:rPr>
                <w:rFonts w:ascii="Arial" w:cs="Arial" w:eastAsia="Arial" w:hAnsi="Arial"/>
                <w:sz w:val="12"/>
                <w:szCs w:val="12"/>
                <w:color w:val="0000FF"/>
                <w:w w:val="86"/>
              </w:rPr>
            </w:pPr>
            <w:hyperlink r:id="rId99">
              <w:r>
                <w:rPr>
                  <w:rFonts w:ascii="Arial" w:cs="Arial" w:eastAsia="Arial" w:hAnsi="Arial"/>
                  <w:sz w:val="12"/>
                  <w:szCs w:val="12"/>
                  <w:color w:val="0000FF"/>
                  <w:w w:val="86"/>
                </w:rPr>
                <w:t>333-232704).</w:t>
              </w:r>
            </w:hyperlink>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rFonts w:ascii="Arial" w:cs="Arial" w:eastAsia="Arial" w:hAnsi="Arial"/>
                <w:sz w:val="12"/>
                <w:szCs w:val="12"/>
                <w:color w:val="0000FF"/>
                <w:w w:val="71"/>
              </w:rPr>
            </w:pPr>
            <w:hyperlink r:id="rId100">
              <w:r>
                <w:rPr>
                  <w:rFonts w:ascii="Arial" w:cs="Arial" w:eastAsia="Arial" w:hAnsi="Arial"/>
                  <w:sz w:val="12"/>
                  <w:szCs w:val="12"/>
                  <w:color w:val="0000FF"/>
                  <w:w w:val="71"/>
                </w:rPr>
                <w:t>3.</w:t>
              </w:r>
              <w:r>
                <w:rPr>
                  <w:rFonts w:ascii="Arial" w:cs="Arial" w:eastAsia="Arial" w:hAnsi="Arial"/>
                  <w:sz w:val="12"/>
                  <w:szCs w:val="12"/>
                  <w:u w:val="single" w:color="auto"/>
                  <w:color w:val="0000FF"/>
                  <w:w w:val="71"/>
                </w:rPr>
                <w:t>2</w:t>
              </w:r>
            </w:hyperlink>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12"/>
          </w:tcPr>
          <w:p>
            <w:pPr>
              <w:spacing w:after="0" w:line="133" w:lineRule="exact"/>
              <w:rPr>
                <w:rFonts w:ascii="Arial" w:cs="Arial" w:eastAsia="Arial" w:hAnsi="Arial"/>
                <w:sz w:val="12"/>
                <w:szCs w:val="12"/>
                <w:color w:val="0000FF"/>
                <w:w w:val="93"/>
              </w:rPr>
            </w:pPr>
            <w:hyperlink r:id="rId100">
              <w:r>
                <w:rPr>
                  <w:rFonts w:ascii="Arial" w:cs="Arial" w:eastAsia="Arial" w:hAnsi="Arial"/>
                  <w:sz w:val="12"/>
                  <w:szCs w:val="12"/>
                  <w:color w:val="0000FF"/>
                  <w:w w:val="93"/>
                </w:rPr>
                <w:t>Amendment to Articles of Incorporation of CrossFirst Bankshares, Inc. (incorporated by reference to Exhibit 3.2 to the Company’s Registration Statement on Form S-1 as filed with the SEC on July 18,</w:t>
              </w:r>
            </w:hyperlink>
          </w:p>
        </w:tc>
        <w:tc>
          <w:tcPr>
            <w:tcW w:w="0" w:type="dxa"/>
            <w:vAlign w:val="bottom"/>
          </w:tcPr>
          <w:p>
            <w:pPr>
              <w:spacing w:after="0"/>
              <w:rPr>
                <w:sz w:val="1"/>
                <w:szCs w:val="1"/>
                <w:color w:val="auto"/>
              </w:rPr>
            </w:pPr>
          </w:p>
        </w:tc>
      </w:tr>
      <w:tr>
        <w:trPr>
          <w:trHeight w:val="124"/>
        </w:trPr>
        <w:tc>
          <w:tcPr>
            <w:tcW w:w="16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40" w:type="dxa"/>
            <w:vAlign w:val="bottom"/>
            <w:tcBorders>
              <w:top w:val="single" w:sz="8" w:color="0000FF"/>
            </w:tcBorders>
            <w:gridSpan w:val="11"/>
          </w:tcPr>
          <w:p>
            <w:pPr>
              <w:spacing w:after="0" w:line="124" w:lineRule="exact"/>
              <w:rPr>
                <w:rFonts w:ascii="Arial" w:cs="Arial" w:eastAsia="Arial" w:hAnsi="Arial"/>
                <w:sz w:val="12"/>
                <w:szCs w:val="12"/>
                <w:color w:val="0000FF"/>
              </w:rPr>
            </w:pPr>
            <w:hyperlink r:id="rId100">
              <w:r>
                <w:rPr>
                  <w:rFonts w:ascii="Arial" w:cs="Arial" w:eastAsia="Arial" w:hAnsi="Arial"/>
                  <w:sz w:val="12"/>
                  <w:szCs w:val="12"/>
                  <w:color w:val="0000FF"/>
                </w:rPr>
                <w:t>2019, File No. 333-232704).</w:t>
              </w:r>
            </w:hyperlink>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spacing w:after="0"/>
              <w:rPr>
                <w:rFonts w:ascii="Arial" w:cs="Arial" w:eastAsia="Arial" w:hAnsi="Arial"/>
                <w:sz w:val="12"/>
                <w:szCs w:val="12"/>
                <w:color w:val="0000FF"/>
                <w:w w:val="71"/>
              </w:rPr>
            </w:pPr>
            <w:hyperlink r:id="rId101">
              <w:r>
                <w:rPr>
                  <w:rFonts w:ascii="Arial" w:cs="Arial" w:eastAsia="Arial" w:hAnsi="Arial"/>
                  <w:sz w:val="12"/>
                  <w:szCs w:val="12"/>
                  <w:color w:val="0000FF"/>
                  <w:w w:val="71"/>
                </w:rPr>
                <w:t>3.</w:t>
              </w:r>
              <w:r>
                <w:rPr>
                  <w:rFonts w:ascii="Arial" w:cs="Arial" w:eastAsia="Arial" w:hAnsi="Arial"/>
                  <w:sz w:val="12"/>
                  <w:szCs w:val="12"/>
                  <w:u w:val="single" w:color="auto"/>
                  <w:color w:val="0000FF"/>
                  <w:w w:val="71"/>
                </w:rPr>
                <w:t>3</w:t>
              </w:r>
            </w:hyperlink>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12"/>
          </w:tcPr>
          <w:p>
            <w:pPr>
              <w:spacing w:after="0"/>
              <w:rPr>
                <w:rFonts w:ascii="Arial" w:cs="Arial" w:eastAsia="Arial" w:hAnsi="Arial"/>
                <w:sz w:val="12"/>
                <w:szCs w:val="12"/>
                <w:color w:val="0000FF"/>
                <w:w w:val="94"/>
              </w:rPr>
            </w:pPr>
            <w:hyperlink r:id="rId101">
              <w:r>
                <w:rPr>
                  <w:rFonts w:ascii="Arial" w:cs="Arial" w:eastAsia="Arial" w:hAnsi="Arial"/>
                  <w:sz w:val="12"/>
                  <w:szCs w:val="12"/>
                  <w:color w:val="0000FF"/>
                  <w:w w:val="94"/>
                </w:rPr>
                <w:t>Bylaws of CrossFirst Bankshares, Inc. (incorporated by reference to Exhibit 3.3 to the Company's Registration Statement on Form S-1 as filed with the SEC on July 18, 2019, File No. 333-232704).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 w:type="dxa"/>
            <w:vAlign w:val="bottom"/>
            <w:tcBorders>
              <w:bottom w:val="single" w:sz="8" w:color="0000FF"/>
            </w:tcBorders>
            <w:gridSpan w:val="2"/>
          </w:tcPr>
          <w:p>
            <w:pPr>
              <w:spacing w:after="0" w:line="133" w:lineRule="exact"/>
              <w:rPr>
                <w:rFonts w:ascii="Arial" w:cs="Arial" w:eastAsia="Arial" w:hAnsi="Arial"/>
                <w:sz w:val="12"/>
                <w:szCs w:val="12"/>
                <w:color w:val="0000FF"/>
                <w:w w:val="92"/>
              </w:rPr>
            </w:pPr>
            <w:hyperlink w:anchor="page54">
              <w:r>
                <w:rPr>
                  <w:rFonts w:ascii="Arial" w:cs="Arial" w:eastAsia="Arial" w:hAnsi="Arial"/>
                  <w:sz w:val="12"/>
                  <w:szCs w:val="12"/>
                  <w:color w:val="0000FF"/>
                  <w:w w:val="92"/>
                </w:rPr>
                <w:t>10.</w:t>
              </w:r>
              <w:r>
                <w:rPr>
                  <w:rFonts w:ascii="Arial" w:cs="Arial" w:eastAsia="Arial" w:hAnsi="Arial"/>
                  <w:sz w:val="12"/>
                  <w:szCs w:val="12"/>
                  <w:u w:val="single" w:color="auto"/>
                  <w:color w:val="0000FF"/>
                  <w:w w:val="92"/>
                </w:rPr>
                <w:t>1*</w:t>
              </w:r>
            </w:hyperlink>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tcBorders>
              <w:bottom w:val="single" w:sz="8" w:color="0000FF"/>
            </w:tcBorders>
            <w:gridSpan w:val="3"/>
          </w:tcPr>
          <w:p>
            <w:pPr>
              <w:spacing w:after="0" w:line="133" w:lineRule="exact"/>
              <w:rPr>
                <w:rFonts w:ascii="Arial" w:cs="Arial" w:eastAsia="Arial" w:hAnsi="Arial"/>
                <w:sz w:val="12"/>
                <w:szCs w:val="12"/>
                <w:color w:val="0000FF"/>
                <w:w w:val="90"/>
              </w:rPr>
            </w:pPr>
            <w:hyperlink w:anchor="page54">
              <w:r>
                <w:rPr>
                  <w:rFonts w:ascii="Arial" w:cs="Arial" w:eastAsia="Arial" w:hAnsi="Arial"/>
                  <w:sz w:val="12"/>
                  <w:szCs w:val="12"/>
                  <w:color w:val="0000FF"/>
                  <w:w w:val="90"/>
                </w:rPr>
                <w:t>Offer Letter for Ben Clouse Dated June 21, 2021.</w:t>
              </w:r>
            </w:hyperlink>
          </w:p>
        </w:tc>
        <w:tc>
          <w:tcPr>
            <w:tcW w:w="748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rFonts w:ascii="Arial" w:cs="Arial" w:eastAsia="Arial" w:hAnsi="Arial"/>
                <w:sz w:val="8"/>
                <w:szCs w:val="8"/>
                <w:color w:val="0000FF"/>
                <w:w w:val="76"/>
              </w:rPr>
            </w:pPr>
            <w:hyperlink r:id="rId102">
              <w:r>
                <w:rPr>
                  <w:rFonts w:ascii="Arial" w:cs="Arial" w:eastAsia="Arial" w:hAnsi="Arial"/>
                  <w:sz w:val="8"/>
                  <w:szCs w:val="8"/>
                  <w:color w:val="0000FF"/>
                  <w:w w:val="76"/>
                </w:rPr>
                <w:t>10.</w:t>
              </w:r>
              <w:r>
                <w:rPr>
                  <w:rFonts w:ascii="Arial" w:cs="Arial" w:eastAsia="Arial" w:hAnsi="Arial"/>
                  <w:sz w:val="8"/>
                  <w:szCs w:val="8"/>
                  <w:u w:val="single" w:color="auto"/>
                  <w:color w:val="0000FF"/>
                  <w:w w:val="76"/>
                </w:rPr>
                <w:t>2</w:t>
              </w:r>
            </w:hyperlink>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60" w:type="dxa"/>
            <w:vAlign w:val="bottom"/>
            <w:gridSpan w:val="12"/>
          </w:tcPr>
          <w:p>
            <w:pPr>
              <w:spacing w:after="0" w:line="133" w:lineRule="exact"/>
              <w:rPr>
                <w:rFonts w:ascii="Arial" w:cs="Arial" w:eastAsia="Arial" w:hAnsi="Arial"/>
                <w:sz w:val="12"/>
                <w:szCs w:val="12"/>
                <w:color w:val="0000FF"/>
              </w:rPr>
            </w:pPr>
            <w:hyperlink r:id="rId102">
              <w:r>
                <w:rPr>
                  <w:rFonts w:ascii="Arial" w:cs="Arial" w:eastAsia="Arial" w:hAnsi="Arial"/>
                  <w:sz w:val="12"/>
                  <w:szCs w:val="12"/>
                  <w:color w:val="0000FF"/>
                </w:rPr>
                <w:t>Employment Agreement with Jana D. Merfen Dated January 19, 2021, incorporated by reference to Form 10-Q filed on May 6, 2021</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0" w:type="dxa"/>
            <w:vAlign w:val="bottom"/>
            <w:tcBorders>
              <w:bottom w:val="single" w:sz="8" w:color="0000FF"/>
            </w:tcBorders>
          </w:tcPr>
          <w:p>
            <w:pPr>
              <w:spacing w:after="0"/>
              <w:rPr>
                <w:rFonts w:ascii="Arial" w:cs="Arial" w:eastAsia="Arial" w:hAnsi="Arial"/>
                <w:sz w:val="8"/>
                <w:szCs w:val="8"/>
                <w:color w:val="0000FF"/>
                <w:w w:val="76"/>
              </w:rPr>
            </w:pPr>
            <w:hyperlink r:id="rId103">
              <w:r>
                <w:rPr>
                  <w:rFonts w:ascii="Arial" w:cs="Arial" w:eastAsia="Arial" w:hAnsi="Arial"/>
                  <w:sz w:val="8"/>
                  <w:szCs w:val="8"/>
                  <w:color w:val="0000FF"/>
                  <w:w w:val="76"/>
                </w:rPr>
                <w:t>10.</w:t>
              </w:r>
              <w:r>
                <w:rPr>
                  <w:rFonts w:ascii="Arial" w:cs="Arial" w:eastAsia="Arial" w:hAnsi="Arial"/>
                  <w:sz w:val="8"/>
                  <w:szCs w:val="8"/>
                  <w:u w:val="single" w:color="auto"/>
                  <w:color w:val="0000FF"/>
                  <w:w w:val="76"/>
                </w:rPr>
                <w:t>3</w:t>
              </w:r>
            </w:hyperlink>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40" w:type="dxa"/>
            <w:vAlign w:val="bottom"/>
            <w:tcBorders>
              <w:bottom w:val="single" w:sz="8" w:color="0000FF"/>
            </w:tcBorders>
            <w:gridSpan w:val="8"/>
          </w:tcPr>
          <w:p>
            <w:pPr>
              <w:spacing w:after="0" w:line="133" w:lineRule="exact"/>
              <w:rPr>
                <w:rFonts w:ascii="Arial" w:cs="Arial" w:eastAsia="Arial" w:hAnsi="Arial"/>
                <w:sz w:val="12"/>
                <w:szCs w:val="12"/>
                <w:color w:val="0000FF"/>
                <w:w w:val="90"/>
              </w:rPr>
            </w:pPr>
            <w:hyperlink r:id="rId103">
              <w:r>
                <w:rPr>
                  <w:rFonts w:ascii="Arial" w:cs="Arial" w:eastAsia="Arial" w:hAnsi="Arial"/>
                  <w:sz w:val="12"/>
                  <w:szCs w:val="12"/>
                  <w:color w:val="0000FF"/>
                  <w:w w:val="90"/>
                </w:rPr>
                <w:t>Amended and Restated Employment Agreement, dated March 15, 2021, between the Company and David O’Toole, incorporated by reference to Form 8-K filed on March 15, 2021</w:t>
              </w:r>
            </w:hyperlink>
          </w:p>
        </w:tc>
        <w:tc>
          <w:tcPr>
            <w:tcW w:w="122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0" w:type="dxa"/>
            <w:vAlign w:val="bottom"/>
            <w:tcBorders>
              <w:bottom w:val="single" w:sz="8" w:color="0000FF"/>
            </w:tcBorders>
            <w:gridSpan w:val="2"/>
          </w:tcPr>
          <w:p>
            <w:pPr>
              <w:spacing w:after="0" w:line="133" w:lineRule="exact"/>
              <w:rPr>
                <w:rFonts w:ascii="Arial" w:cs="Arial" w:eastAsia="Arial" w:hAnsi="Arial"/>
                <w:sz w:val="12"/>
                <w:szCs w:val="12"/>
                <w:color w:val="0000FF"/>
                <w:w w:val="92"/>
              </w:rPr>
            </w:pPr>
            <w:hyperlink w:anchor="page57">
              <w:r>
                <w:rPr>
                  <w:rFonts w:ascii="Arial" w:cs="Arial" w:eastAsia="Arial" w:hAnsi="Arial"/>
                  <w:sz w:val="12"/>
                  <w:szCs w:val="12"/>
                  <w:color w:val="0000FF"/>
                  <w:w w:val="92"/>
                </w:rPr>
                <w:t>31.</w:t>
              </w:r>
              <w:r>
                <w:rPr>
                  <w:rFonts w:ascii="Arial" w:cs="Arial" w:eastAsia="Arial" w:hAnsi="Arial"/>
                  <w:sz w:val="12"/>
                  <w:szCs w:val="12"/>
                  <w:u w:val="single" w:color="auto"/>
                  <w:color w:val="0000FF"/>
                  <w:w w:val="92"/>
                </w:rPr>
                <w:t>1*</w:t>
              </w:r>
            </w:hyperlink>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60" w:type="dxa"/>
            <w:vAlign w:val="bottom"/>
            <w:tcBorders>
              <w:bottom w:val="single" w:sz="8" w:color="0000FF"/>
            </w:tcBorders>
            <w:gridSpan w:val="7"/>
          </w:tcPr>
          <w:p>
            <w:pPr>
              <w:spacing w:after="0" w:line="133" w:lineRule="exact"/>
              <w:rPr>
                <w:rFonts w:ascii="Arial" w:cs="Arial" w:eastAsia="Arial" w:hAnsi="Arial"/>
                <w:sz w:val="12"/>
                <w:szCs w:val="12"/>
                <w:color w:val="0000FF"/>
                <w:w w:val="91"/>
              </w:rPr>
            </w:pPr>
            <w:hyperlink w:anchor="page57">
              <w:r>
                <w:rPr>
                  <w:rFonts w:ascii="Arial" w:cs="Arial" w:eastAsia="Arial" w:hAnsi="Arial"/>
                  <w:sz w:val="12"/>
                  <w:szCs w:val="12"/>
                  <w:color w:val="0000FF"/>
                  <w:w w:val="91"/>
                </w:rPr>
                <w:t>Certification of Principal Executive Officer pursuant to Rule 13a-14(a) of the Exchange Act, as adopted pursuant to Section 302 of the Sarbanes-Oxley Act of 2002</w:t>
              </w:r>
            </w:hyperlink>
          </w:p>
        </w:tc>
        <w:tc>
          <w:tcPr>
            <w:tcW w:w="20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0" w:type="dxa"/>
            <w:vAlign w:val="bottom"/>
            <w:tcBorders>
              <w:bottom w:val="single" w:sz="8" w:color="0000FF"/>
            </w:tcBorders>
            <w:gridSpan w:val="2"/>
          </w:tcPr>
          <w:p>
            <w:pPr>
              <w:spacing w:after="0" w:line="133" w:lineRule="exact"/>
              <w:rPr>
                <w:rFonts w:ascii="Arial" w:cs="Arial" w:eastAsia="Arial" w:hAnsi="Arial"/>
                <w:sz w:val="12"/>
                <w:szCs w:val="12"/>
                <w:color w:val="0000FF"/>
                <w:w w:val="92"/>
              </w:rPr>
            </w:pPr>
            <w:hyperlink w:anchor="page58">
              <w:r>
                <w:rPr>
                  <w:rFonts w:ascii="Arial" w:cs="Arial" w:eastAsia="Arial" w:hAnsi="Arial"/>
                  <w:sz w:val="12"/>
                  <w:szCs w:val="12"/>
                  <w:color w:val="0000FF"/>
                  <w:w w:val="92"/>
                </w:rPr>
                <w:t>31.</w:t>
              </w:r>
              <w:r>
                <w:rPr>
                  <w:rFonts w:ascii="Arial" w:cs="Arial" w:eastAsia="Arial" w:hAnsi="Arial"/>
                  <w:sz w:val="12"/>
                  <w:szCs w:val="12"/>
                  <w:u w:val="single" w:color="auto"/>
                  <w:color w:val="0000FF"/>
                  <w:w w:val="92"/>
                </w:rPr>
                <w:t>2*</w:t>
              </w:r>
            </w:hyperlink>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20" w:type="dxa"/>
            <w:vAlign w:val="bottom"/>
            <w:tcBorders>
              <w:bottom w:val="single" w:sz="8" w:color="0000FF"/>
            </w:tcBorders>
            <w:gridSpan w:val="6"/>
          </w:tcPr>
          <w:p>
            <w:pPr>
              <w:spacing w:after="0" w:line="133" w:lineRule="exact"/>
              <w:rPr>
                <w:rFonts w:ascii="Arial" w:cs="Arial" w:eastAsia="Arial" w:hAnsi="Arial"/>
                <w:sz w:val="12"/>
                <w:szCs w:val="12"/>
                <w:color w:val="0000FF"/>
                <w:w w:val="91"/>
              </w:rPr>
            </w:pPr>
            <w:hyperlink w:anchor="page58">
              <w:r>
                <w:rPr>
                  <w:rFonts w:ascii="Arial" w:cs="Arial" w:eastAsia="Arial" w:hAnsi="Arial"/>
                  <w:sz w:val="12"/>
                  <w:szCs w:val="12"/>
                  <w:color w:val="0000FF"/>
                  <w:w w:val="91"/>
                </w:rPr>
                <w:t>Certification of Principal Financial Officer pursuant to Rule 13a-14(a) of the Exchange Act, as adopted pursuant to Section 302 of the Sarbanes-Oxley Act of 2002</w:t>
              </w:r>
            </w:hyperlink>
          </w:p>
        </w:tc>
        <w:tc>
          <w:tcPr>
            <w:tcW w:w="204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0" w:type="dxa"/>
            <w:vAlign w:val="bottom"/>
            <w:tcBorders>
              <w:bottom w:val="single" w:sz="8" w:color="0000FF"/>
            </w:tcBorders>
            <w:gridSpan w:val="3"/>
          </w:tcPr>
          <w:p>
            <w:pPr>
              <w:spacing w:after="0" w:line="133" w:lineRule="exact"/>
              <w:rPr>
                <w:rFonts w:ascii="Arial" w:cs="Arial" w:eastAsia="Arial" w:hAnsi="Arial"/>
                <w:sz w:val="12"/>
                <w:szCs w:val="12"/>
                <w:color w:val="0000FF"/>
                <w:w w:val="97"/>
              </w:rPr>
            </w:pPr>
            <w:hyperlink w:anchor="page59">
              <w:r>
                <w:rPr>
                  <w:rFonts w:ascii="Arial" w:cs="Arial" w:eastAsia="Arial" w:hAnsi="Arial"/>
                  <w:sz w:val="12"/>
                  <w:szCs w:val="12"/>
                  <w:color w:val="0000FF"/>
                  <w:w w:val="97"/>
                </w:rPr>
                <w:t>32.</w:t>
              </w:r>
              <w:r>
                <w:rPr>
                  <w:rFonts w:ascii="Arial" w:cs="Arial" w:eastAsia="Arial" w:hAnsi="Arial"/>
                  <w:sz w:val="12"/>
                  <w:szCs w:val="12"/>
                  <w:u w:val="single" w:color="auto"/>
                  <w:color w:val="0000FF"/>
                  <w:w w:val="97"/>
                </w:rPr>
                <w:t>1**</w:t>
              </w:r>
            </w:hyperlink>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80" w:type="dxa"/>
            <w:vAlign w:val="bottom"/>
            <w:tcBorders>
              <w:bottom w:val="single" w:sz="8" w:color="0000FF"/>
            </w:tcBorders>
            <w:gridSpan w:val="4"/>
          </w:tcPr>
          <w:p>
            <w:pPr>
              <w:spacing w:after="0" w:line="133" w:lineRule="exact"/>
              <w:rPr>
                <w:rFonts w:ascii="Arial" w:cs="Arial" w:eastAsia="Arial" w:hAnsi="Arial"/>
                <w:sz w:val="12"/>
                <w:szCs w:val="12"/>
                <w:color w:val="0000FF"/>
                <w:w w:val="90"/>
              </w:rPr>
            </w:pPr>
            <w:hyperlink w:anchor="page59">
              <w:r>
                <w:rPr>
                  <w:rFonts w:ascii="Arial" w:cs="Arial" w:eastAsia="Arial" w:hAnsi="Arial"/>
                  <w:sz w:val="12"/>
                  <w:szCs w:val="12"/>
                  <w:color w:val="0000FF"/>
                  <w:w w:val="90"/>
                </w:rPr>
                <w:t>Certification pursuant to 18 U.S.C. Section 1350, as adopted pursuant to Section 906 of the Sarbanes-Oxley Act of 2002</w:t>
              </w:r>
            </w:hyperlink>
          </w:p>
        </w:tc>
        <w:tc>
          <w:tcPr>
            <w:tcW w:w="408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20" w:type="dxa"/>
            <w:vAlign w:val="bottom"/>
            <w:gridSpan w:val="5"/>
          </w:tcPr>
          <w:p>
            <w:pPr>
              <w:spacing w:after="0"/>
              <w:rPr>
                <w:sz w:val="20"/>
                <w:szCs w:val="20"/>
                <w:color w:val="auto"/>
              </w:rPr>
            </w:pPr>
            <w:r>
              <w:rPr>
                <w:rFonts w:ascii="Arial" w:cs="Arial" w:eastAsia="Arial" w:hAnsi="Arial"/>
                <w:sz w:val="12"/>
                <w:szCs w:val="12"/>
                <w:color w:val="auto"/>
              </w:rPr>
              <w:t>101.INS*</w:t>
            </w: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53"/>
        </w:trPr>
        <w:tc>
          <w:tcPr>
            <w:tcW w:w="1420" w:type="dxa"/>
            <w:vAlign w:val="bottom"/>
            <w:gridSpan w:val="5"/>
          </w:tcPr>
          <w:p>
            <w:pPr>
              <w:spacing w:after="0"/>
              <w:rPr>
                <w:sz w:val="20"/>
                <w:szCs w:val="20"/>
                <w:color w:val="auto"/>
              </w:rPr>
            </w:pPr>
            <w:r>
              <w:rPr>
                <w:rFonts w:ascii="Arial" w:cs="Arial" w:eastAsia="Arial" w:hAnsi="Arial"/>
                <w:sz w:val="12"/>
                <w:szCs w:val="12"/>
                <w:color w:val="auto"/>
              </w:rPr>
              <w:t>101.SCH*</w:t>
            </w: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53"/>
        </w:trPr>
        <w:tc>
          <w:tcPr>
            <w:tcW w:w="1420" w:type="dxa"/>
            <w:vAlign w:val="bottom"/>
            <w:gridSpan w:val="5"/>
          </w:tcPr>
          <w:p>
            <w:pPr>
              <w:spacing w:after="0"/>
              <w:rPr>
                <w:sz w:val="20"/>
                <w:szCs w:val="20"/>
                <w:color w:val="auto"/>
              </w:rPr>
            </w:pPr>
            <w:r>
              <w:rPr>
                <w:rFonts w:ascii="Arial" w:cs="Arial" w:eastAsia="Arial" w:hAnsi="Arial"/>
                <w:sz w:val="12"/>
                <w:szCs w:val="12"/>
                <w:color w:val="auto"/>
              </w:rPr>
              <w:t>101.CAL*</w:t>
            </w: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53"/>
        </w:trPr>
        <w:tc>
          <w:tcPr>
            <w:tcW w:w="1420" w:type="dxa"/>
            <w:vAlign w:val="bottom"/>
            <w:gridSpan w:val="5"/>
          </w:tcPr>
          <w:p>
            <w:pPr>
              <w:spacing w:after="0"/>
              <w:rPr>
                <w:sz w:val="20"/>
                <w:szCs w:val="20"/>
                <w:color w:val="auto"/>
              </w:rPr>
            </w:pPr>
            <w:r>
              <w:rPr>
                <w:rFonts w:ascii="Arial" w:cs="Arial" w:eastAsia="Arial" w:hAnsi="Arial"/>
                <w:sz w:val="12"/>
                <w:szCs w:val="12"/>
                <w:color w:val="auto"/>
              </w:rPr>
              <w:t>101.DEF*</w:t>
            </w: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53"/>
        </w:trPr>
        <w:tc>
          <w:tcPr>
            <w:tcW w:w="1420" w:type="dxa"/>
            <w:vAlign w:val="bottom"/>
            <w:gridSpan w:val="5"/>
          </w:tcPr>
          <w:p>
            <w:pPr>
              <w:spacing w:after="0"/>
              <w:rPr>
                <w:sz w:val="20"/>
                <w:szCs w:val="20"/>
                <w:color w:val="auto"/>
              </w:rPr>
            </w:pPr>
            <w:r>
              <w:rPr>
                <w:rFonts w:ascii="Arial" w:cs="Arial" w:eastAsia="Arial" w:hAnsi="Arial"/>
                <w:sz w:val="12"/>
                <w:szCs w:val="12"/>
                <w:color w:val="auto"/>
              </w:rPr>
              <w:t>101.LAB*</w:t>
            </w: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53"/>
        </w:trPr>
        <w:tc>
          <w:tcPr>
            <w:tcW w:w="1420" w:type="dxa"/>
            <w:vAlign w:val="bottom"/>
            <w:gridSpan w:val="5"/>
          </w:tcPr>
          <w:p>
            <w:pPr>
              <w:spacing w:after="0"/>
              <w:rPr>
                <w:sz w:val="20"/>
                <w:szCs w:val="20"/>
                <w:color w:val="auto"/>
              </w:rPr>
            </w:pPr>
            <w:r>
              <w:rPr>
                <w:rFonts w:ascii="Arial" w:cs="Arial" w:eastAsia="Arial" w:hAnsi="Arial"/>
                <w:sz w:val="12"/>
                <w:szCs w:val="12"/>
                <w:color w:val="auto"/>
              </w:rPr>
              <w:t>101.PRE*</w:t>
            </w: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r>
        <w:trPr>
          <w:trHeight w:val="153"/>
        </w:trPr>
        <w:tc>
          <w:tcPr>
            <w:tcW w:w="280" w:type="dxa"/>
            <w:vAlign w:val="bottom"/>
            <w:gridSpan w:val="2"/>
          </w:tcPr>
          <w:p>
            <w:pPr>
              <w:spacing w:after="0"/>
              <w:rPr>
                <w:sz w:val="20"/>
                <w:szCs w:val="20"/>
                <w:color w:val="auto"/>
              </w:rPr>
            </w:pPr>
            <w:r>
              <w:rPr>
                <w:rFonts w:ascii="Arial" w:cs="Arial" w:eastAsia="Arial" w:hAnsi="Arial"/>
                <w:sz w:val="12"/>
                <w:szCs w:val="12"/>
                <w:color w:val="auto"/>
              </w:rPr>
              <w:t>104*</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gridSpan w:val="12"/>
          </w:tcPr>
          <w:p>
            <w:pPr>
              <w:spacing w:after="0"/>
              <w:rPr>
                <w:sz w:val="20"/>
                <w:szCs w:val="20"/>
                <w:color w:val="auto"/>
              </w:rPr>
            </w:pPr>
            <w:r>
              <w:rPr>
                <w:rFonts w:ascii="Arial" w:cs="Arial" w:eastAsia="Arial" w:hAnsi="Arial"/>
                <w:sz w:val="12"/>
                <w:szCs w:val="12"/>
                <w:color w:val="auto"/>
              </w:rPr>
              <w:t>Cover Page Interactive Data File (formation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640" w:hanging="216"/>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14" w:lineRule="exact"/>
        <w:rPr>
          <w:sz w:val="20"/>
          <w:szCs w:val="20"/>
          <w:color w:val="auto"/>
        </w:rPr>
      </w:pPr>
    </w:p>
    <w:p>
      <w:pPr>
        <w:ind w:left="660" w:hanging="236"/>
        <w:spacing w:after="0"/>
        <w:tabs>
          <w:tab w:leader="none" w:pos="6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2" w:name="page53"/>
    <w:bookmarkEnd w:id="5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080" w:type="dxa"/>
            <w:vAlign w:val="bottom"/>
          </w:tcPr>
          <w:p>
            <w:pPr>
              <w:spacing w:after="0"/>
              <w:rPr>
                <w:sz w:val="13"/>
                <w:szCs w:val="13"/>
                <w:color w:val="auto"/>
              </w:rPr>
            </w:pPr>
          </w:p>
        </w:tc>
        <w:tc>
          <w:tcPr>
            <w:tcW w:w="5280" w:type="dxa"/>
            <w:vAlign w:val="bottom"/>
          </w:tcPr>
          <w:p>
            <w:pPr>
              <w:ind w:left="340"/>
              <w:spacing w:after="0"/>
              <w:rPr>
                <w:sz w:val="20"/>
                <w:szCs w:val="20"/>
                <w:color w:val="auto"/>
              </w:rPr>
            </w:pPr>
            <w:r>
              <w:rPr>
                <w:rFonts w:ascii="Arial" w:cs="Arial" w:eastAsia="Arial" w:hAnsi="Arial"/>
                <w:sz w:val="12"/>
                <w:szCs w:val="12"/>
                <w:color w:val="auto"/>
              </w:rPr>
              <w:t>CrossFirst Bankshares Inc.</w:t>
            </w:r>
          </w:p>
        </w:tc>
      </w:tr>
      <w:tr>
        <w:trPr>
          <w:trHeight w:val="585"/>
        </w:trPr>
        <w:tc>
          <w:tcPr>
            <w:tcW w:w="5080" w:type="dxa"/>
            <w:vAlign w:val="bottom"/>
          </w:tcPr>
          <w:p>
            <w:pPr>
              <w:spacing w:after="0"/>
              <w:rPr>
                <w:sz w:val="20"/>
                <w:szCs w:val="20"/>
                <w:color w:val="auto"/>
              </w:rPr>
            </w:pPr>
            <w:r>
              <w:rPr>
                <w:rFonts w:ascii="Arial" w:cs="Arial" w:eastAsia="Arial" w:hAnsi="Arial"/>
                <w:sz w:val="12"/>
                <w:szCs w:val="12"/>
                <w:color w:val="auto"/>
              </w:rPr>
              <w:t>August 5, 2021</w:t>
            </w:r>
          </w:p>
        </w:tc>
        <w:tc>
          <w:tcPr>
            <w:tcW w:w="528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/s/ David L. O’Toole</w:t>
            </w:r>
          </w:p>
        </w:tc>
      </w:tr>
      <w:tr>
        <w:trPr>
          <w:trHeight w:val="142"/>
        </w:trPr>
        <w:tc>
          <w:tcPr>
            <w:tcW w:w="5080" w:type="dxa"/>
            <w:vAlign w:val="bottom"/>
          </w:tcPr>
          <w:p>
            <w:pPr>
              <w:spacing w:after="0"/>
              <w:rPr>
                <w:sz w:val="12"/>
                <w:szCs w:val="12"/>
                <w:color w:val="auto"/>
              </w:rPr>
            </w:pPr>
          </w:p>
        </w:tc>
        <w:tc>
          <w:tcPr>
            <w:tcW w:w="5280" w:type="dxa"/>
            <w:vAlign w:val="bottom"/>
          </w:tcPr>
          <w:p>
            <w:pPr>
              <w:ind w:left="340"/>
              <w:spacing w:after="0"/>
              <w:rPr>
                <w:sz w:val="20"/>
                <w:szCs w:val="20"/>
                <w:color w:val="auto"/>
              </w:rPr>
            </w:pPr>
            <w:r>
              <w:rPr>
                <w:rFonts w:ascii="Arial" w:cs="Arial" w:eastAsia="Arial" w:hAnsi="Arial"/>
                <w:sz w:val="12"/>
                <w:szCs w:val="12"/>
                <w:color w:val="auto"/>
              </w:rPr>
              <w:t>David L. O’Toole</w:t>
            </w:r>
          </w:p>
        </w:tc>
      </w:tr>
      <w:tr>
        <w:trPr>
          <w:trHeight w:val="153"/>
        </w:trPr>
        <w:tc>
          <w:tcPr>
            <w:tcW w:w="5080" w:type="dxa"/>
            <w:vAlign w:val="bottom"/>
          </w:tcPr>
          <w:p>
            <w:pPr>
              <w:spacing w:after="0"/>
              <w:rPr>
                <w:sz w:val="13"/>
                <w:szCs w:val="13"/>
                <w:color w:val="auto"/>
              </w:rPr>
            </w:pPr>
          </w:p>
        </w:tc>
        <w:tc>
          <w:tcPr>
            <w:tcW w:w="5280" w:type="dxa"/>
            <w:vAlign w:val="bottom"/>
          </w:tcPr>
          <w:p>
            <w:pPr>
              <w:ind w:left="340"/>
              <w:spacing w:after="0"/>
              <w:rPr>
                <w:sz w:val="20"/>
                <w:szCs w:val="20"/>
                <w:color w:val="auto"/>
              </w:rPr>
            </w:pPr>
            <w:r>
              <w:rPr>
                <w:rFonts w:ascii="Arial" w:cs="Arial" w:eastAsia="Arial" w:hAnsi="Arial"/>
                <w:sz w:val="12"/>
                <w:szCs w:val="12"/>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120"/>
          </w:cols>
          <w:pgMar w:left="300" w:top="131" w:right="479" w:bottom="1440"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Rules 13a-14(a) and 15d-14(a) of the Securities Exchange Act of 1934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I, Michael J. Maddox, certify that:</w:t>
      </w:r>
    </w:p>
    <w:p>
      <w:pPr>
        <w:spacing w:after="0" w:line="150" w:lineRule="exact"/>
        <w:rPr>
          <w:sz w:val="20"/>
          <w:szCs w:val="20"/>
          <w:color w:val="auto"/>
        </w:rPr>
      </w:pPr>
    </w:p>
    <w:p>
      <w:pPr>
        <w:ind w:left="860" w:hanging="436"/>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CrossFirst Bankshares, Inc.;</w:t>
      </w:r>
    </w:p>
    <w:p>
      <w:pPr>
        <w:spacing w:after="0" w:line="114" w:lineRule="exact"/>
        <w:rPr>
          <w:rFonts w:ascii="Arial" w:cs="Arial" w:eastAsia="Arial" w:hAnsi="Arial"/>
          <w:sz w:val="12"/>
          <w:szCs w:val="12"/>
          <w:color w:val="auto"/>
        </w:rPr>
      </w:pPr>
    </w:p>
    <w:p>
      <w:pPr>
        <w:ind w:left="860" w:right="320" w:hanging="436"/>
        <w:spacing w:after="0" w:line="276" w:lineRule="auto"/>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60" w:right="400" w:hanging="436"/>
        <w:spacing w:after="0" w:line="276" w:lineRule="auto"/>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registrant’s other certifying officer and I are responsible for establishing and maintaining disclosure controls and procedures (as defined in Exchange Act Rules 13a-15(e) and 15d-15(e)) for the registrant and have:</w:t>
      </w:r>
    </w:p>
    <w:p>
      <w:pPr>
        <w:spacing w:after="0" w:line="191" w:lineRule="exact"/>
        <w:rPr>
          <w:rFonts w:ascii="Arial" w:cs="Arial" w:eastAsia="Arial" w:hAnsi="Arial"/>
          <w:sz w:val="10"/>
          <w:szCs w:val="10"/>
          <w:color w:val="auto"/>
        </w:rPr>
      </w:pPr>
    </w:p>
    <w:p>
      <w:pPr>
        <w:ind w:left="1340" w:right="360" w:hanging="484"/>
        <w:spacing w:after="0" w:line="323" w:lineRule="auto"/>
        <w:tabs>
          <w:tab w:leader="none" w:pos="1338" w:val="left"/>
        </w:tabs>
        <w:numPr>
          <w:ilvl w:val="1"/>
          <w:numId w:val="2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1"/>
          <w:szCs w:val="11"/>
          <w:color w:val="auto"/>
        </w:rPr>
      </w:pPr>
    </w:p>
    <w:p>
      <w:pPr>
        <w:ind w:left="1340" w:right="20" w:hanging="484"/>
        <w:spacing w:after="0" w:line="276" w:lineRule="auto"/>
        <w:tabs>
          <w:tab w:leader="none" w:pos="1336" w:val="left"/>
        </w:tabs>
        <w:numPr>
          <w:ilvl w:val="1"/>
          <w:numId w:val="2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340" w:right="40" w:hanging="484"/>
        <w:spacing w:after="0" w:line="276" w:lineRule="auto"/>
        <w:tabs>
          <w:tab w:leader="none" w:pos="1338" w:val="left"/>
        </w:tabs>
        <w:numPr>
          <w:ilvl w:val="1"/>
          <w:numId w:val="2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60" w:right="40" w:hanging="436"/>
        <w:spacing w:after="0" w:line="276" w:lineRule="auto"/>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1340" w:right="280" w:hanging="484"/>
        <w:spacing w:after="0" w:line="276" w:lineRule="auto"/>
        <w:tabs>
          <w:tab w:leader="none" w:pos="1338" w:val="left"/>
        </w:tabs>
        <w:numPr>
          <w:ilvl w:val="1"/>
          <w:numId w:val="2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340" w:hanging="484"/>
        <w:spacing w:after="0"/>
        <w:tabs>
          <w:tab w:leader="none" w:pos="1340" w:val="left"/>
        </w:tabs>
        <w:numPr>
          <w:ilvl w:val="1"/>
          <w:numId w:val="2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2021</w:t>
      </w:r>
    </w:p>
    <w:p>
      <w:pPr>
        <w:spacing w:after="0" w:line="33"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9525</wp:posOffset>
            </wp:positionV>
            <wp:extent cx="230314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303145" cy="5715"/>
                    </a:xfrm>
                    <a:prstGeom prst="rect">
                      <a:avLst/>
                    </a:prstGeom>
                    <a:noFill/>
                  </pic:spPr>
                </pic:pic>
              </a:graphicData>
            </a:graphic>
          </wp:anchor>
        </w:drawing>
      </w:r>
    </w:p>
    <w:p>
      <w:pPr>
        <w:spacing w:after="0" w:line="4"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Michael J. Maddox</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Chief Executive Officer</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280"/>
          </w:cols>
          <w:pgMar w:left="300" w:top="616" w:right="31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Rules 13a-14(a) and 15d-14(a) of the Securities Exchange Act of 1934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I, Benjamin R. Clouse, certify that:</w:t>
      </w:r>
    </w:p>
    <w:p>
      <w:pPr>
        <w:spacing w:after="0" w:line="159" w:lineRule="exact"/>
        <w:rPr>
          <w:sz w:val="20"/>
          <w:szCs w:val="20"/>
          <w:color w:val="auto"/>
        </w:rPr>
      </w:pPr>
    </w:p>
    <w:p>
      <w:pPr>
        <w:ind w:left="860" w:hanging="436"/>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CrossFirst Bankshares, Inc.;</w:t>
      </w:r>
    </w:p>
    <w:p>
      <w:pPr>
        <w:spacing w:after="0" w:line="123" w:lineRule="exact"/>
        <w:rPr>
          <w:rFonts w:ascii="Arial" w:cs="Arial" w:eastAsia="Arial" w:hAnsi="Arial"/>
          <w:sz w:val="12"/>
          <w:szCs w:val="12"/>
          <w:color w:val="auto"/>
        </w:rPr>
      </w:pPr>
    </w:p>
    <w:p>
      <w:pPr>
        <w:ind w:left="860" w:right="340" w:hanging="436"/>
        <w:spacing w:after="0" w:line="292" w:lineRule="auto"/>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60" w:right="420" w:hanging="436"/>
        <w:spacing w:after="0" w:line="292" w:lineRule="auto"/>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60" w:hanging="436"/>
        <w:spacing w:after="0"/>
        <w:tabs>
          <w:tab w:leader="none" w:pos="860" w:val="left"/>
        </w:tabs>
        <w:numPr>
          <w:ilvl w:val="0"/>
          <w:numId w:val="23"/>
        </w:numPr>
        <w:rPr>
          <w:rFonts w:ascii="Arial" w:cs="Arial" w:eastAsia="Arial" w:hAnsi="Arial"/>
          <w:sz w:val="10"/>
          <w:szCs w:val="10"/>
          <w:color w:val="auto"/>
        </w:rPr>
      </w:pPr>
      <w:r>
        <w:rPr>
          <w:rFonts w:ascii="Arial" w:cs="Arial" w:eastAsia="Arial" w:hAnsi="Arial"/>
          <w:sz w:val="10"/>
          <w:szCs w:val="10"/>
          <w:color w:val="auto"/>
        </w:rPr>
        <w:t>The registrant’s other certifying officer and I are responsible for establishing and maintaining disclosure controls and procedures (as defined in Exchange Act Rules 13a-15(e) and 15d-15(e)) for the registrant and have:</w:t>
      </w:r>
    </w:p>
    <w:p>
      <w:pPr>
        <w:spacing w:after="0" w:line="173" w:lineRule="exact"/>
        <w:rPr>
          <w:rFonts w:ascii="Arial" w:cs="Arial" w:eastAsia="Arial" w:hAnsi="Arial"/>
          <w:sz w:val="10"/>
          <w:szCs w:val="10"/>
          <w:color w:val="auto"/>
        </w:rPr>
      </w:pPr>
    </w:p>
    <w:p>
      <w:pPr>
        <w:ind w:left="1400" w:right="320" w:hanging="544"/>
        <w:spacing w:after="0" w:line="323" w:lineRule="auto"/>
        <w:tabs>
          <w:tab w:leader="none" w:pos="1398" w:val="left"/>
        </w:tabs>
        <w:numPr>
          <w:ilvl w:val="1"/>
          <w:numId w:val="23"/>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1"/>
          <w:szCs w:val="11"/>
          <w:color w:val="auto"/>
        </w:rPr>
      </w:pPr>
    </w:p>
    <w:p>
      <w:pPr>
        <w:ind w:left="1400" w:right="120" w:hanging="544"/>
        <w:spacing w:after="0" w:line="276" w:lineRule="auto"/>
        <w:tabs>
          <w:tab w:leader="none" w:pos="1396" w:val="left"/>
        </w:tabs>
        <w:numPr>
          <w:ilvl w:val="1"/>
          <w:numId w:val="2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400" w:hanging="544"/>
        <w:spacing w:after="0" w:line="276" w:lineRule="auto"/>
        <w:tabs>
          <w:tab w:leader="none" w:pos="1398" w:val="left"/>
        </w:tabs>
        <w:numPr>
          <w:ilvl w:val="1"/>
          <w:numId w:val="2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2"/>
          <w:szCs w:val="12"/>
          <w:color w:val="auto"/>
        </w:rPr>
      </w:pPr>
    </w:p>
    <w:p>
      <w:pPr>
        <w:ind w:left="860" w:right="60" w:hanging="436"/>
        <w:spacing w:after="0" w:line="292" w:lineRule="auto"/>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400" w:hanging="544"/>
        <w:spacing w:after="0" w:line="292" w:lineRule="auto"/>
        <w:tabs>
          <w:tab w:leader="none" w:pos="1398" w:val="left"/>
        </w:tabs>
        <w:numPr>
          <w:ilvl w:val="1"/>
          <w:numId w:val="2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400" w:hanging="544"/>
        <w:spacing w:after="0"/>
        <w:tabs>
          <w:tab w:leader="none" w:pos="1400" w:val="left"/>
        </w:tabs>
        <w:numPr>
          <w:ilvl w:val="1"/>
          <w:numId w:val="2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2021</w:t>
      </w:r>
    </w:p>
    <w:p>
      <w:pPr>
        <w:spacing w:after="0" w:line="33"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/s/ Benjamin R.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9525</wp:posOffset>
            </wp:positionV>
            <wp:extent cx="230314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303145" cy="5715"/>
                    </a:xfrm>
                    <a:prstGeom prst="rect">
                      <a:avLst/>
                    </a:prstGeom>
                    <a:noFill/>
                  </pic:spPr>
                </pic:pic>
              </a:graphicData>
            </a:graphic>
          </wp:anchor>
        </w:drawing>
      </w:r>
    </w:p>
    <w:p>
      <w:pPr>
        <w:spacing w:after="0" w:line="4"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Benjamin R. Clouse</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Chief Financial Officer</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300"/>
          </w:cols>
          <w:pgMar w:left="300" w:top="616"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color w:val="auto"/>
        </w:rPr>
        <w:t>Exhibit 32.1</w:t>
      </w:r>
    </w:p>
    <w:p>
      <w:pPr>
        <w:spacing w:after="0" w:line="172" w:lineRule="exact"/>
        <w:rPr>
          <w:sz w:val="20"/>
          <w:szCs w:val="20"/>
          <w:color w:val="auto"/>
        </w:rPr>
      </w:pPr>
    </w:p>
    <w:p>
      <w:pPr>
        <w:ind w:right="340"/>
        <w:spacing w:after="0" w:line="292" w:lineRule="auto"/>
        <w:rPr>
          <w:sz w:val="20"/>
          <w:szCs w:val="20"/>
          <w:color w:val="auto"/>
        </w:rPr>
      </w:pPr>
      <w:r>
        <w:rPr>
          <w:rFonts w:ascii="Arial" w:cs="Arial" w:eastAsia="Arial" w:hAnsi="Arial"/>
          <w:sz w:val="14"/>
          <w:szCs w:val="14"/>
          <w:b w:val="1"/>
          <w:bCs w:val="1"/>
          <w:color w:val="auto"/>
        </w:rPr>
        <w:t>CERTIFICATION OF PRINCIPAL EXECUTIVE OFFICER AND PRINCIPAL FINANCIAL OFFICER UNDER 18 U.S.C. § 1350 FURNISHED PURSUANT TO SECURITIES EXCHANGE ACT RULE 13a-14(b)</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In connection with the Quarterly Report of CrossFirst Bankshares, Inc. (the “Company”) on Form 10-Q for the period ended on June 30, 2021,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2021</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9525</wp:posOffset>
            </wp:positionV>
            <wp:extent cx="40919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4091940" cy="11430"/>
                    </a:xfrm>
                    <a:prstGeom prst="rect">
                      <a:avLst/>
                    </a:prstGeom>
                    <a:noFill/>
                  </pic:spPr>
                </pic:pic>
              </a:graphicData>
            </a:graphic>
          </wp:anchor>
        </w:drawing>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Michael J. Maddox</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President and Chief Executive Officer (Principal Executive Officer)</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 Benjamin R.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9525</wp:posOffset>
            </wp:positionV>
            <wp:extent cx="40919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4091940" cy="11430"/>
                    </a:xfrm>
                    <a:prstGeom prst="rect">
                      <a:avLst/>
                    </a:prstGeom>
                    <a:noFill/>
                  </pic:spPr>
                </pic:pic>
              </a:graphicData>
            </a:graphic>
          </wp:anchor>
        </w:drawing>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Benjamin R. Clouse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Chief Financial Officer (Principal Financial Officer)</w:t>
      </w:r>
    </w:p>
    <w:sectPr>
      <w:pgSz w:w="11900" w:h="16838" w:orient="portrait"/>
      <w:cols w:equalWidth="0" w:num="1">
        <w:col w:w="11280"/>
      </w:cols>
      <w:pgMar w:left="300" w:top="9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2)"/>
      <w:numFmt w:val="decimal"/>
      <w:start w:val="2"/>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lvl w:ilvl="1">
      <w:lvlJc w:val="left"/>
      <w:lvlText w:val="(%2)"/>
      <w:numFmt w:val="decimal"/>
      <w:start w:val="2"/>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upperLetter"/>
      <w:start w:val="68"/>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99" Type="http://schemas.openxmlformats.org/officeDocument/2006/relationships/hyperlink" Target="https://www.sec.gov/Archives/edgar/data/1458412/000114036119013110/s002626x8_ex3-1.htm" TargetMode="External"/><Relationship Id="rId100" Type="http://schemas.openxmlformats.org/officeDocument/2006/relationships/hyperlink" Target="https://www.sec.gov/Archives/edgar/data/1458412/000114036119013110/s002626x8_ex3-2.htm" TargetMode="External"/><Relationship Id="rId101" Type="http://schemas.openxmlformats.org/officeDocument/2006/relationships/hyperlink" Target="https://www.sec.gov/Archives/edgar/data/1458412/000114036119013110/s002626x8_ex3-3.htm" TargetMode="External"/><Relationship Id="rId102" Type="http://schemas.openxmlformats.org/officeDocument/2006/relationships/hyperlink" Target="https://www.sec.gov/Archives/edgar/data/1458412/000145841221000022/exhibit102-merfen.htm" TargetMode="External"/><Relationship Id="rId103" Type="http://schemas.openxmlformats.org/officeDocument/2006/relationships/hyperlink" Target="https://www.sec.gov/Archives/edgar/data/1458412/000145841221000012/exec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2021-08-05T11:00:24Z</dcterms:created>
  <dcterms:modified xsi:type="dcterms:W3CDTF">2021-08-05T11:00:24Z</dcterms:modified>
</cp:coreProperties>
</file>